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3100A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bookmarkStart w:id="0" w:name="_gjdgxs" w:colFirst="0" w:colLast="0"/>
      <w:bookmarkEnd w:id="0"/>
      <w:r>
        <w:rPr>
          <w:color w:val="000000"/>
        </w:rPr>
        <w:t xml:space="preserve"> </w:t>
      </w:r>
    </w:p>
    <w:p w14:paraId="03BE825F" w14:textId="77777777" w:rsidR="00A007C9" w:rsidRDefault="00A007C9">
      <w:pPr>
        <w:spacing w:after="0" w:line="240" w:lineRule="auto"/>
        <w:jc w:val="center"/>
        <w:rPr>
          <w:rFonts w:ascii="Times New Roman" w:eastAsia="Times New Roman" w:hAnsi="Times New Roman" w:cs="Times New Roman"/>
          <w:b/>
          <w:i w:val="0"/>
          <w:sz w:val="28"/>
          <w:szCs w:val="28"/>
        </w:rPr>
      </w:pPr>
    </w:p>
    <w:p w14:paraId="6CE63F93" w14:textId="1CC4A48F" w:rsidR="00A007C9" w:rsidRDefault="00F205C7">
      <w:pPr>
        <w:spacing w:after="0" w:line="240" w:lineRule="auto"/>
        <w:jc w:val="center"/>
        <w:rPr>
          <w:rFonts w:ascii="Times New Roman" w:hAnsi="Times New Roman"/>
          <w:b/>
          <w:bCs/>
          <w:spacing w:val="-8"/>
          <w:sz w:val="28"/>
          <w:szCs w:val="28"/>
        </w:rPr>
      </w:pPr>
      <w:bookmarkStart w:id="1" w:name="_Hlk131501581"/>
      <w:r>
        <w:rPr>
          <w:rFonts w:ascii="Times New Roman" w:hAnsi="Times New Roman"/>
          <w:b/>
          <w:bCs/>
          <w:spacing w:val="-8"/>
          <w:sz w:val="28"/>
          <w:szCs w:val="28"/>
        </w:rPr>
        <w:t>EFFECT OF</w:t>
      </w:r>
      <w:r w:rsidRPr="00A7003A">
        <w:rPr>
          <w:rFonts w:ascii="Times New Roman" w:hAnsi="Times New Roman"/>
          <w:b/>
          <w:bCs/>
          <w:spacing w:val="-8"/>
          <w:sz w:val="28"/>
          <w:szCs w:val="28"/>
          <w:lang w:val="id-ID"/>
        </w:rPr>
        <w:t xml:space="preserve"> </w:t>
      </w:r>
      <w:bookmarkStart w:id="2" w:name="_Hlk131408774"/>
      <w:r w:rsidRPr="00A7003A">
        <w:rPr>
          <w:rFonts w:ascii="Times New Roman" w:hAnsi="Times New Roman"/>
          <w:b/>
          <w:bCs/>
          <w:spacing w:val="-8"/>
          <w:sz w:val="28"/>
          <w:szCs w:val="28"/>
          <w:lang w:val="id-ID"/>
        </w:rPr>
        <w:t xml:space="preserve">WORK-FAMILY CONFLICT, WORK OVERLOAD, </w:t>
      </w:r>
      <w:r>
        <w:rPr>
          <w:rFonts w:ascii="Times New Roman" w:hAnsi="Times New Roman"/>
          <w:b/>
          <w:bCs/>
          <w:spacing w:val="-8"/>
          <w:sz w:val="28"/>
          <w:szCs w:val="28"/>
        </w:rPr>
        <w:t>AND</w:t>
      </w:r>
      <w:r w:rsidRPr="00A7003A">
        <w:rPr>
          <w:rFonts w:ascii="Times New Roman" w:hAnsi="Times New Roman"/>
          <w:b/>
          <w:bCs/>
          <w:spacing w:val="-8"/>
          <w:sz w:val="28"/>
          <w:szCs w:val="28"/>
          <w:lang w:val="id-ID"/>
        </w:rPr>
        <w:t xml:space="preserve"> PERCEIVED ORGANISATIONAL SUPPORT </w:t>
      </w:r>
      <w:r>
        <w:rPr>
          <w:rFonts w:ascii="Times New Roman" w:hAnsi="Times New Roman"/>
          <w:b/>
          <w:bCs/>
          <w:spacing w:val="-8"/>
          <w:sz w:val="28"/>
          <w:szCs w:val="28"/>
        </w:rPr>
        <w:t>TOWARDS</w:t>
      </w:r>
      <w:r w:rsidRPr="00A7003A">
        <w:rPr>
          <w:rFonts w:ascii="Times New Roman" w:hAnsi="Times New Roman"/>
          <w:b/>
          <w:bCs/>
          <w:spacing w:val="-8"/>
          <w:sz w:val="28"/>
          <w:szCs w:val="28"/>
          <w:lang w:val="id-ID"/>
        </w:rPr>
        <w:t xml:space="preserve"> </w:t>
      </w:r>
      <w:r>
        <w:rPr>
          <w:rFonts w:ascii="Times New Roman" w:hAnsi="Times New Roman"/>
          <w:b/>
          <w:bCs/>
          <w:spacing w:val="-8"/>
          <w:sz w:val="28"/>
          <w:szCs w:val="28"/>
        </w:rPr>
        <w:t xml:space="preserve">WORK STRESS </w:t>
      </w:r>
      <w:bookmarkEnd w:id="2"/>
      <w:r>
        <w:rPr>
          <w:rFonts w:ascii="Times New Roman" w:hAnsi="Times New Roman"/>
          <w:b/>
          <w:bCs/>
          <w:spacing w:val="-8"/>
          <w:sz w:val="28"/>
          <w:szCs w:val="28"/>
        </w:rPr>
        <w:t>AND ITS IMPACT ON</w:t>
      </w:r>
      <w:r w:rsidRPr="00A7003A">
        <w:rPr>
          <w:rFonts w:ascii="Times New Roman" w:hAnsi="Times New Roman"/>
          <w:b/>
          <w:bCs/>
          <w:spacing w:val="-8"/>
          <w:sz w:val="28"/>
          <w:szCs w:val="28"/>
          <w:lang w:val="id-ID"/>
        </w:rPr>
        <w:t xml:space="preserve"> TURNOVER INTENTIONS </w:t>
      </w:r>
      <w:bookmarkEnd w:id="1"/>
      <w:r>
        <w:rPr>
          <w:rFonts w:ascii="Times New Roman" w:hAnsi="Times New Roman"/>
          <w:b/>
          <w:bCs/>
          <w:spacing w:val="-8"/>
          <w:sz w:val="28"/>
          <w:szCs w:val="28"/>
        </w:rPr>
        <w:t>IN PRIVATE BANK EMPLOYEES</w:t>
      </w:r>
    </w:p>
    <w:p w14:paraId="070F5617" w14:textId="77777777" w:rsidR="00F205C7" w:rsidRDefault="00F205C7" w:rsidP="00B01D75">
      <w:pPr>
        <w:spacing w:after="0" w:line="240" w:lineRule="auto"/>
        <w:rPr>
          <w:rFonts w:ascii="Times New Roman" w:hAnsi="Times New Roman"/>
          <w:b/>
          <w:bCs/>
          <w:spacing w:val="-8"/>
          <w:sz w:val="28"/>
          <w:szCs w:val="28"/>
        </w:rPr>
      </w:pPr>
    </w:p>
    <w:p w14:paraId="43CCA8B4" w14:textId="77777777" w:rsidR="00F205C7" w:rsidRPr="00F205C7" w:rsidRDefault="00F205C7" w:rsidP="00F205C7">
      <w:pPr>
        <w:pStyle w:val="DaftarParagraf"/>
        <w:spacing w:after="0" w:line="240" w:lineRule="auto"/>
        <w:ind w:left="1080"/>
        <w:jc w:val="center"/>
        <w:rPr>
          <w:rFonts w:ascii="Times New Roman" w:eastAsia="Times New Roman" w:hAnsi="Times New Roman" w:cs="Times New Roman"/>
          <w:i w:val="0"/>
          <w:color w:val="FF0000"/>
          <w:sz w:val="24"/>
          <w:szCs w:val="24"/>
        </w:rPr>
      </w:pPr>
    </w:p>
    <w:p w14:paraId="7A70D263" w14:textId="77777777" w:rsidR="00F205C7" w:rsidRPr="00F205C7" w:rsidRDefault="00F205C7" w:rsidP="00F205C7">
      <w:pPr>
        <w:pStyle w:val="DaftarParagraf"/>
        <w:spacing w:after="0" w:line="240" w:lineRule="auto"/>
        <w:ind w:left="1080"/>
        <w:rPr>
          <w:b/>
          <w:i w:val="0"/>
          <w:iCs/>
          <w:lang w:val="id-ID"/>
        </w:rPr>
      </w:pP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3A82D5C4"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ABSTRACT</w:t>
      </w:r>
    </w:p>
    <w:p w14:paraId="5F628326" w14:textId="77777777" w:rsidR="00105BDF" w:rsidRDefault="00584B54" w:rsidP="009F024F">
      <w:pPr>
        <w:spacing w:after="0" w:line="240" w:lineRule="auto"/>
      </w:pPr>
      <w:r>
        <w:rPr>
          <w:rFonts w:ascii="Times New Roman" w:eastAsia="Times New Roman" w:hAnsi="Times New Roman" w:cs="Times New Roman"/>
          <w:b/>
        </w:rPr>
        <w:t>Objectives</w:t>
      </w:r>
      <w:r w:rsidR="001E01C9" w:rsidRPr="00105BDF">
        <w:rPr>
          <w:rFonts w:ascii="Times New Roman" w:eastAsia="Times New Roman" w:hAnsi="Times New Roman" w:cs="Times New Roman"/>
        </w:rPr>
        <w:t xml:space="preserve">: </w:t>
      </w:r>
      <w:r w:rsidR="00105BDF" w:rsidRPr="00105BDF">
        <w:rPr>
          <w:rFonts w:ascii="Times New Roman" w:hAnsi="Times New Roman" w:cs="Times New Roman"/>
        </w:rPr>
        <w:t>The objective of this research is to determine how work-family conflict, work overload, and perceived organizational support affect work stress and subsequently influence turnover intentions in private bank employees</w:t>
      </w:r>
    </w:p>
    <w:p w14:paraId="76C181FB" w14:textId="594659BF" w:rsidR="00A007C9" w:rsidRPr="00105BDF" w:rsidRDefault="00584B54" w:rsidP="009F024F">
      <w:pPr>
        <w:spacing w:after="0" w:line="240" w:lineRule="auto"/>
        <w:rPr>
          <w:rFonts w:ascii="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105BDF" w:rsidRPr="00105BDF">
        <w:rPr>
          <w:rFonts w:ascii="Times New Roman" w:hAnsi="Times New Roman" w:cs="Times New Roman"/>
        </w:rPr>
        <w:t>The study employs a quantitative approach to test known hypotheses and involves collecting data via questionnaires from 120 participants in Sorong, West Papua, Indonesia. The data is analyzed using a structural equation model (SEM) with the aid of smart PLS</w:t>
      </w:r>
    </w:p>
    <w:p w14:paraId="78A47FC7" w14:textId="7AEDE813" w:rsidR="00A007C9" w:rsidRPr="009F024F" w:rsidRDefault="00584B54" w:rsidP="009F024F">
      <w:pPr>
        <w:spacing w:after="0" w:line="240" w:lineRule="auto"/>
      </w:pPr>
      <w:r>
        <w:rPr>
          <w:rFonts w:ascii="Times New Roman" w:eastAsia="Times New Roman" w:hAnsi="Times New Roman" w:cs="Times New Roman"/>
          <w:b/>
        </w:rPr>
        <w:t>Finding</w:t>
      </w:r>
      <w:r>
        <w:rPr>
          <w:rFonts w:ascii="Times New Roman" w:eastAsia="Times New Roman" w:hAnsi="Times New Roman" w:cs="Times New Roman"/>
        </w:rPr>
        <w:t xml:space="preserve">: </w:t>
      </w:r>
      <w:r w:rsidR="00105BDF" w:rsidRPr="00105BDF">
        <w:rPr>
          <w:rFonts w:ascii="Times New Roman" w:hAnsi="Times New Roman" w:cs="Times New Roman"/>
        </w:rPr>
        <w:t>The results indicate that work-family conflict and work overload have significant positive effects on work stress and turnover intentions. Additionally, perceived organizational support has a significant positive impact on both work stress and turnover intentions. The study further finds that work stress mediates the relationship between work-family conflict, work overload, perceived organizational support, and turnover intentions. Therefore, it is crucial for organizations to address work-family conflict, work overload, and provide perceived organizational support to reduce work stress and turnover intentions among their employees</w:t>
      </w:r>
    </w:p>
    <w:p w14:paraId="23677B56" w14:textId="77777777" w:rsidR="009F024F" w:rsidRDefault="00584B54" w:rsidP="009F024F">
      <w:pPr>
        <w:spacing w:after="0" w:line="240" w:lineRule="auto"/>
      </w:pPr>
      <w:r>
        <w:rPr>
          <w:rFonts w:ascii="Times New Roman" w:eastAsia="Times New Roman" w:hAnsi="Times New Roman" w:cs="Times New Roman"/>
          <w:b/>
        </w:rPr>
        <w:t>Conclusion</w:t>
      </w:r>
      <w:r>
        <w:rPr>
          <w:rFonts w:ascii="Times New Roman" w:eastAsia="Times New Roman" w:hAnsi="Times New Roman" w:cs="Times New Roman"/>
        </w:rPr>
        <w:t xml:space="preserve">: </w:t>
      </w:r>
      <w:r w:rsidR="009F024F" w:rsidRPr="009F024F">
        <w:rPr>
          <w:rFonts w:ascii="Times New Roman" w:hAnsi="Times New Roman" w:cs="Times New Roman"/>
        </w:rPr>
        <w:t>The implications according to this research results are managers should implement measures to minimize work-family conflicts and workload to enhance employee well-being and reduce their intentions to leave the organization and need to ensure that employees perceive support from the organization in different aspects such as compensation, promotion, and recognition</w:t>
      </w:r>
    </w:p>
    <w:p w14:paraId="59C6F066" w14:textId="53F35381" w:rsidR="00A007C9" w:rsidRDefault="00A007C9">
      <w:pPr>
        <w:spacing w:after="120" w:line="240" w:lineRule="auto"/>
        <w:jc w:val="both"/>
        <w:rPr>
          <w:rFonts w:ascii="Times New Roman" w:eastAsia="Times New Roman" w:hAnsi="Times New Roman" w:cs="Times New Roman"/>
        </w:rPr>
      </w:pPr>
    </w:p>
    <w:p w14:paraId="2998888F" w14:textId="77777777" w:rsidR="009F024F" w:rsidRPr="009F024F" w:rsidRDefault="00584B54" w:rsidP="009F024F">
      <w:pPr>
        <w:spacing w:line="235" w:lineRule="auto"/>
        <w:ind w:right="566"/>
        <w:jc w:val="both"/>
        <w:rPr>
          <w:rFonts w:ascii="Times New Roman" w:hAnsi="Times New Roman" w:cs="Times New Roman"/>
          <w:spacing w:val="-8"/>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9F024F" w:rsidRPr="009F024F">
        <w:rPr>
          <w:rFonts w:ascii="Times New Roman" w:hAnsi="Times New Roman" w:cs="Times New Roman"/>
          <w:spacing w:val="-8"/>
          <w:lang w:val="en-ID"/>
        </w:rPr>
        <w:t>perceived organisational support, turnover intentions, work-family conflict, work overload, work stress</w:t>
      </w:r>
    </w:p>
    <w:p w14:paraId="1059CFE6" w14:textId="77777777" w:rsidR="00A007C9"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52ED0119" w14:textId="77777777" w:rsidR="00A007C9" w:rsidRDefault="00A007C9">
      <w:pPr>
        <w:spacing w:after="120" w:line="240" w:lineRule="auto"/>
        <w:jc w:val="both"/>
        <w:rPr>
          <w:rFonts w:ascii="Times New Roman" w:eastAsia="Times New Roman" w:hAnsi="Times New Roman" w:cs="Times New Roman"/>
          <w:b/>
          <w:i w:val="0"/>
          <w:sz w:val="24"/>
          <w:szCs w:val="24"/>
        </w:rPr>
      </w:pPr>
    </w:p>
    <w:p w14:paraId="05B60F7D" w14:textId="25333471" w:rsidR="009F024F" w:rsidRDefault="00584B54">
      <w:pPr>
        <w:spacing w:after="12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INTRODUCTION </w:t>
      </w:r>
    </w:p>
    <w:p w14:paraId="351E1401"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Humans precisely can choose several jobs as their profession for living necessities. One type of job that is in great demand is a job as a bank employee. Many people have the notion that working at a bank will provide good financial and non-financial contributions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{"citationItems":[{"id":"ITEM-1","itemData":{"author":[{"dropping-particle":"","family":"Balasubramanian","given":"S. A.","non-dropping-particle":"","parse-names":false,"suffix":""},{"dropping-particle":"","family":"GS","given":"R.","non-dropping-particle":"","parse-names":false,"suffix":""},{"dropping-particle":"","family":"Natarajan","given":"T.","non-dropping-particle":"","parse-names":false,"suffix":""}],"container-title":"International Journal of Law and Management","id":"ITEM-1","issue":"3/4","issued":{"date-parts":[["2019"]]},"page":"457-484","title":"Modeling corporate financial distress using financial and non-financial variables: The case of Indian listed companies.","type":"article-journal","volume":"61"},"uris":["http://www.mendeley.com/documents/?uuid=4457e779-8d88-4ded-bc79-42ebfbad5c20","http://www.mendeley.com/documents/?uuid=7e956dd1-8817-4b12-adf0-201b90fae8ed"]}],"mendeley":{"formattedCitation":"(Balasubramanian et al., 2019)","plainTextFormattedCitation":"(Balasubramanian et al., 2019)","previouslyFormattedCitation":"(Balasubramanian et al.,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(Balasubramanian et al.,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This condition causes many people to try their luck working in banking service companies.</w:t>
      </w:r>
    </w:p>
    <w:p w14:paraId="5DF2471F"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lastRenderedPageBreak/>
        <w:t xml:space="preserve">At their workplace, employees anticipate that their personal needs will be met. When employed at a banking service firm, workers hold an optimistic outlook that all of their necessities, such as salary, benefits, job position, personal growth, positive relationships with co-workers and superiors, and more, will be satisfied. Nevertheless, there is a weighty responsibility attached to working at a bank, despite the competitive advantages (both monetary and non-monetary) that can be gained. The workload at a banking service company is classified as arduous, and only dependable and capable employees can thrive and persist in this field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Andreani","given":"F.","non-dropping-particle":"","parse-names":false,"suffix":""},{"dropping-particle":"","family":"Petrik","given":"A.","non-dropping-particle":"","parse-names":false,"suffix":""}],"container-title":"Jurnal Manajemen Dan Kewirausahaan","id":"ITEM-1","issue":"1","issued":{"date-parts":[["2016"]]},"page":"25-32","title":"Employee performance as the impact of transformational leadership and job satisfaction in PT Anugerah Baru Denpasar.","type":"article-journal","volume":"18"},"uris":["http://www.mendeley.com/documents/?uuid=1cdd75b0-c0e3-4352-82ef-999a39ebe72d","http://www.mendeley.com/documents/?uuid=3284f894-9d1a-4713-9ff5-16d53266f404"]}],"mendeley":{"formattedCitation":"(Andreani &amp; Petrik, 2016)","plainTextFormattedCitation":"(Andreani &amp; Petrik, 2016)","previouslyFormattedCitation":"(Andreani &amp; Petrik, 2016)"},"properties":{"noteIndex":0},"schema":"https://github.com/citation-style-language/schema/raw/master/csl-citation.json"}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(Andreani &amp; Petrik, 2016)</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w:t>
      </w:r>
    </w:p>
    <w:p w14:paraId="329F6B85"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Most researchers acknowledge that motivation varies among individuals and can impact their reaction to workloads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{"citationItems":[{"id":"ITEM-1","itemData":{"DOI":"10.9744/jmk.22.2.87-98","ISSN":"1411-1438","abstract":"The dominant factor to achieve a school's competitiveness is the performance of headmasters. This study aimed to determine the direct and indirect influence of organizational culture, work environment, personality, and motivation on the performance of principal of state senior high schools.  Research samples were 310 principals of state schools in Jakarta. Data analysis used a path analysis of which requirements were the test of normality, homogeneity, and linearity. The results of the research there were direct influence exogenous variables on endogenous, and there was indirect influence of personality through motivation on the job performance. Increased job performance could be done by coaching the headmaster about the culture, environment, and personality","author":[{"dropping-particle":"","family":"Virgana","given":"Virgana","non-dropping-particle":"","parse-names":false,"suffix":""}],"container-title":"Jurnal Manajemen dan Kewirausahaan","id":"ITEM-1","issued":{"date-parts":[["2021"]]},"title":"THE EFFECT OF JOB PERFORMANCE THROUGH ORGANIZATIONAL CULTURE, WORK ENVIRONMENT, PERSONALITY, AND MOTIVATION","type":"article-journal"},"uris":["http://www.mendeley.com/documents/?uuid=19d8cfe5-a665-46d2-84aa-4d950a35db75"]}],"mendeley":{"formattedCitation":"(Virgana, 2021)","plainTextFormattedCitation":"(Virgana, 2021)","previouslyFormattedCitation":"(Virgana, 2021)"},"properties":{"noteIndex":0},"schema":"https://github.com/citation-style-language/schema/raw/master/csl-citation.json"}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(Virgana, 2021)</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In the banking industry, employees are burdened with multiple responsibilities and workloads, resulting in stress </w:t>
      </w:r>
      <w:r w:rsidRPr="009F024F">
        <w:rPr>
          <w:rFonts w:ascii="Times New Roman" w:hAnsi="Times New Roman" w:cs="Times New Roman"/>
          <w:i w:val="0"/>
          <w:iCs/>
          <w:spacing w:val="-8"/>
          <w:sz w:val="24"/>
          <w:szCs w:val="24"/>
          <w:lang w:val="id-ID"/>
        </w:rPr>
        <w:fldChar w:fldCharType="begin" w:fldLock="1"/>
      </w:r>
      <w:r w:rsidRPr="009F024F">
        <w:rPr>
          <w:rFonts w:ascii="Times New Roman" w:hAnsi="Times New Roman" w:cs="Times New Roman"/>
          <w:i w:val="0"/>
          <w:iCs/>
          <w:spacing w:val="-8"/>
          <w:sz w:val="24"/>
          <w:szCs w:val="24"/>
          <w:lang w:val="id-ID"/>
        </w:rPr>
        <w:instrText>ADDIN CSL_CITATION {"citationItems":[{"id":"ITEM-1","itemData":{"DOI":"10.9744/jmk.23.1.76-83","ISSN":"1411-1438","abstract":"This study investigates the relationship between quality of work-life, perceived union effectiveness and job security with union commitment among bank employees in Malaysia. This study is motivated by the decline of union density worldwide in recent times. Indeed, the National Union of Bank Employees (NUBE) has experienced a huge decline of membership, which may weaken and challenge the union to perform efficiently. Hence, this study examined the influence of quality of work-life, perceived union effectiveness and job security on union commitment. Survey questionnaires were distributed using simple random sampling to all five branches of the NUBE in Malaysia. The primary data were collected from 350 respondents and analyzed using correlation and multiple regression analysis. The findings of the study indicated that quality of work-life and perceived union effectiveness have positive and significant influences on union commitment. On the other hand, job security showed no significant influence on union commitment. Thus, representatives or the leaders in NUBE should focus more on the job insecurity of member in banking sector and should encourage the younger generation to participate in the union activities. Membership declining dilemma can be resolved by giving priorities to important issue such as job security among banking employees. ","author":[{"dropping-particle":"Bin","family":"Abdul Majid","given":"Abdul Halim","non-dropping-particle":"","parse-names":false,"suffix":""},{"dropping-particle":"","family":"Thamotharan","given":"Nalini","non-dropping-particle":"","parse-names":false,"suffix":""},{"dropping-particle":"","family":"Jamaluddin","given":"Noor Asma","non-dropping-particle":"","parse-names":false,"suffix":""}],"container-title":"Jurnal Manajemen dan Kewirausahaan","id":"ITEM-1","issued":{"date-parts":[["2021"]]},"title":"INFLUENCE OF QUALITY OF WORK LIFE, PERCEIVED UNION EFFECTIVENESS AND JOB SECURITY ON UNION COMMITMENT AMONG BANK EMPLOYEES","type":"article-journal"},"uris":["http://www.mendeley.com/documents/?uuid=0d252622-7f7e-4eb4-8956-a014a05148fa"]}],"mendeley":{"formattedCitation":"(Abdul Majid et al., 2021)","plainTextFormattedCitation":"(Abdul Majid et al., 2021)","previouslyFormattedCitation":"(Abdul Majid et al., 2021)"},"properties":{"noteIndex":0},"schema":"https://github.com/citation-style-language/schema/raw/master/csl-citation.json"}</w:instrText>
      </w:r>
      <w:r w:rsidRPr="009F024F">
        <w:rPr>
          <w:rFonts w:ascii="Times New Roman" w:hAnsi="Times New Roman" w:cs="Times New Roman"/>
          <w:i w:val="0"/>
          <w:iCs/>
          <w:spacing w:val="-8"/>
          <w:sz w:val="24"/>
          <w:szCs w:val="24"/>
          <w:lang w:val="id-ID"/>
        </w:rPr>
        <w:fldChar w:fldCharType="separate"/>
      </w:r>
      <w:r w:rsidRPr="009F024F">
        <w:rPr>
          <w:rFonts w:ascii="Times New Roman" w:hAnsi="Times New Roman" w:cs="Times New Roman"/>
          <w:i w:val="0"/>
          <w:iCs/>
          <w:noProof/>
          <w:spacing w:val="-8"/>
          <w:sz w:val="24"/>
          <w:szCs w:val="24"/>
          <w:lang w:val="id-ID"/>
        </w:rPr>
        <w:t>(Abdul Majid et al., 2021)</w:t>
      </w:r>
      <w:r w:rsidRPr="009F024F">
        <w:rPr>
          <w:rFonts w:ascii="Times New Roman" w:hAnsi="Times New Roman" w:cs="Times New Roman"/>
          <w:i w:val="0"/>
          <w:iCs/>
          <w:spacing w:val="-8"/>
          <w:sz w:val="24"/>
          <w:szCs w:val="24"/>
          <w:lang w:val="id-ID"/>
        </w:rPr>
        <w:fldChar w:fldCharType="end"/>
      </w:r>
      <w:r w:rsidRPr="009F024F">
        <w:rPr>
          <w:rFonts w:ascii="Times New Roman" w:hAnsi="Times New Roman" w:cs="Times New Roman"/>
          <w:i w:val="0"/>
          <w:iCs/>
          <w:spacing w:val="-8"/>
          <w:sz w:val="24"/>
          <w:szCs w:val="24"/>
        </w:rPr>
        <w:t xml:space="preserve">, which can affect their job performance. The high workload in banking requires fast, precise, and accurate work, causing immense pressure on employees, potentially leading to increased work stress. If prolonged, work stress can hinder bank employees from fulfilling their job requirements. Thus, it is crucial to conduct research that explores factors that can mitigate work stress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{"citationItems":[{"id":"ITEM-1","itemData":{"author":[{"dropping-particle":"","family":"Daniel","given":"C. O.","non-dropping-particle":"","parse-names":false,"suffix":""}],"container-title":"International Journal of Business, Management and Social Research","id":"ITEM-1","issue":"2","issued":{"date-parts":[["2019"]]},"page":"375-382","title":"Effects of job stress on employee’s performance.","type":"article-journal","volume":"6"},"uris":["http://www.mendeley.com/documents/?uuid=0bf6f039-3fbc-42b4-9403-bc9dc23fd5dd","http://www.mendeley.com/documents/?uuid=c6c55a6d-6525-48cd-a0eb-21327d23af5b"]}],"mendeley":{"formattedCitation":"(Daniel, 2019)","plainTextFormattedCitation":"(Daniel, 2019)","previouslyFormattedCitation":"(Daniel,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(Daniel,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w:t>
      </w:r>
    </w:p>
    <w:p w14:paraId="28EC9F71"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Various studies have focused on identifying the factors that contribute to work-related stress. According to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{"citationItems":[{"id":"ITEM-1","itemData":{"author":[{"dropping-particle":"","family":"Lambert","given":"E. G.","non-dropping-particle":"","parse-names":false,"suffix":""},{"dropping-particle":"","family":"Qureshi","given":"H.","non-dropping-particle":"","parse-names":false,"suffix":""},{"dropping-particle":"","family":"Frank","given":"J.","non-dropping-particle":"","parse-names":false,"suffix":""},{"dropping-particle":"","family":"Keena","given":"L. D.","non-dropping-particle":"","parse-names":false,"suffix":""},{"dropping-particle":"","family":"Hogan","given":"N. L.","non-dropping-particle":"","parse-names":false,"suffix":""}],"container-title":"Police Practice and Research","id":"ITEM-1","issue":"1","issued":{"date-parts":[["2017"]]},"page":"37-48","title":"The relationship of work-family conflict with job stress among Indian police officers: A research note.","type":"article-journal","volume":"18"},"uris":["http://www.mendeley.com/documents/?uuid=39c47c0f-a556-4b6b-9031-c80388b15516","http://www.mendeley.com/documents/?uuid=a3a4835c-c22d-4ac3-90dc-201e68cefead"]}],"mendeley":{"formattedCitation":"(Lambert et al., 2017)","manualFormatting":"Lambert et al., (2017)","plainTextFormattedCitation":"(Lambert et al., 2017)","previouslyFormattedCitation":"(Lambert et al., 2017)"},"properties":{"noteIndex":0},"schema":"https://github.com/citation-style-language/schema/raw/master/csl-citation.json"}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Lambert et al. (2017)</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work-family conflict is one of the factors that can cause work stress, especially among police officers in India. The study found that higher levels of work-family conflict are associated with greater work stress. Work-family conflict arises when there is an imbalance between work and family responsibilities, as noted by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{"citationItems":[{"id":"ITEM-1","itemData":{"author":[{"dropping-particle":"","family":"Kusumanegara","given":"I. S.","non-dropping-particle":"","parse-names":false,"suffix":""},{"dropping-particle":"","family":"Asmony","given":"T.","non-dropping-particle":"","parse-names":false,"suffix":""},{"dropping-particle":"","family":"Numayanti","given":"S.","non-dropping-particle":"","parse-names":false,"suffix":""}],"container-title":"International journal of social sciences and humanities","id":"ITEM-1","issue":"2","issued":{"date-parts":[["2018"]]},"page":"141-154","title":"Work-family conflict on turnover intention regarding work stress as intervening variable.","type":"article-journal","volume":"2"},"uris":["http://www.mendeley.com/documents/?uuid=d6070fc5-e6b4-46ce-951e-f9b74ef625f0","http://www.mendeley.com/documents/?uuid=28421119-7490-4752-8bf8-4dd6d1a662e2"]}],"mendeley":{"formattedCitation":"(Kusumanegara et al., 2018)","plainTextFormattedCitation":"(Kusumanegara et al., 2018)","previouslyFormattedCitation":"(Kusumanegara et al., 2018)"},"properties":{"noteIndex":0},"schema":"https://github.com/citation-style-language/schema/raw/master/csl-citation.json"}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Kusumanegara et al. (2018)</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Inadequate time and energy for family activities due to long working hours and heavy workloads are clear indicators of potential work-family conflict. Bank employees, for example, may experience work-family conflict as they struggle to balance work and household responsibilities. Consequently, this can lead to family conflicts that cause stress due to the heavy workload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{"citationItems":[{"id":"ITEM-1","itemData":{"author":[{"dropping-particle":"","family":"Damayanti","given":"D.","non-dropping-particle":"","parse-names":false,"suffix":""}],"id":"ITEM-1","issued":{"date-parts":[["2019"]]},"publisher":"Universitas Muhammadiyah Magelang","title":"Pengaruh Konflik Pekerjaan Keluarga Dan Konflik Keluarga Pekerjaan Terhadap Niat Keluar Dengan Komitmen Afektif Sebagai Variabel Moderasi","type":"thesis"},"uris":["http://www.mendeley.com/documents/?uuid=c48c691b-1084-47c0-b30e-68c651864a1e","http://www.mendeley.com/documents/?uuid=5c21706d-2b57-4231-9c1a-e550f4ad6bb2"]}],"mendeley":{"formattedCitation":"(Damayanti, 2019)","plainTextFormattedCitation":"(Damayanti, 2019)","previouslyFormattedCitation":"(Damayanti,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(Damayanti,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w:t>
      </w:r>
    </w:p>
    <w:p w14:paraId="18AD6887"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In addition,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{"citationItems":[{"id":"ITEM-1","itemData":{"author":[{"dropping-particle":"","family":"Mittal","given":"M.","non-dropping-particle":"","parse-names":false,"suffix":""},{"dropping-particle":"","family":"Bhakar","given":"S. S.","non-dropping-particle":"","parse-names":false,"suffix":""}],"container-title":"International Journal of Management Studies","id":"ITEM-1","issue":"7","issued":{"date-parts":[["2018"]]},"page":"01","title":"Examining the impact of role overload on job stress, job satisfaction and job performance-a study among married working women in banking sector.","type":"article-journal","volume":"2"},"uris":["http://www.mendeley.com/documents/?uuid=0a97a522-c7af-401f-94fa-e8907b45638f","http://www.mendeley.com/documents/?uuid=a988c9d3-030b-41d6-90c0-179e4b2fb064"]}],"mendeley":{"formattedCitation":"(Mittal &amp; Bhakar, 2018)","manualFormatting":"Mittal &amp; Bhakar, (2018)","plainTextFormattedCitation":"(Mittal &amp; Bhakar, 2018)","previouslyFormattedCitation":"(Mittal &amp; Bhakar, 2018)"},"properties":{"noteIndex":0},"schema":"https://github.com/citation-style-language/schema/raw/master/csl-citation.json"}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Mittal &amp; Bhakar (2018)</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research reveals that work overload impacts significantly and positively work stress experienced by female employees in Indian banks. Work overload occurs when employees work excessively long hours, under heavy pressure, and without sufficient time off. In the industrial world, work overload is prevalent when a job demands fast work pace, high output, and intense concentration from employees. Excessive workload can lead to employee fatigue due to imbalances or discrepancies between task demands and the time available to complete them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Astvik","given":"W.","non-dropping-particle":"","parse-names":false,"suffix":""},{"dropping-particle":"","family":"Melin","given":"M.","non-dropping-particle":"","parse-names":false,"suffix":""}],"container-title":"Journal of Social work","id":"ITEM-1","issue":"4","issued":{"date-parts":[["2013"]]},"page":"337-360","title":"Coping with the imbalance between job demands and resources: A study of different coping patterns and implications for health and quality in human service work.","type":"article-journal","volume":"13"},"uris":["http://www.mendeley.com/documents/?uuid=07816e8d-041b-4714-8b84-37628e01087f","http://www.mendeley.com/documents/?uuid=ca55ce9d-730c-408c-a361-060e953cedf5"]}],"mendeley":{"formattedCitation":"(Astvik &amp; Melin, 2013)","plainTextFormattedCitation":"(Astvik &amp; Melin, 2013)","previouslyFormattedCitation":"(Astvik &amp; Melin, 2013)"},"properties":{"noteIndex":0},"schema":"https://github.com/citation-style-language/schema/raw/master/csl-citation.json"}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(Astvik &amp; Melin, 2013)</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w:t>
      </w:r>
    </w:p>
    <w:p w14:paraId="4F8FB88B"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Furthermore,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{"citationItems":[{"id":"ITEM-1","itemData":{"author":[{"dropping-particle":"","family":"Saadeh","given":"I. M.","non-dropping-particle":"","parse-names":false,"suffix":""},{"dropping-particle":"","family":"Suifan","given":"T. S.","non-dropping-particle":"","parse-names":false,"suffix":""}],"container-title":"International Journal of Organizational Analysis","id":"ITEM-1","issue":"1","issued":{"date-parts":[["2019"]]},"page":"226-242","title":"Job stress and organizational commitment in hospitals: The mediating role of perceived organizational support.","type":"article-journal","volume":"28"},"uris":["http://www.mendeley.com/documents/?uuid=e8e2fc67-242a-4c11-947d-01e58c2bd6a9","http://www.mendeley.com/documents/?uuid=5ce5cedb-99ec-4760-b002-f0dd9de398e7"]}],"mendeley":{"formattedCitation":"(Saadeh &amp; Suifan, 2019)","manualFormatting":"Saadeh &amp; Suifan, (2019)","plainTextFormattedCitation":"(Saadeh &amp; Suifan, 2019)","previouslyFormattedCitation":"(Saadeh &amp; Suifan,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Saadeh &amp; Suifan,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research suggests that perceived organizational support (POS) can alleviate work stress among hospital employees in Amman, Jordan. POS refers to the employees' experience of policies, norms, procedures, and organizational actions that impact them positively or negatively. The extent to which employees perceive that an organization values and supports them is influenced by a variety of factors that contribute to Perceived Organizational Support (POS). Thus, an increase in POS can reduce work stress among bank employees.</w:t>
      </w:r>
    </w:p>
    <w:p w14:paraId="57A77A7F" w14:textId="77777777"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9F024F">
        <w:rPr>
          <w:rFonts w:ascii="Times New Roman" w:hAnsi="Times New Roman" w:cs="Times New Roman"/>
          <w:i w:val="0"/>
          <w:iCs/>
          <w:spacing w:val="-8"/>
          <w:sz w:val="24"/>
          <w:szCs w:val="24"/>
        </w:rPr>
        <w:t xml:space="preserve">The studies conducted by oleh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{"citationItems":[{"id":"ITEM-1","itemData":{"author":[{"dropping-particle":"","family":"Lambert","given":"E. G.","non-dropping-particle":"","parse-names":false,"suffix":""},{"dropping-particle":"","family":"Qureshi","given":"H.","non-dropping-particle":"","parse-names":false,"suffix":""},{"dropping-particle":"","family":"Frank","given":"J.","non-dropping-particle":"","parse-names":false,"suffix":""},{"dropping-particle":"","family":"Keena","given":"L. D.","non-dropping-particle":"","parse-names":false,"suffix":""},{"dropping-particle":"","family":"Hogan","given":"N. L.","non-dropping-particle":"","parse-names":false,"suffix":""}],"container-title":"Police Practice and Research","id":"ITEM-1","issue":"1","issued":{"date-parts":[["2017"]]},"page":"37-48","title":"The relationship of work-family conflict with job stress among Indian police officers: A research note.","type":"article-journal","volume":"18"},"uris":["http://www.mendeley.com/documents/?uuid=a3a4835c-c22d-4ac3-90dc-201e68cefead","http://www.mendeley.com/documents/?uuid=39c47c0f-a556-4b6b-9031-c80388b15516"]}],"mendeley":{"formattedCitation":"(Lambert et al., 2017)","manualFormatting":"Lambert et al., (2017)","plainTextFormattedCitation":"(Lambert et al., 2017)","previouslyFormattedCitation":"(Lambert et al., 2017)"},"properties":{"noteIndex":0},"schema":"https://github.com/citation-style-language/schema/raw/master/csl-citation.json"}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Lambert et al., (2017)</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{"citationItems":[{"id":"ITEM-1","itemData":{"author":[{"dropping-particle":"","family":"Mittal","given":"M.","non-dropping-particle":"","parse-names":false,"suffix":""},{"dropping-particle":"","family":"Bhakar","given":"S. S.","non-dropping-particle":"","parse-names":false,"suffix":""}],"container-title":"International Journal of Management Studies","id":"ITEM-1","issue":"7","issued":{"date-parts":[["2018"]]},"page":"01","title":"Examining the impact of role overload on job stress, job satisfaction and job performance-a study among married working women in banking sector.","type":"article-journal","volume":"2"},"uris":["http://www.mendeley.com/documents/?uuid=a988c9d3-030b-41d6-90c0-179e4b2fb064","http://www.mendeley.com/documents/?uuid=0a97a522-c7af-401f-94fa-e8907b45638f"]}],"mendeley":{"formattedCitation":"(Mittal &amp; Bhakar, 2018)","manualFormatting":"Mittal &amp; Bhakar, (2018)","plainTextFormattedCitation":"(Mittal &amp; Bhakar, 2018)","previouslyFormattedCitation":"(Mittal &amp; Bhakar, 2018)"},"properties":{"noteIndex":0},"schema":"https://github.com/citation-style-language/schema/raw/master/csl-citation.json"}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Mittal &amp; Bhakar, (2018)</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and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{"citationItems":[{"id":"ITEM-1","itemData":{"author":[{"dropping-particle":"","family":"Saadeh","given":"I. M.","non-dropping-particle":"","parse-names":false,"suffix":""},{"dropping-particle":"","family":"Suifan","given":"T. S.","non-dropping-particle":"","parse-names":false,"suffix":""}],"container-title":"International Journal of Organizational Analysis","id":"ITEM-1","issue":"1","issued":{"date-parts":[["2019"]]},"page":"226-242","title":"Job stress and organizational commitment in hospitals: The mediating role of perceived organizational support.","type":"article-journal","volume":"28"},"uris":["http://www.mendeley.com/documents/?uuid=5ce5cedb-99ec-4760-b002-f0dd9de398e7","http://www.mendeley.com/documents/?uuid=e8e2fc67-242a-4c11-947d-01e58c2bd6a9"]}],"mendeley":{"formattedCitation":"(Saadeh &amp; Suifan, 2019)","manualFormatting":"Saadeh &amp; Suifan, (2019)","plainTextFormattedCitation":"(Saadeh &amp; Suifan, 2019)","previouslyFormattedCitation":"(Saadeh &amp; Suifan,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noProof/>
          <w:spacing w:val="-8"/>
          <w:sz w:val="24"/>
          <w:szCs w:val="24"/>
        </w:rPr>
        <w:t>Saadeh &amp; Suifan,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 xml:space="preserve">  examine only a limited number of variables that affect work stress. This research aims to add a mediating variable, turnover intention, to determine if work-family conflict, work overload, and perceived organizational support affect work stress more effectively when passing through the turnover intention. The study will focus on private bank employees in Sorong, West Papua, whereas previous research involves police in India, female employees at Indian banks, and hospital employees in Amman, </w:t>
      </w:r>
      <w:r w:rsidRPr="009F024F">
        <w:rPr>
          <w:rFonts w:ascii="Times New Roman" w:hAnsi="Times New Roman" w:cs="Times New Roman"/>
          <w:i w:val="0"/>
          <w:iCs/>
          <w:spacing w:val="-8"/>
          <w:sz w:val="24"/>
          <w:szCs w:val="24"/>
        </w:rPr>
        <w:lastRenderedPageBreak/>
        <w:t xml:space="preserve">Jordan. The aim of this study is to investigate the relationship between work-family conflict, work overload, perceived organizational support, work stress, and turnover intentions </w:t>
      </w:r>
      <w:r w:rsidRPr="009F024F">
        <w:rPr>
          <w:rFonts w:ascii="Times New Roman" w:hAnsi="Times New Roman" w:cs="Times New Roman"/>
          <w:i w:val="0"/>
          <w:iCs/>
          <w:spacing w:val="-8"/>
          <w:sz w:val="24"/>
          <w:szCs w:val="24"/>
        </w:rPr>
        <w:fldChar w:fldCharType="begin" w:fldLock="1"/>
      </w:r>
      <w:r w:rsidRPr="009F024F">
        <w:rPr>
          <w:rFonts w:ascii="Times New Roman" w:hAnsi="Times New Roman" w:cs="Times New Roman"/>
          <w:i w:val="0"/>
          <w:iCs/>
          <w:spacing w:val="-8"/>
          <w:sz w:val="24"/>
          <w:szCs w:val="24"/>
        </w:rPr>
        <w:instrText>ADDIN CSL_CITATION {"citationItems":[{"id":"ITEM-1","itemData":{"author":[{"dropping-particle":"","family":"Rahman","given":"A.","non-dropping-particle":"","parse-names":false,"suffix":""},{"dropping-particle":"","family":"Syahrizal","given":"S.","non-dropping-particle":"","parse-names":false,"suffix":""}],"id":"ITEM-1","issued":{"date-parts":[["2019"]]},"page":"187-193","title":"Effect of compensation and career development on turnover intention: Job satisfaction as a mediation variable. In 2nd Padang International Conference on Education, Economics, Business and Accounting (PICEEBA-2 2018)","type":"article-journal"},"uris":["http://www.mendeley.com/documents/?uuid=4d79f3c0-356e-4670-9476-8648ed7a593a","http://www.mendeley.com/documents/?uuid=2369199f-9bbf-4a03-a2ac-c87a8abc7c47"]}],"mendeley":{"formattedCitation":"(Rahman &amp; Syahrizal, 2019)","plainTextFormattedCitation":"(Rahman &amp; Syahrizal, 2019)","previouslyFormattedCitation":"(Rahman &amp; Syahrizal, 2019)"},"properties":{"noteIndex":0},"schema":"https://github.com/citation-style-language/schema/raw/master/csl-citation.json"}</w:instrText>
      </w:r>
      <w:r w:rsidRPr="009F024F">
        <w:rPr>
          <w:rFonts w:ascii="Times New Roman" w:hAnsi="Times New Roman" w:cs="Times New Roman"/>
          <w:i w:val="0"/>
          <w:iCs/>
          <w:spacing w:val="-8"/>
          <w:sz w:val="24"/>
          <w:szCs w:val="24"/>
        </w:rPr>
        <w:fldChar w:fldCharType="separate"/>
      </w:r>
      <w:r w:rsidRPr="009F024F">
        <w:rPr>
          <w:rFonts w:ascii="Times New Roman" w:hAnsi="Times New Roman" w:cs="Times New Roman"/>
          <w:i w:val="0"/>
          <w:iCs/>
          <w:spacing w:val="-8"/>
          <w:sz w:val="24"/>
          <w:szCs w:val="24"/>
        </w:rPr>
        <w:t>(Rahman &amp; Syahrizal, 2019)</w:t>
      </w:r>
      <w:r w:rsidRPr="009F024F">
        <w:rPr>
          <w:rFonts w:ascii="Times New Roman" w:hAnsi="Times New Roman" w:cs="Times New Roman"/>
          <w:i w:val="0"/>
          <w:iCs/>
          <w:spacing w:val="-8"/>
          <w:sz w:val="24"/>
          <w:szCs w:val="24"/>
        </w:rPr>
        <w:fldChar w:fldCharType="end"/>
      </w:r>
      <w:r w:rsidRPr="009F024F">
        <w:rPr>
          <w:rFonts w:ascii="Times New Roman" w:hAnsi="Times New Roman" w:cs="Times New Roman"/>
          <w:i w:val="0"/>
          <w:iCs/>
          <w:spacing w:val="-8"/>
          <w:sz w:val="24"/>
          <w:szCs w:val="24"/>
        </w:rPr>
        <w:t>.</w:t>
      </w:r>
    </w:p>
    <w:p w14:paraId="376B2232" w14:textId="122132F5" w:rsidR="009F024F" w:rsidRPr="009F024F" w:rsidRDefault="009F024F" w:rsidP="009F02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i w:val="0"/>
          <w:iCs/>
          <w:spacing w:val="-8"/>
          <w:sz w:val="22"/>
          <w:szCs w:val="22"/>
        </w:rPr>
      </w:pPr>
      <w:r w:rsidRPr="009F024F">
        <w:rPr>
          <w:rFonts w:ascii="Times New Roman" w:hAnsi="Times New Roman" w:cs="Times New Roman"/>
          <w:i w:val="0"/>
          <w:iCs/>
          <w:spacing w:val="-8"/>
          <w:sz w:val="24"/>
          <w:szCs w:val="24"/>
        </w:rPr>
        <w:t xml:space="preserve">Turnover intention refers to the intention or desire of an employee to leave their current job and search for better opportunities elsewhere. It is a significant problem that companies face, as higher turnover intention is indicative of low employee welfare. Companies are therefore motivated to improve facilities and services to reduce the impact of turnover intention, as this can decrease work stress and improve service quality to consumers </w:t>
      </w:r>
      <w:r w:rsidRPr="009F024F">
        <w:rPr>
          <w:rFonts w:ascii="Times New Roman" w:hAnsi="Times New Roman" w:cs="Times New Roman"/>
          <w:i w:val="0"/>
          <w:iCs/>
          <w:spacing w:val="-8"/>
          <w:sz w:val="24"/>
          <w:szCs w:val="24"/>
          <w:lang w:val="id-ID"/>
        </w:rPr>
        <w:fldChar w:fldCharType="begin" w:fldLock="1"/>
      </w:r>
      <w:r w:rsidRPr="009F024F">
        <w:rPr>
          <w:rFonts w:ascii="Times New Roman" w:hAnsi="Times New Roman" w:cs="Times New Roman"/>
          <w:i w:val="0"/>
          <w:iCs/>
          <w:spacing w:val="-8"/>
          <w:sz w:val="24"/>
          <w:szCs w:val="24"/>
          <w:lang w:val="id-ID"/>
        </w:rPr>
        <w:instrText>ADDIN CSL_CITATION {"citationItems":[{"id":"ITEM-1","itemData":{"DOI":"10.9744/jmk.21.2.95-103","ISSN":"1411-1438","abstract":"The purpose of the research is to examine the impact of Total Quality Management (TQM)  implementation on  Service Quality, the effect of Service Quality on Customer Engagement and Customer Loyalty in banking industry. The other objective of the research also to examine the effect of Customer Engagement on Customer Loyalty. This research was conducted in East Java Province which involved 209 State Owned Enterprises (SOE) bank customer’s as respondents. All variables are measured by Likert scale from bank customer perspectives. By Partial Least Square SEM analysis, the research found that TQM practices has positive  effect on Service Quality, Service Quality has positive effect on Customer Engagement and Customer Loyalty and Customer engagement has positive effect on Customer Loyalty. The implication of this research is that SOE banks should implement TQM well so that it has a positive impact on service quality.","author":[{"dropping-particle":"","family":"Harimurti","given":"Rosa","non-dropping-particle":"","parse-names":false,"suffix":""},{"dropping-particle":"","family":"Suryani","given":"Tatik","non-dropping-particle":"","parse-names":false,"suffix":""}],"container-title":"Jurnal Manajemen dan Kewirausahaan","id":"ITEM-1","issued":{"date-parts":[["2019"]]},"title":"THE IMPACT OF TOTAL QUALITY MANAGEMENT ON SERVICE QUALITY, CUSTOMER ENGAGEMENT, AND CUSTOMER LOYALTY IN BANKING","type":"article-journal"},"uris":["http://www.mendeley.com/documents/?uuid=d47d133d-6e72-4746-a9e4-49b75ba9bb3f"]}],"mendeley":{"formattedCitation":"(Harimurti &amp; Suryani, 2019)","plainTextFormattedCitation":"(Harimurti &amp; Suryani, 2019)","previouslyFormattedCitation":"(Harimurti &amp; Suryani, 2019)"},"properties":{"noteIndex":0},"schema":"https://github.com/citation-style-language/schema/raw/master/csl-citation.json"}</w:instrText>
      </w:r>
      <w:r w:rsidRPr="009F024F">
        <w:rPr>
          <w:rFonts w:ascii="Times New Roman" w:hAnsi="Times New Roman" w:cs="Times New Roman"/>
          <w:i w:val="0"/>
          <w:iCs/>
          <w:spacing w:val="-8"/>
          <w:sz w:val="24"/>
          <w:szCs w:val="24"/>
          <w:lang w:val="id-ID"/>
        </w:rPr>
        <w:fldChar w:fldCharType="separate"/>
      </w:r>
      <w:r w:rsidRPr="009F024F">
        <w:rPr>
          <w:rFonts w:ascii="Times New Roman" w:hAnsi="Times New Roman" w:cs="Times New Roman"/>
          <w:i w:val="0"/>
          <w:iCs/>
          <w:noProof/>
          <w:spacing w:val="-8"/>
          <w:sz w:val="24"/>
          <w:szCs w:val="24"/>
          <w:lang w:val="id-ID"/>
        </w:rPr>
        <w:t>(Harimurti &amp; Suryani, 2019)</w:t>
      </w:r>
      <w:r w:rsidRPr="009F024F">
        <w:rPr>
          <w:rFonts w:ascii="Times New Roman" w:hAnsi="Times New Roman" w:cs="Times New Roman"/>
          <w:i w:val="0"/>
          <w:iCs/>
          <w:spacing w:val="-8"/>
          <w:sz w:val="24"/>
          <w:szCs w:val="24"/>
          <w:lang w:val="id-ID"/>
        </w:rPr>
        <w:fldChar w:fldCharType="end"/>
      </w:r>
      <w:r w:rsidRPr="009F024F">
        <w:rPr>
          <w:rFonts w:ascii="Times New Roman" w:hAnsi="Times New Roman" w:cs="Times New Roman"/>
          <w:i w:val="0"/>
          <w:iCs/>
          <w:spacing w:val="-8"/>
          <w:sz w:val="24"/>
          <w:szCs w:val="24"/>
        </w:rPr>
        <w:t>. The primary aim of this study is to investigate how work-family conflict, work overload, and perceived organizational support are associated with work stress and how they contribute to turnover intentions among employees working in private banks.</w:t>
      </w:r>
    </w:p>
    <w:p w14:paraId="78074E0B" w14:textId="6DA9C68E"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2099CB3B"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Work-Family Conflict</w:t>
      </w:r>
    </w:p>
    <w:p w14:paraId="3D495F61" w14:textId="40E02ADF" w:rsidR="00184457" w:rsidRPr="00184457" w:rsidRDefault="00184457" w:rsidP="00B0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 xml:space="preserve">Work-family conflict is a situation where the demands or expectations of work and family roles are incompatible, causing tension or difficulty in managing both aspects of life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{"citationItems":[{"id":"ITEM-1","itemData":{"DOI":"10.3390/ijerph181910302","ISSN":"16604601","PMID":"34639602","abstract":"If there is any field that has experienced changes as a result of the COVID-19 pandemic, it is work, primarily due to the implementation of teleworking and the effort made by workers and families to face new responsibilities. In this context, the study aims to analyze the impact of work–family conflict on burnout, considering work overload, in teleworkers during the COVID-19 pandemic. To evaluate the hypotheses, we used data collected during the last week of July 2020 using an online survey. Work–family conflict and burnout were measured using the Gutek et al. (1991) and Shirom (1989) scales. We tested the hypotheses using a structural equation model (SEM). The results indicated, between other findings, that there was a positive relationship between work–family conflict and family–work conflict and all the dimensions of burnout. However, there was no effect of teleworking overload in the work–family conflict and burnout relationship. This article is innovative because it highlights the importance of the economic and regulatory conditions that have surrounded the modality of teleworking during the pandemic, and their influence on wellbeing and psychosocial risks in workers.","author":[{"dropping-particle":"","family":"Barriga Medina","given":"Holger Raúl","non-dropping-particle":"","parse-names":false,"suffix":""},{"dropping-particle":"","family":"Campoverde Aguirre","given":"Ronald","non-dropping-particle":"","parse-names":false,"suffix":""},{"dropping-particle":"","family":"Coello-Montecel","given":"David","non-dropping-particle":"","parse-names":false,"suffix":""},{"dropping-particle":"","family":"Ochoa Pacheco","given":"Paola","non-dropping-particle":"","parse-names":false,"suffix":""},{"dropping-particle":"","family":"Paredes-Aguirre","given":"Milton Ismael","non-dropping-particle":"","parse-names":false,"suffix":""}],"container-title":"International Journal of Environmental Research and Public Health","id":"ITEM-1","issued":{"date-parts":[["2021"]]},"title":"The influence of work–family conflict on burnout during the covid-19 pandemic: The effect of teleworking overload","type":"article-journal"},"uris":["http://www.mendeley.com/documents/?uuid=3c704269-4967-44e5-8b34-4f6c8237034e"]}],"mendeley":{"formattedCitation":"(Barriga Medina et al., 2021)","plainTextFormattedCitation":"(Barriga Medina et al., 2021)","previouslyFormattedCitation":"(Barriga Medina et al., 2021)"},"properties":{"noteIndex":0},"schema":"https://github.com/citation-style-language/schema/raw/master/csl-citation.json"}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(Barriga Medina et al., 2021)</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This conflict is often caused by long working hours and heavy workloads, which leave employees with limited time and energy for family activities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{"citationItems":[{"id":"ITEM-1","itemData":{"DOI":"10.3389/fpsyg.2020.00475","ISSN":"16641078","abstract":"In a modern working environment characterized by new technology and work assignments extended to personal time, employees are expected to balance multiple roles while maintaining maximum productivity. Past studies analyzed work-family conflict and its connection to job performance, without adequate integration of psychological factors into the research model. This study aims to fill the gap and explain the impact of work-family conflict and psychological factors on job performance. To explore the association between work-family conflict and job performance and measure the effects on psychological safety and psychological well-being, an empirical study was conducted on a sample of 277 company employees in Bahrain. The online questionnaire used five-point Likert-scales adopted from previous studies to measure the variables of the research model. In the structural model, relationships between work-family conflict, psychological well-being, psychological safety, and job performance were tested. Confirmatory Factor Analysis with Maximum likelihood estimation was performed by using SEM software AMOS version 23. The findings of the study suggest there is a negative impact of work-family conflict on psychological safety and psychological well-being. This study is significant since it detaches from the prior researches focused on observing the repercussions of work-family conflict in workers’ well-being, and centers on the analysis of job performance instead. The findings show that psychological well-being and psychological safety influence job performance. When psychological well-being and psychological safety of employees are unsatisfactory, job performance will decrease accordingly. The mediation test indicated that work-family conflict had an indirect influence on job performance when psychological safety and psychological well-being were mediators. The study contributes to a better understanding of work-family conflict, psychology of employees, and job performance. The study provides valuable insight to organizations on ways to increase employees’ effectiveness and ensure better performance by preventing work-family conflict from occurring.","author":[{"dropping-particle":"","family":"Obrenovic","given":"Bojan","non-dropping-particle":"","parse-names":false,"suffix":""},{"dropping-particle":"","family":"Jianguo","given":"Du","non-dropping-particle":"","parse-names":false,"suffix":""},{"dropping-particle":"","family":"Khudaykulov","given":"Akmal","non-dropping-particle":"","parse-names":false,"suffix":""},{"dropping-particle":"","family":"Khan","given":"Muhammad Aamir Shafique","non-dropping-particle":"","parse-names":false,"suffix":""}],"container-title":"Frontiers in Psychology","id":"ITEM-1","issued":{"date-parts":[["2020"]]},"title":"Work-Family Conflict Impact on Psychological Safety and Psychological Well-Being: A Job Performance Model","type":"article-journal"},"uris":["http://www.mendeley.com/documents/?uuid=9bdd351d-a795-44cf-b908-edd1db597a81"]}],"mendeley":{"formattedCitation":"(Obrenovic et al., 2020)","plainTextFormattedCitation":"(Obrenovic et al., 2020)","previouslyFormattedCitation":"(Obrenovic et al., 2020)"},"properties":{"noteIndex":0},"schema":"https://github.com/citation-style-language/schema/raw/master/csl-citation.json"}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(Obrenovic et al., 2020)</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{"citationItems":[{"id":"ITEM-1","itemData":{"DOI":"10.1108/SAJBS-02-2017-0018","ISSN":"23986298","abstract":"Purpose: People in both the developing and developed worlds now face issues like work-to-family and family-to-work conflicts. Accordingly, the purpose of this paper is to explore the relationships between work-life balance, work-family conflict, and family-work conflict and perceived employee performance with job satisfaction serving as a moderating variable. Design/methodology/approach: The object of this study is a full-time teaching faculty. Responses from 280 young university teaching faculty serving in public-sector universities in Islamabad, Pakistan, were investigated by applying linear regression analysis to test six hypotheses. Findings: The results show that work-life balance and work-family conflict have a positive effect on employee performance. Job satisfaction has moderating effects on the relationships between work-life balance, work-family conflict, and family-work conflict with perceived employee performance. Originality/value: The study presents some unique results, which are different from previous studies such as work-family conflict has a positive significant effect on employee performance, family-work conflict has no significant effect on employee performance, and job satisfaction can be a negative moderator between these relations.","author":[{"dropping-particle":"","family":"Soomro","given":"Aqeel Ahmed","non-dropping-particle":"","parse-names":false,"suffix":""},{"dropping-particle":"","family":"Breitenecker","given":"Robert J.","non-dropping-particle":"","parse-names":false,"suffix":""},{"dropping-particle":"","family":"Shah","given":"Syed Afzal Moshadi","non-dropping-particle":"","parse-names":false,"suffix":""}],"container-title":"South Asian Journal of Business Studies","id":"ITEM-1","issued":{"date-parts":[["2018"]]},"title":"Relation of work-life balance, work-family conflict, and family-work conflict with the employee performance-moderating role of job satisfaction","type":"article-journal"},"uris":["http://www.mendeley.com/documents/?uuid=15ccf5fe-c49a-4e72-b3d3-55d27f4ed1aa"]}],"mendeley":{"formattedCitation":"(Soomro et al., 2018)","manualFormatting":"Soomro et al., (2018)","plainTextFormattedCitation":"(Soomro et al., 2018)","previouslyFormattedCitation":"(Soomro et al., 2018)"},"properties":{"noteIndex":0},"schema":"https://github.com/citation-style-language/schema/raw/master/csl-citation.json"}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Soomro et al. (2018)</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define work-family conflict as a conflict between the roles of employees in their work and family life, which arises when they struggle to balance their duties in both domains. This creates difficulty in distinguishing whether family responsibilities are interfering with work or work is interfering with family. The former is referred to as family interference with work, where employees spend most of their time and attention on family matters, leaving less time for work. Conversely, family interference with work occurs when employees spend most of their time and attention on family matters, which can interfere with their work.</w:t>
      </w:r>
    </w:p>
    <w:p w14:paraId="42DCCE2D"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 xml:space="preserve">Table 1. Work </w:t>
      </w:r>
      <w:proofErr w:type="spellStart"/>
      <w:r w:rsidRPr="00184457">
        <w:rPr>
          <w:rFonts w:ascii="Times New Roman" w:hAnsi="Times New Roman" w:cs="Times New Roman"/>
          <w:b/>
          <w:bCs/>
          <w:i w:val="0"/>
          <w:iCs/>
          <w:spacing w:val="-8"/>
          <w:sz w:val="24"/>
          <w:szCs w:val="24"/>
        </w:rPr>
        <w:t>Familiy</w:t>
      </w:r>
      <w:proofErr w:type="spellEnd"/>
      <w:r w:rsidRPr="00184457">
        <w:rPr>
          <w:rFonts w:ascii="Times New Roman" w:hAnsi="Times New Roman" w:cs="Times New Roman"/>
          <w:b/>
          <w:bCs/>
          <w:i w:val="0"/>
          <w:iCs/>
          <w:spacing w:val="-8"/>
          <w:sz w:val="24"/>
          <w:szCs w:val="24"/>
        </w:rPr>
        <w:t xml:space="preserve"> Conflict Indicators</w:t>
      </w:r>
    </w:p>
    <w:p w14:paraId="2BDE6832"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i w:val="0"/>
          <w:iCs/>
          <w:spacing w:val="-8"/>
          <w:sz w:val="24"/>
          <w:szCs w:val="24"/>
        </w:rPr>
      </w:pPr>
      <w:r w:rsidRPr="00184457">
        <w:rPr>
          <w:rFonts w:ascii="Times New Roman" w:hAnsi="Times New Roman" w:cs="Times New Roman"/>
          <w:i w:val="0"/>
          <w:iCs/>
          <w:noProof/>
          <w:sz w:val="24"/>
          <w:szCs w:val="24"/>
        </w:rPr>
        <w:drawing>
          <wp:inline distT="0" distB="0" distL="0" distR="0" wp14:anchorId="700AF37D" wp14:editId="0987FC21">
            <wp:extent cx="5086350" cy="1216025"/>
            <wp:effectExtent l="0" t="0" r="0" b="3175"/>
            <wp:docPr id="210978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83742" name=""/>
                    <pic:cNvPicPr/>
                  </pic:nvPicPr>
                  <pic:blipFill rotWithShape="1">
                    <a:blip r:embed="rId7"/>
                    <a:srcRect l="13288" t="32994" r="35853" b="27088"/>
                    <a:stretch/>
                  </pic:blipFill>
                  <pic:spPr bwMode="auto">
                    <a:xfrm>
                      <a:off x="0" y="0"/>
                      <a:ext cx="5161765" cy="1234055"/>
                    </a:xfrm>
                    <a:prstGeom prst="rect">
                      <a:avLst/>
                    </a:prstGeom>
                    <a:ln>
                      <a:noFill/>
                    </a:ln>
                    <a:extLst>
                      <a:ext uri="{53640926-AAD7-44D8-BBD7-CCE9431645EC}">
                        <a14:shadowObscured xmlns:a14="http://schemas.microsoft.com/office/drawing/2010/main"/>
                      </a:ext>
                    </a:extLst>
                  </pic:spPr>
                </pic:pic>
              </a:graphicData>
            </a:graphic>
          </wp:inline>
        </w:drawing>
      </w:r>
    </w:p>
    <w:p w14:paraId="0E500375" w14:textId="77777777" w:rsid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p>
    <w:p w14:paraId="1CF4D7EE" w14:textId="77777777" w:rsidR="009E7257" w:rsidRPr="00184457" w:rsidRDefault="009E72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p>
    <w:p w14:paraId="2EA1694F"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Work Overload</w:t>
      </w:r>
    </w:p>
    <w:p w14:paraId="3AFE465E" w14:textId="334B70A4" w:rsidR="00184457" w:rsidRPr="00184457" w:rsidRDefault="00184457" w:rsidP="00B0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 xml:space="preserve">Work overload refers to a situation where employees have to work on several tasks at the same time, and the workload is excessive and beyond their capabilities. As a consequence, it can result in stress and lack of concentration, which hinders employees' ability to perform their tasks and meet their obligations. According to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{"citationItems":[{"id":"ITEM-1","itemData":{"DOI":"10.3390/admsci12010027","ISSN":"20763387","abstract":"This research was designed to test and extend the model of emotional dissonance. Previous models of emotional dissonance, such as the Job Demand-Resource (JD-R) and the Stress-Strain-Outcome (SSO) models, are limited in that they do not account for the influences of work and work–family-related conflicts. The present paper focused on emotional labor carried out by married women working in call centers. We developed the model of emotional dissonance influencing intrinsic motivation and job stress, with the moderating effects of work overload and work–family conflict. The data of 468 employees analyzed using least square regression showed that that emotional dissonance is positively related to job stress, but is negatively related to intrinsic motivation. Both work overload and work–family conflict were found to be significant moderators that aggravate the positive relationships between emotional dissonance and job stress, and the negative relationships between emotional dissonance and intrinsic motivation. Theoretical and practical implications on emotional labor and emotional dissonance are discussed.","author":[{"dropping-particle":"","family":"Jeon","given":"Moo Kyeong","non-dropping-particle":"","parse-names":false,"suffix":""},{"dropping-particle":"","family":"Yoon","given":"Hyunjoong","non-dropping-particle":"","parse-names":false,"suffix":""},{"dropping-particle":"","family":"Yang","given":"Yuha","non-dropping-particle":"","parse-names":false,"suffix":""}],"container-title":"Administrative Sciences","id":"ITEM-1","issued":{"date-parts":[["2022"]]},"title":"Emotional Dissonance, Job Stress, and Intrinsic Motivation of Married Women Working in Call Centers: The Roles of Work Overload and Work-Family Conflict","type":"article-journal"},"uris":["http://www.mendeley.com/documents/?uuid=1ca8227f-c458-4853-8a35-eb4b58a11744"]}],"mendeley":{"formattedCitation":"(Jeon et al., 2022)","manualFormatting":"Jeon et al., (2022)","plainTextFormattedCitation":"(Jeon et al., 2022)","previouslyFormattedCitation":"(Jeon et al., 2022)"},"properties":{"noteIndex":0},"schema":"https://github.com/citation-style-language/schema/raw/master/csl-citation.json"}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Jeon et al., (2022)</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work overload can result in fatigue due to imbalances or discrepancies between task demands and the available time to complete them, as well as other factors such as role </w:t>
      </w:r>
      <w:r w:rsidRPr="00184457">
        <w:rPr>
          <w:rFonts w:ascii="Times New Roman" w:hAnsi="Times New Roman" w:cs="Times New Roman"/>
          <w:i w:val="0"/>
          <w:iCs/>
          <w:spacing w:val="-8"/>
          <w:sz w:val="24"/>
          <w:szCs w:val="24"/>
        </w:rPr>
        <w:lastRenderedPageBreak/>
        <w:t xml:space="preserve">authority, role conflict, and lack of work support that contribute to work stress.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{"citationItems":[{"id":"ITEM-1","itemData":{"DOI":"10.1016/j.emj.2018.03.002","ISSN":"02632373","abstract":"Work overload is a critical but understudied stressor at work, particularly for boundary-spanning positions. Recent studies have highlighted the need for more research on the identification of different predictors of the use of intimidation, a type of assertive impression management tactic. Relying on Lazarus's transactional theory, this study hypothesized and investigated a mediated moderation model that includes resilience, work overload, and its outcomes. This paper contributes to the organizational literature by examining the use of intimidation by salespeople as a reaction to stressful circumstances and the association between this tactic and salespeople's performance. The information provided by 248 employee–supervisor dyads confirmed the proposed model. Work overload has a positive association with intimidation, and the direct effect of work overload on intimidation depends on the level of an employee's resilience. Finally, the use of intimidation has a negative association with supervisor-rated performance.","author":[{"dropping-particle":"","family":"Kimura","given":"Takuma","non-dropping-particle":"","parse-names":false,"suffix":""},{"dropping-particle":"","family":"Bande","given":"Belén","non-dropping-particle":"","parse-names":false,"suffix":""},{"dropping-particle":"","family":"Fernández-Ferrín","given":"Pilar","non-dropping-particle":"","parse-names":false,"suffix":""}],"container-title":"European Management Journal","id":"ITEM-1","issued":{"date-parts":[["2018"]]},"title":"Work overload and intimidation: The moderating role of resilience","type":"article-journal"},"uris":["http://www.mendeley.com/documents/?uuid=0e69ee6f-0b50-437e-b189-49530622e92c"]}],"mendeley":{"formattedCitation":"(Kimura et al., 2018)","plainTextFormattedCitation":"(Kimura et al., 2018)","previouslyFormattedCitation":"(Kimura et al., 2018)"},"properties":{"noteIndex":0},"schema":"https://github.com/citation-style-language/schema/raw/master/csl-citation.json"}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Kimura et al. (2018)</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observed that work overload happens when an employee is assigned with an excessive amount of work but lacks the time and skills to accomplish it.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{"citationItems":[{"id":"ITEM-1","itemData":{"DOI":"10.1108/JOCM-08-2020-0241","ISSN":"09534814","abstract":"Purpose: The contemporary world's pressure, oriented on flexibility and quick actions, has permanently changed work characteristics. Taking the employees' perspective into account, it seems important to identify whether and which of the employees' individual resources help them cope with those job demands. Therefore, the main research question is what is the relation between holistically conceptualised employees' individual resources and perceived work overload? Design/methodology/approach: Based on the literature on individual resources and job demands, the authors test for relations between three components of individual resources (physical, emotional, spiritual potentials) and job characteristics (work variability and work diversity) and the perceived work overload. Data were collected using a survey method amongst 336 Polish knowledge workers. Findings: The results partially supported the posed hypotheses. Both work variability and work diversity relate positively to work overload. Only the physical potential is related directly and negatively to perceived work overload. The spiritual potential relates indirectly to work overload through work diversity. The authors also found that age moderates the relation between physical and spiritual potential and overload. Research limitations/implications: Human resource management (HRM) practitioners and supervisors need to consider the level of employee's individual resources, especially when dealing with older employees and their physical resources. Originality/value: This study contributes to research on the causes of work overload perception by identifying the role of individual resources and employees' age, thereby indicating that taking care of those resources could be another way of preventing occupational burnout in demanding work conditions.","author":[{"dropping-particle":"","family":"Pluta","given":"Anna","non-dropping-particle":"","parse-names":false,"suffix":""},{"dropping-particle":"","family":"Rudawska","given":"Aleksandra","non-dropping-particle":"","parse-names":false,"suffix":""}],"container-title":"Journal of Organizational Change Management","id":"ITEM-1","issued":{"date-parts":[["2021"]]},"title":"The role of the employees' individual resources in the perception of the work overload","type":"article-journal"},"uris":["http://www.mendeley.com/documents/?uuid=bce5029c-9746-4713-917e-288e1b315b68"]}],"mendeley":{"formattedCitation":"(Pluta &amp; Rudawska, 2021)","plainTextFormattedCitation":"(Pluta &amp; Rudawska, 2021)","previouslyFormattedCitation":"(Pluta &amp; Rudawska, 2021)"},"properties":{"noteIndex":0},"schema":"https://github.com/citation-style-language/schema/raw/master/csl-citation.json"}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(Pluta &amp; Rudawska, 2021)</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found that work overload can be measured along three dimensions: time load, mental load, and psychological stress of workers. Finally, Schick et al. (1990) explained that work overload can happen when workers are given too much work that exceeds their available time and abilities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{"citationItems":[{"id":"ITEM-1","itemData":{"ISSN":"2721-1452","abstract":"This study aims to examine the effect of Work Overload and Intimidation on Bank Aceh Account Officer Employee Performance. The sampling method in this study used the Proposional Stratifield Sampling technique in which respondents were taken based on …","author":[{"dropping-particle":"","family":"Gibran","given":"Said Kahlil","non-dropping-particle":"","parse-names":false,"suffix":""},{"dropping-particle":"","family":"Suryani","given":"Irma","non-dropping-particle":"","parse-names":false,"suffix":""}],"container-title":"Jurnal Manajemen dan Inovasi","id":"ITEM-1","issued":{"date-parts":[["2019"]]},"title":"Pengaruh Work Overload dan Intimidasi Terhadap Kinerja Karyawan Account Officer PT. Bank Aceh Syariah","type":"article-journal"},"uris":["http://www.mendeley.com/documents/?uuid=fc9cfdf5-b57d-4c24-bd9c-84f45ef6051f"]}],"mendeley":{"formattedCitation":"(Gibran &amp; Suryani, 2019)","plainTextFormattedCitation":"(Gibran &amp; Suryani, 2019)","previouslyFormattedCitation":"(Gibran &amp; Suryani, 2019)"},"properties":{"noteIndex":0},"schema":"https://github.com/citation-style-language/schema/raw/master/csl-citation.json"}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(Gibran &amp; Suryani, 2019)</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w:t>
      </w:r>
    </w:p>
    <w:p w14:paraId="47DE4EEE"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Table 2. Work Overload Indicators</w:t>
      </w:r>
    </w:p>
    <w:p w14:paraId="6C01C9B5" w14:textId="702D102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noProof/>
          <w:sz w:val="24"/>
          <w:szCs w:val="24"/>
        </w:rPr>
        <w:drawing>
          <wp:inline distT="0" distB="0" distL="0" distR="0" wp14:anchorId="01CCC811" wp14:editId="7D032907">
            <wp:extent cx="5791200" cy="1432560"/>
            <wp:effectExtent l="0" t="0" r="0" b="0"/>
            <wp:docPr id="73215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56722" name=""/>
                    <pic:cNvPicPr/>
                  </pic:nvPicPr>
                  <pic:blipFill rotWithShape="1">
                    <a:blip r:embed="rId8"/>
                    <a:srcRect l="43070" t="26069" r="7445" b="29124"/>
                    <a:stretch/>
                  </pic:blipFill>
                  <pic:spPr bwMode="auto">
                    <a:xfrm>
                      <a:off x="0" y="0"/>
                      <a:ext cx="5842448" cy="1445237"/>
                    </a:xfrm>
                    <a:prstGeom prst="rect">
                      <a:avLst/>
                    </a:prstGeom>
                    <a:ln>
                      <a:noFill/>
                    </a:ln>
                    <a:extLst>
                      <a:ext uri="{53640926-AAD7-44D8-BBD7-CCE9431645EC}">
                        <a14:shadowObscured xmlns:a14="http://schemas.microsoft.com/office/drawing/2010/main"/>
                      </a:ext>
                    </a:extLst>
                  </pic:spPr>
                </pic:pic>
              </a:graphicData>
            </a:graphic>
          </wp:inline>
        </w:drawing>
      </w:r>
    </w:p>
    <w:p w14:paraId="1BA40A0F"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 xml:space="preserve">Perceived </w:t>
      </w:r>
      <w:proofErr w:type="spellStart"/>
      <w:r w:rsidRPr="00184457">
        <w:rPr>
          <w:rFonts w:ascii="Times New Roman" w:hAnsi="Times New Roman" w:cs="Times New Roman"/>
          <w:b/>
          <w:bCs/>
          <w:i w:val="0"/>
          <w:iCs/>
          <w:spacing w:val="-8"/>
          <w:sz w:val="24"/>
          <w:szCs w:val="24"/>
        </w:rPr>
        <w:t>Organisational</w:t>
      </w:r>
      <w:proofErr w:type="spellEnd"/>
      <w:r w:rsidRPr="00184457">
        <w:rPr>
          <w:rFonts w:ascii="Times New Roman" w:hAnsi="Times New Roman" w:cs="Times New Roman"/>
          <w:b/>
          <w:bCs/>
          <w:i w:val="0"/>
          <w:iCs/>
          <w:spacing w:val="-8"/>
          <w:sz w:val="24"/>
          <w:szCs w:val="24"/>
        </w:rPr>
        <w:t xml:space="preserve"> Support (POS)</w:t>
      </w:r>
    </w:p>
    <w:p w14:paraId="7F22AB1A" w14:textId="77777777" w:rsidR="00184457" w:rsidRDefault="001844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 xml:space="preserve">POS is a type of organizational support that assures employees that their contributions are appreciated and their well-being is valued by the organization they work for. According to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{"citationItems":[{"id":"ITEM-1","itemData":{"DOI":"10.1016/j.apmrv.2021.08.002","ISSN":"10293132","abstract":"This study empirically analyzed the mediating role of differential treatment in the effect of perceived organizational support and perceived organizational politics on organizational performance using 1206 employees at 67 corporates, including seven representative corporates in South Korea. Differential treatment was found to be mediated by perceived organizational support and perceived organizational politics in Korean corporates, showing collectivism tendency and acting closely to people with different background. Organizational performance was found to be directly influenced by perceived organizational support and perceived organizational politics with differential treatment as a complete mediator. Implications of our study result for Korean corporates and their hands-on workers are discussed in detail.","author":[{"dropping-particle":"","family":"Jeong","given":"Yejee","non-dropping-particle":"","parse-names":false,"suffix":""},{"dropping-particle":"","family":"Kim","given":"Moonjoo","non-dropping-particle":"","parse-names":false,"suffix":""}],"container-title":"Asia Pacific Management Review","id":"ITEM-1","issued":{"date-parts":[["2022"]]},"title":"Effects of perceived organizational support and perceived organizational politics on organizational performance: Mediating role of differential treatment","type":"article-journal"},"uris":["http://www.mendeley.com/documents/?uuid=df18b8e5-7d36-491f-8262-4946b3eeb4d6"]}],"mendeley":{"formattedCitation":"(Jeong &amp; Kim, 2022)","plainTextFormattedCitation":"(Jeong &amp; Kim, 2022)","previouslyFormattedCitation":"(Jeong &amp; Kim, 2022)"},"properties":{"noteIndex":0},"schema":"https://github.com/citation-style-language/schema/raw/master/csl-citation.json"}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(Jeong &amp; Kim, 2022)</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POS is a way for organizations to show their support for employees. Rhoades and Eisenberger also noted that POS is an assessment of how much attention the organization pays to employee welfare, how fairly employees are treated, and how much attention is given to employees' concerns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{"citationItems":[{"id":"ITEM-1","itemData":{"DOI":"10.3390/admsci12020066","ISSN":"20763387","abstract":"The main objective of this study is to analyze the effects of work engagement, identification with an organization and perceived organizational support on job satisfaction and how these issues vary with gender. Data were collected in a public higher education institution with a questionnaire applied to professors and support staff. The data collected from the 171 employees allowed the development of a structural equation model. The results suggest that work engagement constructs have a greater effect on job satisfaction for female employees, whereas the impact of perceived organizational support on job satisfaction is stronger for male workers. The analysis also revealed that identification with the organization does not influence job satisfaction differently in terms of gender. The findings of this study contribute to the body of empirical knowledge on how the influence of factors on job satisfaction, such as engagement at work, perceived organizational support and identification with the organization, varies by gender.","author":[{"dropping-particle":"","family":"Mascarenhas","given":"Carla","non-dropping-particle":"","parse-names":false,"suffix":""},{"dropping-particle":"","family":"Galvão","given":"Anderson Rei","non-dropping-particle":"","parse-names":false,"suffix":""},{"dropping-particle":"","family":"Marques","given":"Carla Susana","non-dropping-particle":"","parse-names":false,"suffix":""}],"container-title":"Administrative Sciences","id":"ITEM-1","issued":{"date-parts":[["2022"]]},"title":"How Perceived Organizational Support, Identification with Organization and Work Engagement Influence Job Satisfaction: A Gender-Based Perspective","type":"article-journal"},"uris":["http://www.mendeley.com/documents/?uuid=ed19c949-0220-45d6-897b-d835dbb4d666"]}],"mendeley":{"formattedCitation":"(Mascarenhas et al., 2022)","plainTextFormattedCitation":"(Mascarenhas et al., 2022)","previouslyFormattedCitation":"(Mascarenhas et al., 2022)"},"properties":{"noteIndex":0},"schema":"https://github.com/citation-style-language/schema/raw/master/csl-citation.json"}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(Mascarenhas et al., 2022)</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The level of perceived organizational support is seen as a factor that affects the attitudes of employees towards their work and the organization they work for. Essentially, perceived organizational support refers to an employee's perception of how much their organization values their contributions and cares for their overall well-being.</w:t>
      </w:r>
    </w:p>
    <w:p w14:paraId="572431AB"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Table 3. POS Indicators</w:t>
      </w:r>
    </w:p>
    <w:tbl>
      <w:tblPr>
        <w:tblStyle w:val="TabelBiasa2"/>
        <w:tblW w:w="5000" w:type="pct"/>
        <w:tblLook w:val="04A0" w:firstRow="1" w:lastRow="0" w:firstColumn="1" w:lastColumn="0" w:noHBand="0" w:noVBand="1"/>
      </w:tblPr>
      <w:tblGrid>
        <w:gridCol w:w="4111"/>
        <w:gridCol w:w="4959"/>
      </w:tblGrid>
      <w:tr w:rsidR="00184457" w:rsidRPr="00184457" w14:paraId="32C818BA" w14:textId="77777777" w:rsidTr="00BC1BB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6" w:type="pct"/>
          </w:tcPr>
          <w:p w14:paraId="229243BE" w14:textId="77777777" w:rsidR="00184457" w:rsidRPr="00184457" w:rsidRDefault="00184457" w:rsidP="00BC1BB3">
            <w:pPr>
              <w:jc w:val="both"/>
              <w:rPr>
                <w:rFonts w:ascii="Times New Roman" w:hAnsi="Times New Roman" w:cs="Times New Roman"/>
                <w:iCs/>
                <w:sz w:val="24"/>
                <w:szCs w:val="24"/>
              </w:rPr>
            </w:pPr>
            <w:r w:rsidRPr="00184457">
              <w:rPr>
                <w:rFonts w:ascii="Times New Roman" w:hAnsi="Times New Roman" w:cs="Times New Roman"/>
                <w:iCs/>
                <w:sz w:val="24"/>
                <w:szCs w:val="24"/>
              </w:rPr>
              <w:t>Variable</w:t>
            </w:r>
          </w:p>
        </w:tc>
        <w:tc>
          <w:tcPr>
            <w:tcW w:w="2734" w:type="pct"/>
          </w:tcPr>
          <w:p w14:paraId="603D8299" w14:textId="77777777" w:rsidR="00184457" w:rsidRPr="00184457" w:rsidRDefault="00184457" w:rsidP="00BC1BB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184457">
              <w:rPr>
                <w:rFonts w:ascii="Times New Roman" w:hAnsi="Times New Roman" w:cs="Times New Roman"/>
                <w:iCs/>
                <w:sz w:val="24"/>
                <w:szCs w:val="24"/>
              </w:rPr>
              <w:t>Indicators</w:t>
            </w:r>
          </w:p>
        </w:tc>
      </w:tr>
      <w:tr w:rsidR="00184457" w:rsidRPr="00184457" w14:paraId="52EB11C5" w14:textId="77777777" w:rsidTr="00BC1B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6" w:type="pct"/>
            <w:vMerge w:val="restart"/>
          </w:tcPr>
          <w:p w14:paraId="416955B0" w14:textId="77777777" w:rsidR="00184457" w:rsidRPr="00184457" w:rsidRDefault="00184457" w:rsidP="00BC1BB3">
            <w:pPr>
              <w:jc w:val="both"/>
              <w:rPr>
                <w:rFonts w:ascii="Times New Roman" w:hAnsi="Times New Roman" w:cs="Times New Roman"/>
                <w:b w:val="0"/>
                <w:bCs w:val="0"/>
                <w:iCs/>
                <w:sz w:val="24"/>
                <w:szCs w:val="24"/>
              </w:rPr>
            </w:pPr>
            <w:r w:rsidRPr="00184457">
              <w:rPr>
                <w:rFonts w:ascii="Times New Roman" w:hAnsi="Times New Roman" w:cs="Times New Roman"/>
                <w:b w:val="0"/>
                <w:bCs w:val="0"/>
                <w:iCs/>
                <w:sz w:val="24"/>
                <w:szCs w:val="24"/>
              </w:rPr>
              <w:t xml:space="preserve">Perceived </w:t>
            </w:r>
            <w:proofErr w:type="spellStart"/>
            <w:r w:rsidRPr="00184457">
              <w:rPr>
                <w:rFonts w:ascii="Times New Roman" w:hAnsi="Times New Roman" w:cs="Times New Roman"/>
                <w:b w:val="0"/>
                <w:bCs w:val="0"/>
                <w:iCs/>
                <w:sz w:val="24"/>
                <w:szCs w:val="24"/>
              </w:rPr>
              <w:t>Organisational</w:t>
            </w:r>
            <w:proofErr w:type="spellEnd"/>
            <w:r w:rsidRPr="00184457">
              <w:rPr>
                <w:rFonts w:ascii="Times New Roman" w:hAnsi="Times New Roman" w:cs="Times New Roman"/>
                <w:b w:val="0"/>
                <w:bCs w:val="0"/>
                <w:iCs/>
                <w:sz w:val="24"/>
                <w:szCs w:val="24"/>
              </w:rPr>
              <w:t xml:space="preserve"> Support </w:t>
            </w:r>
            <w:r w:rsidRPr="00184457">
              <w:rPr>
                <w:rFonts w:ascii="Times New Roman" w:hAnsi="Times New Roman" w:cs="Times New Roman"/>
                <w:iCs/>
                <w:sz w:val="24"/>
                <w:szCs w:val="24"/>
              </w:rPr>
              <w:fldChar w:fldCharType="begin" w:fldLock="1"/>
            </w:r>
            <w:r w:rsidRPr="00184457">
              <w:rPr>
                <w:rFonts w:ascii="Times New Roman" w:hAnsi="Times New Roman" w:cs="Times New Roman"/>
                <w:b w:val="0"/>
                <w:bCs w:val="0"/>
                <w:iCs/>
                <w:sz w:val="24"/>
                <w:szCs w:val="24"/>
              </w:rPr>
              <w:instrText>ADDIN CSL_CITATION {"citationItems":[{"id":"ITEM-1","itemData":{"author":[{"dropping-particle":"","family":"Mohamed","given":"S. A.","non-dropping-particle":"","parse-names":false,"suffix":""},{"dropping-particle":"","family":"Ali","given":"M.","non-dropping-particle":"","parse-names":false,"suffix":""}],"container-title":"International Journal of Scientific and Research Publications","id":"ITEM-1","issue":"4","issued":{"date-parts":[["2015"]]},"page":"1–6","title":"The influence of perceived organizational support on employees' job performance.","type":"article-journal","volume":"5"},"uris":["http://www.mendeley.com/documents/?uuid=4302f0ec-d726-4941-8724-51a5da8063c3","http://www.mendeley.com/documents/?uuid=30df7b40-ca5d-4a2c-9ebe-b0ca086814ca"]}],"mendeley":{"formattedCitation":"(Mohamed &amp; Ali, 2015)","plainTextFormattedCitation":"(Mohamed &amp; Ali, 2015)","previouslyFormattedCitation":"(Mohamed &amp; Ali, 2015)"},"properties":{"noteIndex":0},"schema":"https://github.com/citation-style-language/schema/raw/master/csl-citation.json"}</w:instrText>
            </w:r>
            <w:r w:rsidRPr="00184457">
              <w:rPr>
                <w:rFonts w:ascii="Times New Roman" w:hAnsi="Times New Roman" w:cs="Times New Roman"/>
                <w:iCs/>
                <w:sz w:val="24"/>
                <w:szCs w:val="24"/>
              </w:rPr>
              <w:fldChar w:fldCharType="separate"/>
            </w:r>
            <w:r w:rsidRPr="00184457">
              <w:rPr>
                <w:rFonts w:ascii="Times New Roman" w:hAnsi="Times New Roman" w:cs="Times New Roman"/>
                <w:b w:val="0"/>
                <w:bCs w:val="0"/>
                <w:iCs/>
                <w:noProof/>
                <w:sz w:val="24"/>
                <w:szCs w:val="24"/>
              </w:rPr>
              <w:t>(Mohamed &amp; Ali, 2015)</w:t>
            </w:r>
            <w:r w:rsidRPr="00184457">
              <w:rPr>
                <w:rFonts w:ascii="Times New Roman" w:hAnsi="Times New Roman" w:cs="Times New Roman"/>
                <w:iCs/>
                <w:sz w:val="24"/>
                <w:szCs w:val="24"/>
              </w:rPr>
              <w:fldChar w:fldCharType="end"/>
            </w:r>
            <w:r w:rsidRPr="00184457">
              <w:rPr>
                <w:rFonts w:ascii="Times New Roman" w:hAnsi="Times New Roman" w:cs="Times New Roman"/>
                <w:b w:val="0"/>
                <w:bCs w:val="0"/>
                <w:iCs/>
                <w:sz w:val="24"/>
                <w:szCs w:val="24"/>
              </w:rPr>
              <w:t xml:space="preserve">; </w:t>
            </w:r>
            <w:r w:rsidRPr="00184457">
              <w:rPr>
                <w:rFonts w:ascii="Times New Roman" w:hAnsi="Times New Roman" w:cs="Times New Roman"/>
                <w:iCs/>
                <w:sz w:val="24"/>
                <w:szCs w:val="24"/>
              </w:rPr>
              <w:fldChar w:fldCharType="begin" w:fldLock="1"/>
            </w:r>
            <w:r w:rsidRPr="00184457">
              <w:rPr>
                <w:rFonts w:ascii="Times New Roman" w:hAnsi="Times New Roman" w:cs="Times New Roman"/>
                <w:b w:val="0"/>
                <w:bCs w:val="0"/>
                <w:iCs/>
                <w:sz w:val="24"/>
                <w:szCs w:val="24"/>
              </w:rPr>
              <w:instrText>ADDIN CSL_CITATION {"citationItems":[{"id":"ITEM-1","itemData":{"DOI":"doi: 10.1037/0021- 9010.87.4.698.","author":[{"dropping-particle":"","family":"Rhoades","given":"L.","non-dropping-particle":"","parse-names":false,"suffix":""},{"dropping-particle":"","family":"Eisenberger","given":"R.","non-dropping-particle":"","parse-names":false,"suffix":""}],"container-title":"Journal of Applied Psychology","id":"ITEM-1","issue":"4","issued":{"date-parts":[["2002"]]},"page":"698–714.","title":"Perceived organizational support: A review of the literature.","type":"article-journal","volume":"87"},"uris":["http://www.mendeley.com/documents/?uuid=1d161f35-5f5e-4b13-9a4d-a544dc8d32b0","http://www.mendeley.com/documents/?uuid=e8c94e02-dd39-438a-8621-2ea2cb306e14"]}],"mendeley":{"formattedCitation":"(Rhoades &amp; Eisenberger, 2002)","plainTextFormattedCitation":"(Rhoades &amp; Eisenberger, 2002)","previouslyFormattedCitation":"(Rhoades &amp; Eisenberger, 2002)"},"properties":{"noteIndex":0},"schema":"https://github.com/citation-style-language/schema/raw/master/csl-citation.json"}</w:instrText>
            </w:r>
            <w:r w:rsidRPr="00184457">
              <w:rPr>
                <w:rFonts w:ascii="Times New Roman" w:hAnsi="Times New Roman" w:cs="Times New Roman"/>
                <w:iCs/>
                <w:sz w:val="24"/>
                <w:szCs w:val="24"/>
              </w:rPr>
              <w:fldChar w:fldCharType="separate"/>
            </w:r>
            <w:r w:rsidRPr="00184457">
              <w:rPr>
                <w:rFonts w:ascii="Times New Roman" w:hAnsi="Times New Roman" w:cs="Times New Roman"/>
                <w:b w:val="0"/>
                <w:bCs w:val="0"/>
                <w:iCs/>
                <w:noProof/>
                <w:sz w:val="24"/>
                <w:szCs w:val="24"/>
              </w:rPr>
              <w:t>(Rhoades &amp; Eisenberger, 2002)</w:t>
            </w:r>
            <w:r w:rsidRPr="00184457">
              <w:rPr>
                <w:rFonts w:ascii="Times New Roman" w:hAnsi="Times New Roman" w:cs="Times New Roman"/>
                <w:iCs/>
                <w:sz w:val="24"/>
                <w:szCs w:val="24"/>
              </w:rPr>
              <w:fldChar w:fldCharType="end"/>
            </w:r>
            <w:r w:rsidRPr="00184457">
              <w:rPr>
                <w:rFonts w:ascii="Times New Roman" w:hAnsi="Times New Roman" w:cs="Times New Roman"/>
                <w:b w:val="0"/>
                <w:bCs w:val="0"/>
                <w:iCs/>
                <w:sz w:val="24"/>
                <w:szCs w:val="24"/>
              </w:rPr>
              <w:t xml:space="preserve">; </w:t>
            </w:r>
            <w:r w:rsidRPr="00184457">
              <w:rPr>
                <w:rFonts w:ascii="Times New Roman" w:hAnsi="Times New Roman" w:cs="Times New Roman"/>
                <w:iCs/>
                <w:sz w:val="24"/>
                <w:szCs w:val="24"/>
              </w:rPr>
              <w:fldChar w:fldCharType="begin" w:fldLock="1"/>
            </w:r>
            <w:r w:rsidRPr="00184457">
              <w:rPr>
                <w:rFonts w:ascii="Times New Roman" w:hAnsi="Times New Roman" w:cs="Times New Roman"/>
                <w:b w:val="0"/>
                <w:bCs w:val="0"/>
                <w:iCs/>
                <w:sz w:val="24"/>
                <w:szCs w:val="24"/>
              </w:rPr>
              <w:instrText>ADDIN CSL_CITATION {"citationItems":[{"id":"ITEM-1","itemData":{"author":[{"dropping-particle":"","family":"Yolanda","given":"E.","non-dropping-particle":"","parse-names":false,"suffix":""},{"dropping-particle":"","family":"Said","given":"L. R.","non-dropping-particle":"","parse-names":false,"suffix":""}],"container-title":"International Journal of Management in Education","id":"ITEM-1","issue":"5","issued":{"date-parts":[["2022"]]},"page":"485-506","title":"Perceived organisational support to increase teachers' commitment and performance through work engagement: a case study of an Indonesian vocational school.","type":"article-journal","volume":"16"},"uris":["http://www.mendeley.com/documents/?uuid=d2273209-1d16-4874-bffb-c4451acbde18","http://www.mendeley.com/documents/?uuid=c7c67daf-9ad0-4e3a-b69f-55de4e2448be"]}],"mendeley":{"formattedCitation":"(Yolanda &amp; Said, 2022)","plainTextFormattedCitation":"(Yolanda &amp; Said, 2022)","previouslyFormattedCitation":"(Yolanda &amp; Said, 2022)"},"properties":{"noteIndex":0},"schema":"https://github.com/citation-style-language/schema/raw/master/csl-citation.json"}</w:instrText>
            </w:r>
            <w:r w:rsidRPr="00184457">
              <w:rPr>
                <w:rFonts w:ascii="Times New Roman" w:hAnsi="Times New Roman" w:cs="Times New Roman"/>
                <w:iCs/>
                <w:sz w:val="24"/>
                <w:szCs w:val="24"/>
              </w:rPr>
              <w:fldChar w:fldCharType="separate"/>
            </w:r>
            <w:r w:rsidRPr="00184457">
              <w:rPr>
                <w:rFonts w:ascii="Times New Roman" w:hAnsi="Times New Roman" w:cs="Times New Roman"/>
                <w:b w:val="0"/>
                <w:bCs w:val="0"/>
                <w:iCs/>
                <w:noProof/>
                <w:sz w:val="24"/>
                <w:szCs w:val="24"/>
              </w:rPr>
              <w:t>(Yolanda &amp; Said, 2022)</w:t>
            </w:r>
            <w:r w:rsidRPr="00184457">
              <w:rPr>
                <w:rFonts w:ascii="Times New Roman" w:hAnsi="Times New Roman" w:cs="Times New Roman"/>
                <w:iCs/>
                <w:sz w:val="24"/>
                <w:szCs w:val="24"/>
              </w:rPr>
              <w:fldChar w:fldCharType="end"/>
            </w:r>
          </w:p>
        </w:tc>
        <w:tc>
          <w:tcPr>
            <w:tcW w:w="2734" w:type="pct"/>
          </w:tcPr>
          <w:p w14:paraId="01090AAC" w14:textId="77777777" w:rsidR="00184457" w:rsidRPr="00184457" w:rsidRDefault="00184457" w:rsidP="00BC1B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r w:rsidRPr="00184457">
              <w:rPr>
                <w:rFonts w:ascii="Times New Roman" w:hAnsi="Times New Roman" w:cs="Times New Roman"/>
                <w:iCs/>
                <w:sz w:val="24"/>
                <w:szCs w:val="24"/>
              </w:rPr>
              <w:t>Procedural justice</w:t>
            </w:r>
          </w:p>
        </w:tc>
      </w:tr>
      <w:tr w:rsidR="00184457" w:rsidRPr="00184457" w14:paraId="778C280A" w14:textId="77777777" w:rsidTr="00BC1BB3">
        <w:trPr>
          <w:trHeight w:val="20"/>
        </w:trPr>
        <w:tc>
          <w:tcPr>
            <w:cnfStyle w:val="001000000000" w:firstRow="0" w:lastRow="0" w:firstColumn="1" w:lastColumn="0" w:oddVBand="0" w:evenVBand="0" w:oddHBand="0" w:evenHBand="0" w:firstRowFirstColumn="0" w:firstRowLastColumn="0" w:lastRowFirstColumn="0" w:lastRowLastColumn="0"/>
            <w:tcW w:w="2266" w:type="pct"/>
            <w:vMerge/>
          </w:tcPr>
          <w:p w14:paraId="1F158FA1" w14:textId="77777777" w:rsidR="00184457" w:rsidRPr="00184457" w:rsidRDefault="00184457" w:rsidP="00BC1BB3">
            <w:pPr>
              <w:jc w:val="both"/>
              <w:rPr>
                <w:rFonts w:ascii="Times New Roman" w:hAnsi="Times New Roman" w:cs="Times New Roman"/>
                <w:iCs/>
                <w:sz w:val="24"/>
                <w:szCs w:val="24"/>
              </w:rPr>
            </w:pPr>
          </w:p>
        </w:tc>
        <w:tc>
          <w:tcPr>
            <w:tcW w:w="2734" w:type="pct"/>
          </w:tcPr>
          <w:p w14:paraId="1933E95C" w14:textId="77777777" w:rsidR="00184457" w:rsidRPr="00184457" w:rsidRDefault="00184457" w:rsidP="00BC1B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184457">
              <w:rPr>
                <w:rFonts w:ascii="Times New Roman" w:hAnsi="Times New Roman" w:cs="Times New Roman"/>
                <w:iCs/>
                <w:sz w:val="24"/>
                <w:szCs w:val="24"/>
              </w:rPr>
              <w:t>Superior support</w:t>
            </w:r>
          </w:p>
        </w:tc>
      </w:tr>
      <w:tr w:rsidR="00184457" w:rsidRPr="00184457" w14:paraId="6D6945B7" w14:textId="77777777" w:rsidTr="00BC1BB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266" w:type="pct"/>
            <w:vMerge/>
          </w:tcPr>
          <w:p w14:paraId="56E8FB9F" w14:textId="77777777" w:rsidR="00184457" w:rsidRPr="00184457" w:rsidRDefault="00184457" w:rsidP="00BC1BB3">
            <w:pPr>
              <w:jc w:val="both"/>
              <w:rPr>
                <w:rFonts w:ascii="Times New Roman" w:hAnsi="Times New Roman" w:cs="Times New Roman"/>
                <w:iCs/>
                <w:sz w:val="24"/>
                <w:szCs w:val="24"/>
              </w:rPr>
            </w:pPr>
          </w:p>
        </w:tc>
        <w:tc>
          <w:tcPr>
            <w:tcW w:w="2734" w:type="pct"/>
          </w:tcPr>
          <w:p w14:paraId="4309E37F" w14:textId="77777777" w:rsidR="00184457" w:rsidRPr="00184457" w:rsidRDefault="00184457" w:rsidP="00BC1B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proofErr w:type="spellStart"/>
            <w:r w:rsidRPr="00184457">
              <w:rPr>
                <w:rFonts w:ascii="Times New Roman" w:hAnsi="Times New Roman" w:cs="Times New Roman"/>
                <w:iCs/>
                <w:sz w:val="24"/>
                <w:szCs w:val="24"/>
              </w:rPr>
              <w:t>Organisational</w:t>
            </w:r>
            <w:proofErr w:type="spellEnd"/>
            <w:r w:rsidRPr="00184457">
              <w:rPr>
                <w:rFonts w:ascii="Times New Roman" w:hAnsi="Times New Roman" w:cs="Times New Roman"/>
                <w:iCs/>
                <w:sz w:val="24"/>
                <w:szCs w:val="24"/>
              </w:rPr>
              <w:t xml:space="preserve"> benefits and working conditions</w:t>
            </w:r>
          </w:p>
        </w:tc>
      </w:tr>
      <w:tr w:rsidR="00184457" w:rsidRPr="00184457" w14:paraId="0533A452" w14:textId="77777777" w:rsidTr="00BC1BB3">
        <w:trPr>
          <w:trHeight w:val="85"/>
        </w:trPr>
        <w:tc>
          <w:tcPr>
            <w:cnfStyle w:val="001000000000" w:firstRow="0" w:lastRow="0" w:firstColumn="1" w:lastColumn="0" w:oddVBand="0" w:evenVBand="0" w:oddHBand="0" w:evenHBand="0" w:firstRowFirstColumn="0" w:firstRowLastColumn="0" w:lastRowFirstColumn="0" w:lastRowLastColumn="0"/>
            <w:tcW w:w="2266" w:type="pct"/>
            <w:vMerge/>
          </w:tcPr>
          <w:p w14:paraId="7AA481BA" w14:textId="77777777" w:rsidR="00184457" w:rsidRPr="00184457" w:rsidRDefault="00184457" w:rsidP="00BC1BB3">
            <w:pPr>
              <w:jc w:val="both"/>
              <w:rPr>
                <w:rFonts w:ascii="Times New Roman" w:hAnsi="Times New Roman" w:cs="Times New Roman"/>
                <w:iCs/>
                <w:sz w:val="24"/>
                <w:szCs w:val="24"/>
              </w:rPr>
            </w:pPr>
          </w:p>
        </w:tc>
        <w:tc>
          <w:tcPr>
            <w:tcW w:w="2734" w:type="pct"/>
          </w:tcPr>
          <w:p w14:paraId="1411AD57" w14:textId="77777777" w:rsidR="00184457" w:rsidRPr="00184457" w:rsidRDefault="00184457" w:rsidP="00BC1B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184457">
              <w:rPr>
                <w:rFonts w:ascii="Times New Roman" w:hAnsi="Times New Roman" w:cs="Times New Roman"/>
                <w:iCs/>
                <w:sz w:val="24"/>
                <w:szCs w:val="24"/>
              </w:rPr>
              <w:t>Procedural justice</w:t>
            </w:r>
          </w:p>
        </w:tc>
      </w:tr>
    </w:tbl>
    <w:p w14:paraId="031E6E51" w14:textId="77777777" w:rsidR="009E7257" w:rsidRPr="00184457" w:rsidRDefault="009E72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p>
    <w:p w14:paraId="3C107B97"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Work Stress</w:t>
      </w:r>
    </w:p>
    <w:p w14:paraId="5F621889" w14:textId="661E4BB6" w:rsidR="00184457" w:rsidRPr="009E7257" w:rsidRDefault="001844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lang w:val="id-ID"/>
        </w:rPr>
      </w:pPr>
      <w:r w:rsidRPr="00184457">
        <w:rPr>
          <w:rFonts w:ascii="Times New Roman" w:hAnsi="Times New Roman" w:cs="Times New Roman"/>
          <w:i w:val="0"/>
          <w:iCs/>
          <w:spacing w:val="-8"/>
          <w:sz w:val="24"/>
          <w:szCs w:val="24"/>
        </w:rPr>
        <w:t>Stress is a natural reaction to the demands, threats, or pressure that a person experiences, which can affect their behavior and mental state. Stress can have both physical and emotional effects on a person. In the workplace, employees often experience work-related stress, which can lead to changes in their behavior. This condition is not always negative, and the stress may subside once the challenge is overcome</w:t>
      </w:r>
      <w:r w:rsidR="009E7257">
        <w:rPr>
          <w:rFonts w:ascii="Times New Roman" w:hAnsi="Times New Roman" w:cs="Times New Roman"/>
          <w:i w:val="0"/>
          <w:iCs/>
          <w:spacing w:val="-8"/>
          <w:sz w:val="24"/>
          <w:szCs w:val="24"/>
          <w:lang w:val="id-ID"/>
        </w:rPr>
        <w:t>.</w:t>
      </w:r>
    </w:p>
    <w:p w14:paraId="515420F3"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ind w:firstLine="425"/>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lastRenderedPageBreak/>
        <w:fldChar w:fldCharType="begin" w:fldLock="1"/>
      </w:r>
      <w:r w:rsidRPr="00184457">
        <w:rPr>
          <w:rFonts w:ascii="Times New Roman" w:hAnsi="Times New Roman" w:cs="Times New Roman"/>
          <w:i w:val="0"/>
          <w:iCs/>
          <w:spacing w:val="-8"/>
          <w:sz w:val="24"/>
          <w:szCs w:val="24"/>
        </w:rPr>
        <w:instrText>ADDIN CSL_CITATION {"citationItems":[{"id":"ITEM-1","itemData":{"DOI":"10.20473/brpkm.v1i1.26952","abstract":"Stres kerja merupakan permasalahan umum yang diterima pegawai, tetapi bagaimana stres kerja pegawai yang sekarang dihadapkan dengan kondisi pandemi COVID-19 terutama pegawai pada bidang ekonomi seperti Bank. Penelitian ini bertujuan untuk mengetahui apakah terdapat pengaruh work overload dan perceived organizational support dengan job stress di masa pandemi pada pegawai Bank di Surabaya. Pada penelitian ini sebanyak 93 partisipan. Instrumen penelitian yang digunakan job demand oleh Bakker. Perceived organizational support oleh Eisenberger. Sedangkan job stress miliki Cullen. Analisis data menggunakan regresi linear dan multiple regresi dengan aplikasi Jamovi. Hasil penelitian ini menunjukan bahwa work overlaod memiliki pengaruh positif yang signifikan dengan job stress sebesar 18,4%. Sedangkan perceived organizational support memiliki pengaruh yang negatif tidak signifikan dengan job stress overlap 2,04%. Selanjutnya work overload dan perceived organizational support dengan job stress yang didapatkan hasilnya adalah signifikan dengan overlap sebesar 21%. ","author":[{"dropping-particle":"","family":"Maulina","given":"Adinda Reza","non-dropping-particle":"","parse-names":false,"suffix":""},{"dropping-particle":"","family":"Wicaksono","given":"Dimas Aryo","non-dropping-particle":"","parse-names":false,"suffix":""}],"container-title":"Buletin Riset Psikologi dan Kesehatan Mental (BRPKM)","id":"ITEM-1","issued":{"date-parts":[["2021"]]},"title":"Pengaruh Work Overload dan Perceived Organizational Support dengan Job Stress Pegawai Bank di Masa Pandemi","type":"article-journal"},"uris":["http://www.mendeley.com/documents/?uuid=21cd1cb7-045a-4007-ae35-fbeba45dfae2"]}],"mendeley":{"formattedCitation":"(Maulina &amp; Wicaksono, 2021)","manualFormatting":"Maulina &amp; Wicaksono, (2021)","plainTextFormattedCitation":"(Maulina &amp; Wicaksono, 2021)","previouslyFormattedCitation":"(Maulina &amp; Wicaksono, 2021)"},"properties":{"noteIndex":0},"schema":"https://github.com/citation-style-language/schema/raw/master/csl-citation.json"}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Maulina &amp; Wicaksono (2021)</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refer to King's definition of work stress as a state of tension that arises from a psychological and physical imbalance and affects an employee's emotional and cognitive processes, as well as their general well-being. Job stress refers specifically to stress related to work. Based on the above understanding, work stress occurs when employees face challenging situations that can create tension and affect their behavior. Job stress can lead to emotional changes, physical and psychological imbalances, changes in thought processes, and may affect employee performance.</w:t>
      </w:r>
    </w:p>
    <w:p w14:paraId="2380FAAC"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p>
    <w:p w14:paraId="261D5DA5"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Table 4. Work Stress Indicators</w:t>
      </w:r>
    </w:p>
    <w:p w14:paraId="075D6D39" w14:textId="25D2210D"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noProof/>
          <w:sz w:val="24"/>
          <w:szCs w:val="24"/>
        </w:rPr>
        <w:drawing>
          <wp:inline distT="0" distB="0" distL="0" distR="0" wp14:anchorId="46BBD24B" wp14:editId="6FAEF3F6">
            <wp:extent cx="5734050" cy="1062192"/>
            <wp:effectExtent l="0" t="0" r="0" b="5080"/>
            <wp:docPr id="101911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1714" name=""/>
                    <pic:cNvPicPr/>
                  </pic:nvPicPr>
                  <pic:blipFill rotWithShape="1">
                    <a:blip r:embed="rId9"/>
                    <a:srcRect l="13251" t="27995" r="4740" b="15960"/>
                    <a:stretch/>
                  </pic:blipFill>
                  <pic:spPr bwMode="auto">
                    <a:xfrm>
                      <a:off x="0" y="0"/>
                      <a:ext cx="5843890" cy="1082539"/>
                    </a:xfrm>
                    <a:prstGeom prst="rect">
                      <a:avLst/>
                    </a:prstGeom>
                    <a:ln>
                      <a:noFill/>
                    </a:ln>
                    <a:extLst>
                      <a:ext uri="{53640926-AAD7-44D8-BBD7-CCE9431645EC}">
                        <a14:shadowObscured xmlns:a14="http://schemas.microsoft.com/office/drawing/2010/main"/>
                      </a:ext>
                    </a:extLst>
                  </pic:spPr>
                </pic:pic>
              </a:graphicData>
            </a:graphic>
          </wp:inline>
        </w:drawing>
      </w:r>
    </w:p>
    <w:p w14:paraId="2633D742"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Turnover Intentions</w:t>
      </w:r>
    </w:p>
    <w:p w14:paraId="61535D8C" w14:textId="2C855851" w:rsidR="009E7257" w:rsidRPr="00B01D75" w:rsidRDefault="00184457" w:rsidP="00B0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 xml:space="preserve">Desire or intention refers to an individual's inclination or willingness to perform a specific action. Turnover, on the other hand, is when an employee voluntarily leaves their job or moves to a different workplace. Turnover intention, as defined by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{"citationItems":[{"id":"ITEM-1","itemData":{"DOI":"10.1080/23311975.2020.1818998","ISSN":"23311975","abstract":"The competitiveness and sustainability of employees in service and non-service-based organizations continue to trigger scholars’ interest to investigate the related factors. As per the review of literature, there are only a few studies have been conducted on abusive supervision and intrinsic motivation about employee psychological wellbeing and turnover intention. We applied the social exchange theory to abusive supervisors at the workplace. This study, therefore, explores the direct and indirect relationship between abusive supervision on subordinate psychological wellbeing and turnover in service-based organizations. This empirical study employs a quantitative research methodology to establish the mediating influence of intrinsic motivation between the underlying constructs. Out of 300 research questionnaires distributed to full-time employees working in service-based organizations in Pakistan, 225 responses were successful for analysis, and validation was conducted through partial least square structural equation modelling (PLS-SEM). The results of this study demonstrate that abusive supervision (AS) positively impacting on both psychological wellbeing (PWB) and turnover intentions (TI) of the employees. More importantly, intrinsic motivation (IM) is also positively and significantly mediate the relationship between AS and PWB, and AS and TI. The study provides substantial implications to managers and leaders by redesigning existing strategies to promote a feasible culture within the working environment for the employees to improve performance. The current study enhances existing literature on employee wellbeing and human resource management by integrating intrinsic motivation (IM) as a mediation model/concept. Limitations and future research directions have been discussed in the entire paper.","author":[{"dropping-particle":"","family":"Hussain","given":"Kanwal","non-dropping-particle":"","parse-names":false,"suffix":""},{"dropping-particle":"","family":"Abbas","given":"Zuhair","non-dropping-particle":"","parse-names":false,"suffix":""},{"dropping-particle":"","family":"Gulzar","given":"Saba","non-dropping-particle":"","parse-names":false,"suffix":""},{"dropping-particle":"","family":"Jibril","given":"Abdul Bashiru","non-dropping-particle":"","parse-names":false,"suffix":""},{"dropping-particle":"","family":"Hussain","given":"Altaf","non-dropping-particle":"","parse-names":false,"suffix":""}],"container-title":"Cogent Business and Management","id":"ITEM-1","issued":{"date-parts":[["2020"]]},"title":"Examining the impact of abusive supervision on employees’ psychological wellbeing and turnover intention: The mediating role of intrinsic motivation","type":"article-journal"},"uris":["http://www.mendeley.com/documents/?uuid=26d12297-aaca-4fd9-ac09-0be7215e1153"]}],"mendeley":{"formattedCitation":"(K. Hussain et al., 2020)","plainTextFormattedCitation":"(K. Hussain et al., 2020)","previouslyFormattedCitation":"(K. Hussain et al., 2020)"},"properties":{"noteIndex":0},"schema":"https://github.com/citation-style-language/schema/raw/master/csl-citation.json"}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(K. Hussain et al., 2020)</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is the inclination of employees to quit their current jobs. Employee turnover, or simply turnover, is the movement of employees in and out of an organization or company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{"citationItems":[{"id":"ITEM-1","itemData":{"DOI":"10.5267/j.msl.2019.3.001","ISSN":"19239343","abstract":"This study aims at investigating the factors that influence Bank Mandiri employees' turnover intention including work environment, stress, and job satisfaction. This research is expected to be able to find a solution to the problem of increasing turnover intention which could lead to serious problems. The study uses a quantitative method with the Path Analysis model and the resulted model analyzes both direct effect and indirect effects of independent variables on dependent variable. The sample size includes 100 employees of Mandiri Bank who were selected from a population of 430 employees based on purposive random sampling technique. The findings of this research indicate that, work environment had a positive and significant effect on job satisfaction. Second, stress had a negative and significant effect on job satisfaction. Third, work environment had a negative and significant effect on turnover intention. Fourth, stress had a positive and significant effect on turnover intention. Fifth, job satisfaction had a negative and significant effect on turnover intention. Based on these results, work environment, stress, and job satisfaction can be policy tools to reduce turnover intention, which can lead to a decrease in real turnover at Mandiri Bank.","author":[{"dropping-particle":"","family":"Kurniawaty","given":"K.","non-dropping-particle":"","parse-names":false,"suffix":""},{"dropping-particle":"","family":"Ramly","given":"Mansyur","non-dropping-particle":"","parse-names":false,"suffix":""},{"dropping-particle":"","family":"Ramlawati","given":"","non-dropping-particle":"","parse-names":false,"suffix":""}],"container-title":"Management Science Letters","id":"ITEM-1","issued":{"date-parts":[["2019"]]},"title":"The effect of work environment, stress, and job satisfaction on employee turnover intention","type":"article-journal"},"uris":["http://www.mendeley.com/documents/?uuid=192b0d21-a6e0-48d5-bbb6-acb14cd3b9dc"]}],"mendeley":{"formattedCitation":"(Kurniawaty et al., 2019)","plainTextFormattedCitation":"(Kurniawaty et al., 2019)","previouslyFormattedCitation":"(Kurniawaty et al., 2019)"},"properties":{"noteIndex":0},"schema":"https://github.com/citation-style-language/schema/raw/master/csl-citation.json"}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(Kurniawaty et al., 2019)</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According to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{"citationItems":[{"id":"ITEM-1","itemData":{"DOI":"10.5267/j.msl.2019.9.015","ISSN":"19239343","abstract":"Banks in Jordan are facing a crisis related to their employees, where it has recently become clear that employees are leaving their jobs in increasing numbers. Thus, this study examined the impact of the human resources management (HRM) practices (compensation, performance appraisal, promotion, and training &amp; development) on employee's turnover intention and the mediating role of career satisfaction. The survey questionnaire was gathered from 394 employees located in 25 banks in Jordan. The study used PLS-SEM to get the results and examine the hypotheses. The findings indicate that HRM practices (compensation, performance appraisal, promotion, and training &amp; development) negatively impact employees' turnover intention, and career satisfaction partially mediated the relationship between HRM practices (compensation, performance appraisal, promotion, and training &amp; development) and employee's turnover intention. The study recommends that banks in Jordan provide a high compensation, fair performance appraisal, fast promotion systems, sufficient training &amp; development program and high level of career satisfaction to maintain the human element and reduce the employees' turnover intention. Future studies may include other practices such as employee empowerment, teamwork, employment security information sharing, and job description.","author":[{"dropping-particle":"","family":"Aburumman","given":"Omar","non-dropping-particle":"","parse-names":false,"suffix":""},{"dropping-particle":"","family":"Salleh","given":"Ahmad","non-dropping-particle":"","parse-names":false,"suffix":""},{"dropping-particle":"","family":"Omar","given":"Khatijah","non-dropping-particle":"","parse-names":false,"suffix":""},{"dropping-particle":"","family":"Abadi","given":"Mohammad","non-dropping-particle":"","parse-names":false,"suffix":""}],"container-title":"Management Science Letters","id":"ITEM-1","issued":{"date-parts":[["2020"]]},"title":"The impact of human resource management practices and career satisfaction on employee's turnover intention","type":"article-journal"},"uris":["http://www.mendeley.com/documents/?uuid=90afe631-20c0-4dfa-89c0-fb1e1e06f6e1"]}],"mendeley":{"formattedCitation":"(Aburumman et al., 2020)","plainTextFormattedCitation":"(Aburumman et al., 2020)","previouslyFormattedCitation":"(Aburumman et al., 2020)"},"properties":{"noteIndex":0},"schema":"https://github.com/citation-style-language/schema/raw/master/csl-citation.json"}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(Aburumman et al., 2020)</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turnover pertains to the frequency of employees departing from an organization and necessitating the recruitment of new staff. Meanwhile, Mobley et al. (cited by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{"citationItems":[{"id":"ITEM-1","itemData":{"DOI":"10.3390/admsci12030084","ISSN":"20763387","abstract":"This study seeks to provide a more comprehensive understanding of how leaders with coaching skills can affect an individual’s turnover intention through the mediating role of happiness. The sample includes 271 individuals from diverse organizations. Based on a survey, employees assessed their leaders’ coaching skills and reported their own happiness and turnover intention. The findings demonstrate that leaders’ coaching skills have a negative impact on employees’ turnover intention and a positive impact on their happiness, with the latter mediating the relationship between the first two variables. Organizations should note that a leader’s coaching skills are useful not only for the employee’s happiness, but also for avoiding turnover intention; therefore, organizations should encourage leaders to integrate more coaching skills into their leadership styles. The identification of an employee’s happiness as a mediator of the relationship between a leader’s coaching skills and employees’ turnover intention is an original contribution, thereby extending previous research over these topics.","author":[{"dropping-particle":"","family":"Romão","given":"Soraia","non-dropping-particle":"","parse-names":false,"suffix":""},{"dropping-particle":"","family":"Ribeiro","given":"Neuza","non-dropping-particle":"","parse-names":false,"suffix":""},{"dropping-particle":"","family":"Gomes","given":"Daniel Roque","non-dropping-particle":"","parse-names":false,"suffix":""},{"dropping-particle":"","family":"Singh","given":"Sharda","non-dropping-particle":"","parse-names":false,"suffix":""}],"container-title":"Administrative Sciences","id":"ITEM-1","issued":{"date-parts":[["2022"]]},"title":"The Impact of Leaders’ Coaching Skills on Employees’ Happiness and Turnover Intention","type":"article-journal"},"uris":["http://www.mendeley.com/documents/?uuid=f937958b-246b-4507-965b-ef60276c24a9"]}],"mendeley":{"formattedCitation":"(Romão et al., 2022)","plainTextFormattedCitation":"(Romão et al., 2022)"},"properties":{"noteIndex":0},"schema":"https://github.com/citation-style-language/schema/raw/master/csl-citation.json"}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noProof/>
          <w:spacing w:val="-8"/>
          <w:sz w:val="24"/>
          <w:szCs w:val="24"/>
        </w:rPr>
        <w:t>(Romão et al., 2022)</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xml:space="preserve">) define turnover intention as the desire or tendency of employees to voluntarily leave their jobs or move to another workplace of their choosing. The intention to leave a company, also known as turnover intentions, represents the extent to which an employee wishes to quit their current organization. There can be various factors leading to such intentions, including the pursuit of better job opportunities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{"citationItems":[{"id":"ITEM-1","itemData":{"DOI":"10.1108/IJIF-01-2021-0008","ISSN":"22894365","abstract":"Purpose: The research aims to test the links amongst Meyer and Allen's three levels of organisational commitment and the commitment's effect on reducing turnover intentions for Islamic bank (IB) employees during the lockdown caused by coronavirus disease (COVID-19). Design/methodology/approach: The research follows a variable-centred approach. Primary data are collected through a survey of 324 respondents comprising IB employees from three Arab countries, notably the United Arab Emirates (UAE), Lebanon and Oman. Exploratory factor analysis (EFA) and Cronbach's alpha test are conducted to test the construct validity, reliability and internal consistency of collected data. Descriptive statistics are used to interpret the data. Zero-order correlations, multiple regression analysis and Fisher's Z-test are applied to assess the interrelations of the various groups of variables and the determinants of turnover intentions. Findings: Results show that there is a high level of significant intercorrelation amongst affective, normative and continuance commitments as well as amongst organisational commitment, individual differences and turnover intentions for IB employees from the three studied Arab countries. The results confirmed that turnover intentions are minimised in the presence of all three organisational commitment subscales and that individual differences amongst IB employees and organisational efficiency moderate the relationship between organisational commitment and turnover intentions. Originality/value: There is no empirical work that has been done on the determinants of turnover intentions amongst IB employees during the lockdown. This is valuable to organisational behaviour scholars and practitioners who are interested in the role that organisational commitment plays in IB's employment behaviour.","author":[{"dropping-particle":"","family":"Serhan","given":"Carole","non-dropping-particle":"","parse-names":false,"suffix":""},{"dropping-particle":"","family":"Nehmeh","given":"Nehmeh","non-dropping-particle":"","parse-names":false,"suffix":""},{"dropping-particle":"","family":"Sioufi","given":"Ibrahim","non-dropping-particle":"","parse-names":false,"suffix":""}],"container-title":"ISRA International Journal of Islamic Finance","id":"ITEM-1","issued":{"date-parts":[["2022"]]},"title":"Assessing the effect of organisational commitment on turnover intentions amongst Islamic bank employees","type":"article-journal"},"uris":["http://www.mendeley.com/documents/?uuid=ea0b1b9d-8fca-4b80-b2c1-5d617724e253"]}],"mendeley":{"formattedCitation":"(Serhan et al., 2022)","plainTextFormattedCitation":"(Serhan et al., 2022)","previouslyFormattedCitation":"(Serhan et al., 2022)"},"properties":{"noteIndex":0},"schema":"https://github.com/citation-style-language/schema/raw/master/csl-citation.json"}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spacing w:val="-8"/>
          <w:sz w:val="24"/>
          <w:szCs w:val="24"/>
        </w:rPr>
        <w:t>(Serhan et al., 2022)</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w:t>
      </w:r>
    </w:p>
    <w:p w14:paraId="285677B9" w14:textId="212D48ED"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Table 5. Turnover Indicators</w:t>
      </w:r>
    </w:p>
    <w:p w14:paraId="45992E80" w14:textId="5013C615" w:rsidR="00184457" w:rsidRPr="009E7257" w:rsidRDefault="001844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i w:val="0"/>
          <w:iCs/>
          <w:spacing w:val="-8"/>
          <w:sz w:val="24"/>
          <w:szCs w:val="24"/>
        </w:rPr>
      </w:pPr>
      <w:r w:rsidRPr="00184457">
        <w:rPr>
          <w:rFonts w:ascii="Times New Roman" w:hAnsi="Times New Roman" w:cs="Times New Roman"/>
          <w:i w:val="0"/>
          <w:iCs/>
          <w:noProof/>
          <w:sz w:val="24"/>
          <w:szCs w:val="24"/>
        </w:rPr>
        <w:drawing>
          <wp:inline distT="0" distB="0" distL="0" distR="0" wp14:anchorId="68745263" wp14:editId="7E605116">
            <wp:extent cx="5138737" cy="1207770"/>
            <wp:effectExtent l="0" t="0" r="5080" b="0"/>
            <wp:docPr id="1684330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30610" name=""/>
                    <pic:cNvPicPr/>
                  </pic:nvPicPr>
                  <pic:blipFill rotWithShape="1">
                    <a:blip r:embed="rId10"/>
                    <a:srcRect l="13975" t="42362" r="35624" b="17719"/>
                    <a:stretch/>
                  </pic:blipFill>
                  <pic:spPr bwMode="auto">
                    <a:xfrm>
                      <a:off x="0" y="0"/>
                      <a:ext cx="5178770" cy="1217179"/>
                    </a:xfrm>
                    <a:prstGeom prst="rect">
                      <a:avLst/>
                    </a:prstGeom>
                    <a:ln>
                      <a:noFill/>
                    </a:ln>
                    <a:extLst>
                      <a:ext uri="{53640926-AAD7-44D8-BBD7-CCE9431645EC}">
                        <a14:shadowObscured xmlns:a14="http://schemas.microsoft.com/office/drawing/2010/main"/>
                      </a:ext>
                    </a:extLst>
                  </pic:spPr>
                </pic:pic>
              </a:graphicData>
            </a:graphic>
          </wp:inline>
        </w:drawing>
      </w:r>
    </w:p>
    <w:p w14:paraId="32013C11" w14:textId="77777777" w:rsidR="00B01D75" w:rsidRDefault="00B01D75">
      <w:pPr>
        <w:spacing w:after="120" w:line="240" w:lineRule="auto"/>
        <w:jc w:val="both"/>
        <w:rPr>
          <w:rFonts w:ascii="Times New Roman" w:eastAsia="Times New Roman" w:hAnsi="Times New Roman" w:cs="Times New Roman"/>
          <w:b/>
          <w:i w:val="0"/>
          <w:sz w:val="24"/>
          <w:szCs w:val="24"/>
        </w:rPr>
      </w:pPr>
    </w:p>
    <w:p w14:paraId="58B11CB6" w14:textId="3404AA2C"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39B7B897" w14:textId="77777777" w:rsidR="00184457" w:rsidRPr="00184457" w:rsidRDefault="00184457" w:rsidP="00184457">
      <w:pPr>
        <w:spacing w:after="0" w:line="240" w:lineRule="auto"/>
        <w:jc w:val="both"/>
        <w:rPr>
          <w:rFonts w:ascii="Times New Roman" w:hAnsi="Times New Roman" w:cs="Times New Roman"/>
          <w:b/>
          <w:bCs/>
          <w:i w:val="0"/>
          <w:iCs/>
          <w:sz w:val="24"/>
          <w:szCs w:val="24"/>
        </w:rPr>
      </w:pPr>
      <w:r w:rsidRPr="00184457">
        <w:rPr>
          <w:rFonts w:ascii="Times New Roman" w:hAnsi="Times New Roman" w:cs="Times New Roman"/>
          <w:b/>
          <w:bCs/>
          <w:i w:val="0"/>
          <w:iCs/>
          <w:sz w:val="24"/>
          <w:szCs w:val="24"/>
        </w:rPr>
        <w:t>Study Design</w:t>
      </w:r>
    </w:p>
    <w:p w14:paraId="58313E3D"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lastRenderedPageBreak/>
        <w:t>The study utilized quantitative techniques to test a pre-existing hypothesis. This approach involves collecting numerical data through a questionnaire to measure the variables under investigation.</w:t>
      </w:r>
    </w:p>
    <w:p w14:paraId="742D8BA4"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p>
    <w:p w14:paraId="1252F87C"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t>Research Subject</w:t>
      </w:r>
    </w:p>
    <w:p w14:paraId="141361B9"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The research subject of this study is the employees of private bank in Sorong, West Papua, Indonesia. The participants was taken by the simple random sampling and gained 120 private bank employees who participated for this study.</w:t>
      </w:r>
    </w:p>
    <w:p w14:paraId="4698C448"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p>
    <w:p w14:paraId="6DAEE255" w14:textId="77777777" w:rsidR="00184457" w:rsidRPr="00184457" w:rsidRDefault="00184457" w:rsidP="00184457">
      <w:pPr>
        <w:spacing w:after="0" w:line="240" w:lineRule="auto"/>
        <w:ind w:left="-5" w:hanging="10"/>
        <w:jc w:val="both"/>
        <w:rPr>
          <w:rFonts w:ascii="Times New Roman" w:hAnsi="Times New Roman" w:cs="Times New Roman"/>
          <w:b/>
          <w:bCs/>
          <w:i w:val="0"/>
          <w:iCs/>
          <w:sz w:val="24"/>
          <w:szCs w:val="24"/>
        </w:rPr>
      </w:pPr>
      <w:r w:rsidRPr="00184457">
        <w:rPr>
          <w:rFonts w:ascii="Times New Roman" w:hAnsi="Times New Roman" w:cs="Times New Roman"/>
          <w:b/>
          <w:bCs/>
          <w:i w:val="0"/>
          <w:iCs/>
          <w:sz w:val="24"/>
          <w:szCs w:val="24"/>
        </w:rPr>
        <w:t>Data Collected Method</w:t>
      </w:r>
    </w:p>
    <w:p w14:paraId="6F6E6DCB" w14:textId="3F607BFB"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184457">
        <w:rPr>
          <w:rFonts w:ascii="Times New Roman" w:hAnsi="Times New Roman" w:cs="Times New Roman"/>
          <w:i w:val="0"/>
          <w:iCs/>
          <w:sz w:val="24"/>
          <w:szCs w:val="24"/>
        </w:rPr>
        <w:t>The data for this research was collected through questionnaire instrument which indicators are gained from credible sources. The indicators of each variable is in the following.</w:t>
      </w:r>
    </w:p>
    <w:p w14:paraId="29CC0340" w14:textId="77777777" w:rsidR="00184457" w:rsidRDefault="00184457" w:rsidP="00184457">
      <w:pPr>
        <w:jc w:val="both"/>
        <w:rPr>
          <w:rFonts w:ascii="Times New Roman" w:hAnsi="Times New Roman" w:cs="Times New Roman"/>
          <w:b/>
          <w:bCs/>
          <w:i w:val="0"/>
          <w:iCs/>
          <w:sz w:val="24"/>
          <w:szCs w:val="24"/>
        </w:rPr>
      </w:pPr>
    </w:p>
    <w:p w14:paraId="7248F8B3" w14:textId="77777777" w:rsidR="00184457" w:rsidRDefault="00184457" w:rsidP="00184457">
      <w:pPr>
        <w:jc w:val="both"/>
        <w:rPr>
          <w:rFonts w:ascii="Times New Roman" w:hAnsi="Times New Roman" w:cs="Times New Roman"/>
          <w:b/>
          <w:bCs/>
          <w:i w:val="0"/>
          <w:iCs/>
          <w:sz w:val="24"/>
          <w:szCs w:val="24"/>
        </w:rPr>
      </w:pPr>
    </w:p>
    <w:p w14:paraId="01792842" w14:textId="77777777" w:rsidR="00184457" w:rsidRDefault="00184457" w:rsidP="00184457">
      <w:pPr>
        <w:jc w:val="both"/>
        <w:rPr>
          <w:rFonts w:ascii="Times New Roman" w:hAnsi="Times New Roman" w:cs="Times New Roman"/>
          <w:b/>
          <w:bCs/>
          <w:i w:val="0"/>
          <w:iCs/>
          <w:sz w:val="24"/>
          <w:szCs w:val="24"/>
        </w:rPr>
      </w:pPr>
    </w:p>
    <w:p w14:paraId="3E51833B" w14:textId="77777777" w:rsidR="00184457" w:rsidRDefault="00184457" w:rsidP="00184457">
      <w:pPr>
        <w:jc w:val="both"/>
        <w:rPr>
          <w:rFonts w:ascii="Times New Roman" w:hAnsi="Times New Roman" w:cs="Times New Roman"/>
          <w:b/>
          <w:bCs/>
          <w:i w:val="0"/>
          <w:iCs/>
          <w:sz w:val="24"/>
          <w:szCs w:val="24"/>
        </w:rPr>
      </w:pPr>
    </w:p>
    <w:p w14:paraId="00A9A197" w14:textId="77777777" w:rsidR="00184457" w:rsidRDefault="00184457" w:rsidP="00184457">
      <w:pPr>
        <w:jc w:val="both"/>
        <w:rPr>
          <w:rFonts w:ascii="Times New Roman" w:hAnsi="Times New Roman" w:cs="Times New Roman"/>
          <w:b/>
          <w:bCs/>
          <w:i w:val="0"/>
          <w:iCs/>
          <w:sz w:val="24"/>
          <w:szCs w:val="24"/>
        </w:rPr>
      </w:pPr>
    </w:p>
    <w:p w14:paraId="15B87873" w14:textId="77777777" w:rsidR="00184457" w:rsidRDefault="00184457" w:rsidP="00184457">
      <w:pPr>
        <w:jc w:val="both"/>
        <w:rPr>
          <w:rFonts w:ascii="Times New Roman" w:hAnsi="Times New Roman" w:cs="Times New Roman"/>
          <w:b/>
          <w:bCs/>
          <w:i w:val="0"/>
          <w:iCs/>
          <w:sz w:val="24"/>
          <w:szCs w:val="24"/>
        </w:rPr>
      </w:pPr>
    </w:p>
    <w:p w14:paraId="30F34D4A" w14:textId="77777777" w:rsidR="00184457" w:rsidRDefault="00184457" w:rsidP="00184457">
      <w:pPr>
        <w:jc w:val="both"/>
        <w:rPr>
          <w:rFonts w:ascii="Times New Roman" w:hAnsi="Times New Roman" w:cs="Times New Roman"/>
          <w:b/>
          <w:bCs/>
          <w:i w:val="0"/>
          <w:iCs/>
          <w:sz w:val="24"/>
          <w:szCs w:val="24"/>
        </w:rPr>
      </w:pPr>
    </w:p>
    <w:p w14:paraId="00AEE327" w14:textId="77777777" w:rsidR="00184457" w:rsidRDefault="00184457" w:rsidP="00184457">
      <w:pPr>
        <w:jc w:val="both"/>
        <w:rPr>
          <w:rFonts w:ascii="Times New Roman" w:hAnsi="Times New Roman" w:cs="Times New Roman"/>
          <w:b/>
          <w:bCs/>
          <w:i w:val="0"/>
          <w:iCs/>
          <w:sz w:val="24"/>
          <w:szCs w:val="24"/>
        </w:rPr>
      </w:pPr>
    </w:p>
    <w:p w14:paraId="3562B180" w14:textId="77777777" w:rsidR="00184457" w:rsidRDefault="00184457" w:rsidP="00184457">
      <w:pPr>
        <w:jc w:val="both"/>
        <w:rPr>
          <w:rFonts w:ascii="Times New Roman" w:hAnsi="Times New Roman" w:cs="Times New Roman"/>
          <w:b/>
          <w:bCs/>
          <w:i w:val="0"/>
          <w:iCs/>
          <w:sz w:val="24"/>
          <w:szCs w:val="24"/>
        </w:rPr>
      </w:pPr>
    </w:p>
    <w:p w14:paraId="0DA0B613" w14:textId="77777777" w:rsidR="00184457" w:rsidRDefault="00184457" w:rsidP="00184457">
      <w:pPr>
        <w:jc w:val="both"/>
        <w:rPr>
          <w:rFonts w:ascii="Times New Roman" w:hAnsi="Times New Roman" w:cs="Times New Roman"/>
          <w:b/>
          <w:bCs/>
          <w:i w:val="0"/>
          <w:iCs/>
          <w:sz w:val="24"/>
          <w:szCs w:val="24"/>
        </w:rPr>
      </w:pPr>
    </w:p>
    <w:p w14:paraId="1744405C" w14:textId="77777777" w:rsidR="00184457" w:rsidRDefault="00184457" w:rsidP="00184457">
      <w:pPr>
        <w:jc w:val="both"/>
        <w:rPr>
          <w:rFonts w:ascii="Times New Roman" w:hAnsi="Times New Roman" w:cs="Times New Roman"/>
          <w:b/>
          <w:bCs/>
          <w:i w:val="0"/>
          <w:iCs/>
          <w:sz w:val="24"/>
          <w:szCs w:val="24"/>
        </w:rPr>
      </w:pPr>
    </w:p>
    <w:p w14:paraId="02AAE433" w14:textId="77777777" w:rsidR="009E7257" w:rsidRDefault="009E7257" w:rsidP="00184457">
      <w:pPr>
        <w:jc w:val="both"/>
        <w:rPr>
          <w:rFonts w:ascii="Times New Roman" w:hAnsi="Times New Roman" w:cs="Times New Roman"/>
          <w:b/>
          <w:bCs/>
          <w:i w:val="0"/>
          <w:iCs/>
          <w:sz w:val="24"/>
          <w:szCs w:val="24"/>
        </w:rPr>
      </w:pPr>
    </w:p>
    <w:p w14:paraId="568EA230" w14:textId="77777777" w:rsidR="009E7257" w:rsidRDefault="009E7257" w:rsidP="00184457">
      <w:pPr>
        <w:jc w:val="both"/>
        <w:rPr>
          <w:rFonts w:ascii="Times New Roman" w:hAnsi="Times New Roman" w:cs="Times New Roman"/>
          <w:b/>
          <w:bCs/>
          <w:i w:val="0"/>
          <w:iCs/>
          <w:sz w:val="24"/>
          <w:szCs w:val="24"/>
        </w:rPr>
      </w:pPr>
    </w:p>
    <w:p w14:paraId="27B78484" w14:textId="77777777" w:rsidR="00B01D75" w:rsidRDefault="00B01D75" w:rsidP="00184457">
      <w:pPr>
        <w:jc w:val="both"/>
        <w:rPr>
          <w:rFonts w:ascii="Times New Roman" w:hAnsi="Times New Roman" w:cs="Times New Roman"/>
          <w:b/>
          <w:bCs/>
          <w:i w:val="0"/>
          <w:iCs/>
          <w:sz w:val="24"/>
          <w:szCs w:val="24"/>
        </w:rPr>
      </w:pPr>
    </w:p>
    <w:p w14:paraId="7428ED6B" w14:textId="77777777" w:rsidR="00B01D75" w:rsidRDefault="00B01D75" w:rsidP="00184457">
      <w:pPr>
        <w:jc w:val="both"/>
        <w:rPr>
          <w:rFonts w:ascii="Times New Roman" w:hAnsi="Times New Roman" w:cs="Times New Roman"/>
          <w:b/>
          <w:bCs/>
          <w:i w:val="0"/>
          <w:iCs/>
          <w:sz w:val="24"/>
          <w:szCs w:val="24"/>
        </w:rPr>
      </w:pPr>
    </w:p>
    <w:p w14:paraId="7EE2691E" w14:textId="77777777" w:rsidR="00B01D75" w:rsidRDefault="00B01D75" w:rsidP="00184457">
      <w:pPr>
        <w:jc w:val="both"/>
        <w:rPr>
          <w:rFonts w:ascii="Times New Roman" w:hAnsi="Times New Roman" w:cs="Times New Roman"/>
          <w:b/>
          <w:bCs/>
          <w:i w:val="0"/>
          <w:iCs/>
          <w:sz w:val="24"/>
          <w:szCs w:val="24"/>
        </w:rPr>
      </w:pPr>
    </w:p>
    <w:p w14:paraId="2478CEAF" w14:textId="77777777" w:rsidR="00B01D75" w:rsidRDefault="00B01D75" w:rsidP="00184457">
      <w:pPr>
        <w:jc w:val="both"/>
        <w:rPr>
          <w:rFonts w:ascii="Times New Roman" w:hAnsi="Times New Roman" w:cs="Times New Roman"/>
          <w:b/>
          <w:bCs/>
          <w:i w:val="0"/>
          <w:iCs/>
          <w:sz w:val="24"/>
          <w:szCs w:val="24"/>
        </w:rPr>
      </w:pPr>
    </w:p>
    <w:p w14:paraId="475B9859" w14:textId="77777777" w:rsidR="00B01D75" w:rsidRDefault="00B01D75" w:rsidP="00184457">
      <w:pPr>
        <w:jc w:val="both"/>
        <w:rPr>
          <w:rFonts w:ascii="Times New Roman" w:hAnsi="Times New Roman" w:cs="Times New Roman"/>
          <w:b/>
          <w:bCs/>
          <w:i w:val="0"/>
          <w:iCs/>
          <w:sz w:val="24"/>
          <w:szCs w:val="24"/>
        </w:rPr>
      </w:pPr>
    </w:p>
    <w:p w14:paraId="7A76EA45" w14:textId="499DD75B" w:rsidR="00184457" w:rsidRPr="00184457" w:rsidRDefault="00184457" w:rsidP="00184457">
      <w:pPr>
        <w:jc w:val="both"/>
        <w:rPr>
          <w:rFonts w:ascii="Times New Roman" w:hAnsi="Times New Roman" w:cs="Times New Roman"/>
          <w:b/>
          <w:bCs/>
          <w:i w:val="0"/>
          <w:iCs/>
          <w:sz w:val="24"/>
          <w:szCs w:val="24"/>
        </w:rPr>
      </w:pPr>
      <w:r w:rsidRPr="00184457">
        <w:rPr>
          <w:rFonts w:ascii="Times New Roman" w:hAnsi="Times New Roman" w:cs="Times New Roman"/>
          <w:b/>
          <w:bCs/>
          <w:i w:val="0"/>
          <w:iCs/>
          <w:sz w:val="24"/>
          <w:szCs w:val="24"/>
        </w:rPr>
        <w:t>Operational Definition</w:t>
      </w:r>
    </w:p>
    <w:p w14:paraId="3F065E11"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b/>
          <w:bCs/>
          <w:i w:val="0"/>
          <w:iCs/>
          <w:spacing w:val="-8"/>
          <w:sz w:val="24"/>
          <w:szCs w:val="24"/>
        </w:rPr>
        <w:lastRenderedPageBreak/>
        <w:t>Table 6. Operational Definition</w:t>
      </w:r>
    </w:p>
    <w:p w14:paraId="06D0EDED" w14:textId="38F102A6" w:rsidR="00184457" w:rsidRPr="009E7257" w:rsidRDefault="001844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jc w:val="center"/>
        <w:rPr>
          <w:rFonts w:ascii="Times New Roman" w:hAnsi="Times New Roman" w:cs="Times New Roman"/>
          <w:b/>
          <w:bCs/>
          <w:i w:val="0"/>
          <w:iCs/>
          <w:spacing w:val="-8"/>
          <w:sz w:val="24"/>
          <w:szCs w:val="24"/>
        </w:rPr>
      </w:pPr>
      <w:r w:rsidRPr="00184457">
        <w:rPr>
          <w:rFonts w:ascii="Times New Roman" w:hAnsi="Times New Roman" w:cs="Times New Roman"/>
          <w:i w:val="0"/>
          <w:iCs/>
          <w:noProof/>
          <w:sz w:val="24"/>
          <w:szCs w:val="24"/>
        </w:rPr>
        <w:drawing>
          <wp:inline distT="0" distB="0" distL="0" distR="0" wp14:anchorId="6D91940A" wp14:editId="68DA8D7D">
            <wp:extent cx="4157662" cy="7585582"/>
            <wp:effectExtent l="0" t="0" r="0" b="0"/>
            <wp:docPr id="5451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6144" name=""/>
                    <pic:cNvPicPr/>
                  </pic:nvPicPr>
                  <pic:blipFill rotWithShape="1">
                    <a:blip r:embed="rId11"/>
                    <a:srcRect l="53714" t="15524" r="32335" b="12608"/>
                    <a:stretch/>
                  </pic:blipFill>
                  <pic:spPr bwMode="auto">
                    <a:xfrm>
                      <a:off x="0" y="0"/>
                      <a:ext cx="4215858" cy="7691760"/>
                    </a:xfrm>
                    <a:prstGeom prst="rect">
                      <a:avLst/>
                    </a:prstGeom>
                    <a:ln>
                      <a:noFill/>
                    </a:ln>
                    <a:extLst>
                      <a:ext uri="{53640926-AAD7-44D8-BBD7-CCE9431645EC}">
                        <a14:shadowObscured xmlns:a14="http://schemas.microsoft.com/office/drawing/2010/main"/>
                      </a:ext>
                    </a:extLst>
                  </pic:spPr>
                </pic:pic>
              </a:graphicData>
            </a:graphic>
          </wp:inline>
        </w:drawing>
      </w:r>
    </w:p>
    <w:p w14:paraId="184458F8" w14:textId="77777777" w:rsidR="00184457" w:rsidRPr="00184457" w:rsidRDefault="00184457" w:rsidP="00184457">
      <w:pPr>
        <w:ind w:left="-5" w:hanging="10"/>
        <w:jc w:val="both"/>
        <w:rPr>
          <w:rFonts w:ascii="Times New Roman" w:hAnsi="Times New Roman" w:cs="Times New Roman"/>
          <w:b/>
          <w:bCs/>
          <w:i w:val="0"/>
          <w:iCs/>
          <w:sz w:val="24"/>
          <w:szCs w:val="24"/>
        </w:rPr>
      </w:pPr>
      <w:r w:rsidRPr="00184457">
        <w:rPr>
          <w:rFonts w:ascii="Times New Roman" w:hAnsi="Times New Roman" w:cs="Times New Roman"/>
          <w:b/>
          <w:bCs/>
          <w:i w:val="0"/>
          <w:iCs/>
          <w:sz w:val="24"/>
          <w:szCs w:val="24"/>
        </w:rPr>
        <w:t>Data Analysis Method</w:t>
      </w:r>
    </w:p>
    <w:p w14:paraId="1115DA98"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lastRenderedPageBreak/>
        <w:t xml:space="preserve">Smart Partial Least Squares (PLS) was used to conduct a structural analysis of the Equation Model int his study </w:t>
      </w:r>
      <w:r w:rsidRPr="00184457">
        <w:rPr>
          <w:rFonts w:ascii="Times New Roman" w:hAnsi="Times New Roman" w:cs="Times New Roman"/>
          <w:i w:val="0"/>
          <w:iCs/>
          <w:spacing w:val="-8"/>
          <w:sz w:val="24"/>
          <w:szCs w:val="24"/>
        </w:rPr>
        <w:fldChar w:fldCharType="begin" w:fldLock="1"/>
      </w:r>
      <w:r w:rsidRPr="00184457">
        <w:rPr>
          <w:rFonts w:ascii="Times New Roman" w:hAnsi="Times New Roman" w:cs="Times New Roman"/>
          <w:i w:val="0"/>
          <w:iCs/>
          <w:spacing w:val="-8"/>
          <w:sz w:val="24"/>
          <w:szCs w:val="24"/>
        </w:rPr>
        <w:instrText>ADDIN CSL_CITATION {"citationItems":[{"id":"ITEM-1","itemData":{"abstract":"Econometric Analysisi, 6/eserves as a bridge between an introduction to the field of econometrics and the professional literature for social scientists and other professionals in the field of social sciences, focusing on applied econometrics and theoretical background. This book provides a broad survey of the field of econometrics that allows the reader to move from here to practice in one or more specialized areas. At the same time, the reader will gain an appreciation of the common foundation of all the fields presented and use the tools they employ.This book gives space to a wide range of topics including basic econometrics, Classical, Bayesian, GMM, and Maximum likelihood, and gives special emphasis to new topics such a time series and panels.For social scientists and other professionals in the field who want a thorough introduction to applied econometrics that will prepare them for advanced study and practice in the field.","author":[{"dropping-particle":"","family":"Ghozali","given":"Imam","non-dropping-particle":"","parse-names":false,"suffix":""}],"container-title":"Semarang, Universitas Diponegoro","id":"ITEM-1","issued":{"date-parts":[["2018"]]},"title":"Aplikasi Analisis Multivariate Dengan Program IBM SPSS 25 (Sembilan)","type":"book"},"uris":["http://www.mendeley.com/documents/?uuid=3ede919e-f517-4f23-9188-e461c00ec557"]}],"mendeley":{"formattedCitation":"(Ghozali, 2018)","plainTextFormattedCitation":"(Ghozali, 2018)","previouslyFormattedCitation":"(Ghozali, 2018)"},"properties":{"noteIndex":0},"schema":"https://github.com/citation-style-language/schema/raw/master/csl-citation.json"}</w:instrText>
      </w:r>
      <w:r w:rsidRPr="00184457">
        <w:rPr>
          <w:rFonts w:ascii="Times New Roman" w:hAnsi="Times New Roman" w:cs="Times New Roman"/>
          <w:i w:val="0"/>
          <w:iCs/>
          <w:spacing w:val="-8"/>
          <w:sz w:val="24"/>
          <w:szCs w:val="24"/>
        </w:rPr>
        <w:fldChar w:fldCharType="separate"/>
      </w:r>
      <w:r w:rsidRPr="00184457">
        <w:rPr>
          <w:rFonts w:ascii="Times New Roman" w:hAnsi="Times New Roman" w:cs="Times New Roman"/>
          <w:i w:val="0"/>
          <w:iCs/>
          <w:spacing w:val="-8"/>
          <w:sz w:val="24"/>
          <w:szCs w:val="24"/>
        </w:rPr>
        <w:t>(Ghozali, 2018)</w:t>
      </w:r>
      <w:r w:rsidRPr="00184457">
        <w:rPr>
          <w:rFonts w:ascii="Times New Roman" w:hAnsi="Times New Roman" w:cs="Times New Roman"/>
          <w:i w:val="0"/>
          <w:iCs/>
          <w:spacing w:val="-8"/>
          <w:sz w:val="24"/>
          <w:szCs w:val="24"/>
        </w:rPr>
        <w:fldChar w:fldCharType="end"/>
      </w:r>
      <w:r w:rsidRPr="00184457">
        <w:rPr>
          <w:rFonts w:ascii="Times New Roman" w:hAnsi="Times New Roman" w:cs="Times New Roman"/>
          <w:i w:val="0"/>
          <w:iCs/>
          <w:spacing w:val="-8"/>
          <w:sz w:val="24"/>
          <w:szCs w:val="24"/>
        </w:rPr>
        <w:t>. The aspects of SEM model is indicated (1) outer model analysis (validity &amp; reliability test); (2) r-square; (3) inner model analysis or hypothesis test.</w:t>
      </w:r>
    </w:p>
    <w:p w14:paraId="0E6FAB0D" w14:textId="77777777" w:rsidR="00184457" w:rsidRPr="00184457" w:rsidRDefault="00184457" w:rsidP="00184457">
      <w:pPr>
        <w:pStyle w:val="DaftarParagraf"/>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Ha: t-statistic &gt; 1.96 with p-values &lt; 0.05, indicating that the hypothesis is accepted.</w:t>
      </w:r>
    </w:p>
    <w:p w14:paraId="6D01BD2E" w14:textId="77777777" w:rsidR="00184457" w:rsidRPr="00184457" w:rsidRDefault="00184457" w:rsidP="00184457">
      <w:pPr>
        <w:pStyle w:val="DaftarParagraf"/>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i w:val="0"/>
          <w:iCs/>
          <w:spacing w:val="-8"/>
          <w:sz w:val="24"/>
          <w:szCs w:val="24"/>
        </w:rPr>
      </w:pPr>
      <w:r w:rsidRPr="00184457">
        <w:rPr>
          <w:rFonts w:ascii="Times New Roman" w:hAnsi="Times New Roman" w:cs="Times New Roman"/>
          <w:i w:val="0"/>
          <w:iCs/>
          <w:spacing w:val="-8"/>
          <w:sz w:val="24"/>
          <w:szCs w:val="24"/>
        </w:rPr>
        <w:t>H0: t-statistic &lt; 1.96 with p-values &gt; 0.05, indicating that the hypothesis is rejected.</w:t>
      </w:r>
    </w:p>
    <w:p w14:paraId="76C37509"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lang w:eastAsia="id-ID"/>
        </w:rPr>
      </w:pPr>
    </w:p>
    <w:p w14:paraId="656C47D8"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val="0"/>
          <w:iCs/>
          <w:spacing w:val="-8"/>
          <w:sz w:val="24"/>
          <w:szCs w:val="24"/>
          <w:lang w:eastAsia="id-ID"/>
        </w:rPr>
      </w:pPr>
      <w:r w:rsidRPr="00184457">
        <w:rPr>
          <w:rFonts w:ascii="Times New Roman" w:hAnsi="Times New Roman" w:cs="Times New Roman"/>
          <w:i w:val="0"/>
          <w:iCs/>
          <w:noProof/>
          <w:sz w:val="24"/>
          <w:szCs w:val="24"/>
        </w:rPr>
        <w:drawing>
          <wp:inline distT="0" distB="0" distL="0" distR="0" wp14:anchorId="003044B5" wp14:editId="76567D3D">
            <wp:extent cx="4819650" cy="22479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669"/>
                    <a:stretch/>
                  </pic:blipFill>
                  <pic:spPr bwMode="auto">
                    <a:xfrm>
                      <a:off x="0" y="0"/>
                      <a:ext cx="4850488" cy="2262283"/>
                    </a:xfrm>
                    <a:prstGeom prst="rect">
                      <a:avLst/>
                    </a:prstGeom>
                    <a:noFill/>
                    <a:ln>
                      <a:noFill/>
                    </a:ln>
                    <a:extLst>
                      <a:ext uri="{53640926-AAD7-44D8-BBD7-CCE9431645EC}">
                        <a14:shadowObscured xmlns:a14="http://schemas.microsoft.com/office/drawing/2010/main"/>
                      </a:ext>
                    </a:extLst>
                  </pic:spPr>
                </pic:pic>
              </a:graphicData>
            </a:graphic>
          </wp:inline>
        </w:drawing>
      </w:r>
    </w:p>
    <w:p w14:paraId="074DFB94" w14:textId="333FFE2F" w:rsidR="00C30A1A" w:rsidRPr="00184457" w:rsidRDefault="00C30A1A" w:rsidP="00C30A1A">
      <w:pPr>
        <w:ind w:left="2160" w:firstLine="720"/>
        <w:jc w:val="both"/>
        <w:rPr>
          <w:rFonts w:ascii="Times New Roman" w:hAnsi="Times New Roman" w:cs="Times New Roman"/>
          <w:b/>
          <w:bCs/>
          <w:i w:val="0"/>
          <w:iCs/>
          <w:sz w:val="24"/>
          <w:szCs w:val="24"/>
        </w:rPr>
      </w:pPr>
      <w:proofErr w:type="spellStart"/>
      <w:r>
        <w:rPr>
          <w:rFonts w:ascii="Times New Roman" w:hAnsi="Times New Roman" w:cs="Times New Roman"/>
          <w:b/>
          <w:bCs/>
          <w:i w:val="0"/>
          <w:iCs/>
          <w:sz w:val="24"/>
          <w:szCs w:val="24"/>
          <w:lang w:val="id-ID"/>
        </w:rPr>
        <w:t>Figure</w:t>
      </w:r>
      <w:proofErr w:type="spellEnd"/>
      <w:r>
        <w:rPr>
          <w:rFonts w:ascii="Times New Roman" w:hAnsi="Times New Roman" w:cs="Times New Roman"/>
          <w:b/>
          <w:bCs/>
          <w:i w:val="0"/>
          <w:iCs/>
          <w:sz w:val="24"/>
          <w:szCs w:val="24"/>
          <w:lang w:val="id-ID"/>
        </w:rPr>
        <w:t xml:space="preserve"> I. </w:t>
      </w:r>
      <w:r w:rsidRPr="00184457">
        <w:rPr>
          <w:rFonts w:ascii="Times New Roman" w:hAnsi="Times New Roman" w:cs="Times New Roman"/>
          <w:b/>
          <w:bCs/>
          <w:i w:val="0"/>
          <w:iCs/>
          <w:sz w:val="24"/>
          <w:szCs w:val="24"/>
        </w:rPr>
        <w:t xml:space="preserve">Thinking Framework </w:t>
      </w:r>
    </w:p>
    <w:p w14:paraId="060D179E" w14:textId="77777777" w:rsidR="00184457" w:rsidRPr="00184457" w:rsidRDefault="00184457" w:rsidP="001844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lang w:eastAsia="id-ID"/>
        </w:rPr>
      </w:pPr>
    </w:p>
    <w:p w14:paraId="3F4FBC53" w14:textId="77777777" w:rsidR="00184457" w:rsidRPr="00184457" w:rsidRDefault="00184457" w:rsidP="00184457">
      <w:pPr>
        <w:spacing w:after="0" w:line="240" w:lineRule="auto"/>
        <w:jc w:val="both"/>
        <w:rPr>
          <w:rFonts w:ascii="Times New Roman" w:hAnsi="Times New Roman" w:cs="Times New Roman"/>
          <w:i w:val="0"/>
          <w:iCs/>
          <w:sz w:val="24"/>
          <w:szCs w:val="24"/>
        </w:rPr>
      </w:pPr>
      <w:bookmarkStart w:id="3" w:name="_Hlk131583114"/>
      <w:r w:rsidRPr="00184457">
        <w:rPr>
          <w:rFonts w:ascii="Times New Roman" w:hAnsi="Times New Roman" w:cs="Times New Roman"/>
          <w:i w:val="0"/>
          <w:iCs/>
          <w:sz w:val="24"/>
          <w:szCs w:val="24"/>
        </w:rPr>
        <w:t>H1: Work-family conflict affects work stress positively and significantly</w:t>
      </w:r>
    </w:p>
    <w:p w14:paraId="70F89145"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H2: Work overload affects work stress positively and significantly</w:t>
      </w:r>
    </w:p>
    <w:p w14:paraId="0AE9EB19"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H3: Perceived organizational support affects job stress positively and significantly</w:t>
      </w:r>
    </w:p>
    <w:p w14:paraId="4AECC844"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H4: Turnover intentions affects work stress positively and significantly</w:t>
      </w:r>
    </w:p>
    <w:p w14:paraId="78CBBCA8"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H5: Work overload affects turnover intentions positively and significantly</w:t>
      </w:r>
    </w:p>
    <w:p w14:paraId="3B115EB6"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H6: Work-family conflict affects turnover intentions positively and significantly</w:t>
      </w:r>
    </w:p>
    <w:p w14:paraId="246B3254"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H7: Perceived organizational support affects turnover intentions positively and significantly</w:t>
      </w:r>
    </w:p>
    <w:p w14:paraId="3F767B8F"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 xml:space="preserve">H8: Turnover intentions mediate work-family conflict on work stress </w:t>
      </w:r>
    </w:p>
    <w:p w14:paraId="3F6EFBE2" w14:textId="77777777" w:rsidR="00184457" w:rsidRPr="00184457" w:rsidRDefault="00184457" w:rsidP="00184457">
      <w:pPr>
        <w:spacing w:after="0" w:line="240" w:lineRule="auto"/>
        <w:jc w:val="both"/>
        <w:rPr>
          <w:rFonts w:ascii="Times New Roman" w:hAnsi="Times New Roman" w:cs="Times New Roman"/>
          <w:i w:val="0"/>
          <w:iCs/>
          <w:sz w:val="24"/>
          <w:szCs w:val="24"/>
        </w:rPr>
      </w:pPr>
      <w:r w:rsidRPr="00184457">
        <w:rPr>
          <w:rFonts w:ascii="Times New Roman" w:hAnsi="Times New Roman" w:cs="Times New Roman"/>
          <w:i w:val="0"/>
          <w:iCs/>
          <w:sz w:val="24"/>
          <w:szCs w:val="24"/>
        </w:rPr>
        <w:t xml:space="preserve">H9: Turnover intentions mediate work overload on work stress </w:t>
      </w:r>
    </w:p>
    <w:p w14:paraId="7335380F" w14:textId="10FF73C6" w:rsidR="00184457" w:rsidRPr="009E7257" w:rsidRDefault="00184457" w:rsidP="009E7257">
      <w:pPr>
        <w:jc w:val="both"/>
        <w:rPr>
          <w:rFonts w:ascii="Times New Roman" w:hAnsi="Times New Roman" w:cs="Times New Roman"/>
          <w:i w:val="0"/>
          <w:iCs/>
          <w:sz w:val="24"/>
          <w:szCs w:val="24"/>
        </w:rPr>
      </w:pPr>
      <w:r w:rsidRPr="00184457">
        <w:rPr>
          <w:rFonts w:ascii="Times New Roman" w:hAnsi="Times New Roman" w:cs="Times New Roman"/>
          <w:i w:val="0"/>
          <w:iCs/>
          <w:sz w:val="24"/>
          <w:szCs w:val="24"/>
        </w:rPr>
        <w:t>H10: Turnover intentions mediate perceived organizational support on work</w:t>
      </w:r>
      <w:bookmarkEnd w:id="3"/>
    </w:p>
    <w:p w14:paraId="11FB57DA" w14:textId="3E2A090B" w:rsidR="00A007C9" w:rsidRDefault="00584B54">
      <w:pPr>
        <w:spacing w:after="12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RESULTS AND DISCUSSION </w:t>
      </w:r>
    </w:p>
    <w:p w14:paraId="101BECEC" w14:textId="77777777" w:rsidR="009E7257" w:rsidRPr="009E7257" w:rsidRDefault="009E7257" w:rsidP="009E7257">
      <w:pPr>
        <w:spacing w:after="0" w:line="240" w:lineRule="auto"/>
        <w:jc w:val="both"/>
        <w:rPr>
          <w:rFonts w:ascii="Times New Roman" w:hAnsi="Times New Roman" w:cs="Times New Roman"/>
          <w:b/>
          <w:bCs/>
          <w:i w:val="0"/>
          <w:iCs/>
          <w:sz w:val="24"/>
          <w:szCs w:val="24"/>
        </w:rPr>
      </w:pPr>
      <w:bookmarkStart w:id="4" w:name="_Hlk131583260"/>
      <w:r w:rsidRPr="009E7257">
        <w:rPr>
          <w:rFonts w:ascii="Times New Roman" w:hAnsi="Times New Roman" w:cs="Times New Roman"/>
          <w:b/>
          <w:bCs/>
          <w:i w:val="0"/>
          <w:iCs/>
          <w:sz w:val="24"/>
          <w:szCs w:val="24"/>
        </w:rPr>
        <w:t xml:space="preserve">Outer Model Analysis </w:t>
      </w:r>
    </w:p>
    <w:p w14:paraId="1A5CC6EB" w14:textId="77777777" w:rsidR="009E7257" w:rsidRPr="009E7257" w:rsidRDefault="009E7257" w:rsidP="009E7257">
      <w:pPr>
        <w:spacing w:after="0" w:line="240" w:lineRule="auto"/>
        <w:jc w:val="both"/>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 xml:space="preserve">Validity Test </w:t>
      </w:r>
    </w:p>
    <w:p w14:paraId="0661CB76" w14:textId="1FF06374" w:rsidR="009E7257" w:rsidRPr="00B01D75" w:rsidRDefault="009E7257" w:rsidP="00B0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bookmarkStart w:id="5" w:name="_Hlk131583297"/>
      <w:bookmarkEnd w:id="4"/>
      <w:r w:rsidRPr="009E7257">
        <w:rPr>
          <w:rFonts w:ascii="Times New Roman" w:hAnsi="Times New Roman" w:cs="Times New Roman"/>
          <w:i w:val="0"/>
          <w:iCs/>
          <w:spacing w:val="-8"/>
          <w:sz w:val="24"/>
          <w:szCs w:val="24"/>
        </w:rPr>
        <w:t xml:space="preserve">In order to assess the validity of the questionnaire used in this study, the researchers employed convergent validity and AVE. Convergent validity is a technique used to assess the measurement model of reflective indicators by calculating the correlation between item scores and component scores using PLS. If the correlation between an individual reflective measurement and the construct being measured </w:t>
      </w:r>
      <w:r w:rsidRPr="009E7257">
        <w:rPr>
          <w:rFonts w:ascii="Times New Roman" w:hAnsi="Times New Roman" w:cs="Times New Roman"/>
          <w:i w:val="0"/>
          <w:iCs/>
          <w:spacing w:val="-8"/>
          <w:sz w:val="24"/>
          <w:szCs w:val="24"/>
        </w:rPr>
        <w:lastRenderedPageBreak/>
        <w:t xml:space="preserve">is over 0.7, it is considered high. However, according to </w:t>
      </w:r>
      <w:r w:rsidRPr="009E7257">
        <w:rPr>
          <w:rFonts w:ascii="Times New Roman" w:hAnsi="Times New Roman" w:cs="Times New Roman"/>
          <w:i w:val="0"/>
          <w:iCs/>
          <w:spacing w:val="-8"/>
          <w:sz w:val="24"/>
          <w:szCs w:val="24"/>
        </w:rPr>
        <w:fldChar w:fldCharType="begin" w:fldLock="1"/>
      </w:r>
      <w:r w:rsidRPr="009E7257">
        <w:rPr>
          <w:rFonts w:ascii="Times New Roman" w:hAnsi="Times New Roman" w:cs="Times New Roman"/>
          <w:i w:val="0"/>
          <w:iCs/>
          <w:spacing w:val="-8"/>
          <w:sz w:val="24"/>
          <w:szCs w:val="24"/>
        </w:rPr>
        <w:instrText>ADDIN CSL_CITATION {"citationItems":[{"id":"ITEM-1","itemData":{"abstract":"Artikel ini bertujuan untuk menyarankan mahasiswa untuk mengenal jenis- jenis variable, skala pengukuran, mengetahui Perbedaan statistik deskriptif dan inferensial, dan memahami Statistik Parametrik dan nonparametric. Hal ini penting karena formula yang cocok dalam menganalisis data. Artikel ini menjelaskan dengan jelas mengenai 1). jenis- jenis variabel berdasarkan data- data yang dimiliki: a). Variabel diskrit, b). Variabel continyu. Variabel continyu terdiri dari data dominal dan bilangan bulat. Variabel continyu terdiri dari data ordinal, data interval, dan data rasio. 2). Skala pengukuran yang digunakan dalam dalam skala statistika yakni nominal, ordinal interval dan rasio. 3). Statistik Deskriptif terdiri dari pengertian Statistik Deskriptif, Ruang Lingkup Statistik Deskriptif, penyajian data Statistik Deskriptif, metode dasar dalam Statistik Deskriptif. 4). statistik Inferensial terdiri dari pengertian statistik Inferensial, ruang lingkup statistik Inferensial, metode statistik Inferensial yaitu statistik Parametrik, statistik non- Parametrik, Perbedaan Statistik Deskriptif dengan Statistik Inferensial. 5). Statistik Parametrik meliputi pengertia, ciri- ciri, keunggulan dan kelemahan. 6). Statistik non- Parametrik meliputi pengertia, ciri- ciri, keunggulan dan kelemahan","author":[{"dropping-particle":"","family":"Dahri","given":"Muhammad","non-dropping-particle":"","parse-names":false,"suffix":""}],"container-title":"ejournal preprints","id":"ITEM-1","issued":{"date-parts":[["2017"]]},"title":"jenis variabel dan skala pengukuran, perbedaan statistik deskriptif dan inferensial","type":"article-journal"},"uris":["http://www.mendeley.com/documents/?uuid=ccdf64d4-1a7a-4421-9553-721381fa0008"]}],"mendeley":{"formattedCitation":"(Dahri, 2017)","manualFormatting":"Dahri, (2017)","plainTextFormattedCitation":"(Dahri, 2017)","previouslyFormattedCitation":"(Dahri, 2017)"},"properties":{"noteIndex":0},"schema":"https://github.com/citation-style-language/schema/raw/master/csl-citation.json"}</w:instrText>
      </w:r>
      <w:r w:rsidRPr="009E7257">
        <w:rPr>
          <w:rFonts w:ascii="Times New Roman" w:hAnsi="Times New Roman" w:cs="Times New Roman"/>
          <w:i w:val="0"/>
          <w:iCs/>
          <w:spacing w:val="-8"/>
          <w:sz w:val="24"/>
          <w:szCs w:val="24"/>
        </w:rPr>
        <w:fldChar w:fldCharType="separate"/>
      </w:r>
      <w:r w:rsidRPr="009E7257">
        <w:rPr>
          <w:rFonts w:ascii="Times New Roman" w:hAnsi="Times New Roman" w:cs="Times New Roman"/>
          <w:i w:val="0"/>
          <w:iCs/>
          <w:noProof/>
          <w:spacing w:val="-8"/>
          <w:sz w:val="24"/>
          <w:szCs w:val="24"/>
        </w:rPr>
        <w:t>Dahri, (2017)</w:t>
      </w:r>
      <w:r w:rsidRPr="009E7257">
        <w:rPr>
          <w:rFonts w:ascii="Times New Roman" w:hAnsi="Times New Roman" w:cs="Times New Roman"/>
          <w:i w:val="0"/>
          <w:iCs/>
          <w:spacing w:val="-8"/>
          <w:sz w:val="24"/>
          <w:szCs w:val="24"/>
        </w:rPr>
        <w:fldChar w:fldCharType="end"/>
      </w:r>
      <w:r w:rsidRPr="009E7257">
        <w:rPr>
          <w:rFonts w:ascii="Times New Roman" w:hAnsi="Times New Roman" w:cs="Times New Roman"/>
          <w:i w:val="0"/>
          <w:iCs/>
          <w:spacing w:val="-8"/>
          <w:sz w:val="24"/>
          <w:szCs w:val="24"/>
        </w:rPr>
        <w:t>, if a measurement scale is in the early stages of development, a loading value of 0.5 to 0.6 is adequate.</w:t>
      </w:r>
    </w:p>
    <w:p w14:paraId="70C71CB2" w14:textId="77777777" w:rsidR="009E7257" w:rsidRPr="009E7257" w:rsidRDefault="009E7257" w:rsidP="009E7257">
      <w:pPr>
        <w:jc w:val="center"/>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Table 8. Validity Test Results</w:t>
      </w:r>
    </w:p>
    <w:p w14:paraId="49660DBF" w14:textId="23E8D750" w:rsidR="009E7257" w:rsidRPr="009E7257" w:rsidRDefault="009E7257" w:rsidP="009E7257">
      <w:pPr>
        <w:jc w:val="center"/>
        <w:rPr>
          <w:rFonts w:ascii="Times New Roman" w:hAnsi="Times New Roman" w:cs="Times New Roman"/>
          <w:i w:val="0"/>
          <w:iCs/>
          <w:sz w:val="24"/>
          <w:szCs w:val="24"/>
        </w:rPr>
      </w:pPr>
      <w:r w:rsidRPr="009E7257">
        <w:rPr>
          <w:rFonts w:ascii="Times New Roman" w:hAnsi="Times New Roman" w:cs="Times New Roman"/>
          <w:i w:val="0"/>
          <w:iCs/>
          <w:noProof/>
          <w:sz w:val="24"/>
          <w:szCs w:val="24"/>
        </w:rPr>
        <w:drawing>
          <wp:inline distT="0" distB="0" distL="0" distR="0" wp14:anchorId="5393C601" wp14:editId="67200042">
            <wp:extent cx="2685938" cy="4095750"/>
            <wp:effectExtent l="0" t="0" r="635" b="0"/>
            <wp:docPr id="913605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05292" name=""/>
                    <pic:cNvPicPr/>
                  </pic:nvPicPr>
                  <pic:blipFill rotWithShape="1">
                    <a:blip r:embed="rId13"/>
                    <a:srcRect l="64147" t="17923" r="10653" b="13752"/>
                    <a:stretch/>
                  </pic:blipFill>
                  <pic:spPr bwMode="auto">
                    <a:xfrm>
                      <a:off x="0" y="0"/>
                      <a:ext cx="2690885" cy="4103293"/>
                    </a:xfrm>
                    <a:prstGeom prst="rect">
                      <a:avLst/>
                    </a:prstGeom>
                    <a:ln>
                      <a:noFill/>
                    </a:ln>
                    <a:extLst>
                      <a:ext uri="{53640926-AAD7-44D8-BBD7-CCE9431645EC}">
                        <a14:shadowObscured xmlns:a14="http://schemas.microsoft.com/office/drawing/2010/main"/>
                      </a:ext>
                    </a:extLst>
                  </pic:spPr>
                </pic:pic>
              </a:graphicData>
            </a:graphic>
          </wp:inline>
        </w:drawing>
      </w:r>
      <w:bookmarkEnd w:id="5"/>
    </w:p>
    <w:p w14:paraId="6B2A35BF" w14:textId="77777777" w:rsidR="009E7257" w:rsidRPr="009E7257" w:rsidRDefault="009E7257" w:rsidP="009E7257">
      <w:pPr>
        <w:jc w:val="both"/>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 xml:space="preserve">Reliability Test </w:t>
      </w:r>
    </w:p>
    <w:p w14:paraId="7B3E3F58" w14:textId="511C9641"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Two methods were used to test the reliability of the measurements in this study: the Cronbach Alpha test and the Composite Reliability Test. The Cronbach Alpha test measures the minimum reliability of a variable, with a value greater than 0.7 considered reliable. Meanwhile, the Composite Reliability Test measures the actual reliability value, and a score greater than 0.7 is indicative of high reliability.</w:t>
      </w:r>
    </w:p>
    <w:p w14:paraId="1E112023" w14:textId="77777777" w:rsidR="009E7257" w:rsidRPr="009E7257" w:rsidRDefault="009E7257" w:rsidP="009E7257">
      <w:pPr>
        <w:jc w:val="center"/>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Table 9. Reliability Test Results</w:t>
      </w:r>
    </w:p>
    <w:tbl>
      <w:tblPr>
        <w:tblW w:w="3764" w:type="dxa"/>
        <w:jc w:val="center"/>
        <w:tblLook w:val="04A0" w:firstRow="1" w:lastRow="0" w:firstColumn="1" w:lastColumn="0" w:noHBand="0" w:noVBand="1"/>
      </w:tblPr>
      <w:tblGrid>
        <w:gridCol w:w="776"/>
        <w:gridCol w:w="1403"/>
        <w:gridCol w:w="870"/>
        <w:gridCol w:w="1515"/>
      </w:tblGrid>
      <w:tr w:rsidR="009E7257" w:rsidRPr="009E7257" w14:paraId="5E423B8D" w14:textId="77777777" w:rsidTr="00BC1BB3">
        <w:trPr>
          <w:trHeight w:val="182"/>
          <w:jc w:val="center"/>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A9A49"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 </w:t>
            </w:r>
          </w:p>
        </w:tc>
        <w:tc>
          <w:tcPr>
            <w:tcW w:w="1294" w:type="dxa"/>
            <w:tcBorders>
              <w:top w:val="single" w:sz="4" w:space="0" w:color="auto"/>
              <w:left w:val="nil"/>
              <w:bottom w:val="single" w:sz="4" w:space="0" w:color="auto"/>
              <w:right w:val="single" w:sz="4" w:space="0" w:color="auto"/>
            </w:tcBorders>
            <w:shd w:val="clear" w:color="000000" w:fill="C0C0C0"/>
            <w:noWrap/>
            <w:vAlign w:val="center"/>
            <w:hideMark/>
          </w:tcPr>
          <w:p w14:paraId="3BCDA582"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Cronbach's Alpha</w:t>
            </w:r>
          </w:p>
        </w:tc>
        <w:tc>
          <w:tcPr>
            <w:tcW w:w="517" w:type="dxa"/>
            <w:tcBorders>
              <w:top w:val="single" w:sz="4" w:space="0" w:color="auto"/>
              <w:left w:val="nil"/>
              <w:bottom w:val="single" w:sz="4" w:space="0" w:color="auto"/>
              <w:right w:val="single" w:sz="4" w:space="0" w:color="auto"/>
            </w:tcBorders>
            <w:shd w:val="clear" w:color="000000" w:fill="C0C0C0"/>
            <w:noWrap/>
            <w:vAlign w:val="center"/>
            <w:hideMark/>
          </w:tcPr>
          <w:p w14:paraId="5B532E89" w14:textId="77777777" w:rsidR="009E7257" w:rsidRPr="009E7257" w:rsidRDefault="009E7257" w:rsidP="00BC1BB3">
            <w:pPr>
              <w:rPr>
                <w:rFonts w:ascii="Times New Roman" w:hAnsi="Times New Roman" w:cs="Times New Roman"/>
                <w:b/>
                <w:bCs/>
                <w:i w:val="0"/>
                <w:iCs/>
                <w:color w:val="000000"/>
                <w:sz w:val="24"/>
                <w:szCs w:val="24"/>
              </w:rPr>
            </w:pPr>
            <w:proofErr w:type="spellStart"/>
            <w:r w:rsidRPr="009E7257">
              <w:rPr>
                <w:rFonts w:ascii="Times New Roman" w:hAnsi="Times New Roman" w:cs="Times New Roman"/>
                <w:b/>
                <w:bCs/>
                <w:i w:val="0"/>
                <w:iCs/>
                <w:color w:val="000000"/>
                <w:sz w:val="24"/>
                <w:szCs w:val="24"/>
              </w:rPr>
              <w:t>rho_A</w:t>
            </w:r>
            <w:proofErr w:type="spellEnd"/>
          </w:p>
        </w:tc>
        <w:tc>
          <w:tcPr>
            <w:tcW w:w="1515" w:type="dxa"/>
            <w:tcBorders>
              <w:top w:val="single" w:sz="4" w:space="0" w:color="auto"/>
              <w:left w:val="nil"/>
              <w:bottom w:val="single" w:sz="4" w:space="0" w:color="auto"/>
              <w:right w:val="single" w:sz="4" w:space="0" w:color="auto"/>
            </w:tcBorders>
            <w:shd w:val="clear" w:color="000000" w:fill="C0C0C0"/>
            <w:noWrap/>
            <w:vAlign w:val="center"/>
            <w:hideMark/>
          </w:tcPr>
          <w:p w14:paraId="212D3475"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Composite Reliability</w:t>
            </w:r>
          </w:p>
        </w:tc>
      </w:tr>
      <w:tr w:rsidR="009E7257" w:rsidRPr="009E7257" w14:paraId="3AAA11F2" w14:textId="77777777" w:rsidTr="00BC1BB3">
        <w:trPr>
          <w:trHeight w:val="182"/>
          <w:jc w:val="center"/>
        </w:trPr>
        <w:tc>
          <w:tcPr>
            <w:tcW w:w="438" w:type="dxa"/>
            <w:tcBorders>
              <w:top w:val="nil"/>
              <w:left w:val="single" w:sz="4" w:space="0" w:color="auto"/>
              <w:bottom w:val="single" w:sz="4" w:space="0" w:color="auto"/>
              <w:right w:val="single" w:sz="4" w:space="0" w:color="auto"/>
            </w:tcBorders>
            <w:shd w:val="clear" w:color="000000" w:fill="C0C0C0"/>
            <w:noWrap/>
            <w:vAlign w:val="center"/>
            <w:hideMark/>
          </w:tcPr>
          <w:p w14:paraId="2DF38244"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POS (X3)</w:t>
            </w:r>
          </w:p>
        </w:tc>
        <w:tc>
          <w:tcPr>
            <w:tcW w:w="1294" w:type="dxa"/>
            <w:tcBorders>
              <w:top w:val="nil"/>
              <w:left w:val="nil"/>
              <w:bottom w:val="single" w:sz="4" w:space="0" w:color="auto"/>
              <w:right w:val="single" w:sz="4" w:space="0" w:color="auto"/>
            </w:tcBorders>
            <w:shd w:val="clear" w:color="auto" w:fill="auto"/>
            <w:noWrap/>
            <w:vAlign w:val="center"/>
            <w:hideMark/>
          </w:tcPr>
          <w:p w14:paraId="71D92FB6"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0.939</w:t>
            </w:r>
          </w:p>
        </w:tc>
        <w:tc>
          <w:tcPr>
            <w:tcW w:w="517" w:type="dxa"/>
            <w:tcBorders>
              <w:top w:val="nil"/>
              <w:left w:val="nil"/>
              <w:bottom w:val="single" w:sz="4" w:space="0" w:color="auto"/>
              <w:right w:val="single" w:sz="4" w:space="0" w:color="auto"/>
            </w:tcBorders>
            <w:shd w:val="clear" w:color="auto" w:fill="auto"/>
            <w:noWrap/>
            <w:vAlign w:val="center"/>
            <w:hideMark/>
          </w:tcPr>
          <w:p w14:paraId="34083E1F"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0.940</w:t>
            </w:r>
          </w:p>
        </w:tc>
        <w:tc>
          <w:tcPr>
            <w:tcW w:w="1515" w:type="dxa"/>
            <w:tcBorders>
              <w:top w:val="nil"/>
              <w:left w:val="nil"/>
              <w:bottom w:val="single" w:sz="4" w:space="0" w:color="auto"/>
              <w:right w:val="single" w:sz="4" w:space="0" w:color="auto"/>
            </w:tcBorders>
            <w:shd w:val="clear" w:color="auto" w:fill="auto"/>
            <w:noWrap/>
            <w:vAlign w:val="center"/>
            <w:hideMark/>
          </w:tcPr>
          <w:p w14:paraId="3B43FF68"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0.956</w:t>
            </w:r>
          </w:p>
        </w:tc>
      </w:tr>
      <w:tr w:rsidR="009E7257" w:rsidRPr="009E7257" w14:paraId="0DF59C0D" w14:textId="77777777" w:rsidTr="00BC1BB3">
        <w:trPr>
          <w:trHeight w:val="182"/>
          <w:jc w:val="center"/>
        </w:trPr>
        <w:tc>
          <w:tcPr>
            <w:tcW w:w="438" w:type="dxa"/>
            <w:tcBorders>
              <w:top w:val="nil"/>
              <w:left w:val="single" w:sz="4" w:space="0" w:color="auto"/>
              <w:bottom w:val="single" w:sz="4" w:space="0" w:color="auto"/>
              <w:right w:val="single" w:sz="4" w:space="0" w:color="auto"/>
            </w:tcBorders>
            <w:shd w:val="clear" w:color="000000" w:fill="C0C0C0"/>
            <w:noWrap/>
            <w:vAlign w:val="center"/>
            <w:hideMark/>
          </w:tcPr>
          <w:p w14:paraId="297F5099"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lastRenderedPageBreak/>
              <w:t>WS (Z)</w:t>
            </w:r>
          </w:p>
        </w:tc>
        <w:tc>
          <w:tcPr>
            <w:tcW w:w="1294" w:type="dxa"/>
            <w:tcBorders>
              <w:top w:val="nil"/>
              <w:left w:val="nil"/>
              <w:bottom w:val="single" w:sz="4" w:space="0" w:color="auto"/>
              <w:right w:val="single" w:sz="4" w:space="0" w:color="auto"/>
            </w:tcBorders>
            <w:shd w:val="clear" w:color="000000" w:fill="CCFFCC"/>
            <w:noWrap/>
            <w:vAlign w:val="center"/>
            <w:hideMark/>
          </w:tcPr>
          <w:p w14:paraId="1443D5B3"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0.894</w:t>
            </w:r>
          </w:p>
        </w:tc>
        <w:tc>
          <w:tcPr>
            <w:tcW w:w="517" w:type="dxa"/>
            <w:tcBorders>
              <w:top w:val="nil"/>
              <w:left w:val="nil"/>
              <w:bottom w:val="single" w:sz="4" w:space="0" w:color="auto"/>
              <w:right w:val="single" w:sz="4" w:space="0" w:color="auto"/>
            </w:tcBorders>
            <w:shd w:val="clear" w:color="000000" w:fill="CCFFCC"/>
            <w:noWrap/>
            <w:vAlign w:val="center"/>
            <w:hideMark/>
          </w:tcPr>
          <w:p w14:paraId="0969FEE2"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0.895</w:t>
            </w:r>
          </w:p>
        </w:tc>
        <w:tc>
          <w:tcPr>
            <w:tcW w:w="1515" w:type="dxa"/>
            <w:tcBorders>
              <w:top w:val="nil"/>
              <w:left w:val="nil"/>
              <w:bottom w:val="single" w:sz="4" w:space="0" w:color="auto"/>
              <w:right w:val="single" w:sz="4" w:space="0" w:color="auto"/>
            </w:tcBorders>
            <w:shd w:val="clear" w:color="000000" w:fill="CCFFCC"/>
            <w:noWrap/>
            <w:vAlign w:val="center"/>
            <w:hideMark/>
          </w:tcPr>
          <w:p w14:paraId="4263E930"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0.922</w:t>
            </w:r>
          </w:p>
        </w:tc>
      </w:tr>
      <w:tr w:rsidR="009E7257" w:rsidRPr="009E7257" w14:paraId="32ABB9FF" w14:textId="77777777" w:rsidTr="00BC1BB3">
        <w:trPr>
          <w:trHeight w:val="182"/>
          <w:jc w:val="center"/>
        </w:trPr>
        <w:tc>
          <w:tcPr>
            <w:tcW w:w="438" w:type="dxa"/>
            <w:tcBorders>
              <w:top w:val="nil"/>
              <w:left w:val="single" w:sz="4" w:space="0" w:color="auto"/>
              <w:bottom w:val="single" w:sz="4" w:space="0" w:color="auto"/>
              <w:right w:val="single" w:sz="4" w:space="0" w:color="auto"/>
            </w:tcBorders>
            <w:shd w:val="clear" w:color="000000" w:fill="C0C0C0"/>
            <w:noWrap/>
            <w:vAlign w:val="center"/>
            <w:hideMark/>
          </w:tcPr>
          <w:p w14:paraId="22704863"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TI (Y)</w:t>
            </w:r>
          </w:p>
        </w:tc>
        <w:tc>
          <w:tcPr>
            <w:tcW w:w="1294" w:type="dxa"/>
            <w:tcBorders>
              <w:top w:val="nil"/>
              <w:left w:val="nil"/>
              <w:bottom w:val="single" w:sz="4" w:space="0" w:color="auto"/>
              <w:right w:val="single" w:sz="4" w:space="0" w:color="auto"/>
            </w:tcBorders>
            <w:shd w:val="clear" w:color="auto" w:fill="auto"/>
            <w:noWrap/>
            <w:vAlign w:val="center"/>
            <w:hideMark/>
          </w:tcPr>
          <w:p w14:paraId="4895B124"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0.813</w:t>
            </w:r>
          </w:p>
        </w:tc>
        <w:tc>
          <w:tcPr>
            <w:tcW w:w="517" w:type="dxa"/>
            <w:tcBorders>
              <w:top w:val="nil"/>
              <w:left w:val="nil"/>
              <w:bottom w:val="single" w:sz="4" w:space="0" w:color="auto"/>
              <w:right w:val="single" w:sz="4" w:space="0" w:color="auto"/>
            </w:tcBorders>
            <w:shd w:val="clear" w:color="auto" w:fill="auto"/>
            <w:noWrap/>
            <w:vAlign w:val="center"/>
            <w:hideMark/>
          </w:tcPr>
          <w:p w14:paraId="31B98E3E"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0.816</w:t>
            </w:r>
          </w:p>
        </w:tc>
        <w:tc>
          <w:tcPr>
            <w:tcW w:w="1515" w:type="dxa"/>
            <w:tcBorders>
              <w:top w:val="nil"/>
              <w:left w:val="nil"/>
              <w:bottom w:val="single" w:sz="4" w:space="0" w:color="auto"/>
              <w:right w:val="single" w:sz="4" w:space="0" w:color="auto"/>
            </w:tcBorders>
            <w:shd w:val="clear" w:color="auto" w:fill="auto"/>
            <w:noWrap/>
            <w:vAlign w:val="center"/>
            <w:hideMark/>
          </w:tcPr>
          <w:p w14:paraId="3692A409"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0.889</w:t>
            </w:r>
          </w:p>
        </w:tc>
      </w:tr>
      <w:tr w:rsidR="009E7257" w:rsidRPr="009E7257" w14:paraId="61755972" w14:textId="77777777" w:rsidTr="00BC1BB3">
        <w:trPr>
          <w:trHeight w:val="182"/>
          <w:jc w:val="center"/>
        </w:trPr>
        <w:tc>
          <w:tcPr>
            <w:tcW w:w="438" w:type="dxa"/>
            <w:tcBorders>
              <w:top w:val="nil"/>
              <w:left w:val="single" w:sz="4" w:space="0" w:color="auto"/>
              <w:bottom w:val="single" w:sz="4" w:space="0" w:color="auto"/>
              <w:right w:val="single" w:sz="4" w:space="0" w:color="auto"/>
            </w:tcBorders>
            <w:shd w:val="clear" w:color="000000" w:fill="C0C0C0"/>
            <w:noWrap/>
            <w:vAlign w:val="center"/>
            <w:hideMark/>
          </w:tcPr>
          <w:p w14:paraId="010B457B"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WFC (X1)</w:t>
            </w:r>
          </w:p>
        </w:tc>
        <w:tc>
          <w:tcPr>
            <w:tcW w:w="1294" w:type="dxa"/>
            <w:tcBorders>
              <w:top w:val="nil"/>
              <w:left w:val="nil"/>
              <w:bottom w:val="single" w:sz="4" w:space="0" w:color="auto"/>
              <w:right w:val="single" w:sz="4" w:space="0" w:color="auto"/>
            </w:tcBorders>
            <w:shd w:val="clear" w:color="000000" w:fill="CCFFCC"/>
            <w:noWrap/>
            <w:vAlign w:val="center"/>
            <w:hideMark/>
          </w:tcPr>
          <w:p w14:paraId="28752AFE"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0.848</w:t>
            </w:r>
          </w:p>
        </w:tc>
        <w:tc>
          <w:tcPr>
            <w:tcW w:w="517" w:type="dxa"/>
            <w:tcBorders>
              <w:top w:val="nil"/>
              <w:left w:val="nil"/>
              <w:bottom w:val="single" w:sz="4" w:space="0" w:color="auto"/>
              <w:right w:val="single" w:sz="4" w:space="0" w:color="auto"/>
            </w:tcBorders>
            <w:shd w:val="clear" w:color="000000" w:fill="CCFFCC"/>
            <w:noWrap/>
            <w:vAlign w:val="center"/>
            <w:hideMark/>
          </w:tcPr>
          <w:p w14:paraId="31FF2BAA"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0.848</w:t>
            </w:r>
          </w:p>
        </w:tc>
        <w:tc>
          <w:tcPr>
            <w:tcW w:w="1515" w:type="dxa"/>
            <w:tcBorders>
              <w:top w:val="nil"/>
              <w:left w:val="nil"/>
              <w:bottom w:val="single" w:sz="4" w:space="0" w:color="auto"/>
              <w:right w:val="single" w:sz="4" w:space="0" w:color="auto"/>
            </w:tcBorders>
            <w:shd w:val="clear" w:color="000000" w:fill="CCFFCC"/>
            <w:noWrap/>
            <w:vAlign w:val="center"/>
            <w:hideMark/>
          </w:tcPr>
          <w:p w14:paraId="253AF27D"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0.930</w:t>
            </w:r>
          </w:p>
        </w:tc>
      </w:tr>
      <w:tr w:rsidR="009E7257" w:rsidRPr="009E7257" w14:paraId="2EEBA0BA" w14:textId="77777777" w:rsidTr="00BC1BB3">
        <w:trPr>
          <w:trHeight w:val="182"/>
          <w:jc w:val="center"/>
        </w:trPr>
        <w:tc>
          <w:tcPr>
            <w:tcW w:w="438" w:type="dxa"/>
            <w:tcBorders>
              <w:top w:val="nil"/>
              <w:left w:val="single" w:sz="4" w:space="0" w:color="auto"/>
              <w:bottom w:val="single" w:sz="4" w:space="0" w:color="auto"/>
              <w:right w:val="single" w:sz="4" w:space="0" w:color="auto"/>
            </w:tcBorders>
            <w:shd w:val="clear" w:color="000000" w:fill="C0C0C0"/>
            <w:noWrap/>
            <w:vAlign w:val="center"/>
            <w:hideMark/>
          </w:tcPr>
          <w:p w14:paraId="6DF55D2A"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WO (X2)</w:t>
            </w:r>
          </w:p>
        </w:tc>
        <w:tc>
          <w:tcPr>
            <w:tcW w:w="1294" w:type="dxa"/>
            <w:tcBorders>
              <w:top w:val="nil"/>
              <w:left w:val="nil"/>
              <w:bottom w:val="single" w:sz="4" w:space="0" w:color="auto"/>
              <w:right w:val="single" w:sz="4" w:space="0" w:color="auto"/>
            </w:tcBorders>
            <w:shd w:val="clear" w:color="auto" w:fill="auto"/>
            <w:noWrap/>
            <w:vAlign w:val="center"/>
            <w:hideMark/>
          </w:tcPr>
          <w:p w14:paraId="7904083E"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0.899</w:t>
            </w:r>
          </w:p>
        </w:tc>
        <w:tc>
          <w:tcPr>
            <w:tcW w:w="517" w:type="dxa"/>
            <w:tcBorders>
              <w:top w:val="nil"/>
              <w:left w:val="nil"/>
              <w:bottom w:val="single" w:sz="4" w:space="0" w:color="auto"/>
              <w:right w:val="single" w:sz="4" w:space="0" w:color="auto"/>
            </w:tcBorders>
            <w:shd w:val="clear" w:color="auto" w:fill="auto"/>
            <w:noWrap/>
            <w:vAlign w:val="center"/>
            <w:hideMark/>
          </w:tcPr>
          <w:p w14:paraId="2ABD399F"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0.903</w:t>
            </w:r>
          </w:p>
        </w:tc>
        <w:tc>
          <w:tcPr>
            <w:tcW w:w="1515" w:type="dxa"/>
            <w:tcBorders>
              <w:top w:val="nil"/>
              <w:left w:val="nil"/>
              <w:bottom w:val="single" w:sz="4" w:space="0" w:color="auto"/>
              <w:right w:val="single" w:sz="4" w:space="0" w:color="auto"/>
            </w:tcBorders>
            <w:shd w:val="clear" w:color="auto" w:fill="auto"/>
            <w:noWrap/>
            <w:vAlign w:val="center"/>
            <w:hideMark/>
          </w:tcPr>
          <w:p w14:paraId="38584F6B"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0.925</w:t>
            </w:r>
          </w:p>
        </w:tc>
      </w:tr>
    </w:tbl>
    <w:p w14:paraId="2081C5C8" w14:textId="77777777"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p>
    <w:p w14:paraId="21F39965" w14:textId="77777777" w:rsid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The results of the tests indicate that all the instruments used in the study are reliable, as their Cronbach Alpha scores and Composite Reliability values are greater than 0.7.</w:t>
      </w:r>
    </w:p>
    <w:p w14:paraId="28016D87" w14:textId="32BD4457"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b/>
          <w:bCs/>
          <w:i w:val="0"/>
          <w:iCs/>
          <w:sz w:val="24"/>
          <w:szCs w:val="24"/>
        </w:rPr>
        <w:t>Convergent Validity Test after Modification</w:t>
      </w:r>
    </w:p>
    <w:p w14:paraId="59D3A1BE" w14:textId="77777777"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After removing indicators that did not meet the loading factor value criteria, the results of the PLS SEM model computation are presented in the figure below. As shown in the figure, all the indicators in each variable have loading factor values above 0.6, indicating good measurement quality. Consequently, the study proceeds to perform a Discriminant Validity test.</w:t>
      </w:r>
    </w:p>
    <w:p w14:paraId="26F0DDBA" w14:textId="77777777" w:rsidR="009E7257" w:rsidRPr="009E7257" w:rsidRDefault="009E7257" w:rsidP="009E7257">
      <w:pPr>
        <w:jc w:val="center"/>
        <w:rPr>
          <w:rFonts w:ascii="Times New Roman" w:hAnsi="Times New Roman" w:cs="Times New Roman"/>
          <w:i w:val="0"/>
          <w:iCs/>
          <w:spacing w:val="-8"/>
          <w:sz w:val="24"/>
          <w:szCs w:val="24"/>
        </w:rPr>
      </w:pPr>
      <w:r w:rsidRPr="009E7257">
        <w:rPr>
          <w:rFonts w:ascii="Times New Roman" w:hAnsi="Times New Roman" w:cs="Times New Roman"/>
          <w:i w:val="0"/>
          <w:iCs/>
          <w:noProof/>
          <w:sz w:val="24"/>
          <w:szCs w:val="24"/>
        </w:rPr>
        <w:drawing>
          <wp:inline distT="0" distB="0" distL="0" distR="0" wp14:anchorId="51B6D365" wp14:editId="5F4018A3">
            <wp:extent cx="2804727" cy="5296535"/>
            <wp:effectExtent l="0" t="7938" r="7303" b="730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869908" cy="5419625"/>
                    </a:xfrm>
                    <a:prstGeom prst="rect">
                      <a:avLst/>
                    </a:prstGeom>
                  </pic:spPr>
                </pic:pic>
              </a:graphicData>
            </a:graphic>
          </wp:inline>
        </w:drawing>
      </w:r>
    </w:p>
    <w:p w14:paraId="4A23702A" w14:textId="5E885869" w:rsidR="009E7257" w:rsidRPr="009E7257" w:rsidRDefault="009E7257" w:rsidP="009E7257">
      <w:pPr>
        <w:spacing w:line="245" w:lineRule="auto"/>
        <w:jc w:val="center"/>
        <w:rPr>
          <w:rFonts w:ascii="Times New Roman" w:hAnsi="Times New Roman" w:cs="Times New Roman"/>
          <w:b/>
          <w:i w:val="0"/>
          <w:iCs/>
          <w:spacing w:val="-8"/>
          <w:sz w:val="24"/>
          <w:szCs w:val="24"/>
        </w:rPr>
      </w:pPr>
      <w:r w:rsidRPr="009E7257">
        <w:rPr>
          <w:rFonts w:ascii="Times New Roman" w:hAnsi="Times New Roman" w:cs="Times New Roman"/>
          <w:b/>
          <w:i w:val="0"/>
          <w:iCs/>
          <w:spacing w:val="-8"/>
          <w:sz w:val="24"/>
          <w:szCs w:val="24"/>
        </w:rPr>
        <w:t xml:space="preserve">Figure </w:t>
      </w:r>
      <w:r w:rsidR="00C30A1A">
        <w:rPr>
          <w:rFonts w:ascii="Times New Roman" w:hAnsi="Times New Roman" w:cs="Times New Roman"/>
          <w:b/>
          <w:i w:val="0"/>
          <w:iCs/>
          <w:spacing w:val="-8"/>
          <w:sz w:val="24"/>
          <w:szCs w:val="24"/>
          <w:lang w:val="id-ID"/>
        </w:rPr>
        <w:t>2</w:t>
      </w:r>
      <w:r w:rsidRPr="009E7257">
        <w:rPr>
          <w:rFonts w:ascii="Times New Roman" w:hAnsi="Times New Roman" w:cs="Times New Roman"/>
          <w:b/>
          <w:i w:val="0"/>
          <w:iCs/>
          <w:spacing w:val="-8"/>
          <w:sz w:val="24"/>
          <w:szCs w:val="24"/>
        </w:rPr>
        <w:t>. Convergent Validity Test after Modification</w:t>
      </w:r>
    </w:p>
    <w:p w14:paraId="03FAB1A4" w14:textId="77777777" w:rsidR="009E7257" w:rsidRDefault="009E7257" w:rsidP="009E7257">
      <w:pPr>
        <w:spacing w:line="245" w:lineRule="auto"/>
        <w:rPr>
          <w:rFonts w:ascii="Times New Roman" w:hAnsi="Times New Roman" w:cs="Times New Roman"/>
          <w:b/>
          <w:bCs/>
          <w:i w:val="0"/>
          <w:iCs/>
          <w:sz w:val="24"/>
          <w:szCs w:val="24"/>
        </w:rPr>
      </w:pPr>
    </w:p>
    <w:p w14:paraId="42527E05" w14:textId="77777777" w:rsidR="009E7257" w:rsidRDefault="009E7257" w:rsidP="009E7257">
      <w:pPr>
        <w:spacing w:line="245" w:lineRule="auto"/>
        <w:rPr>
          <w:rFonts w:ascii="Times New Roman" w:hAnsi="Times New Roman" w:cs="Times New Roman"/>
          <w:b/>
          <w:bCs/>
          <w:i w:val="0"/>
          <w:iCs/>
          <w:sz w:val="24"/>
          <w:szCs w:val="24"/>
        </w:rPr>
      </w:pPr>
    </w:p>
    <w:p w14:paraId="57FEC44F" w14:textId="77777777" w:rsidR="00B01D75" w:rsidRDefault="00B01D75" w:rsidP="009E7257">
      <w:pPr>
        <w:spacing w:line="245" w:lineRule="auto"/>
        <w:rPr>
          <w:rFonts w:ascii="Times New Roman" w:hAnsi="Times New Roman" w:cs="Times New Roman"/>
          <w:b/>
          <w:bCs/>
          <w:i w:val="0"/>
          <w:iCs/>
          <w:sz w:val="24"/>
          <w:szCs w:val="24"/>
        </w:rPr>
      </w:pPr>
    </w:p>
    <w:p w14:paraId="4C92E86E" w14:textId="642419CD" w:rsidR="009E7257" w:rsidRPr="009E7257" w:rsidRDefault="009E7257" w:rsidP="009E7257">
      <w:pPr>
        <w:spacing w:line="245" w:lineRule="auto"/>
        <w:rPr>
          <w:rFonts w:ascii="Times New Roman" w:hAnsi="Times New Roman" w:cs="Times New Roman"/>
          <w:b/>
          <w:i w:val="0"/>
          <w:iCs/>
          <w:spacing w:val="-8"/>
          <w:sz w:val="24"/>
          <w:szCs w:val="24"/>
        </w:rPr>
      </w:pPr>
      <w:r w:rsidRPr="009E7257">
        <w:rPr>
          <w:rFonts w:ascii="Times New Roman" w:hAnsi="Times New Roman" w:cs="Times New Roman"/>
          <w:b/>
          <w:bCs/>
          <w:i w:val="0"/>
          <w:iCs/>
          <w:sz w:val="24"/>
          <w:szCs w:val="24"/>
        </w:rPr>
        <w:t xml:space="preserve">Uji R-Square </w:t>
      </w:r>
    </w:p>
    <w:p w14:paraId="7BC6D681" w14:textId="0810F581"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 xml:space="preserve">The study employed the R-Square coefficient determination test to evaluate the influence of exogenous variables on endogenous variables. The </w:t>
      </w:r>
      <w:proofErr w:type="spellStart"/>
      <w:r w:rsidRPr="009E7257">
        <w:rPr>
          <w:rFonts w:ascii="Times New Roman" w:hAnsi="Times New Roman" w:cs="Times New Roman"/>
          <w:i w:val="0"/>
          <w:iCs/>
          <w:spacing w:val="-8"/>
          <w:sz w:val="24"/>
          <w:szCs w:val="24"/>
        </w:rPr>
        <w:t>SmartPLS</w:t>
      </w:r>
      <w:proofErr w:type="spellEnd"/>
      <w:r w:rsidRPr="009E7257">
        <w:rPr>
          <w:rFonts w:ascii="Times New Roman" w:hAnsi="Times New Roman" w:cs="Times New Roman"/>
          <w:i w:val="0"/>
          <w:iCs/>
          <w:spacing w:val="-8"/>
          <w:sz w:val="24"/>
          <w:szCs w:val="24"/>
        </w:rPr>
        <w:t xml:space="preserve"> software was used for data analysis, and the resulting R-Square values are presented in the table below.</w:t>
      </w:r>
    </w:p>
    <w:p w14:paraId="16200AAD" w14:textId="77777777" w:rsidR="009E7257" w:rsidRPr="009E7257" w:rsidRDefault="009E7257" w:rsidP="009E7257">
      <w:pPr>
        <w:jc w:val="center"/>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Table 10. R-Square Test Results</w:t>
      </w:r>
    </w:p>
    <w:tbl>
      <w:tblPr>
        <w:tblW w:w="4197" w:type="dxa"/>
        <w:jc w:val="center"/>
        <w:tblLook w:val="04A0" w:firstRow="1" w:lastRow="0" w:firstColumn="1" w:lastColumn="0" w:noHBand="0" w:noVBand="1"/>
      </w:tblPr>
      <w:tblGrid>
        <w:gridCol w:w="1419"/>
        <w:gridCol w:w="1233"/>
        <w:gridCol w:w="1545"/>
      </w:tblGrid>
      <w:tr w:rsidR="009E7257" w:rsidRPr="009E7257" w14:paraId="37BDCD74" w14:textId="77777777" w:rsidTr="00BC1BB3">
        <w:trPr>
          <w:trHeight w:val="260"/>
          <w:jc w:val="center"/>
        </w:trPr>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65368"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 </w:t>
            </w:r>
          </w:p>
        </w:tc>
        <w:tc>
          <w:tcPr>
            <w:tcW w:w="1233" w:type="dxa"/>
            <w:tcBorders>
              <w:top w:val="single" w:sz="4" w:space="0" w:color="auto"/>
              <w:left w:val="nil"/>
              <w:bottom w:val="single" w:sz="4" w:space="0" w:color="auto"/>
              <w:right w:val="single" w:sz="4" w:space="0" w:color="auto"/>
            </w:tcBorders>
            <w:shd w:val="clear" w:color="000000" w:fill="C0C0C0"/>
            <w:noWrap/>
            <w:vAlign w:val="center"/>
            <w:hideMark/>
          </w:tcPr>
          <w:p w14:paraId="32FA9E57"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R Square</w:t>
            </w:r>
          </w:p>
        </w:tc>
        <w:tc>
          <w:tcPr>
            <w:tcW w:w="1545" w:type="dxa"/>
            <w:tcBorders>
              <w:top w:val="single" w:sz="4" w:space="0" w:color="auto"/>
              <w:left w:val="nil"/>
              <w:bottom w:val="single" w:sz="4" w:space="0" w:color="auto"/>
              <w:right w:val="single" w:sz="4" w:space="0" w:color="auto"/>
            </w:tcBorders>
            <w:shd w:val="clear" w:color="000000" w:fill="C0C0C0"/>
            <w:noWrap/>
            <w:vAlign w:val="center"/>
            <w:hideMark/>
          </w:tcPr>
          <w:p w14:paraId="5399361D"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R Square Adjusted</w:t>
            </w:r>
          </w:p>
        </w:tc>
      </w:tr>
      <w:tr w:rsidR="009E7257" w:rsidRPr="009E7257" w14:paraId="3AA13DAF" w14:textId="77777777" w:rsidTr="00BC1BB3">
        <w:trPr>
          <w:trHeight w:val="260"/>
          <w:jc w:val="center"/>
        </w:trPr>
        <w:tc>
          <w:tcPr>
            <w:tcW w:w="1419" w:type="dxa"/>
            <w:tcBorders>
              <w:top w:val="nil"/>
              <w:left w:val="single" w:sz="4" w:space="0" w:color="auto"/>
              <w:bottom w:val="single" w:sz="4" w:space="0" w:color="auto"/>
              <w:right w:val="single" w:sz="4" w:space="0" w:color="auto"/>
            </w:tcBorders>
            <w:shd w:val="clear" w:color="000000" w:fill="C0C0C0"/>
            <w:noWrap/>
            <w:vAlign w:val="center"/>
            <w:hideMark/>
          </w:tcPr>
          <w:p w14:paraId="077FA998"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WS (Z)</w:t>
            </w:r>
          </w:p>
        </w:tc>
        <w:tc>
          <w:tcPr>
            <w:tcW w:w="1233" w:type="dxa"/>
            <w:tcBorders>
              <w:top w:val="nil"/>
              <w:left w:val="nil"/>
              <w:bottom w:val="single" w:sz="4" w:space="0" w:color="auto"/>
              <w:right w:val="single" w:sz="4" w:space="0" w:color="auto"/>
            </w:tcBorders>
            <w:shd w:val="clear" w:color="auto" w:fill="auto"/>
            <w:noWrap/>
            <w:vAlign w:val="center"/>
            <w:hideMark/>
          </w:tcPr>
          <w:p w14:paraId="4799E683"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0.825</w:t>
            </w:r>
          </w:p>
        </w:tc>
        <w:tc>
          <w:tcPr>
            <w:tcW w:w="1545" w:type="dxa"/>
            <w:tcBorders>
              <w:top w:val="nil"/>
              <w:left w:val="nil"/>
              <w:bottom w:val="single" w:sz="4" w:space="0" w:color="auto"/>
              <w:right w:val="single" w:sz="4" w:space="0" w:color="auto"/>
            </w:tcBorders>
            <w:shd w:val="clear" w:color="auto" w:fill="auto"/>
            <w:noWrap/>
            <w:vAlign w:val="center"/>
            <w:hideMark/>
          </w:tcPr>
          <w:p w14:paraId="762D1590"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0.822</w:t>
            </w:r>
          </w:p>
        </w:tc>
      </w:tr>
      <w:tr w:rsidR="009E7257" w:rsidRPr="009E7257" w14:paraId="7F74CEAE" w14:textId="77777777" w:rsidTr="00BC1BB3">
        <w:trPr>
          <w:trHeight w:val="260"/>
          <w:jc w:val="center"/>
        </w:trPr>
        <w:tc>
          <w:tcPr>
            <w:tcW w:w="1419" w:type="dxa"/>
            <w:tcBorders>
              <w:top w:val="nil"/>
              <w:left w:val="single" w:sz="4" w:space="0" w:color="auto"/>
              <w:bottom w:val="single" w:sz="4" w:space="0" w:color="auto"/>
              <w:right w:val="single" w:sz="4" w:space="0" w:color="auto"/>
            </w:tcBorders>
            <w:shd w:val="clear" w:color="000000" w:fill="C0C0C0"/>
            <w:noWrap/>
            <w:vAlign w:val="center"/>
            <w:hideMark/>
          </w:tcPr>
          <w:p w14:paraId="56C82C87"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TI (Y)</w:t>
            </w:r>
          </w:p>
        </w:tc>
        <w:tc>
          <w:tcPr>
            <w:tcW w:w="1233" w:type="dxa"/>
            <w:tcBorders>
              <w:top w:val="nil"/>
              <w:left w:val="nil"/>
              <w:bottom w:val="single" w:sz="4" w:space="0" w:color="auto"/>
              <w:right w:val="single" w:sz="4" w:space="0" w:color="auto"/>
            </w:tcBorders>
            <w:shd w:val="clear" w:color="000000" w:fill="CCFFCC"/>
            <w:noWrap/>
            <w:vAlign w:val="center"/>
            <w:hideMark/>
          </w:tcPr>
          <w:p w14:paraId="58611B98"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0.900</w:t>
            </w:r>
          </w:p>
        </w:tc>
        <w:tc>
          <w:tcPr>
            <w:tcW w:w="1545" w:type="dxa"/>
            <w:tcBorders>
              <w:top w:val="nil"/>
              <w:left w:val="nil"/>
              <w:bottom w:val="single" w:sz="4" w:space="0" w:color="auto"/>
              <w:right w:val="single" w:sz="4" w:space="0" w:color="auto"/>
            </w:tcBorders>
            <w:shd w:val="clear" w:color="000000" w:fill="CCFFCC"/>
            <w:noWrap/>
            <w:vAlign w:val="center"/>
            <w:hideMark/>
          </w:tcPr>
          <w:p w14:paraId="206C8D48"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0.897</w:t>
            </w:r>
          </w:p>
        </w:tc>
      </w:tr>
    </w:tbl>
    <w:p w14:paraId="3F29ED03" w14:textId="77777777"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i w:val="0"/>
          <w:iCs/>
          <w:spacing w:val="-8"/>
          <w:sz w:val="24"/>
          <w:szCs w:val="24"/>
        </w:rPr>
      </w:pPr>
    </w:p>
    <w:p w14:paraId="6A64D3CD" w14:textId="71B952C4"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The findings reveal that Turnover Intentions are impacted by Work-Family Conflict, Work Overload, Perceived Organizational Support, and Work Stress, which account for 90% of the variance. The remaining 10% is influenced by other factors not included in this study. The R-Square value for Turnover Intentions is 0.900. Additionally, the results indicate that Work Stress is influenced by Work-Family Conflict, Work Overload, and Perceived Organizational Support by 82.5%, while the remaining 17.5% is influenced by unexplained factors. The R-Square value for Work Stress is 0.825.</w:t>
      </w:r>
    </w:p>
    <w:p w14:paraId="374D0E4B" w14:textId="77777777" w:rsidR="009E7257" w:rsidRPr="009E7257" w:rsidRDefault="009E7257" w:rsidP="009E7257">
      <w:pPr>
        <w:jc w:val="both"/>
        <w:rPr>
          <w:rFonts w:ascii="Times New Roman" w:hAnsi="Times New Roman" w:cs="Times New Roman"/>
          <w:b/>
          <w:bCs/>
          <w:i w:val="0"/>
          <w:iCs/>
          <w:sz w:val="24"/>
          <w:szCs w:val="24"/>
        </w:rPr>
      </w:pPr>
      <w:r w:rsidRPr="009E7257">
        <w:rPr>
          <w:rFonts w:ascii="Times New Roman" w:hAnsi="Times New Roman" w:cs="Times New Roman"/>
          <w:b/>
          <w:bCs/>
          <w:i w:val="0"/>
          <w:iCs/>
          <w:sz w:val="24"/>
          <w:szCs w:val="24"/>
        </w:rPr>
        <w:t>Hypothesis Test Results</w:t>
      </w:r>
    </w:p>
    <w:p w14:paraId="486C4704" w14:textId="25DA2122" w:rsidR="009E7257" w:rsidRPr="009E7257" w:rsidRDefault="009E7257"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val="0"/>
          <w:iCs/>
          <w:spacing w:val="-8"/>
          <w:sz w:val="24"/>
          <w:szCs w:val="24"/>
        </w:rPr>
      </w:pPr>
      <w:r w:rsidRPr="009E7257">
        <w:rPr>
          <w:rFonts w:ascii="Times New Roman" w:hAnsi="Times New Roman" w:cs="Times New Roman"/>
          <w:i w:val="0"/>
          <w:iCs/>
          <w:spacing w:val="-8"/>
          <w:sz w:val="24"/>
          <w:szCs w:val="24"/>
        </w:rPr>
        <w:t>The assessment of hypothesis testing involves examining the t-statistic and probability values. For a significance level of 5%, the t-value is compared with the critical t-value in the t-table. If the t-statistic is greater than the critical t-value, the hypothesis is rejected. On the other hand, if the p-value is less than 0.05, the hypothesis is accepted based on the level of probability.</w:t>
      </w:r>
    </w:p>
    <w:p w14:paraId="7CED3DEA" w14:textId="77777777" w:rsidR="009E7257" w:rsidRPr="009E7257" w:rsidRDefault="009E7257" w:rsidP="009E7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val="0"/>
          <w:iCs/>
          <w:spacing w:val="-8"/>
          <w:sz w:val="24"/>
          <w:szCs w:val="24"/>
        </w:rPr>
      </w:pPr>
      <w:r w:rsidRPr="009E7257">
        <w:rPr>
          <w:rFonts w:ascii="Times New Roman" w:hAnsi="Times New Roman" w:cs="Times New Roman"/>
          <w:b/>
          <w:bCs/>
          <w:i w:val="0"/>
          <w:iCs/>
          <w:spacing w:val="-8"/>
          <w:sz w:val="24"/>
          <w:szCs w:val="24"/>
        </w:rPr>
        <w:t>Table 11. Hypothesis Test Results</w:t>
      </w:r>
    </w:p>
    <w:tbl>
      <w:tblPr>
        <w:tblW w:w="8222" w:type="dxa"/>
        <w:tblInd w:w="817" w:type="dxa"/>
        <w:tblLook w:val="04A0" w:firstRow="1" w:lastRow="0" w:firstColumn="1" w:lastColumn="0" w:noHBand="0" w:noVBand="1"/>
      </w:tblPr>
      <w:tblGrid>
        <w:gridCol w:w="3827"/>
        <w:gridCol w:w="1701"/>
        <w:gridCol w:w="1560"/>
        <w:gridCol w:w="1134"/>
      </w:tblGrid>
      <w:tr w:rsidR="009E7257" w:rsidRPr="009E7257" w14:paraId="3A04B62F" w14:textId="77777777" w:rsidTr="009E7257">
        <w:trPr>
          <w:trHeight w:val="233"/>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D3591"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 </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5CACC361"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Original Sample (O)</w:t>
            </w:r>
          </w:p>
        </w:tc>
        <w:tc>
          <w:tcPr>
            <w:tcW w:w="1560" w:type="dxa"/>
            <w:tcBorders>
              <w:top w:val="single" w:sz="4" w:space="0" w:color="auto"/>
              <w:left w:val="nil"/>
              <w:bottom w:val="single" w:sz="4" w:space="0" w:color="auto"/>
              <w:right w:val="single" w:sz="4" w:space="0" w:color="auto"/>
            </w:tcBorders>
            <w:shd w:val="clear" w:color="000000" w:fill="C0C0C0"/>
            <w:noWrap/>
            <w:vAlign w:val="center"/>
            <w:hideMark/>
          </w:tcPr>
          <w:p w14:paraId="6AD059EB"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T Statistics (|O/STDEV|)</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56168BF9"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P Values</w:t>
            </w:r>
          </w:p>
        </w:tc>
      </w:tr>
      <w:tr w:rsidR="009E7257" w:rsidRPr="009E7257" w14:paraId="025D745A"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61CE0409"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POS (X3) -&gt; SK (Z)</w:t>
            </w:r>
          </w:p>
        </w:tc>
        <w:tc>
          <w:tcPr>
            <w:tcW w:w="1701" w:type="dxa"/>
            <w:tcBorders>
              <w:top w:val="nil"/>
              <w:left w:val="nil"/>
              <w:bottom w:val="single" w:sz="4" w:space="0" w:color="auto"/>
              <w:right w:val="single" w:sz="4" w:space="0" w:color="auto"/>
            </w:tcBorders>
            <w:shd w:val="clear" w:color="auto" w:fill="auto"/>
            <w:noWrap/>
            <w:vAlign w:val="center"/>
            <w:hideMark/>
          </w:tcPr>
          <w:p w14:paraId="377DBABE"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-0.019</w:t>
            </w:r>
          </w:p>
        </w:tc>
        <w:tc>
          <w:tcPr>
            <w:tcW w:w="1560" w:type="dxa"/>
            <w:tcBorders>
              <w:top w:val="nil"/>
              <w:left w:val="nil"/>
              <w:bottom w:val="single" w:sz="4" w:space="0" w:color="auto"/>
              <w:right w:val="single" w:sz="4" w:space="0" w:color="auto"/>
            </w:tcBorders>
            <w:shd w:val="clear" w:color="auto" w:fill="auto"/>
            <w:noWrap/>
            <w:vAlign w:val="center"/>
            <w:hideMark/>
          </w:tcPr>
          <w:p w14:paraId="6D71CCF5"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2.488</w:t>
            </w:r>
          </w:p>
        </w:tc>
        <w:tc>
          <w:tcPr>
            <w:tcW w:w="1134" w:type="dxa"/>
            <w:tcBorders>
              <w:top w:val="nil"/>
              <w:left w:val="nil"/>
              <w:bottom w:val="single" w:sz="4" w:space="0" w:color="auto"/>
              <w:right w:val="single" w:sz="4" w:space="0" w:color="auto"/>
            </w:tcBorders>
            <w:shd w:val="clear" w:color="auto" w:fill="auto"/>
            <w:noWrap/>
            <w:vAlign w:val="center"/>
            <w:hideMark/>
          </w:tcPr>
          <w:p w14:paraId="41D0CD36"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0.026</w:t>
            </w:r>
          </w:p>
        </w:tc>
      </w:tr>
      <w:tr w:rsidR="009E7257" w:rsidRPr="009E7257" w14:paraId="4BB6EB68"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56454B1B"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POS (X3) -&gt; TI (Y)</w:t>
            </w:r>
          </w:p>
        </w:tc>
        <w:tc>
          <w:tcPr>
            <w:tcW w:w="1701" w:type="dxa"/>
            <w:tcBorders>
              <w:top w:val="nil"/>
              <w:left w:val="nil"/>
              <w:bottom w:val="single" w:sz="4" w:space="0" w:color="auto"/>
              <w:right w:val="single" w:sz="4" w:space="0" w:color="auto"/>
            </w:tcBorders>
            <w:shd w:val="clear" w:color="000000" w:fill="CCFFCC"/>
            <w:noWrap/>
            <w:vAlign w:val="center"/>
            <w:hideMark/>
          </w:tcPr>
          <w:p w14:paraId="3B5F1D4F"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-0.025</w:t>
            </w:r>
          </w:p>
        </w:tc>
        <w:tc>
          <w:tcPr>
            <w:tcW w:w="1560" w:type="dxa"/>
            <w:tcBorders>
              <w:top w:val="nil"/>
              <w:left w:val="nil"/>
              <w:bottom w:val="single" w:sz="4" w:space="0" w:color="auto"/>
              <w:right w:val="single" w:sz="4" w:space="0" w:color="auto"/>
            </w:tcBorders>
            <w:shd w:val="clear" w:color="000000" w:fill="CCFFCC"/>
            <w:noWrap/>
            <w:vAlign w:val="center"/>
            <w:hideMark/>
          </w:tcPr>
          <w:p w14:paraId="4AF429A7"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2.793</w:t>
            </w:r>
          </w:p>
        </w:tc>
        <w:tc>
          <w:tcPr>
            <w:tcW w:w="1134" w:type="dxa"/>
            <w:tcBorders>
              <w:top w:val="nil"/>
              <w:left w:val="nil"/>
              <w:bottom w:val="single" w:sz="4" w:space="0" w:color="auto"/>
              <w:right w:val="single" w:sz="4" w:space="0" w:color="auto"/>
            </w:tcBorders>
            <w:shd w:val="clear" w:color="000000" w:fill="CCFFCC"/>
            <w:noWrap/>
            <w:vAlign w:val="center"/>
            <w:hideMark/>
          </w:tcPr>
          <w:p w14:paraId="13EED03A"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0.028</w:t>
            </w:r>
          </w:p>
        </w:tc>
      </w:tr>
      <w:tr w:rsidR="009E7257" w:rsidRPr="009E7257" w14:paraId="13C507C6"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4371C04F"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SK (Z) -&gt; TI (Y)</w:t>
            </w:r>
          </w:p>
        </w:tc>
        <w:tc>
          <w:tcPr>
            <w:tcW w:w="1701" w:type="dxa"/>
            <w:tcBorders>
              <w:top w:val="nil"/>
              <w:left w:val="nil"/>
              <w:bottom w:val="single" w:sz="4" w:space="0" w:color="auto"/>
              <w:right w:val="single" w:sz="4" w:space="0" w:color="auto"/>
            </w:tcBorders>
            <w:shd w:val="clear" w:color="auto" w:fill="auto"/>
            <w:noWrap/>
            <w:vAlign w:val="center"/>
            <w:hideMark/>
          </w:tcPr>
          <w:p w14:paraId="7DEB7422"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0.579</w:t>
            </w:r>
          </w:p>
        </w:tc>
        <w:tc>
          <w:tcPr>
            <w:tcW w:w="1560" w:type="dxa"/>
            <w:tcBorders>
              <w:top w:val="nil"/>
              <w:left w:val="nil"/>
              <w:bottom w:val="single" w:sz="4" w:space="0" w:color="auto"/>
              <w:right w:val="single" w:sz="4" w:space="0" w:color="auto"/>
            </w:tcBorders>
            <w:shd w:val="clear" w:color="auto" w:fill="auto"/>
            <w:noWrap/>
            <w:vAlign w:val="center"/>
            <w:hideMark/>
          </w:tcPr>
          <w:p w14:paraId="4CD32999"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5.952</w:t>
            </w:r>
          </w:p>
        </w:tc>
        <w:tc>
          <w:tcPr>
            <w:tcW w:w="1134" w:type="dxa"/>
            <w:tcBorders>
              <w:top w:val="nil"/>
              <w:left w:val="nil"/>
              <w:bottom w:val="single" w:sz="4" w:space="0" w:color="auto"/>
              <w:right w:val="single" w:sz="4" w:space="0" w:color="auto"/>
            </w:tcBorders>
            <w:shd w:val="clear" w:color="auto" w:fill="auto"/>
            <w:noWrap/>
            <w:vAlign w:val="center"/>
            <w:hideMark/>
          </w:tcPr>
          <w:p w14:paraId="5BEFA620"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0.000</w:t>
            </w:r>
          </w:p>
        </w:tc>
      </w:tr>
      <w:tr w:rsidR="009E7257" w:rsidRPr="009E7257" w14:paraId="23A271B1"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08C7EADC"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WFC (X1) -&gt; SK (Z)</w:t>
            </w:r>
          </w:p>
        </w:tc>
        <w:tc>
          <w:tcPr>
            <w:tcW w:w="1701" w:type="dxa"/>
            <w:tcBorders>
              <w:top w:val="nil"/>
              <w:left w:val="nil"/>
              <w:bottom w:val="single" w:sz="4" w:space="0" w:color="auto"/>
              <w:right w:val="single" w:sz="4" w:space="0" w:color="auto"/>
            </w:tcBorders>
            <w:shd w:val="clear" w:color="000000" w:fill="CCFFCC"/>
            <w:noWrap/>
            <w:vAlign w:val="center"/>
            <w:hideMark/>
          </w:tcPr>
          <w:p w14:paraId="7889A8AD"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0.522</w:t>
            </w:r>
          </w:p>
        </w:tc>
        <w:tc>
          <w:tcPr>
            <w:tcW w:w="1560" w:type="dxa"/>
            <w:tcBorders>
              <w:top w:val="nil"/>
              <w:left w:val="nil"/>
              <w:bottom w:val="single" w:sz="4" w:space="0" w:color="auto"/>
              <w:right w:val="single" w:sz="4" w:space="0" w:color="auto"/>
            </w:tcBorders>
            <w:shd w:val="clear" w:color="000000" w:fill="CCFFCC"/>
            <w:noWrap/>
            <w:vAlign w:val="center"/>
            <w:hideMark/>
          </w:tcPr>
          <w:p w14:paraId="5418DBE0"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7.773</w:t>
            </w:r>
          </w:p>
        </w:tc>
        <w:tc>
          <w:tcPr>
            <w:tcW w:w="1134" w:type="dxa"/>
            <w:tcBorders>
              <w:top w:val="nil"/>
              <w:left w:val="nil"/>
              <w:bottom w:val="single" w:sz="4" w:space="0" w:color="auto"/>
              <w:right w:val="single" w:sz="4" w:space="0" w:color="auto"/>
            </w:tcBorders>
            <w:shd w:val="clear" w:color="000000" w:fill="CCFFCC"/>
            <w:noWrap/>
            <w:vAlign w:val="center"/>
            <w:hideMark/>
          </w:tcPr>
          <w:p w14:paraId="58B7F0EC"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0.000</w:t>
            </w:r>
          </w:p>
        </w:tc>
      </w:tr>
      <w:tr w:rsidR="009E7257" w:rsidRPr="009E7257" w14:paraId="059D1478"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29F0529E"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lastRenderedPageBreak/>
              <w:t>WFC (X1) -&gt; TI (Y)</w:t>
            </w:r>
          </w:p>
        </w:tc>
        <w:tc>
          <w:tcPr>
            <w:tcW w:w="1701" w:type="dxa"/>
            <w:tcBorders>
              <w:top w:val="nil"/>
              <w:left w:val="nil"/>
              <w:bottom w:val="single" w:sz="4" w:space="0" w:color="auto"/>
              <w:right w:val="single" w:sz="4" w:space="0" w:color="auto"/>
            </w:tcBorders>
            <w:shd w:val="clear" w:color="auto" w:fill="auto"/>
            <w:noWrap/>
            <w:vAlign w:val="center"/>
            <w:hideMark/>
          </w:tcPr>
          <w:p w14:paraId="039E3D89"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0.272</w:t>
            </w:r>
          </w:p>
        </w:tc>
        <w:tc>
          <w:tcPr>
            <w:tcW w:w="1560" w:type="dxa"/>
            <w:tcBorders>
              <w:top w:val="nil"/>
              <w:left w:val="nil"/>
              <w:bottom w:val="single" w:sz="4" w:space="0" w:color="auto"/>
              <w:right w:val="single" w:sz="4" w:space="0" w:color="auto"/>
            </w:tcBorders>
            <w:shd w:val="clear" w:color="auto" w:fill="auto"/>
            <w:noWrap/>
            <w:vAlign w:val="center"/>
            <w:hideMark/>
          </w:tcPr>
          <w:p w14:paraId="68AB64D8"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3.473</w:t>
            </w:r>
          </w:p>
        </w:tc>
        <w:tc>
          <w:tcPr>
            <w:tcW w:w="1134" w:type="dxa"/>
            <w:tcBorders>
              <w:top w:val="nil"/>
              <w:left w:val="nil"/>
              <w:bottom w:val="single" w:sz="4" w:space="0" w:color="auto"/>
              <w:right w:val="single" w:sz="4" w:space="0" w:color="auto"/>
            </w:tcBorders>
            <w:shd w:val="clear" w:color="auto" w:fill="auto"/>
            <w:noWrap/>
            <w:vAlign w:val="center"/>
            <w:hideMark/>
          </w:tcPr>
          <w:p w14:paraId="12489587"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0.001</w:t>
            </w:r>
          </w:p>
        </w:tc>
      </w:tr>
      <w:tr w:rsidR="009E7257" w:rsidRPr="009E7257" w14:paraId="5132A8D9"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7626EA73"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WO (X2) -&gt; SK (Z)</w:t>
            </w:r>
          </w:p>
        </w:tc>
        <w:tc>
          <w:tcPr>
            <w:tcW w:w="1701" w:type="dxa"/>
            <w:tcBorders>
              <w:top w:val="nil"/>
              <w:left w:val="nil"/>
              <w:bottom w:val="single" w:sz="4" w:space="0" w:color="auto"/>
              <w:right w:val="single" w:sz="4" w:space="0" w:color="auto"/>
            </w:tcBorders>
            <w:shd w:val="clear" w:color="000000" w:fill="CCFFCC"/>
            <w:noWrap/>
            <w:vAlign w:val="center"/>
            <w:hideMark/>
          </w:tcPr>
          <w:p w14:paraId="4DFD3A15"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0.433</w:t>
            </w:r>
          </w:p>
        </w:tc>
        <w:tc>
          <w:tcPr>
            <w:tcW w:w="1560" w:type="dxa"/>
            <w:tcBorders>
              <w:top w:val="nil"/>
              <w:left w:val="nil"/>
              <w:bottom w:val="single" w:sz="4" w:space="0" w:color="auto"/>
              <w:right w:val="single" w:sz="4" w:space="0" w:color="auto"/>
            </w:tcBorders>
            <w:shd w:val="clear" w:color="000000" w:fill="CCFFCC"/>
            <w:noWrap/>
            <w:vAlign w:val="center"/>
            <w:hideMark/>
          </w:tcPr>
          <w:p w14:paraId="06AA1EA9"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6.098</w:t>
            </w:r>
          </w:p>
        </w:tc>
        <w:tc>
          <w:tcPr>
            <w:tcW w:w="1134" w:type="dxa"/>
            <w:tcBorders>
              <w:top w:val="nil"/>
              <w:left w:val="nil"/>
              <w:bottom w:val="single" w:sz="4" w:space="0" w:color="auto"/>
              <w:right w:val="single" w:sz="4" w:space="0" w:color="auto"/>
            </w:tcBorders>
            <w:shd w:val="clear" w:color="000000" w:fill="CCFFCC"/>
            <w:noWrap/>
            <w:vAlign w:val="center"/>
            <w:hideMark/>
          </w:tcPr>
          <w:p w14:paraId="4766E381"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0.000</w:t>
            </w:r>
          </w:p>
        </w:tc>
      </w:tr>
      <w:tr w:rsidR="009E7257" w:rsidRPr="009E7257" w14:paraId="700E86B7"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1F8476A2"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WO (X2) -&gt; TI (Y)</w:t>
            </w:r>
          </w:p>
        </w:tc>
        <w:tc>
          <w:tcPr>
            <w:tcW w:w="1701" w:type="dxa"/>
            <w:tcBorders>
              <w:top w:val="nil"/>
              <w:left w:val="nil"/>
              <w:bottom w:val="single" w:sz="4" w:space="0" w:color="auto"/>
              <w:right w:val="single" w:sz="4" w:space="0" w:color="auto"/>
            </w:tcBorders>
            <w:shd w:val="clear" w:color="auto" w:fill="auto"/>
            <w:noWrap/>
            <w:vAlign w:val="center"/>
            <w:hideMark/>
          </w:tcPr>
          <w:p w14:paraId="37C7EA9C"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0.128</w:t>
            </w:r>
          </w:p>
        </w:tc>
        <w:tc>
          <w:tcPr>
            <w:tcW w:w="1560" w:type="dxa"/>
            <w:tcBorders>
              <w:top w:val="nil"/>
              <w:left w:val="nil"/>
              <w:bottom w:val="single" w:sz="4" w:space="0" w:color="auto"/>
              <w:right w:val="single" w:sz="4" w:space="0" w:color="auto"/>
            </w:tcBorders>
            <w:shd w:val="clear" w:color="auto" w:fill="auto"/>
            <w:noWrap/>
            <w:vAlign w:val="center"/>
            <w:hideMark/>
          </w:tcPr>
          <w:p w14:paraId="0B8040A3"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2.165</w:t>
            </w:r>
          </w:p>
        </w:tc>
        <w:tc>
          <w:tcPr>
            <w:tcW w:w="1134" w:type="dxa"/>
            <w:tcBorders>
              <w:top w:val="nil"/>
              <w:left w:val="nil"/>
              <w:bottom w:val="single" w:sz="4" w:space="0" w:color="auto"/>
              <w:right w:val="single" w:sz="4" w:space="0" w:color="auto"/>
            </w:tcBorders>
            <w:shd w:val="clear" w:color="auto" w:fill="auto"/>
            <w:noWrap/>
            <w:vAlign w:val="center"/>
            <w:hideMark/>
          </w:tcPr>
          <w:p w14:paraId="523C5826"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0.031</w:t>
            </w:r>
          </w:p>
        </w:tc>
      </w:tr>
      <w:tr w:rsidR="009E7257" w:rsidRPr="009E7257" w14:paraId="2C927204"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7852FD4F"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POS (X3) -&gt; SK (Z) -&gt; TI (Y)</w:t>
            </w:r>
          </w:p>
        </w:tc>
        <w:tc>
          <w:tcPr>
            <w:tcW w:w="1701" w:type="dxa"/>
            <w:tcBorders>
              <w:top w:val="nil"/>
              <w:left w:val="nil"/>
              <w:bottom w:val="single" w:sz="4" w:space="0" w:color="auto"/>
              <w:right w:val="single" w:sz="4" w:space="0" w:color="auto"/>
            </w:tcBorders>
            <w:shd w:val="clear" w:color="auto" w:fill="auto"/>
            <w:noWrap/>
            <w:vAlign w:val="center"/>
            <w:hideMark/>
          </w:tcPr>
          <w:p w14:paraId="22CCB005"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21896E16"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4.762</w:t>
            </w:r>
          </w:p>
        </w:tc>
        <w:tc>
          <w:tcPr>
            <w:tcW w:w="1134" w:type="dxa"/>
            <w:tcBorders>
              <w:top w:val="nil"/>
              <w:left w:val="nil"/>
              <w:bottom w:val="single" w:sz="4" w:space="0" w:color="auto"/>
              <w:right w:val="single" w:sz="4" w:space="0" w:color="auto"/>
            </w:tcBorders>
            <w:shd w:val="clear" w:color="auto" w:fill="auto"/>
            <w:noWrap/>
            <w:vAlign w:val="center"/>
            <w:hideMark/>
          </w:tcPr>
          <w:p w14:paraId="3050F34C"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0.034</w:t>
            </w:r>
          </w:p>
        </w:tc>
      </w:tr>
      <w:tr w:rsidR="009E7257" w:rsidRPr="009E7257" w14:paraId="612ABC7C"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092CE144"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WFC (X1) -&gt; SK (Z) -&gt; TI (Y)</w:t>
            </w:r>
          </w:p>
        </w:tc>
        <w:tc>
          <w:tcPr>
            <w:tcW w:w="1701" w:type="dxa"/>
            <w:tcBorders>
              <w:top w:val="nil"/>
              <w:left w:val="nil"/>
              <w:bottom w:val="single" w:sz="4" w:space="0" w:color="auto"/>
              <w:right w:val="single" w:sz="4" w:space="0" w:color="auto"/>
            </w:tcBorders>
            <w:shd w:val="clear" w:color="auto" w:fill="auto"/>
            <w:noWrap/>
            <w:vAlign w:val="center"/>
            <w:hideMark/>
          </w:tcPr>
          <w:p w14:paraId="19CAB111"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0.303</w:t>
            </w:r>
          </w:p>
        </w:tc>
        <w:tc>
          <w:tcPr>
            <w:tcW w:w="1560" w:type="dxa"/>
            <w:tcBorders>
              <w:top w:val="nil"/>
              <w:left w:val="nil"/>
              <w:bottom w:val="single" w:sz="4" w:space="0" w:color="auto"/>
              <w:right w:val="single" w:sz="4" w:space="0" w:color="auto"/>
            </w:tcBorders>
            <w:shd w:val="clear" w:color="auto" w:fill="auto"/>
            <w:noWrap/>
            <w:vAlign w:val="center"/>
            <w:hideMark/>
          </w:tcPr>
          <w:p w14:paraId="0FF797F8"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4.533</w:t>
            </w:r>
          </w:p>
        </w:tc>
        <w:tc>
          <w:tcPr>
            <w:tcW w:w="1134" w:type="dxa"/>
            <w:tcBorders>
              <w:top w:val="nil"/>
              <w:left w:val="nil"/>
              <w:bottom w:val="single" w:sz="4" w:space="0" w:color="auto"/>
              <w:right w:val="single" w:sz="4" w:space="0" w:color="auto"/>
            </w:tcBorders>
            <w:shd w:val="clear" w:color="auto" w:fill="auto"/>
            <w:noWrap/>
            <w:vAlign w:val="center"/>
            <w:hideMark/>
          </w:tcPr>
          <w:p w14:paraId="288DC0D0"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0.000</w:t>
            </w:r>
          </w:p>
        </w:tc>
      </w:tr>
      <w:tr w:rsidR="009E7257" w:rsidRPr="009E7257" w14:paraId="66653F7E" w14:textId="77777777" w:rsidTr="009E7257">
        <w:trPr>
          <w:trHeight w:val="233"/>
        </w:trPr>
        <w:tc>
          <w:tcPr>
            <w:tcW w:w="3827" w:type="dxa"/>
            <w:tcBorders>
              <w:top w:val="nil"/>
              <w:left w:val="single" w:sz="4" w:space="0" w:color="auto"/>
              <w:bottom w:val="single" w:sz="4" w:space="0" w:color="auto"/>
              <w:right w:val="single" w:sz="4" w:space="0" w:color="auto"/>
            </w:tcBorders>
            <w:shd w:val="clear" w:color="000000" w:fill="C0C0C0"/>
            <w:noWrap/>
            <w:vAlign w:val="center"/>
            <w:hideMark/>
          </w:tcPr>
          <w:p w14:paraId="3F8DC17B" w14:textId="77777777" w:rsidR="009E7257" w:rsidRPr="009E7257" w:rsidRDefault="009E7257" w:rsidP="00BC1BB3">
            <w:pPr>
              <w:rPr>
                <w:rFonts w:ascii="Times New Roman" w:hAnsi="Times New Roman" w:cs="Times New Roman"/>
                <w:b/>
                <w:bCs/>
                <w:i w:val="0"/>
                <w:iCs/>
                <w:color w:val="000000"/>
                <w:sz w:val="24"/>
                <w:szCs w:val="24"/>
              </w:rPr>
            </w:pPr>
            <w:r w:rsidRPr="009E7257">
              <w:rPr>
                <w:rFonts w:ascii="Times New Roman" w:hAnsi="Times New Roman" w:cs="Times New Roman"/>
                <w:b/>
                <w:bCs/>
                <w:i w:val="0"/>
                <w:iCs/>
                <w:color w:val="000000"/>
                <w:sz w:val="24"/>
                <w:szCs w:val="24"/>
              </w:rPr>
              <w:t>WO (X2) -&gt; SK (Z) -&gt; TI (Y)</w:t>
            </w:r>
          </w:p>
        </w:tc>
        <w:tc>
          <w:tcPr>
            <w:tcW w:w="1701" w:type="dxa"/>
            <w:tcBorders>
              <w:top w:val="nil"/>
              <w:left w:val="nil"/>
              <w:bottom w:val="single" w:sz="4" w:space="0" w:color="auto"/>
              <w:right w:val="single" w:sz="4" w:space="0" w:color="auto"/>
            </w:tcBorders>
            <w:shd w:val="clear" w:color="auto" w:fill="auto"/>
            <w:noWrap/>
            <w:vAlign w:val="center"/>
            <w:hideMark/>
          </w:tcPr>
          <w:p w14:paraId="3C445CC2"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0.251</w:t>
            </w:r>
          </w:p>
        </w:tc>
        <w:tc>
          <w:tcPr>
            <w:tcW w:w="1560" w:type="dxa"/>
            <w:tcBorders>
              <w:top w:val="nil"/>
              <w:left w:val="nil"/>
              <w:bottom w:val="single" w:sz="4" w:space="0" w:color="auto"/>
              <w:right w:val="single" w:sz="4" w:space="0" w:color="auto"/>
            </w:tcBorders>
            <w:shd w:val="clear" w:color="auto" w:fill="auto"/>
            <w:noWrap/>
            <w:vAlign w:val="center"/>
            <w:hideMark/>
          </w:tcPr>
          <w:p w14:paraId="25A7467C" w14:textId="77777777" w:rsidR="009E7257" w:rsidRPr="009E7257" w:rsidRDefault="009E7257" w:rsidP="00BC1BB3">
            <w:pPr>
              <w:jc w:val="right"/>
              <w:rPr>
                <w:rFonts w:ascii="Times New Roman" w:hAnsi="Times New Roman" w:cs="Times New Roman"/>
                <w:i w:val="0"/>
                <w:iCs/>
                <w:color w:val="000000"/>
                <w:sz w:val="24"/>
                <w:szCs w:val="24"/>
              </w:rPr>
            </w:pPr>
            <w:r w:rsidRPr="009E7257">
              <w:rPr>
                <w:rFonts w:ascii="Times New Roman" w:hAnsi="Times New Roman" w:cs="Times New Roman"/>
                <w:i w:val="0"/>
                <w:iCs/>
                <w:color w:val="000000"/>
                <w:sz w:val="24"/>
                <w:szCs w:val="24"/>
              </w:rPr>
              <w:t>5.069</w:t>
            </w:r>
          </w:p>
        </w:tc>
        <w:tc>
          <w:tcPr>
            <w:tcW w:w="1134" w:type="dxa"/>
            <w:tcBorders>
              <w:top w:val="nil"/>
              <w:left w:val="nil"/>
              <w:bottom w:val="single" w:sz="4" w:space="0" w:color="auto"/>
              <w:right w:val="single" w:sz="4" w:space="0" w:color="auto"/>
            </w:tcBorders>
            <w:shd w:val="clear" w:color="auto" w:fill="auto"/>
            <w:noWrap/>
            <w:vAlign w:val="center"/>
            <w:hideMark/>
          </w:tcPr>
          <w:p w14:paraId="1D47CBE1" w14:textId="77777777" w:rsidR="009E7257" w:rsidRPr="009E7257" w:rsidRDefault="009E7257" w:rsidP="00BC1BB3">
            <w:pPr>
              <w:jc w:val="right"/>
              <w:rPr>
                <w:rFonts w:ascii="Times New Roman" w:hAnsi="Times New Roman" w:cs="Times New Roman"/>
                <w:b/>
                <w:bCs/>
                <w:i w:val="0"/>
                <w:iCs/>
                <w:color w:val="008000"/>
                <w:sz w:val="24"/>
                <w:szCs w:val="24"/>
              </w:rPr>
            </w:pPr>
            <w:r w:rsidRPr="009E7257">
              <w:rPr>
                <w:rFonts w:ascii="Times New Roman" w:hAnsi="Times New Roman" w:cs="Times New Roman"/>
                <w:b/>
                <w:bCs/>
                <w:i w:val="0"/>
                <w:iCs/>
                <w:color w:val="008000"/>
                <w:sz w:val="24"/>
                <w:szCs w:val="24"/>
              </w:rPr>
              <w:t>0.000</w:t>
            </w:r>
          </w:p>
        </w:tc>
      </w:tr>
    </w:tbl>
    <w:p w14:paraId="743E2B9C" w14:textId="77777777" w:rsidR="009E7257" w:rsidRDefault="009E7257">
      <w:pPr>
        <w:spacing w:after="120" w:line="240" w:lineRule="auto"/>
        <w:jc w:val="both"/>
        <w:rPr>
          <w:rFonts w:ascii="Times New Roman" w:eastAsia="Times New Roman" w:hAnsi="Times New Roman" w:cs="Times New Roman"/>
          <w:b/>
          <w:i w:val="0"/>
          <w:sz w:val="24"/>
          <w:szCs w:val="24"/>
        </w:rPr>
      </w:pPr>
    </w:p>
    <w:p w14:paraId="26FBB6D4" w14:textId="47024BFD"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i w:val="0"/>
          <w:color w:val="FF0000"/>
          <w:sz w:val="24"/>
          <w:szCs w:val="24"/>
        </w:rPr>
      </w:pPr>
      <w:r>
        <w:rPr>
          <w:rFonts w:ascii="Times New Roman" w:eastAsia="Times New Roman" w:hAnsi="Times New Roman" w:cs="Times New Roman"/>
          <w:b/>
          <w:color w:val="000000"/>
          <w:sz w:val="24"/>
          <w:szCs w:val="24"/>
        </w:rPr>
        <w:t>Discussion</w:t>
      </w:r>
      <w:r>
        <w:rPr>
          <w:rFonts w:ascii="Times New Roman" w:eastAsia="Times New Roman" w:hAnsi="Times New Roman" w:cs="Times New Roman"/>
          <w:b/>
          <w:i w:val="0"/>
          <w:color w:val="000000"/>
          <w:sz w:val="24"/>
          <w:szCs w:val="24"/>
        </w:rPr>
        <w:t xml:space="preserve"> </w:t>
      </w:r>
    </w:p>
    <w:p w14:paraId="1CC8E19E"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Work-Family Conflict on Turnover Intentions</w:t>
      </w:r>
    </w:p>
    <w:p w14:paraId="28E77918" w14:textId="0BA5F590"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hypothesis testing results on the relationship between Work-Family Conflict and Turnover Intentions suggest that the p-value, which is 0.001, is less than the significance level of 0.05. Moreover, the t-statistic value of 3.473 is greater than the critical value of 1.660, and the beta score of 0.272 indicates a positive effect. These results confirm that Work-Family Conflict has a significant and positive impact on Turnover Intentions. Work-family conflict refers to a type of conflict between work and family roles that creates pressure, making it difficult for employees to fulfill their responsibilities in both domains. When employees devote more time and energy to one role, they may find it challenging to meet the requirements of the other role, leading to role conflict and increased pressure. The study's findings are consistent with prior research, such as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Babakus","given":"E.","non-dropping-particle":"","parse-names":false,"suffix":""},{"dropping-particle":"","family":"Yavas","given":"U.","non-dropping-particle":"","parse-names":false,"suffix":""},{"dropping-particle":"","family":"Westbrook","given":"K. W.","non-dropping-particle":"","parse-names":false,"suffix":""},{"dropping-particle":"","family":"Grant","given":"C. C.","non-dropping-particle":"","parse-names":false,"suffix":""},{"dropping-particle":"","family":"Deitz","given":"G. D.","non-dropping-particle":"","parse-names":false,"suffix":""},{"dropping-particle":"","family":"Rafalski","given":"E.","non-dropping-particle":"","parse-names":false,"suffix":""}],"container-title":"Journal of health management","id":"ITEM-1","issue":"1","issued":{"date-parts":[["2016"]]},"page":"49-69","title":"An investigation of service quality—willingness to recommend relationship across patient and hospital characteristics.","type":"article-journal","volume":"18"},"uris":["http://www.mendeley.com/documents/?uuid=dd867edb-7f56-4f91-b7b2-f45038cace4b","http://www.mendeley.com/documents/?uuid=ef3ff9a2-91b6-419f-8fbb-17428cd6033a"]}],"mendeley":{"formattedCitation":"(Babakus et al., 2016)","manualFormatting":"Babakus et al., (2016)","plainTextFormattedCitation":"(Babakus et al., 2016)","previouslyFormattedCitation":"(Babakus et al., 2016)"},"properties":{"noteIndex":0},"schema":"https://github.com/citation-style-language/schema/raw/master/csl-citation.json"}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Babakus et al., (2016)</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{"citationItems":[{"id":"ITEM-1","itemData":{"author":[{"dropping-particle":"","family":"Yousef","given":"J. M.","non-dropping-particle":"","parse-names":false,"suffix":""},{"dropping-particle":"","family":"Danial","given":"E. N.","non-dropping-particle":"","parse-names":false,"suffix":""}],"container-title":"J Health Sci","id":"ITEM-1","issue":"4","issued":{"date-parts":[["2012"]]},"page":"38-42","title":"In vitro antibacterial activity and minimum inhibitory concentration of zinc oxide and nano-particle zinc oxide against pathogenic strains.","type":"article-journal","volume":"2"},"uris":["http://www.mendeley.com/documents/?uuid=aae603ef-2626-4ffe-8d1e-d4850ebaf0e1","http://www.mendeley.com/documents/?uuid=771d3098-9a5a-4493-8192-7b844f6501fa"]}],"mendeley":{"formattedCitation":"(Yousef &amp; Danial, 2012)","manualFormatting":"Yousef &amp; Danial, (2012)","plainTextFormattedCitation":"(Yousef &amp; Danial, 2012)","previouslyFormattedCitation":"(Yousef &amp; Danial, 2012)"},"properties":{"noteIndex":0},"schema":"https://github.com/citation-style-language/schema/raw/master/csl-citation.json"}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Yousef &amp; Danial, (2012)</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which show that work-family conflict has a significant negative impact on organizational commitment. Additionally,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Aboobaker","given":"N.","non-dropping-particle":"","parse-names":false,"suffix":""},{"dropping-particle":"","family":"Edward","given":"M.","non-dropping-particle":"","parse-names":false,"suffix":""},{"dropping-particle":"","family":"Pramatha","given":"K. P.","non-dropping-particle":"","parse-names":false,"suffix":""}],"container-title":"Global Business Review","id":"ITEM-1","issue":"2","issued":{"date-parts":[["2017"]]},"page":"524-536","title":"Work–family conflict, family–work conflict and intention to leave the organization: Evidences across five industry sectors in India.","type":"article-journal","volume":"18"},"uris":["http://www.mendeley.com/documents/?uuid=87b9616a-83ef-47de-b5c3-3c49770e3be8","http://www.mendeley.com/documents/?uuid=83125b35-8eaa-4154-96b1-149878cd909e"]}],"mendeley":{"formattedCitation":"(Aboobaker et al., 2017)","manualFormatting":"Aboobaker et al., (2017)","plainTextFormattedCitation":"(Aboobaker et al., 2017)","previouslyFormattedCitation":"(Aboobaker et al., 2017)"},"properties":{"noteIndex":0},"schema":"https://github.com/citation-style-language/schema/raw/master/csl-citation.json"}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Aboobaker et al. (2017)</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demonstrates that work-family conflict has a significant positive effect on turnover intention.</w:t>
      </w:r>
    </w:p>
    <w:p w14:paraId="531D5AAB"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Work-Family Conflict on Work Stress</w:t>
      </w:r>
    </w:p>
    <w:p w14:paraId="44C149F5" w14:textId="55BD3E94"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According to the results of testing the hypothesis on the influence of Work-Family Conflict on work stress, the p-value is found to be 0.000 which is smaller than the threshold of 0.05. Additionally, the t-statistic value is 7.773, greater than the critical value of 1.660, and the beta score is 0.522. Thus, it can be concluded that Work-Family Conflict has a significant positive impact on work stress. This implies that the conflict experienced by an employee can lead to increased work stress, and the higher the conflict, the higher the level of work stress. These findings are consistent with previous studies conducted by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{"citationItems":[{"id":"ITEM-1","itemData":{"author":[{"dropping-particle":"","family":"Hammer","given":"T. H.","non-dropping-particle":"","parse-names":false,"suffix":""},{"dropping-particle":"","family":"Saksvik","given":"P. Ø.","non-dropping-particle":"","parse-names":false,"suffix":""},{"dropping-particle":"","family":"Nytrø","given":"K.","non-dropping-particle":"","parse-names":false,"suffix":""},{"dropping-particle":"","family":"Torvatn","given":"H.","non-dropping-particle":"","parse-names":false,"suffix":""},{"dropping-particle":"","family":"Bayazit","given":"M.","non-dropping-particle":"","parse-names":false,"suffix":""}],"container-title":"Journal of occupational health psychology","id":"ITEM-1","issue":"1","issued":{"date-parts":[["2004"]]},"page":"83","title":"Expanding the psychosocial work environment: workplace norms and work-family conflict as correlates of stress and health.","type":"article-journal","volume":"9"},"uris":["http://www.mendeley.com/documents/?uuid=274da14a-893b-4368-8f0a-255371ee3f86","http://www.mendeley.com/documents/?uuid=eaad48e6-b8e5-4530-9646-6abacc7160b3"]}],"mendeley":{"formattedCitation":"(Hammer et al., 2004)","manualFormatting":"Hammer et al., (2004)","plainTextFormattedCitation":"(Hammer et al., 2004)","previouslyFormattedCitation":"(Hammer et al., 2004)"},"properties":{"noteIndex":0},"schema":"https://github.com/citation-style-language/schema/raw/master/csl-citation.json"}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Hammer et al., (2004)</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dan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Bazana","given":"S.","non-dropping-particle":"","parse-names":false,"suffix":""},{"dropping-particle":"","family":"Dodd","given":"N.","non-dropping-particle":"","parse-names":false,"suffix":""}],"container-title":"Journal of Psychology","id":"ITEM-1","issue":"1","issued":{"date-parts":[["2013"]]},"page":"1-8","title":"Conscientiousness, work family conflict and stress amongst police officers in Alice, South Africa.","type":"article-journal","volume":"4"},"uris":["http://www.mendeley.com/documents/?uuid=e0d982bd-acd3-4e62-8783-fc833782c232","http://www.mendeley.com/documents/?uuid=9e5bde6e-a14d-4f31-8134-3b4adfce117d"]}],"mendeley":{"formattedCitation":"(Bazana &amp; Dodd, 2013)","plainTextFormattedCitation":"(Bazana &amp; Dodd, 2013)","previouslyFormattedCitation":"(Bazana &amp; Dodd, 2013)"},"properties":{"noteIndex":0},"schema":"https://github.com/citation-style-language/schema/raw/master/csl-citation.json"}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(Bazana &amp; Dodd, 2013)</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which show that work-family conflict has a positive effect on work stress. This is due to the potential increase in work stress experienced by employees as the conflict level rises.</w:t>
      </w:r>
    </w:p>
    <w:p w14:paraId="463F1684"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 Overload on Turnover Intentions</w:t>
      </w:r>
    </w:p>
    <w:p w14:paraId="751EE47B" w14:textId="219EE243"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z w:val="24"/>
          <w:szCs w:val="24"/>
        </w:rPr>
      </w:pPr>
      <w:r w:rsidRPr="00B01D75">
        <w:rPr>
          <w:rFonts w:ascii="Times New Roman" w:hAnsi="Times New Roman" w:cs="Times New Roman"/>
          <w:i w:val="0"/>
          <w:iCs/>
          <w:sz w:val="24"/>
          <w:szCs w:val="24"/>
        </w:rPr>
        <w:t xml:space="preserve">The findings of the hypothesis testing for the impact of Work Overload on Turnover Intentions reveal that the p-value is 0.031, which is less than 0.05, indicating a significant relationship. Moreover, the t-statistic value of 2.165 is greater than 1.660, and the beta coefficient is 0.128. Therefore, it can be concluded that Work Overload has a significant positive effect on Turnover Intentions, as explained earlier. This research aims to analyze and assess how work overload influences employees' intention to leave their job. Work overload refers to a scenario in which employees are assigned tasks that exceed their capacity while working for a company. This study aligns with </w:t>
      </w:r>
      <w:r w:rsidRPr="00B01D75">
        <w:rPr>
          <w:rFonts w:ascii="Times New Roman" w:hAnsi="Times New Roman" w:cs="Times New Roman"/>
          <w:i w:val="0"/>
          <w:iCs/>
          <w:sz w:val="24"/>
          <w:szCs w:val="24"/>
        </w:rPr>
        <w:fldChar w:fldCharType="begin" w:fldLock="1"/>
      </w:r>
      <w:r w:rsidRPr="00B01D75">
        <w:rPr>
          <w:rFonts w:ascii="Times New Roman" w:hAnsi="Times New Roman" w:cs="Times New Roman"/>
          <w:i w:val="0"/>
          <w:iCs/>
          <w:sz w:val="24"/>
          <w:szCs w:val="24"/>
        </w:rPr>
        <w:instrText>ADDIN CSL_CITATION {"citationItems":[{"id":"ITEM-1","itemData":{"ISSN":"2581-2025","author":[{"dropping-particle":"","family":"Nisa","given":"Nurul Hidayatin","non-dropping-particle":"","parse-names":false,"suffix":""},{"dropping-particle":"","family":"Malik","given":"Nazaruddin","non-dropping-particle":"","parse-names":false,"suffix":""}],"container-title":"Journal of Innovation in Business &amp; Economics","id":"ITEM-1","issue":"1","issued":{"date-parts":[["2016"]]},"page":"67-76","publisher":"Faculty of Economics and Business, Universitas Muhammadiyah Malang","title":"Pengaruh work overload dan work family conflict terhadap turnover intention yang dimediasi oleh work exhaustion","type":"article-journal","volume":"7"},"uris":["http://www.mendeley.com/documents/?uuid=fdad8333-5746-4131-9baf-e21d04a41d6e"]}],"mendeley":{"formattedCitation":"(Nisa &amp; Malik, 2016)","plainTextFormattedCitation":"(Nisa &amp; Malik, 2016)","previouslyFormattedCitation":"(Nisa &amp; Malik, 2016)"},"properties":{"noteIndex":0},"schema":"https://github.com/citation-style-language/schema/raw/master/csl-citation.json"}</w:instrText>
      </w:r>
      <w:r w:rsidRPr="00B01D75">
        <w:rPr>
          <w:rFonts w:ascii="Times New Roman" w:hAnsi="Times New Roman" w:cs="Times New Roman"/>
          <w:i w:val="0"/>
          <w:iCs/>
          <w:sz w:val="24"/>
          <w:szCs w:val="24"/>
        </w:rPr>
        <w:fldChar w:fldCharType="separate"/>
      </w:r>
      <w:r w:rsidRPr="00B01D75">
        <w:rPr>
          <w:rFonts w:ascii="Times New Roman" w:hAnsi="Times New Roman" w:cs="Times New Roman"/>
          <w:i w:val="0"/>
          <w:iCs/>
          <w:noProof/>
          <w:sz w:val="24"/>
          <w:szCs w:val="24"/>
        </w:rPr>
        <w:t>Nisa &amp; Malik (2016)</w:t>
      </w:r>
      <w:r w:rsidRPr="00B01D75">
        <w:rPr>
          <w:rFonts w:ascii="Times New Roman" w:hAnsi="Times New Roman" w:cs="Times New Roman"/>
          <w:i w:val="0"/>
          <w:iCs/>
          <w:sz w:val="24"/>
          <w:szCs w:val="24"/>
        </w:rPr>
        <w:fldChar w:fldCharType="end"/>
      </w:r>
      <w:r w:rsidRPr="00B01D75">
        <w:rPr>
          <w:rFonts w:ascii="Times New Roman" w:hAnsi="Times New Roman" w:cs="Times New Roman"/>
          <w:i w:val="0"/>
          <w:iCs/>
          <w:sz w:val="24"/>
          <w:szCs w:val="24"/>
        </w:rPr>
        <w:t xml:space="preserve">’s research, which demonstrates that work overload has </w:t>
      </w:r>
      <w:r w:rsidRPr="00B01D75">
        <w:rPr>
          <w:rFonts w:ascii="Times New Roman" w:hAnsi="Times New Roman" w:cs="Times New Roman"/>
          <w:i w:val="0"/>
          <w:iCs/>
          <w:sz w:val="24"/>
          <w:szCs w:val="24"/>
        </w:rPr>
        <w:lastRenderedPageBreak/>
        <w:t>a significant impact on turnover intention. Continuous work overload can result in prolonged fatigue, which is a dominant factor that employees cannot tolerate, leading to an increased desire to leave their job (turnover intention).</w:t>
      </w:r>
    </w:p>
    <w:p w14:paraId="3D303ACB"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 Overload on Work Stress</w:t>
      </w:r>
    </w:p>
    <w:p w14:paraId="52C5DBC8" w14:textId="64021993"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hypothesis test results on the impact of Work Overload on work stress show that the p-value is 0.000, which is less than 0.05. Furthermore, the t-statistic value is 6.098, which is greater than 1.660, and the beta score is 0.433. Therefore, it can be concluded that Work Overload has a significant positive effect on work stress. The findings of this study align with previous research conducted by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{"citationItems":[{"id":"ITEM-1","itemData":{"author":[{"dropping-particle":"","family":"Karimi","given":"R.","non-dropping-particle":"","parse-names":false,"suffix":""},{"dropping-particle":"","family":"Omar","given":"Z. B.","non-dropping-particle":"","parse-names":false,"suffix":""},{"dropping-particle":"","family":"Alipour","given":"F.","non-dropping-particle":"","parse-names":false,"suffix":""},{"dropping-particle":"","family":"Karimi","given":"Z.","non-dropping-particle":"","parse-names":false,"suffix":""}],"container-title":"International Journal of Asian Social Science","id":"ITEM-1","issue":"1","issued":{"date-parts":[["2014"]]},"page":"34-40","title":"The influence of role overload, role conflict and role ambiguity on occupational stress among nurses in selected Iranian hospitals.","type":"article-journal","volume":"4"},"uris":["http://www.mendeley.com/documents/?uuid=8bcf9178-326d-4007-885c-4cb0afa4c47c","http://www.mendeley.com/documents/?uuid=47f8979b-ba83-4e37-967f-0b30794f1b26"]}],"mendeley":{"formattedCitation":"(Karimi et al., 2014)","manualFormatting":"Karimi et al., (2014)","plainTextFormattedCitation":"(Karimi et al., 2014)","previouslyFormattedCitation":"(Karimi et al., 2014)"},"properties":{"noteIndex":0},"schema":"https://github.com/citation-style-language/schema/raw/master/csl-citation.json"}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Karimi et al., (2014)</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and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{"citationItems":[{"id":"ITEM-1","itemData":{"author":[{"dropping-particle":"","family":"Malik","given":"H.","non-dropping-particle":"","parse-names":false,"suffix":""}],"container-title":"Academic research international","id":"ITEM-1","issue":"3","issued":{"date-parts":[["2011"]]},"page":"315","title":"Determinants of insurance companies profitability: an analysis of insurance sector of Pakistan.","type":"article-journal","volume":"1"},"uris":["http://www.mendeley.com/documents/?uuid=8ce15848-42c3-4ece-be6d-efc2b47b6901","http://www.mendeley.com/documents/?uuid=0d796d82-d49f-4f12-a1c4-9a65ffcd7dc3"]}],"mendeley":{"formattedCitation":"(Malik, 2011)","plainTextFormattedCitation":"(Malik, 2011)","previouslyFormattedCitation":"(Malik, 2011)"},"properties":{"noteIndex":0},"schema":"https://github.com/citation-style-language/schema/raw/master/csl-citation.json"}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(Malik, 2011)</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indicating that higher levels of work overload lead to higher levels of work stress. These results offer practical guidance to employees who struggle to manage their workload effectively, as excessive workloads can negatively impact their stress levels.</w:t>
      </w:r>
    </w:p>
    <w:p w14:paraId="0B8D762E"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Perceived Organizational Support on Turnover Intentions</w:t>
      </w:r>
    </w:p>
    <w:p w14:paraId="657C0669" w14:textId="782B0D92"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hypothesis testing results on the relationship between Perceived Organizational Support and Turnover Intentions show that the p-value is less than 0.05 at 0.028, with a t-statistic value of 2.793, which is greater than 1.660, and a beta score of -0.025. As such, it can be concluded that Perceived Organizational Support has a significant negative effect on Turnover Intentions. Prior research by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{"citationItems":[{"id":"ITEM-1","itemData":{"author":[{"dropping-particle":"","family":"Shams","given":"M. S.","non-dropping-particle":"","parse-names":false,"suffix":""},{"dropping-particle":"","family":"Niazi","given":"M. M.","non-dropping-particle":"","parse-names":false,"suffix":""},{"dropping-particle":"","family":"Asim","given":"F.","non-dropping-particle":"","parse-names":false,"suffix":""}],"container-title":"Kardan Journal of Economics and Management Sciences","id":"ITEM-1","issue":"1","issued":{"date-parts":[["2020"]]},"page":"35-55","title":"The relationship between perceived organizational support, employee engagement, and organizational citizenship behavior: application of PLS-SEM approach.","type":"article-journal","volume":"3"},"uris":["http://www.mendeley.com/documents/?uuid=3d2d3741-282e-4a8a-82df-3940b1efa5b8","http://www.mendeley.com/documents/?uuid=19656ceb-9c3b-400a-9bcd-fa1917eb0d19"]}],"mendeley":{"formattedCitation":"(Shams et al., 2020)","manualFormatting":"Shams et al., (2020)","plainTextFormattedCitation":"(Shams et al., 2020)","previouslyFormattedCitation":"(Shams et al., 2020)"},"properties":{"noteIndex":0},"schema":"https://github.com/citation-style-language/schema/raw/master/csl-citation.json"}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Shams et al., (2020)</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and </w:t>
      </w:r>
      <w:proofErr w:type="spellStart"/>
      <w:r w:rsidRPr="00B01D75">
        <w:rPr>
          <w:rFonts w:ascii="Times New Roman" w:hAnsi="Times New Roman" w:cs="Times New Roman"/>
          <w:i w:val="0"/>
          <w:iCs/>
          <w:spacing w:val="-8"/>
          <w:sz w:val="24"/>
          <w:szCs w:val="24"/>
        </w:rPr>
        <w:t>Aulia</w:t>
      </w:r>
      <w:proofErr w:type="spellEnd"/>
      <w:r w:rsidRPr="00B01D75">
        <w:rPr>
          <w:rFonts w:ascii="Times New Roman" w:hAnsi="Times New Roman" w:cs="Times New Roman"/>
          <w:i w:val="0"/>
          <w:iCs/>
          <w:spacing w:val="-8"/>
          <w:sz w:val="24"/>
          <w:szCs w:val="24"/>
        </w:rPr>
        <w:t xml:space="preserve"> (2012) both found that higher levels of perceived organizational support are linked with lower rates of employee turnover. Additionally,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{"citationItems":[{"id":"ITEM-1","itemData":{"author":[{"dropping-particle":"","family":"Dhar","given":"R. L.","non-dropping-particle":"","parse-names":false,"suffix":""}],"container-title":"Journal of Hospitality and Tourism Management","id":"ITEM-1","issued":{"date-parts":[["2014"]]},"page":"64-75","title":"Effects of stress, LMX and perceived organizational support on service quality: Mediating effects of organizational commitment.","type":"article-journal","volume":"21"},"uris":["http://www.mendeley.com/documents/?uuid=c146a5b1-8574-4b54-907b-4caeb7b93d9f","http://www.mendeley.com/documents/?uuid=02f9504c-5e0a-4a6a-8ae5-f3eb29efc7b4"]}],"mendeley":{"formattedCitation":"(Dhar, 2014)","manualFormatting":"Dhar, (2014)","plainTextFormattedCitation":"(Dhar, 2014)","previouslyFormattedCitation":"(Dhar, 2014)"},"properties":{"noteIndex":0},"schema":"https://github.com/citation-style-language/schema/raw/master/csl-citation.json"}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Dhar, (2014)</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suggests that the relationship between workers and their organization is based on reciprocity, and when employees perceive positive reciprocation from their organization, they tend to reciprocate by reducing their level of turnover intention. These findings suggest that future research on this topic is necessary.</w:t>
      </w:r>
    </w:p>
    <w:p w14:paraId="620ED30B"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Perceived Organizational Support on Work Stress</w:t>
      </w:r>
    </w:p>
    <w:p w14:paraId="362EBB45" w14:textId="6A420559" w:rsidR="001B3A13" w:rsidRPr="00B01D75" w:rsidRDefault="001B3A13" w:rsidP="001B3A13">
      <w:pPr>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findings of the hypothesis testing on the impact of Perceived Organizational Support on work stress suggest that there is a significant positive effect. The p-value of 0.026 is less than the predetermined significance level of 0.05. Additionally, the t-statistic value of 2.488 exceeds the critical value of 1.660, and the beta score is estimated at -0.019. Therefore, it can be concluded that Perceived Organizational Support has a considerable impact on work stress. As per previous research by Shams et al., (2020) and </w:t>
      </w:r>
      <w:proofErr w:type="spellStart"/>
      <w:r w:rsidRPr="00B01D75">
        <w:rPr>
          <w:rFonts w:ascii="Times New Roman" w:hAnsi="Times New Roman" w:cs="Times New Roman"/>
          <w:i w:val="0"/>
          <w:iCs/>
          <w:spacing w:val="-8"/>
          <w:sz w:val="24"/>
          <w:szCs w:val="24"/>
        </w:rPr>
        <w:t>Aulia</w:t>
      </w:r>
      <w:proofErr w:type="spellEnd"/>
      <w:r w:rsidRPr="00B01D75">
        <w:rPr>
          <w:rFonts w:ascii="Times New Roman" w:hAnsi="Times New Roman" w:cs="Times New Roman"/>
          <w:i w:val="0"/>
          <w:iCs/>
          <w:spacing w:val="-8"/>
          <w:sz w:val="24"/>
          <w:szCs w:val="24"/>
        </w:rPr>
        <w:t xml:space="preserve"> (2012), higher levels of perceived organizational support can lead to reduced turnover intention among employees. Hence, it is important to further investigate the relationship between Perceived Organizational Support and work stress to identify ways to reduce stress levels in the workplace. One way employees</w:t>
      </w:r>
      <w:r w:rsidRPr="00B01D75">
        <w:rPr>
          <w:rFonts w:ascii="Times New Roman" w:hAnsi="Times New Roman" w:cs="Times New Roman"/>
          <w:i w:val="0"/>
          <w:iCs/>
          <w:spacing w:val="-8"/>
          <w:sz w:val="24"/>
          <w:szCs w:val="24"/>
          <w:lang w:val="id-ID"/>
        </w:rPr>
        <w:t xml:space="preserve"> </w:t>
      </w:r>
      <w:r w:rsidRPr="00B01D75">
        <w:rPr>
          <w:rFonts w:ascii="Times New Roman" w:hAnsi="Times New Roman" w:cs="Times New Roman"/>
          <w:i w:val="0"/>
          <w:iCs/>
          <w:spacing w:val="-8"/>
          <w:sz w:val="24"/>
          <w:szCs w:val="24"/>
        </w:rPr>
        <w:t xml:space="preserve">reciprocate the organization's valuation is through continued engagement, fostering a sense of organizational belongingness that is integral to employee identity. When employees feel valued, experience fairness, and are comfortable with their working conditions, the likelihood of work stress is reduced. The results align with the research carried out by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{"citationItems":[{"id":"ITEM-1","itemData":{"author":[{"dropping-particle":"","family":"Devita","given":"H.","non-dropping-particle":"","parse-names":false,"suffix":""}],"id":"ITEM-1","issued":{"date-parts":[["2021"]]},"publisher":"Universitas Negeri Padang","title":"Pengaruh Beban Kerja dan Perceived Organizational Support Terhadap Stres Kerja pada Karyawan PT Perkehunan Nusantara V PKS Sei Tapung","type":"thesis"},"uris":["http://www.mendeley.com/documents/?uuid=0cf3457d-dd91-4519-b3c6-d23635d06021","http://www.mendeley.com/documents/?uuid=e589e9e8-8185-446b-b38d-ea66e230ee34"]}],"mendeley":{"formattedCitation":"(Devita, 2021)","plainTextFormattedCitation":"(Devita, 2021)","previouslyFormattedCitation":"(Devita, 2021)"},"properties":{"noteIndex":0},"schema":"https://github.com/citation-style-language/schema/raw/master/csl-citation.json"}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spacing w:val="-8"/>
          <w:sz w:val="24"/>
          <w:szCs w:val="24"/>
        </w:rPr>
        <w:t>(Devita, 2021)</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w:t>
      </w:r>
    </w:p>
    <w:p w14:paraId="39D31365"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 Stress on Turnover Intentions</w:t>
      </w:r>
    </w:p>
    <w:p w14:paraId="014FCE4B" w14:textId="3F87C8A6" w:rsidR="001B3A13"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hypothesis testing results indicate that Turnover Intentions are significantly influenced by work stress, as demonstrated by the p-value of 0.000, t-statistic value of 5.952, and beta score of 0.579. This finding is consistent with previous studies conducted by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{"citationItems":[{"id":"ITEM-1","itemData":{"author":[{"dropping-particle":"","family":"Hopkins","given":"P. F.","non-dropping-particle":"","parse-names":false,"suffix":""},{"dropping-particle":"","family":"Croton","given":"D.","non-dropping-particle":"","parse-names":false,"suffix":""},{"dropping-particle":"","family":"Bundy","given":"K.","non-dropping-particle":"","parse-names":false,"suffix":""},{"dropping-particle":"","family":"Khochfar","given":"S.","non-dropping-particle":"","parse-names":false,"suffix":""}],"container-title":"The Astrophysical Journal","id":"ITEM-1","issue":"2","issued":{"date-parts":[["2010"]]},"page":"915","title":"Mergers in ΛCDM: Uncertainties in theoretical predictions and interpretations of the merger rate.","type":"article-journal","volume":"724"},"uris":["http://www.mendeley.com/documents/?uuid=dc521809-ea94-43b9-aab8-a66d80732404","http://www.mendeley.com/documents/?uuid=90f2e475-9892-4c3e-ad05-b7b72b6d8ef3"]}],"mendeley":{"formattedCitation":"(Hopkins et al., 2010)","manualFormatting":"Hopkins et al., (2010)","plainTextFormattedCitation":"(Hopkins et al., 2010)","previouslyFormattedCitation":"(Hopkins et al., 2010)"},"properties":{"noteIndex":0},"schema":"https://github.com/citation-style-language/schema/raw/master/csl-citation.json"}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Hopkins et al., (2010)</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{"citationItems":[{"id":"ITEM-1","itemData":{"author":[{"dropping-particle":"","family":"Firth","given":"L.","non-dropping-particle":"","parse-names":false,"suffix":""},{"dropping-particle":"","family":"Mellor","given":"D. J.","non-dropping-particle":"","parse-names":false,"suffix":""},{"dropping-particle":"","family":"Moore","given":"K. A.","non-dropping-particle":"","parse-names":false,"suffix":""},{"dropping-particle":"","family":"Loquet","given":"C.","non-dropping-particle":"","parse-names":false,"suffix":""}],"container-title":"Journal of managerial psychology","id":"ITEM-1","issue":"2","issued":{"date-parts":[["2004"]]},"page":"170-187","title":"How can managers reduce employee intention to quit?.","type":"article-journal","volume":"19"},"uris":["http://www.mendeley.com/documents/?uuid=71e140e2-f7f4-4edf-8926-2dda7cdf4bf5","http://www.mendeley.com/documents/?uuid=8d872378-2651-452a-918e-c7bed6e6fa81"]}],"mendeley":{"formattedCitation":"(Firth et al., 2004)","manualFormatting":"Firth et al., (2004)","plainTextFormattedCitation":"(Firth et al., 2004)","previouslyFormattedCitation":"(Firth et al., 2004)"},"properties":{"noteIndex":0},"schema":"https://github.com/citation-style-language/schema/raw/master/csl-citation.json"}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Firth et al., (2004)</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and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Parvaiz","given":"L.","non-dropping-particle":"","parse-names":false,"suffix":""},{"dropping-particle":"","family":"Batool","given":"S.","non-dropping-particle":"","parse-names":false,"suffix":""},{"dropping-particle":"","family":"Khalid","given":"A.","non-dropping-particle":"","parse-names":false,"suffix":""},{"dropping-particle":"","family":"AftabFarooqi","given":"Y.","non-dropping-particle":"","parse-names":false,"suffix":""}],"container-title":"International Journal of Business and Management Invention","id":"ITEM-1","issue":"10","issued":{"date-parts":[["2015"]]},"page":"52-63","title":"Impact of stressors (role conflict, role overload, leadership support and organizational politics) on job stress and its subsequent impact on turnover intention.","type":"article-journal","volume":"4"},"uris":["http://www.mendeley.com/documents/?uuid=6bca31ac-0db3-414c-8a1f-95e2f87a91b9","http://www.mendeley.com/documents/?uuid=8ea2aba3-ca87-4ca7-806d-93b75ec04408"]}],"mendeley":{"formattedCitation":"(Parvaiz et al., 2015)","manualFormatting":"Parvaiz et al., (2015)","plainTextFormattedCitation":"(Parvaiz et al., 2015)","previouslyFormattedCitation":"(Parvaiz et al., 2015)"},"properties":{"noteIndex":0},"schema":"https://github.com/citation-style-language/schema/raw/master/csl-citation.json"}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Parvaiz et al., (2015)</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all of which found that work stress and role stressors are primary factors that affect employee turnover intention.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{"citationItems":[{"id":"ITEM-1","itemData":{"author":[{"dropping-particle":"","family":"Hopkins","given":"P. F.","non-dropping-particle":"","parse-names":false,"suffix":""},{"dropping-particle":"","family":"Croton","given":"D.","non-dropping-particle":"","parse-names":false,"suffix":""},{"dropping-particle":"","family":"Bundy","given":"K.","non-dropping-particle":"","parse-names":false,"suffix":""},{"dropping-particle":"","family":"Khochfar","given":"S.","non-dropping-particle":"","parse-names":false,"suffix":""}],"container-title":"The Astrophysical Journal","id":"ITEM-1","issue":"2","issued":{"date-parts":[["2010"]]},"page":"915","title":"Mergers in ΛCDM: Uncertainties in theoretical predictions and interpretations of the merger rate.","type":"article-journal","volume":"724"},"uris":["http://www.mendeley.com/documents/?uuid=dc521809-ea94-43b9-aab8-a66d80732404","http://www.mendeley.com/documents/?uuid=90f2e475-9892-4c3e-ad05-b7b72b6d8ef3"]}],"mendeley":{"formattedCitation":"(Hopkins et al., 2010)","manualFormatting":"Hopkins et al., (2010)","plainTextFormattedCitation":"(Hopkins et al., 2010)","previouslyFormattedCitation":"(Hopkins et al., 2010)"},"properties":{"noteIndex":0},"schema":"https://github.com/citation-style-language/schema/raw/master/csl-citation.json"}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Hopkins et al., (2010)</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noted that work environment and role stress have a significant impact on employee stress and lead to turnover intention, while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{"citationItems":[{"id":"ITEM-1","itemData":{"author":[{"dropping-particle":"","family":"Firth","given":"L.","non-dropping-particle":"","parse-names":false,"suffix":""},{"dropping-particle":"","family":"Mellor","given":"D. J.","non-dropping-particle":"","parse-names":false,"suffix":""},{"dropping-particle":"","family":"Moore","given":"K. A.","non-dropping-particle":"","parse-names":false,"suffix":""},{"dropping-particle":"","family":"Loquet","given":"C.","non-dropping-particle":"","parse-names":false,"suffix":""}],"container-title":"Journal of managerial psychology","id":"ITEM-1","issue":"2","issued":{"date-parts":[["2004"]]},"page":"170-187","title":"How can managers reduce employee intention to quit?.","type":"article-journal","volume":"19"},"uris":["http://www.mendeley.com/documents/?uuid=71e140e2-f7f4-4edf-8926-2dda7cdf4bf5","http://www.mendeley.com/documents/?uuid=8d872378-2651-452a-918e-c7bed6e6fa81"]}],"mendeley":{"formattedCitation":"(Firth et al., 2004)","manualFormatting":"Firth et al., (2004)","plainTextFormattedCitation":"(Firth et al., 2004)","previouslyFormattedCitation":"(Firth et al., 2004)"},"properties":{"noteIndex":0},"schema":"https://github.com/citation-style-language/schema/raw/master/csl-citation.json"}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Firth et al., (2004)</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found that role stress is not only linked to reduced job satisfaction but is also the most influential variable in organizational turnover intention.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Parvaiz","given":"L.","non-dropping-particle":"","parse-names":false,"suffix":""},{"dropping-particle":"","family":"Batool","given":"S.","non-dropping-particle":"","parse-names":false,"suffix":""},{"dropping-particle":"","family":"Khalid","given":"A.","non-dropping-particle":"","parse-names":false,"suffix":""},{"dropping-particle":"","family":"AftabFarooqi","given":"Y.","non-dropping-particle":"","parse-names":false,"suffix":""}],"container-title":"International Journal of Business and Management Invention","id":"ITEM-1","issue":"10","issued":{"date-parts":[["2015"]]},"page":"52-63","title":"Impact of stressors (role conflict, role overload, leadership support and organizational politics) on job stress and its subsequent impact on turnover intention.","type":"article-journal","volume":"4"},"uris":["http://www.mendeley.com/documents/?uuid=6bca31ac-0db3-414c-8a1f-95e2f87a91b9","http://www.mendeley.com/documents/?uuid=8ea2aba3-ca87-4ca7-806d-93b75ec04408"]}],"mendeley":{"formattedCitation":"(Parvaiz et al., 2015)","manualFormatting":"Parvaiz et al., (2015)","plainTextFormattedCitation":"(Parvaiz et al., 2015)","previouslyFormattedCitation":"(Parvaiz et al., 2015)"},"properties":{"noteIndex":0},"schema":"https://github.com/citation-style-language/schema/raw/master/csl-citation.json"}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Parvaiz et al., (2015)</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found that role stressors, including role ambiguity, conflict, and overload, significantly impact employee turnover intention. These findings underscore the need for organizations to address work stress and role stressors to reduce turnover intention and improve employee retention.</w:t>
      </w:r>
    </w:p>
    <w:p w14:paraId="3C789110" w14:textId="77777777" w:rsidR="00C30A1A" w:rsidRPr="00B01D75" w:rsidRDefault="00C30A1A"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p>
    <w:p w14:paraId="6DA9C96B"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lastRenderedPageBreak/>
        <w:t>Work Stress Mediate Work-Family Conflict on Turnover Intentions</w:t>
      </w:r>
    </w:p>
    <w:p w14:paraId="2AC618BB" w14:textId="3F5FF305"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The hypothesis testing revealed that Work-Family Conflict has a significant positive impact on Turnover Intentions when Work Stress is the mediator. This is supported by a p-value of 0.000, which is below the significance level of 0.05, as well as a t-statistic value of 4.533, which is greater than 1.660. Additionally, the beta score of 0.303 further confirms the significant positive influence of Work-Family Conflict on Turnover Intentions, when Work Stress is the mediator. Previous studies have highlighted job stress as a distinct mediator of turnover intention. For instance,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Gull","given":"N.","non-dropping-particle":"","parse-names":false,"suffix":""},{"dropping-particle":"","family":"Asghar","given":"M.","non-dropping-particle":"","parse-names":false,"suffix":""},{"dropping-particle":"","family":"Bashir","given":"M.","non-dropping-particle":"","parse-names":false,"suffix":""},{"dropping-particle":"","family":"Liu","given":"X.","non-dropping-particle":"","parse-names":false,"suffix":""},{"dropping-particle":"","family":"Xiong","given":"Z.","non-dropping-particle":"","parse-names":false,"suffix":""}],"container-title":"International Journal of Conflict Management","id":"ITEM-1","issue":"2","issued":{"date-parts":[["2023"]]},"page":"253-272","title":"Does a family-supportive supervisor reduce the effect of work-family conflict on emotional exhaustion and turnover intentions? A moderated mediation model.","type":"article-journal","volume":"34"},"uris":["http://www.mendeley.com/documents/?uuid=93294c82-6871-43d2-8063-4ae1c75b32b1","http://www.mendeley.com/documents/?uuid=17ea8413-ddc8-4d81-9307-093fac80ae69"]}],"mendeley":{"formattedCitation":"(Gull et al., 2023)","manualFormatting":"Gull et al., (2023)","plainTextFormattedCitation":"(Gull et al., 2023)","previouslyFormattedCitation":"(Gull et al., 2023)"},"properties":{"noteIndex":0},"schema":"https://github.com/citation-style-language/schema/raw/master/csl-citation.json"}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Gull et al., (2023)</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found that work fatigue, as a mediator of work-family conflict, significantly and positively impacts turnover intention. Work stress serves as a precursor to turnover intention and has unique characteristics.</w:t>
      </w:r>
    </w:p>
    <w:p w14:paraId="0CAF989A"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 Stress Mediate Effect of Work Overload on Turnover Intentions</w:t>
      </w:r>
    </w:p>
    <w:p w14:paraId="46807222" w14:textId="3FAD4B03" w:rsidR="001B3A13" w:rsidRPr="00B01D75" w:rsidRDefault="001B3A13" w:rsidP="001B3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B01D75">
        <w:rPr>
          <w:rFonts w:ascii="Times New Roman" w:hAnsi="Times New Roman" w:cs="Times New Roman"/>
          <w:i w:val="0"/>
          <w:iCs/>
          <w:spacing w:val="-8"/>
          <w:sz w:val="24"/>
          <w:szCs w:val="24"/>
        </w:rPr>
        <w:t xml:space="preserve">Based on the results of the hypothesis testing, it is demonstrated that Work Overload has a significant positive effect on Turnover Intentions when mediated by work stress, as indicated by the p-value of 0.000 (less than 0.05), t-statistic value of 5.069 (greater than 1.660), and beta score of 0.251. Work overload is a prevalent stressor in the work environment that arises from the excessive demands of work-related tasks and time constraints, leading to prolonged fatigue and ultimately employee intentions to leave. Previous research has shown that work overload is a dominant factor in contributing to work stress and turnover intention, particularly in industries that demand fast-paced work, high work quality, and concentration from their employees. These findings align with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{"citationItems":[{"id":"ITEM-1","itemData":{"author":[{"dropping-particle":"","family":"Nahrisah","given":"E.","non-dropping-particle":"","parse-names":false,"suffix":""},{"dropping-particle":"","family":"Muhar","given":"A. M.","non-dropping-particle":"","parse-names":false,"suffix":""},{"dropping-particle":"","family":"Miraza","given":"Z.","non-dropping-particle":"","parse-names":false,"suffix":""},{"dropping-particle":"","family":"Ramadani","given":"F.","non-dropping-particle":"","parse-names":false,"suffix":""}],"container-title":"Jurnal Akutansi Manajemen Ekonomi Kewirausahaan (JAMEK)","id":"ITEM-1","issue":"3","issued":{"date-parts":[["2021"]]},"page":"131-139","title":"Dampak Work Overload Terhadap Stres Kerja dan Turnover Intention dengan Leadership Support sebagai Variabel Moderasi","type":"article-journal","volume":"1"},"uris":["http://www.mendeley.com/documents/?uuid=a740d02c-d93e-4a08-a9e4-ccf3e9267320","http://www.mendeley.com/documents/?uuid=65c9507f-17b1-4e7a-a503-9c205e8698e7"]}],"mendeley":{"formattedCitation":"(Nahrisah et al., 2021)","manualFormatting":"Nahrisah et al., (2021)","plainTextFormattedCitation":"(Nahrisah et al., 2021)","previouslyFormattedCitation":"(Nahrisah et al., 2021)"},"properties":{"noteIndex":0},"schema":"https://github.com/citation-style-language/schema/raw/master/csl-citation.json"}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noProof/>
          <w:spacing w:val="-8"/>
          <w:sz w:val="24"/>
          <w:szCs w:val="24"/>
        </w:rPr>
        <w:t>Nahrisah et al., (2021)</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’s research.</w:t>
      </w:r>
    </w:p>
    <w:p w14:paraId="48A754B3" w14:textId="77777777" w:rsidR="001B3A13" w:rsidRPr="00B01D75" w:rsidRDefault="001B3A13" w:rsidP="001B3A13">
      <w:pPr>
        <w:spacing w:after="0" w:line="240" w:lineRule="auto"/>
        <w:jc w:val="both"/>
        <w:rPr>
          <w:rFonts w:ascii="Times New Roman" w:hAnsi="Times New Roman" w:cs="Times New Roman"/>
          <w:b/>
          <w:bCs/>
          <w:i w:val="0"/>
          <w:iCs/>
          <w:sz w:val="24"/>
          <w:szCs w:val="24"/>
        </w:rPr>
      </w:pPr>
      <w:r w:rsidRPr="00B01D75">
        <w:rPr>
          <w:rFonts w:ascii="Times New Roman" w:hAnsi="Times New Roman" w:cs="Times New Roman"/>
          <w:b/>
          <w:bCs/>
          <w:i w:val="0"/>
          <w:iCs/>
          <w:sz w:val="24"/>
          <w:szCs w:val="24"/>
        </w:rPr>
        <w:t>Work Stress Mediate Perceived Organizational Support on Turnover Intentions</w:t>
      </w:r>
    </w:p>
    <w:p w14:paraId="0299C368" w14:textId="56692267" w:rsidR="001B3A13" w:rsidRPr="00B01D75" w:rsidRDefault="001B3A13" w:rsidP="001B3A13">
      <w:pPr>
        <w:spacing w:after="0" w:line="240" w:lineRule="auto"/>
        <w:jc w:val="both"/>
        <w:rPr>
          <w:rFonts w:ascii="Times New Roman" w:eastAsia="Times New Roman" w:hAnsi="Times New Roman" w:cs="Times New Roman"/>
          <w:b/>
          <w:i w:val="0"/>
          <w:iCs/>
          <w:sz w:val="24"/>
          <w:szCs w:val="24"/>
        </w:rPr>
      </w:pPr>
      <w:r w:rsidRPr="00B01D75">
        <w:rPr>
          <w:rFonts w:ascii="Times New Roman" w:hAnsi="Times New Roman" w:cs="Times New Roman"/>
          <w:i w:val="0"/>
          <w:iCs/>
          <w:spacing w:val="-8"/>
          <w:sz w:val="24"/>
          <w:szCs w:val="24"/>
        </w:rPr>
        <w:t xml:space="preserve">The p-value for the test of the effect of perceived organizational support on intentions to leave the company, which is mediated by work stress, is 0.000, which is less than 0.05. Additionally, the beta score is -0.011 and the t-statistic value of 4.762 is higher than 1.660. The aforementioned justification demonstrates that Perceived Organizational Support significantly influences Turnover Intentions through the medium of Work Stress. This research aligns with the findings of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Eisenberger","given":"R.","non-dropping-particle":"","parse-names":false,"suffix":""},{"dropping-particle":"","family":"Huntington","given":"R.","non-dropping-particle":"","parse-names":false,"suffix":""},{"dropping-particle":"","family":"Hutchison","given":"S.","non-dropping-particle":"","parse-names":false,"suffix":""},{"dropping-particle":"","family":"Sowa","given":"D.","non-dropping-particle":"","parse-names":false,"suffix":""}],"container-title":"Journal of Applied psychology","id":"ITEM-1","issue":"3","issued":{"date-parts":[["1986"]]},"page":"500","title":"Perceived organizational support.","type":"article-journal","volume":"71"},"uris":["http://www.mendeley.com/documents/?uuid=395b5415-8131-430f-a1d1-71db0df98342","http://www.mendeley.com/documents/?uuid=8745ec5a-cd09-466a-8932-a592ffb0f688"]}],"mendeley":{"formattedCitation":"(Eisenberger et al., 1986)","manualFormatting":"Eisenberger et al., (1986)","plainTextFormattedCitation":"(Eisenberger et al., 1986)","previouslyFormattedCitation":"(Eisenberger et al., 1986)"},"properties":{"noteIndex":0},"schema":"https://github.com/citation-style-language/schema/raw/master/csl-citation.json"}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spacing w:val="-8"/>
          <w:sz w:val="24"/>
          <w:szCs w:val="24"/>
        </w:rPr>
        <w:t>Eisenberger et al., (1986)</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xml:space="preserve"> cited in </w:t>
      </w:r>
      <w:r w:rsidRPr="00B01D75">
        <w:rPr>
          <w:rFonts w:ascii="Times New Roman" w:hAnsi="Times New Roman" w:cs="Times New Roman"/>
          <w:i w:val="0"/>
          <w:iCs/>
          <w:spacing w:val="-8"/>
          <w:sz w:val="24"/>
          <w:szCs w:val="24"/>
        </w:rPr>
        <w:fldChar w:fldCharType="begin" w:fldLock="1"/>
      </w:r>
      <w:r w:rsidRPr="00B01D75">
        <w:rPr>
          <w:rFonts w:ascii="Times New Roman" w:hAnsi="Times New Roman" w:cs="Times New Roman"/>
          <w:i w:val="0"/>
          <w:iCs/>
          <w:spacing w:val="-8"/>
          <w:sz w:val="24"/>
          <w:szCs w:val="24"/>
        </w:rPr>
        <w:instrText>ADDIN CSL_CITATION {"citationItems":[{"id":"ITEM-1","itemData":{"author":[{"dropping-particle":"","family":"Hussain","given":"T.","non-dropping-particle":"","parse-names":false,"suffix":""},{"dropping-particle":"","family":"Asif","given":"S.","non-dropping-particle":"","parse-names":false,"suffix":""}],"container-title":"Journal of quality and technology management","id":"ITEM-1","issue":"2","issued":{"date-parts":[["2012"]]},"page":"1-10","title":"Is employees’ turnover intention driven by organizational commitment and perceived organizational support.","type":"article-journal","volume":"8"},"uris":["http://www.mendeley.com/documents/?uuid=b8871a72-adb4-4773-8b53-de0ca6e2d379","http://www.mendeley.com/documents/?uuid=3da25be8-392c-47a4-962c-541b9b41b062"]}],"mendeley":{"formattedCitation":"(T. Hussain &amp; Asif, 2012)","manualFormatting":"Hussain &amp; Asif, (2012)","plainTextFormattedCitation":"(T. Hussain &amp; Asif, 2012)","previouslyFormattedCitation":"(T. Hussain &amp; Asif, 2012)"},"properties":{"noteIndex":0},"schema":"https://github.com/citation-style-language/schema/raw/master/csl-citation.json"}</w:instrText>
      </w:r>
      <w:r w:rsidRPr="00B01D75">
        <w:rPr>
          <w:rFonts w:ascii="Times New Roman" w:hAnsi="Times New Roman" w:cs="Times New Roman"/>
          <w:i w:val="0"/>
          <w:iCs/>
          <w:spacing w:val="-8"/>
          <w:sz w:val="24"/>
          <w:szCs w:val="24"/>
        </w:rPr>
        <w:fldChar w:fldCharType="separate"/>
      </w:r>
      <w:r w:rsidRPr="00B01D75">
        <w:rPr>
          <w:rFonts w:ascii="Times New Roman" w:hAnsi="Times New Roman" w:cs="Times New Roman"/>
          <w:i w:val="0"/>
          <w:iCs/>
          <w:spacing w:val="-8"/>
          <w:sz w:val="24"/>
          <w:szCs w:val="24"/>
        </w:rPr>
        <w:t>Hussain &amp; Asif, (2012)</w:t>
      </w:r>
      <w:r w:rsidRPr="00B01D75">
        <w:rPr>
          <w:rFonts w:ascii="Times New Roman" w:hAnsi="Times New Roman" w:cs="Times New Roman"/>
          <w:i w:val="0"/>
          <w:iCs/>
          <w:spacing w:val="-8"/>
          <w:sz w:val="24"/>
          <w:szCs w:val="24"/>
        </w:rPr>
        <w:fldChar w:fldCharType="end"/>
      </w:r>
      <w:r w:rsidRPr="00B01D75">
        <w:rPr>
          <w:rFonts w:ascii="Times New Roman" w:hAnsi="Times New Roman" w:cs="Times New Roman"/>
          <w:i w:val="0"/>
          <w:iCs/>
          <w:spacing w:val="-8"/>
          <w:sz w:val="24"/>
          <w:szCs w:val="24"/>
        </w:rPr>
        <w:t>, which proposes that the level of organizational support perceived by employees affects their attitudes and performance towards the organization, and ultimately their intention to leave. When employees receive adequate support from the organization, their positive attitude is reflected in their improved performance, as measured by Key Performance Indicators (KPIs). This, in turn, reduces their intention to leave the organization, as confirmed by the results of unstructured interviews with the average employee receiving a good KPI rating.</w:t>
      </w:r>
    </w:p>
    <w:p w14:paraId="0DE1CD66" w14:textId="77777777" w:rsidR="009E7257" w:rsidRPr="00B01D75" w:rsidRDefault="009E7257">
      <w:pPr>
        <w:spacing w:after="120" w:line="240" w:lineRule="auto"/>
        <w:jc w:val="both"/>
        <w:rPr>
          <w:rFonts w:ascii="Times New Roman" w:eastAsia="Times New Roman" w:hAnsi="Times New Roman" w:cs="Times New Roman"/>
          <w:b/>
          <w:i w:val="0"/>
          <w:iCs/>
          <w:sz w:val="24"/>
          <w:szCs w:val="24"/>
        </w:rPr>
      </w:pPr>
    </w:p>
    <w:p w14:paraId="52F404F5" w14:textId="6F14B1D2" w:rsidR="00A007C9" w:rsidRPr="001B3A13" w:rsidRDefault="00584B54">
      <w:pPr>
        <w:spacing w:after="120" w:line="240" w:lineRule="auto"/>
        <w:jc w:val="both"/>
        <w:rPr>
          <w:rFonts w:ascii="Times New Roman" w:eastAsia="Times New Roman" w:hAnsi="Times New Roman" w:cs="Times New Roman"/>
          <w:b/>
          <w:i w:val="0"/>
          <w:sz w:val="24"/>
          <w:szCs w:val="24"/>
        </w:rPr>
      </w:pPr>
      <w:r w:rsidRPr="001B3A13">
        <w:rPr>
          <w:rFonts w:ascii="Times New Roman" w:eastAsia="Times New Roman" w:hAnsi="Times New Roman" w:cs="Times New Roman"/>
          <w:b/>
          <w:i w:val="0"/>
          <w:sz w:val="24"/>
          <w:szCs w:val="24"/>
        </w:rPr>
        <w:t xml:space="preserve">CONCLUSION </w:t>
      </w:r>
    </w:p>
    <w:p w14:paraId="640ACF52" w14:textId="77777777" w:rsidR="001B3A13" w:rsidRPr="001B3A13" w:rsidRDefault="001B3A13" w:rsidP="008C0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lang w:val="id-ID"/>
        </w:rPr>
      </w:pPr>
      <w:r w:rsidRPr="001B3A13">
        <w:rPr>
          <w:rFonts w:ascii="Times New Roman" w:hAnsi="Times New Roman" w:cs="Times New Roman"/>
          <w:i w:val="0"/>
          <w:iCs/>
          <w:spacing w:val="-8"/>
          <w:sz w:val="24"/>
          <w:szCs w:val="24"/>
        </w:rPr>
        <w:t xml:space="preserve">According to results gained in this study,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-Family </w:t>
      </w:r>
      <w:proofErr w:type="spellStart"/>
      <w:r w:rsidRPr="001B3A13">
        <w:rPr>
          <w:rFonts w:ascii="Times New Roman" w:hAnsi="Times New Roman" w:cs="Times New Roman"/>
          <w:i w:val="0"/>
          <w:iCs/>
          <w:spacing w:val="-8"/>
          <w:sz w:val="24"/>
          <w:szCs w:val="24"/>
          <w:lang w:val="id-ID"/>
        </w:rPr>
        <w:t>Conflict</w:t>
      </w:r>
      <w:proofErr w:type="spellEnd"/>
      <w:r w:rsidRPr="001B3A13">
        <w:rPr>
          <w:rFonts w:ascii="Times New Roman" w:hAnsi="Times New Roman" w:cs="Times New Roman"/>
          <w:i w:val="0"/>
          <w:iCs/>
          <w:spacing w:val="-8"/>
          <w:sz w:val="24"/>
          <w:szCs w:val="24"/>
          <w:lang w:val="id-ID"/>
        </w:rPr>
        <w:t xml:space="preserve"> has a </w:t>
      </w:r>
      <w:proofErr w:type="spellStart"/>
      <w:r w:rsidRPr="001B3A13">
        <w:rPr>
          <w:rFonts w:ascii="Times New Roman" w:hAnsi="Times New Roman" w:cs="Times New Roman"/>
          <w:i w:val="0"/>
          <w:iCs/>
          <w:spacing w:val="-8"/>
          <w:sz w:val="24"/>
          <w:szCs w:val="24"/>
          <w:lang w:val="id-ID"/>
        </w:rPr>
        <w:t>significant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positive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impact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both</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Similarly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overload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observed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increase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whereas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perceived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organizational</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support</w:t>
      </w:r>
      <w:proofErr w:type="spellEnd"/>
      <w:r w:rsidRPr="001B3A13">
        <w:rPr>
          <w:rFonts w:ascii="Times New Roman" w:hAnsi="Times New Roman" w:cs="Times New Roman"/>
          <w:i w:val="0"/>
          <w:iCs/>
          <w:spacing w:val="-8"/>
          <w:sz w:val="24"/>
          <w:szCs w:val="24"/>
          <w:lang w:val="id-ID"/>
        </w:rPr>
        <w:t xml:space="preserve"> has a </w:t>
      </w:r>
      <w:proofErr w:type="spellStart"/>
      <w:r w:rsidRPr="001B3A13">
        <w:rPr>
          <w:rFonts w:ascii="Times New Roman" w:hAnsi="Times New Roman" w:cs="Times New Roman"/>
          <w:i w:val="0"/>
          <w:iCs/>
          <w:spacing w:val="-8"/>
          <w:sz w:val="24"/>
          <w:szCs w:val="24"/>
          <w:lang w:val="id-ID"/>
        </w:rPr>
        <w:t>positive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effect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both</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Furthermore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study </w:t>
      </w:r>
      <w:proofErr w:type="spellStart"/>
      <w:r w:rsidRPr="001B3A13">
        <w:rPr>
          <w:rFonts w:ascii="Times New Roman" w:hAnsi="Times New Roman" w:cs="Times New Roman"/>
          <w:i w:val="0"/>
          <w:iCs/>
          <w:spacing w:val="-8"/>
          <w:sz w:val="24"/>
          <w:szCs w:val="24"/>
          <w:lang w:val="id-ID"/>
        </w:rPr>
        <w:t>reveals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that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has a </w:t>
      </w:r>
      <w:proofErr w:type="spellStart"/>
      <w:r w:rsidRPr="001B3A13">
        <w:rPr>
          <w:rFonts w:ascii="Times New Roman" w:hAnsi="Times New Roman" w:cs="Times New Roman"/>
          <w:i w:val="0"/>
          <w:iCs/>
          <w:spacing w:val="-8"/>
          <w:sz w:val="24"/>
          <w:szCs w:val="24"/>
          <w:lang w:val="id-ID"/>
        </w:rPr>
        <w:t>considerable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positive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influence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Additionally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implies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that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association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between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work-family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conflict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as </w:t>
      </w:r>
      <w:proofErr w:type="spellStart"/>
      <w:r w:rsidRPr="001B3A13">
        <w:rPr>
          <w:rFonts w:ascii="Times New Roman" w:hAnsi="Times New Roman" w:cs="Times New Roman"/>
          <w:i w:val="0"/>
          <w:iCs/>
          <w:spacing w:val="-8"/>
          <w:sz w:val="24"/>
          <w:szCs w:val="24"/>
          <w:lang w:val="id-ID"/>
        </w:rPr>
        <w:t>well</w:t>
      </w:r>
      <w:proofErr w:type="spellEnd"/>
      <w:r w:rsidRPr="001B3A13">
        <w:rPr>
          <w:rFonts w:ascii="Times New Roman" w:hAnsi="Times New Roman" w:cs="Times New Roman"/>
          <w:i w:val="0"/>
          <w:iCs/>
          <w:spacing w:val="-8"/>
          <w:sz w:val="24"/>
          <w:szCs w:val="24"/>
          <w:lang w:val="id-ID"/>
        </w:rPr>
        <w:t xml:space="preserve"> as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relationship</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between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overload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mediated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w:t>
      </w:r>
    </w:p>
    <w:p w14:paraId="0DC07401" w14:textId="77777777" w:rsidR="001B3A13" w:rsidRPr="001B3A13" w:rsidRDefault="001B3A13" w:rsidP="008C0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lang w:val="id-ID"/>
        </w:rPr>
      </w:pPr>
      <w:r w:rsidRPr="001B3A13">
        <w:rPr>
          <w:rFonts w:ascii="Times New Roman" w:hAnsi="Times New Roman" w:cs="Times New Roman"/>
          <w:i w:val="0"/>
          <w:iCs/>
          <w:spacing w:val="-8"/>
          <w:sz w:val="24"/>
          <w:szCs w:val="24"/>
        </w:rPr>
        <w:t xml:space="preserve">The implications according to this research results are; </w:t>
      </w:r>
      <w:proofErr w:type="spellStart"/>
      <w:r w:rsidRPr="001B3A13">
        <w:rPr>
          <w:rFonts w:ascii="Times New Roman" w:hAnsi="Times New Roman" w:cs="Times New Roman"/>
          <w:i w:val="0"/>
          <w:iCs/>
          <w:spacing w:val="-8"/>
          <w:sz w:val="24"/>
          <w:szCs w:val="24"/>
          <w:lang w:val="id-ID"/>
        </w:rPr>
        <w:t>firstly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important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for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private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banks</w:t>
      </w:r>
      <w:proofErr w:type="spellEnd"/>
      <w:r w:rsidRPr="001B3A13">
        <w:rPr>
          <w:rFonts w:ascii="Times New Roman" w:hAnsi="Times New Roman" w:cs="Times New Roman"/>
          <w:i w:val="0"/>
          <w:iCs/>
          <w:spacing w:val="-8"/>
          <w:sz w:val="24"/>
          <w:szCs w:val="24"/>
          <w:lang w:val="id-ID"/>
        </w:rPr>
        <w:t xml:space="preserve"> in Indonesia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acknowledge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influence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of</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work-family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conflict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overload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which</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can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result</w:t>
      </w:r>
      <w:proofErr w:type="spellEnd"/>
      <w:r w:rsidRPr="001B3A13">
        <w:rPr>
          <w:rFonts w:ascii="Times New Roman" w:hAnsi="Times New Roman" w:cs="Times New Roman"/>
          <w:i w:val="0"/>
          <w:iCs/>
          <w:spacing w:val="-8"/>
          <w:sz w:val="24"/>
          <w:szCs w:val="24"/>
          <w:lang w:val="id-ID"/>
        </w:rPr>
        <w:t xml:space="preserve"> in </w:t>
      </w:r>
      <w:proofErr w:type="spellStart"/>
      <w:r w:rsidRPr="001B3A13">
        <w:rPr>
          <w:rFonts w:ascii="Times New Roman" w:hAnsi="Times New Roman" w:cs="Times New Roman"/>
          <w:i w:val="0"/>
          <w:iCs/>
          <w:spacing w:val="-8"/>
          <w:sz w:val="24"/>
          <w:szCs w:val="24"/>
          <w:lang w:val="id-ID"/>
        </w:rPr>
        <w:t>increased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among</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employees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Consequently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managers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must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take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action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mitigate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work-family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conflicts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reduce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workloads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improve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employee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welfare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decrease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likelihood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of</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them</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leaving</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organization</w:t>
      </w:r>
      <w:proofErr w:type="spellEnd"/>
      <w:r w:rsidRPr="001B3A13">
        <w:rPr>
          <w:rFonts w:ascii="Times New Roman" w:hAnsi="Times New Roman" w:cs="Times New Roman"/>
          <w:i w:val="0"/>
          <w:iCs/>
          <w:spacing w:val="-8"/>
          <w:sz w:val="24"/>
          <w:szCs w:val="24"/>
          <w:lang w:val="id-ID"/>
        </w:rPr>
        <w:t>.</w:t>
      </w:r>
    </w:p>
    <w:p w14:paraId="2B2EFD77" w14:textId="77777777" w:rsidR="001B3A13" w:rsidRPr="001B3A13" w:rsidRDefault="001B3A13" w:rsidP="008C0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lang w:val="id-ID"/>
        </w:rPr>
      </w:pPr>
      <w:proofErr w:type="spellStart"/>
      <w:r w:rsidRPr="001B3A13">
        <w:rPr>
          <w:rFonts w:ascii="Times New Roman" w:hAnsi="Times New Roman" w:cs="Times New Roman"/>
          <w:i w:val="0"/>
          <w:iCs/>
          <w:spacing w:val="-8"/>
          <w:sz w:val="24"/>
          <w:szCs w:val="24"/>
          <w:lang w:val="id-ID"/>
        </w:rPr>
        <w:t>Secondly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research</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emphasizes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significance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of</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perceived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organizational</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support</w:t>
      </w:r>
      <w:proofErr w:type="spellEnd"/>
      <w:r w:rsidRPr="001B3A13">
        <w:rPr>
          <w:rFonts w:ascii="Times New Roman" w:hAnsi="Times New Roman" w:cs="Times New Roman"/>
          <w:i w:val="0"/>
          <w:iCs/>
          <w:spacing w:val="-8"/>
          <w:sz w:val="24"/>
          <w:szCs w:val="24"/>
          <w:lang w:val="id-ID"/>
        </w:rPr>
        <w:t xml:space="preserve"> in </w:t>
      </w:r>
      <w:proofErr w:type="spellStart"/>
      <w:r w:rsidRPr="001B3A13">
        <w:rPr>
          <w:rFonts w:ascii="Times New Roman" w:hAnsi="Times New Roman" w:cs="Times New Roman"/>
          <w:i w:val="0"/>
          <w:iCs/>
          <w:spacing w:val="-8"/>
          <w:sz w:val="24"/>
          <w:szCs w:val="24"/>
          <w:lang w:val="id-ID"/>
        </w:rPr>
        <w:t>influencing</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both</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crucial</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for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organizations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ensure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that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their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employees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lastRenderedPageBreak/>
        <w:t>feel</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supported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by</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organization</w:t>
      </w:r>
      <w:proofErr w:type="spellEnd"/>
      <w:r w:rsidRPr="001B3A13">
        <w:rPr>
          <w:rFonts w:ascii="Times New Roman" w:hAnsi="Times New Roman" w:cs="Times New Roman"/>
          <w:i w:val="0"/>
          <w:iCs/>
          <w:spacing w:val="-8"/>
          <w:sz w:val="24"/>
          <w:szCs w:val="24"/>
          <w:lang w:val="id-ID"/>
        </w:rPr>
        <w:t xml:space="preserve"> in </w:t>
      </w:r>
      <w:proofErr w:type="spellStart"/>
      <w:r w:rsidRPr="001B3A13">
        <w:rPr>
          <w:rFonts w:ascii="Times New Roman" w:hAnsi="Times New Roman" w:cs="Times New Roman"/>
          <w:i w:val="0"/>
          <w:iCs/>
          <w:spacing w:val="-8"/>
          <w:sz w:val="24"/>
          <w:szCs w:val="24"/>
          <w:lang w:val="id-ID"/>
        </w:rPr>
        <w:t>various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areas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such</w:t>
      </w:r>
      <w:proofErr w:type="spellEnd"/>
      <w:r w:rsidRPr="001B3A13">
        <w:rPr>
          <w:rFonts w:ascii="Times New Roman" w:hAnsi="Times New Roman" w:cs="Times New Roman"/>
          <w:i w:val="0"/>
          <w:iCs/>
          <w:spacing w:val="-8"/>
          <w:sz w:val="24"/>
          <w:szCs w:val="24"/>
          <w:lang w:val="id-ID"/>
        </w:rPr>
        <w:t xml:space="preserve"> as </w:t>
      </w:r>
      <w:proofErr w:type="spellStart"/>
      <w:r w:rsidRPr="001B3A13">
        <w:rPr>
          <w:rFonts w:ascii="Times New Roman" w:hAnsi="Times New Roman" w:cs="Times New Roman"/>
          <w:i w:val="0"/>
          <w:iCs/>
          <w:spacing w:val="-8"/>
          <w:sz w:val="24"/>
          <w:szCs w:val="24"/>
          <w:lang w:val="id-ID"/>
        </w:rPr>
        <w:t>compensation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promotion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recognition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This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can</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improve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employee</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well-being</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commitment</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leading</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to</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reduced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turnover</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intentions</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and</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work</w:t>
      </w:r>
      <w:proofErr w:type="spellEnd"/>
      <w:r w:rsidRPr="001B3A13">
        <w:rPr>
          <w:rFonts w:ascii="Times New Roman" w:hAnsi="Times New Roman" w:cs="Times New Roman"/>
          <w:i w:val="0"/>
          <w:iCs/>
          <w:spacing w:val="-8"/>
          <w:sz w:val="24"/>
          <w:szCs w:val="24"/>
          <w:lang w:val="id-ID"/>
        </w:rPr>
        <w:t xml:space="preserve"> </w:t>
      </w:r>
      <w:proofErr w:type="spellStart"/>
      <w:r w:rsidRPr="001B3A13">
        <w:rPr>
          <w:rFonts w:ascii="Times New Roman" w:hAnsi="Times New Roman" w:cs="Times New Roman"/>
          <w:i w:val="0"/>
          <w:iCs/>
          <w:spacing w:val="-8"/>
          <w:sz w:val="24"/>
          <w:szCs w:val="24"/>
          <w:lang w:val="id-ID"/>
        </w:rPr>
        <w:t>stress</w:t>
      </w:r>
      <w:proofErr w:type="spellEnd"/>
      <w:r w:rsidRPr="001B3A13">
        <w:rPr>
          <w:rFonts w:ascii="Times New Roman" w:hAnsi="Times New Roman" w:cs="Times New Roman"/>
          <w:i w:val="0"/>
          <w:iCs/>
          <w:spacing w:val="-8"/>
          <w:sz w:val="24"/>
          <w:szCs w:val="24"/>
          <w:lang w:val="id-ID"/>
        </w:rPr>
        <w:t>.</w:t>
      </w:r>
    </w:p>
    <w:p w14:paraId="3D1C0E66" w14:textId="01D40EAA" w:rsidR="001B3A13" w:rsidRPr="001B3A13" w:rsidRDefault="001B3A13" w:rsidP="00B0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val="0"/>
          <w:iCs/>
          <w:spacing w:val="-8"/>
          <w:sz w:val="24"/>
          <w:szCs w:val="24"/>
        </w:rPr>
      </w:pPr>
      <w:r w:rsidRPr="001B3A13">
        <w:rPr>
          <w:rFonts w:ascii="Times New Roman" w:hAnsi="Times New Roman" w:cs="Times New Roman"/>
          <w:i w:val="0"/>
          <w:iCs/>
          <w:spacing w:val="-8"/>
          <w:sz w:val="24"/>
          <w:szCs w:val="24"/>
        </w:rPr>
        <w:t>Other than that, this research only focuses on the turnover intentions aspects by intervening the work family conflict, work overload, organizational support, and work stress. Therefore, further research to understand other factors that can enhance the possibility of higher turnover intention of private bank employees need to developed. In addition, the subject of this research involves the private bank employees in Sorong, West Papua, Indonesia. Therefore, to determine more aspects of subjects in gaining knowledge of turnover intentions, other subjects also needed to conduct for future research.</w:t>
      </w:r>
    </w:p>
    <w:p w14:paraId="2A96D981" w14:textId="77777777" w:rsidR="00244E70" w:rsidRDefault="00244E70">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1EA463BE" w14:textId="658B4304"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6EB46E0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spacing w:val="-4"/>
          <w:sz w:val="24"/>
          <w:szCs w:val="24"/>
        </w:rPr>
        <w:fldChar w:fldCharType="begin" w:fldLock="1"/>
      </w:r>
      <w:r w:rsidRPr="008C0F83">
        <w:rPr>
          <w:rFonts w:ascii="Times New Roman" w:hAnsi="Times New Roman" w:cs="Times New Roman"/>
          <w:i w:val="0"/>
          <w:iCs/>
          <w:spacing w:val="-4"/>
          <w:sz w:val="24"/>
          <w:szCs w:val="24"/>
        </w:rPr>
        <w:instrText xml:space="preserve">ADDIN Mendeley Bibliography CSL_BIBLIOGRAPHY </w:instrText>
      </w:r>
      <w:r w:rsidRPr="008C0F83">
        <w:rPr>
          <w:rFonts w:ascii="Times New Roman" w:hAnsi="Times New Roman" w:cs="Times New Roman"/>
          <w:i w:val="0"/>
          <w:iCs/>
          <w:spacing w:val="-4"/>
          <w:sz w:val="24"/>
          <w:szCs w:val="24"/>
        </w:rPr>
        <w:fldChar w:fldCharType="separate"/>
      </w:r>
      <w:r w:rsidRPr="008C0F83">
        <w:rPr>
          <w:rFonts w:ascii="Times New Roman" w:hAnsi="Times New Roman" w:cs="Times New Roman"/>
          <w:i w:val="0"/>
          <w:iCs/>
          <w:noProof/>
          <w:sz w:val="24"/>
          <w:szCs w:val="24"/>
        </w:rPr>
        <w:t>Abdul Majid, A. H. Bin, Thamotharan, N., &amp; Jamaluddin, N. A. (2021). INFLUENCE OF QUALITY OF WORK LIFE, PERCEIVED UNION EFFECTIVENESS AND JOB SECURITY ON UNION COMMITMENT AMONG BANK EMPLOYEES. Jurnal Manajemen Dan Kewirausahaan. https://doi.org/10.9744/jmk.23.1.76-83</w:t>
      </w:r>
    </w:p>
    <w:p w14:paraId="1AEEEFB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Aboobaker, N., Edward, M., &amp; Pramatha, K. P. (2017). Work–family conflict, family–work conflict and intention to leave the organization: Evidences across five industry sectors in India. Global Business Review, 18(2), 524–536.</w:t>
      </w:r>
    </w:p>
    <w:p w14:paraId="5B70322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Aburumman, O., Salleh, A., Omar, K., &amp; Abadi, M. (2020). The impact of human resource management practices and career satisfaction on employee’s turnover intention. Management Science Letters. https://doi.org/10.5267/j.msl.2019.9.015</w:t>
      </w:r>
    </w:p>
    <w:p w14:paraId="7A40CBB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Andreani, F., &amp; Petrik, A. (2016). Employee performance as the impact of transformational leadership and job satisfaction in PT Anugerah Baru Denpasar. Jurnal Manajemen Dan Kewirausahaan, 18(1), 25–32.</w:t>
      </w:r>
    </w:p>
    <w:p w14:paraId="22D54677"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Astvik, W., &amp; Melin, M. (2013). Coping with the imbalance between job demands and resources: A study of different coping patterns and implications for health and quality in human service work. Journal of Social Work, 13(4), 337–360.</w:t>
      </w:r>
    </w:p>
    <w:p w14:paraId="6AFD023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Babakus, E., Yavas, U., Westbrook, K. W., Grant, C. C., Deitz, G. D., &amp; Rafalski, E. (2016). An investigation of service quality—willingness to recommend relationship across patient and hospital characteristics. Journal of Health Management, 18(1), 49–69.</w:t>
      </w:r>
    </w:p>
    <w:p w14:paraId="074BFB83"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Balasubramanian, S. A., GS, R., &amp; Natarajan, T. (2019). Modeling corporate financial distress using financial and non-financial variables: The case of Indian listed companies. International Journal of Law and Management, 61(3/4), 457–484.</w:t>
      </w:r>
    </w:p>
    <w:p w14:paraId="08FC9527"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Barriga Medina, H. R., Campoverde Aguirre, R., Coello-Montecel, D., Ochoa Pacheco, P., &amp; Paredes-Aguirre, M. I. (2021). The influence of work–family conflict on burnout during the covid-19 pandemic: The effect of teleworking overload. International Journal of Environmental Research and Public Health. https://doi.org/10.3390/ijerph181910302</w:t>
      </w:r>
    </w:p>
    <w:p w14:paraId="5CF2B45C"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Bazana, S., &amp; Dodd, N. (2013). Conscientiousness, work family conflict and stress amongst police officers in Alice, South Africa. Journal of Psychology, 4(1), 1–8.</w:t>
      </w:r>
    </w:p>
    <w:p w14:paraId="65FE1A4A"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Dahri, M. (2017). jenis variabel dan skala pengukuran, perbedaan statistik deskriptif dan inferensial. Ejournal Preprints.</w:t>
      </w:r>
    </w:p>
    <w:p w14:paraId="6043862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Damayanti, D. (2019). Pengaruh Konflik Pekerjaan Keluarga Dan Konflik Keluarga Pekerjaan Terhadap Niat Keluar Dengan Komitmen Afektif Sebagai Variabel Moderasi. Universitas Muhammadiyah Magelang.</w:t>
      </w:r>
    </w:p>
    <w:p w14:paraId="197EC7B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 xml:space="preserve">Daniel, C. O. (2019). Effects of job stress on employee’s performance. International Journal of </w:t>
      </w:r>
      <w:r w:rsidRPr="008C0F83">
        <w:rPr>
          <w:rFonts w:ascii="Times New Roman" w:hAnsi="Times New Roman" w:cs="Times New Roman"/>
          <w:i w:val="0"/>
          <w:iCs/>
          <w:noProof/>
          <w:sz w:val="24"/>
          <w:szCs w:val="24"/>
        </w:rPr>
        <w:lastRenderedPageBreak/>
        <w:t>Business, Management and Social Research, 6(2), 375–382.</w:t>
      </w:r>
    </w:p>
    <w:p w14:paraId="2FC04B6A"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Devita, H. (2021). Pengaruh Beban Kerja dan Perceived Organizational Support Terhadap Stres Kerja pada Karyawan PT Perkehunan Nusantara V PKS Sei Tapung. Universitas Negeri Padang.</w:t>
      </w:r>
    </w:p>
    <w:p w14:paraId="7F19E11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Dhar, R. L. (2014). Effects of stress, LMX and perceived organizational support on service quality: Mediating effects of organizational commitment. Journal of Hospitality and Tourism Management, 21, 64–75.</w:t>
      </w:r>
    </w:p>
    <w:p w14:paraId="1EDE4445"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Eisenberger, R., Huntington, R., Hutchison, S., &amp; Sowa, D. (1986). Perceived organizational support. Journal of Applied Psychology, 71(3), 500.</w:t>
      </w:r>
    </w:p>
    <w:p w14:paraId="4FEDD505"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Fakhrana, D. (2016). Efisiensi Media Filter (Zeolit Dan Ijuk) Dalam Mengelola Limbah Tinja (Black Water). Jurnal Teknologi Lingkungan Lahan Basah, 4(1).</w:t>
      </w:r>
    </w:p>
    <w:p w14:paraId="7212055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Firth, L., Mellor, D. J., Moore, K. A., &amp; Loquet, C. (2004). How can managers reduce employee intention to quit?. Journal of Managerial Psychology, 19(2), 170–187.</w:t>
      </w:r>
    </w:p>
    <w:p w14:paraId="3864DE3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Ghozali, I. (2018). Aplikasi Analisis Multivariate Dengan Program IBM SPSS 25 (Sembilan). In Semarang, Universitas Diponegoro.</w:t>
      </w:r>
    </w:p>
    <w:p w14:paraId="10AD893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Gibran, S. K., &amp; Suryani, I. (2019). Pengaruh Work Overload dan Intimidasi Terhadap Kinerja Karyawan Account Officer PT. Bank Aceh Syariah. Jurnal Manajemen Dan Inovasi.</w:t>
      </w:r>
    </w:p>
    <w:p w14:paraId="6C760DB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Gull, N., Asghar, M., Bashir, M., Liu, X., &amp; Xiong, Z. (2023). Does a family-supportive supervisor reduce the effect of work-family conflict on emotional exhaustion and turnover intentions? A moderated mediation model. International Journal of Conflict Management, 34(2), 253–272.</w:t>
      </w:r>
    </w:p>
    <w:p w14:paraId="07FA4184"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Hammer, T. H., Saksvik, P. Ø., Nytrø, K., Torvatn, H., &amp; Bayazit, M. (2004). Expanding the psychosocial work environment: workplace norms and work-family conflict as correlates of stress and health. Journal of Occupational Health Psychology, 9(1), 83.</w:t>
      </w:r>
    </w:p>
    <w:p w14:paraId="26B01270"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Harimurti, R., &amp; Suryani, T. (2019). THE IMPACT OF TOTAL QUALITY MANAGEMENT ON SERVICE QUALITY, CUSTOMER ENGAGEMENT, AND CUSTOMER LOYALTY IN BANKING. Jurnal Manajemen Dan Kewirausahaan. https://doi.org/10.9744/jmk.21.2.95-103</w:t>
      </w:r>
    </w:p>
    <w:p w14:paraId="4BC00FFA"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Haryanto. (2014). Job Performance Assessment and Employee Development. BPFE.</w:t>
      </w:r>
    </w:p>
    <w:p w14:paraId="2231D9FD"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Hopkins, P. F., Croton, D., Bundy, K., &amp; Khochfar, S. (2010). Mergers in ΛCDM: Uncertainties in theoretical predictions and interpretations of the merger rate. The Astrophysical Journal, 724(2), 915.</w:t>
      </w:r>
    </w:p>
    <w:p w14:paraId="6D84958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Hussain, K., Abbas, Z., Gulzar, S., Jibril, A. B., &amp; Hussain, A. (2020). Examining the impact of abusive supervision on employees’ psychological wellbeing and turnover intention: The mediating role of intrinsic motivation. Cogent Business and Management. https://doi.org/10.1080/23311975.2020.1818998</w:t>
      </w:r>
    </w:p>
    <w:p w14:paraId="126934FC"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Hussain, T., &amp; Asif, S. (2012). Is employees’ turnover intention driven by organizational commitment and perceived organizational support. Journal of Quality and Technology Management, 8(2), 1–10.</w:t>
      </w:r>
    </w:p>
    <w:p w14:paraId="6922726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Jeon, M. K., Yoon, H., &amp; Yang, Y. (2022). Emotional Dissonance, Job Stress, and Intrinsic Motivation of Married Women Working in Call Centers: The Roles of Work Overload and Work-Family Conflict. Administrative Sciences. https://doi.org/10.3390/admsci12010027</w:t>
      </w:r>
    </w:p>
    <w:p w14:paraId="698B9E80"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Jeong, Y., &amp; Kim, M. (2022). Effects of perceived organizational support and perceived organizational politics on organizational performance: Mediating role of differential treatment. Asia Pacific Management Review. https://doi.org/10.1016/j.apmrv.2021.08.002</w:t>
      </w:r>
    </w:p>
    <w:p w14:paraId="2C4C807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lastRenderedPageBreak/>
        <w:t>Karimi, R., Omar, Z. B., Alipour, F., &amp; Karimi, Z. (2014). The influence of role overload, role conflict and role ambiguity on occupational stress among nurses in selected Iranian hospitals. International Journal of Asian Social Science, 4(1), 34–40.</w:t>
      </w:r>
    </w:p>
    <w:p w14:paraId="0DE971FC"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Kimura, T., Bande, B., &amp; Fernández-Ferrín, P. (2018). Work overload and intimidation: The moderating role of resilience. European Management Journal. https://doi.org/10.1016/j.emj.2018.03.002</w:t>
      </w:r>
    </w:p>
    <w:p w14:paraId="4FC683B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Kurniawaty, K., Ramly, M., &amp; Ramlawati. (2019). The effect of work environment, stress, and job satisfaction on employee turnover intention. Management Science Letters. https://doi.org/10.5267/j.msl.2019.3.001</w:t>
      </w:r>
    </w:p>
    <w:p w14:paraId="0DB82C5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Kusumanegara, I. S., Asmony, T., &amp; Numayanti, S. (2018). Work-family conflict on turnover intention regarding work stress as intervening variable. International Journal of Social Sciences and Humanities, 2(2), 141–154.</w:t>
      </w:r>
    </w:p>
    <w:p w14:paraId="6D8AFC05"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Lambert, E. G., Qureshi, H., Frank, J., Keena, L. D., &amp; Hogan, N. L. (2017). The relationship of work-family conflict with job stress among Indian police officers: A research note. Police Practice and Research, 18(1), 37–48.</w:t>
      </w:r>
    </w:p>
    <w:p w14:paraId="07F33EE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Malik, H. (2011). Determinants of insurance companies profitability: an analysis of insurance sector of Pakistan. Academic Research International, 1(3), 315.</w:t>
      </w:r>
    </w:p>
    <w:p w14:paraId="19C1241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Mascarenhas, C., Galvão, A. R., &amp; Marques, C. S. (2022). How Perceived Organizational Support, Identification with Organization and Work Engagement Influence Job Satisfaction: A Gender-Based Perspective. Administrative Sciences. https://doi.org/10.3390/admsci12020066</w:t>
      </w:r>
    </w:p>
    <w:p w14:paraId="21938AF0"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Maulina, A. R., &amp; Wicaksono, D. A. (2021). Pengaruh Work Overload dan Perceived Organizational Support dengan Job Stress Pegawai Bank di Masa Pandemi. Buletin Riset Psikologi Dan Kesehatan Mental (BRPKM). https://doi.org/10.20473/brpkm.v1i1.26952</w:t>
      </w:r>
    </w:p>
    <w:p w14:paraId="3445CC37"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Mittal, M., &amp; Bhakar, S. S. (2018). Examining the impact of role overload on job stress, job satisfaction and job performance-a study among married working women in banking sector. International Journal of Management Studies, 2(7), 01.</w:t>
      </w:r>
    </w:p>
    <w:p w14:paraId="74B82834"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Mohamed, S. A., &amp; Ali, M. (2015). The influence of perceived organizational support on employees’ job performance. International Journal of Scientific and Research Publications, 5(4), 1–6.</w:t>
      </w:r>
    </w:p>
    <w:p w14:paraId="57EB4501"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Muttaqiyathun, A., &amp; Rosita, D. A. (2020). The Effect of Work Satisfaction and Work Stress on Employees’ turnover Intention In PT. Telkom Indonesia Yogyakarta. Manajemen Dan Bisnis, 19(1).</w:t>
      </w:r>
    </w:p>
    <w:p w14:paraId="77C329C7"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Nahrisah, E., Muhar, A. M., Miraza, Z., &amp; Ramadani, F. (2021). Dampak Work Overload Terhadap Stres Kerja dan Turnover Intention dengan Leadership Support sebagai Variabel Moderasi. Jurnal Akutansi Manajemen Ekonomi Kewirausahaan (JAMEK), 1(3), 131–139.</w:t>
      </w:r>
    </w:p>
    <w:p w14:paraId="15269F2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Nisa, N. H., &amp; Malik, N. (2016). Pengaruh work overload dan work family conflict terhadap turnover intention yang dimediasi oleh work exhaustion. Journal of Innovation in Business &amp; Economics, 7(1), 67–76.</w:t>
      </w:r>
    </w:p>
    <w:p w14:paraId="05B41EF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Obrenovic, B., Jianguo, D., Khudaykulov, A., &amp; Khan, M. A. S. (2020). Work-Family Conflict Impact on Psychological Safety and Psychological Well-Being: A Job Performance Model. Frontiers in Psychology. https://doi.org/10.3389/fpsyg.2020.00475</w:t>
      </w:r>
    </w:p>
    <w:p w14:paraId="6A15B3DD"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 xml:space="preserve">Parvaiz, L., Batool, S., Khalid, A., &amp; AftabFarooqi, Y. (2015). Impact of stressors (role conflict, role overload, leadership support and organizational politics) on job stress and its subsequent impact on turnover intention. International Journal of Business and </w:t>
      </w:r>
      <w:r w:rsidRPr="008C0F83">
        <w:rPr>
          <w:rFonts w:ascii="Times New Roman" w:hAnsi="Times New Roman" w:cs="Times New Roman"/>
          <w:i w:val="0"/>
          <w:iCs/>
          <w:noProof/>
          <w:sz w:val="24"/>
          <w:szCs w:val="24"/>
        </w:rPr>
        <w:lastRenderedPageBreak/>
        <w:t>Management Invention, 4(10), 52–63.</w:t>
      </w:r>
    </w:p>
    <w:p w14:paraId="5DA20AF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Pluta, A., &amp; Rudawska, A. (2021). The role of the employees’ individual resources in the perception of the work overload. Journal of Organizational Change Management. https://doi.org/10.1108/JOCM-08-2020-0241</w:t>
      </w:r>
    </w:p>
    <w:p w14:paraId="2C8B6BDD"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Rahman, A., &amp; Syahrizal, S. (2019). Effect of compensation and career development on turnover intention: Job satisfaction as a mediation variable. In 2nd Padang International Conference on Education, Economics, Business and Accounting (PICEEBA-2 2018). 187–193.</w:t>
      </w:r>
    </w:p>
    <w:p w14:paraId="7BB5D7B8"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Rhoades, L., &amp; Eisenberger, R. (2002). Perceived organizational support: A review of the literature. Journal of Applied Psychology, 87(4), 698–714. https://doi.org/doi: 10.1037/0021- 9010.87.4.698.</w:t>
      </w:r>
    </w:p>
    <w:p w14:paraId="0A21B744"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Romão, S., Ribeiro, N., Gomes, D. R., &amp; Singh, S. (2022). The Impact of Leaders’ Coaching Skills on Employees’ Happiness and Turnover Intention. Administrative Sciences. https://doi.org/10.3390/admsci12030084</w:t>
      </w:r>
    </w:p>
    <w:p w14:paraId="4A806446"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Saadeh, I. M., &amp; Suifan, T. S. (2019). Job stress and organizational commitment in hospitals: The mediating role of perceived organizational support. International Journal of Organizational Analysis, 28(1), 226–242.</w:t>
      </w:r>
    </w:p>
    <w:p w14:paraId="3A93B097"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Saputri, D., Masjid, M. S. A., &amp; Halimatussakdiah. (2022). The Role Of Work Stress In Mediating The Influence Of Workload And Work Balance On Employee Performance of The Regional Development Planning Agency Of Aceh Province During The Covid-19 Pandemic. International Journal of Scientific and Management Research, 5(6), 143–155.</w:t>
      </w:r>
    </w:p>
    <w:p w14:paraId="4EEA5E8E"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Serhan, C., Nehmeh, N., &amp; Sioufi, I. (2022). Assessing the effect of organisational commitment on turnover intentions amongst Islamic bank employees. ISRA International Journal of Islamic Finance. https://doi.org/10.1108/IJIF-01-2021-0008</w:t>
      </w:r>
    </w:p>
    <w:p w14:paraId="103A554A"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Shams, M. S., Niazi, M. M., &amp; Asim, F. (2020). The relationship between perceived organizational support, employee engagement, and organizational citizenship behavior: application of PLS-SEM approach. Kardan Journal of Economics and Management Sciences, 3(1), 35–55.</w:t>
      </w:r>
    </w:p>
    <w:p w14:paraId="28E6BA59"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Soomro, A. A., Breitenecker, R. J., &amp; Shah, S. A. M. (2018). Relation of work-life balance, work-family conflict, and family-work conflict with the employee performance-moderating role of job satisfaction. South Asian Journal of Business Studies. https://doi.org/10.1108/SAJBS-02-2017-0018</w:t>
      </w:r>
    </w:p>
    <w:p w14:paraId="3687A03B"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Virgana, V. (2021). THE EFFECT OF JOB PERFORMANCE THROUGH ORGANIZATIONAL CULTURE, WORK ENVIRONMENT, PERSONALITY, AND MOTIVATION. Jurnal Manajemen Dan Kewirausahaan. https://doi.org/10.9744/jmk.22.2.87-98</w:t>
      </w:r>
    </w:p>
    <w:p w14:paraId="0C1ABE3F"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Yolanda, E., &amp; Said, L. R. (2022). Perceived organisational support to increase teachers’ commitment and performance through work engagement: a case study of an Indonesian vocational school. International Journal of Management in Education, 16(5), 485–506.</w:t>
      </w:r>
    </w:p>
    <w:p w14:paraId="79011CF2" w14:textId="77777777" w:rsidR="001B3A13" w:rsidRPr="008C0F83" w:rsidRDefault="001B3A13" w:rsidP="001B3A13">
      <w:pPr>
        <w:widowControl w:val="0"/>
        <w:autoSpaceDE w:val="0"/>
        <w:autoSpaceDN w:val="0"/>
        <w:adjustRightInd w:val="0"/>
        <w:spacing w:before="20" w:after="0" w:line="240" w:lineRule="auto"/>
        <w:ind w:left="480" w:hanging="480"/>
        <w:jc w:val="both"/>
        <w:rPr>
          <w:rFonts w:ascii="Times New Roman" w:hAnsi="Times New Roman" w:cs="Times New Roman"/>
          <w:i w:val="0"/>
          <w:iCs/>
          <w:noProof/>
          <w:sz w:val="24"/>
          <w:szCs w:val="24"/>
        </w:rPr>
      </w:pPr>
      <w:r w:rsidRPr="008C0F83">
        <w:rPr>
          <w:rFonts w:ascii="Times New Roman" w:hAnsi="Times New Roman" w:cs="Times New Roman"/>
          <w:i w:val="0"/>
          <w:iCs/>
          <w:noProof/>
          <w:sz w:val="24"/>
          <w:szCs w:val="24"/>
        </w:rPr>
        <w:t>Yousef, J. M., &amp; Danial, E. N. (2012). In vitro antibacterial activity and minimum inhibitory concentration of zinc oxide and nano-particle zinc oxide against pathogenic strains. J Health Sci, 2(4), 38–42.</w:t>
      </w:r>
    </w:p>
    <w:p w14:paraId="3AC07A9B" w14:textId="77777777" w:rsidR="001B3A13" w:rsidRPr="008C0F83" w:rsidRDefault="001B3A13" w:rsidP="001B3A13">
      <w:pPr>
        <w:spacing w:before="20" w:after="0" w:line="240" w:lineRule="auto"/>
        <w:ind w:left="426" w:hanging="426"/>
        <w:jc w:val="both"/>
        <w:rPr>
          <w:rFonts w:ascii="Times New Roman" w:hAnsi="Times New Roman" w:cs="Times New Roman"/>
          <w:b/>
          <w:i w:val="0"/>
          <w:iCs/>
          <w:spacing w:val="-8"/>
          <w:sz w:val="24"/>
          <w:szCs w:val="24"/>
        </w:rPr>
      </w:pPr>
      <w:r w:rsidRPr="008C0F83">
        <w:rPr>
          <w:rFonts w:ascii="Times New Roman" w:hAnsi="Times New Roman" w:cs="Times New Roman"/>
          <w:i w:val="0"/>
          <w:iCs/>
          <w:spacing w:val="-4"/>
          <w:sz w:val="24"/>
          <w:szCs w:val="24"/>
        </w:rPr>
        <w:fldChar w:fldCharType="end"/>
      </w:r>
    </w:p>
    <w:p w14:paraId="052C6E8B" w14:textId="77777777" w:rsidR="001B3A13" w:rsidRPr="008C0F83" w:rsidRDefault="001B3A13" w:rsidP="001B3A13">
      <w:pPr>
        <w:spacing w:after="0" w:line="240" w:lineRule="auto"/>
        <w:rPr>
          <w:rFonts w:ascii="Times New Roman" w:hAnsi="Times New Roman" w:cs="Times New Roman"/>
          <w:b/>
          <w:i w:val="0"/>
          <w:iCs/>
          <w:spacing w:val="-8"/>
          <w:sz w:val="24"/>
          <w:szCs w:val="24"/>
        </w:rPr>
      </w:pPr>
    </w:p>
    <w:p w14:paraId="149982FF" w14:textId="77777777" w:rsidR="001B3A13" w:rsidRPr="008C0F83" w:rsidRDefault="001B3A13" w:rsidP="001B3A13">
      <w:pPr>
        <w:spacing w:after="0" w:line="240" w:lineRule="auto"/>
        <w:ind w:left="426" w:hanging="426"/>
        <w:jc w:val="both"/>
        <w:rPr>
          <w:rFonts w:ascii="Times New Roman" w:hAnsi="Times New Roman" w:cs="Times New Roman"/>
          <w:b/>
          <w:i w:val="0"/>
          <w:iCs/>
          <w:spacing w:val="-8"/>
          <w:sz w:val="24"/>
          <w:szCs w:val="24"/>
        </w:rPr>
      </w:pPr>
    </w:p>
    <w:p w14:paraId="3C3A388B" w14:textId="77777777" w:rsidR="001B3A13" w:rsidRPr="008C0F83" w:rsidRDefault="001B3A13">
      <w:pPr>
        <w:pBdr>
          <w:top w:val="nil"/>
          <w:left w:val="nil"/>
          <w:bottom w:val="nil"/>
          <w:right w:val="nil"/>
          <w:between w:val="nil"/>
        </w:pBdr>
        <w:spacing w:after="120" w:line="240" w:lineRule="auto"/>
        <w:jc w:val="both"/>
        <w:rPr>
          <w:rFonts w:ascii="Times New Roman" w:eastAsia="Times New Roman" w:hAnsi="Times New Roman" w:cs="Times New Roman"/>
          <w:b/>
          <w:i w:val="0"/>
          <w:iCs/>
          <w:color w:val="000000"/>
          <w:sz w:val="24"/>
          <w:szCs w:val="24"/>
        </w:rPr>
      </w:pPr>
    </w:p>
    <w:p w14:paraId="0454761D" w14:textId="77777777" w:rsidR="001B3A13" w:rsidRDefault="001B3A13">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57D8F5B" w14:textId="77777777" w:rsidR="001B3A13" w:rsidRDefault="001B3A13">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52C0DA5C" w14:textId="77777777" w:rsidR="001B3A13" w:rsidRDefault="001B3A13">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sectPr w:rsidR="001B3A13">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8078" w14:textId="77777777" w:rsidR="00B431D2" w:rsidRDefault="00B431D2">
      <w:pPr>
        <w:spacing w:after="0" w:line="240" w:lineRule="auto"/>
      </w:pPr>
      <w:r>
        <w:separator/>
      </w:r>
    </w:p>
  </w:endnote>
  <w:endnote w:type="continuationSeparator" w:id="0">
    <w:p w14:paraId="739E932F" w14:textId="77777777" w:rsidR="00B431D2" w:rsidRDefault="00B4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241C" w14:textId="77777777" w:rsidR="00B431D2" w:rsidRDefault="00B431D2">
      <w:pPr>
        <w:spacing w:after="0" w:line="240" w:lineRule="auto"/>
      </w:pPr>
      <w:r>
        <w:separator/>
      </w:r>
    </w:p>
  </w:footnote>
  <w:footnote w:type="continuationSeparator" w:id="0">
    <w:p w14:paraId="274E1870" w14:textId="77777777" w:rsidR="00B431D2" w:rsidRDefault="00B4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DAB5A02"/>
    <w:multiLevelType w:val="hybridMultilevel"/>
    <w:tmpl w:val="631CA64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B1C68E1"/>
    <w:multiLevelType w:val="hybridMultilevel"/>
    <w:tmpl w:val="24869250"/>
    <w:lvl w:ilvl="0" w:tplc="8FE24E82">
      <w:start w:val="1"/>
      <w:numFmt w:val="decimal"/>
      <w:lvlText w:val="%1)"/>
      <w:lvlJc w:val="left"/>
      <w:pPr>
        <w:ind w:left="1080" w:hanging="360"/>
      </w:pPr>
      <w:rPr>
        <w:rFonts w:ascii="Times New Roman" w:hAnsi="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31414E6"/>
    <w:multiLevelType w:val="hybridMultilevel"/>
    <w:tmpl w:val="FC46CAA6"/>
    <w:lvl w:ilvl="0" w:tplc="04210011">
      <w:start w:val="1"/>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8257512">
    <w:abstractNumId w:val="0"/>
  </w:num>
  <w:num w:numId="2" w16cid:durableId="585192344">
    <w:abstractNumId w:val="2"/>
  </w:num>
  <w:num w:numId="3" w16cid:durableId="1364088562">
    <w:abstractNumId w:val="7"/>
  </w:num>
  <w:num w:numId="4" w16cid:durableId="633825952">
    <w:abstractNumId w:val="1"/>
  </w:num>
  <w:num w:numId="5" w16cid:durableId="284850141">
    <w:abstractNumId w:val="3"/>
  </w:num>
  <w:num w:numId="6" w16cid:durableId="1578401723">
    <w:abstractNumId w:val="6"/>
  </w:num>
  <w:num w:numId="7" w16cid:durableId="1750536127">
    <w:abstractNumId w:val="5"/>
  </w:num>
  <w:num w:numId="8" w16cid:durableId="70236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105BDF"/>
    <w:rsid w:val="001129B0"/>
    <w:rsid w:val="00184457"/>
    <w:rsid w:val="001B3A13"/>
    <w:rsid w:val="001E01C9"/>
    <w:rsid w:val="00244E70"/>
    <w:rsid w:val="0031258C"/>
    <w:rsid w:val="00584B54"/>
    <w:rsid w:val="005C5893"/>
    <w:rsid w:val="007A2AD1"/>
    <w:rsid w:val="008C0F83"/>
    <w:rsid w:val="008D757F"/>
    <w:rsid w:val="009E7257"/>
    <w:rsid w:val="009F024F"/>
    <w:rsid w:val="00A007C9"/>
    <w:rsid w:val="00B01D75"/>
    <w:rsid w:val="00B431D2"/>
    <w:rsid w:val="00C30A1A"/>
    <w:rsid w:val="00DD49A3"/>
    <w:rsid w:val="00DE3052"/>
    <w:rsid w:val="00F20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3978120D-AF22-469D-BF14-C7FBD5B9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Judul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Judul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Judul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Judul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Judul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Judul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judul">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Pr>
  </w:style>
  <w:style w:type="paragraph" w:styleId="DaftarParagraf">
    <w:name w:val="List Paragraph"/>
    <w:aliases w:val="Body of text,List Paragraph1,spasi 2 taiiii,kepala,Normal11,normal,skripsi,Body Text Char1,Char Char2,List Paragraph2,heading 3,subBABI,UGEX'Z,skirpsi,gambar,List 5.2.1,List Paragraph Laporan,Heading 31,Heading 311,Heading 32"/>
    <w:basedOn w:val="Normal"/>
    <w:link w:val="DaftarParagrafKAR"/>
    <w:uiPriority w:val="1"/>
    <w:qFormat/>
    <w:rsid w:val="00F205C7"/>
    <w:pPr>
      <w:ind w:left="720"/>
      <w:contextualSpacing/>
    </w:pPr>
  </w:style>
  <w:style w:type="character" w:styleId="Hyperlink">
    <w:name w:val="Hyperlink"/>
    <w:basedOn w:val="FontParagrafDefault"/>
    <w:uiPriority w:val="99"/>
    <w:unhideWhenUsed/>
    <w:rsid w:val="00F205C7"/>
    <w:rPr>
      <w:color w:val="0000FF" w:themeColor="hyperlink"/>
      <w:u w:val="single"/>
    </w:rPr>
  </w:style>
  <w:style w:type="character" w:styleId="SebutanYangBelumTerselesaikan">
    <w:name w:val="Unresolved Mention"/>
    <w:basedOn w:val="FontParagrafDefault"/>
    <w:uiPriority w:val="99"/>
    <w:semiHidden/>
    <w:unhideWhenUsed/>
    <w:rsid w:val="00F205C7"/>
    <w:rPr>
      <w:color w:val="605E5C"/>
      <w:shd w:val="clear" w:color="auto" w:fill="E1DFDD"/>
    </w:rPr>
  </w:style>
  <w:style w:type="table" w:styleId="TabelBiasa2">
    <w:name w:val="Plain Table 2"/>
    <w:basedOn w:val="TabelNormal"/>
    <w:uiPriority w:val="42"/>
    <w:rsid w:val="00184457"/>
    <w:pPr>
      <w:spacing w:after="0" w:line="240" w:lineRule="auto"/>
    </w:pPr>
    <w:rPr>
      <w:rFonts w:asciiTheme="minorHAnsi" w:hAnsiTheme="minorHAnsi" w:cstheme="minorBidi"/>
      <w:i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DaftarParagrafKAR">
    <w:name w:val="Daftar Paragraf KAR"/>
    <w:aliases w:val="Body of text KAR,List Paragraph1 KAR,spasi 2 taiiii KAR,kepala KAR,Normal11 KAR,normal KAR,skripsi KAR,Body Text Char1 KAR,Char Char2 KAR,List Paragraph2 KAR,heading 3 KAR,subBABI KAR,UGEX'Z KAR,skirpsi KAR,gambar KAR,List 5.2.1 KAR"/>
    <w:link w:val="DaftarParagraf"/>
    <w:uiPriority w:val="1"/>
    <w:qFormat/>
    <w:rsid w:val="0018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20003</Words>
  <Characters>114019</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asus.n3n0cv24v59813b@outlook.com</cp:lastModifiedBy>
  <cp:revision>5</cp:revision>
  <dcterms:created xsi:type="dcterms:W3CDTF">2023-11-08T07:06:00Z</dcterms:created>
  <dcterms:modified xsi:type="dcterms:W3CDTF">2023-11-09T00:25:00Z</dcterms:modified>
</cp:coreProperties>
</file>