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507" w:rsidRPr="00C7085A" w:rsidRDefault="0072667F" w:rsidP="00C7085A">
      <w:pPr>
        <w:spacing w:line="276" w:lineRule="auto"/>
        <w:rPr>
          <w:b/>
        </w:rPr>
      </w:pPr>
      <w:r w:rsidRPr="00C7085A">
        <w:rPr>
          <w:b/>
        </w:rPr>
        <w:t>THE EFFECT OF CURRENT RATIO, DEBT TO EQUITY RATIO, RETURN ON ASSETS AND EARNING PER SHARE ON STOCK PRICE OF CONVENTIONAL TAXI AND BUS COMPANIES LISTED IN INDONESIA STOCK EXCHANGE PERIOD OF 2013-2017</w:t>
      </w:r>
    </w:p>
    <w:p w:rsidR="0072667F" w:rsidRDefault="0040131F" w:rsidP="0040131F">
      <w:pPr>
        <w:spacing w:after="0" w:line="240" w:lineRule="auto"/>
        <w:rPr>
          <w:vertAlign w:val="superscript"/>
        </w:rPr>
      </w:pPr>
      <w:proofErr w:type="spellStart"/>
      <w:r w:rsidRPr="00900DD5">
        <w:rPr>
          <w:b/>
        </w:rPr>
        <w:t>Novita</w:t>
      </w:r>
      <w:proofErr w:type="spellEnd"/>
      <w:r w:rsidRPr="00900DD5">
        <w:rPr>
          <w:b/>
        </w:rPr>
        <w:t xml:space="preserve"> Sari</w:t>
      </w:r>
      <w:r w:rsidRPr="0040131F">
        <w:rPr>
          <w:vertAlign w:val="superscript"/>
        </w:rPr>
        <w:t>1</w:t>
      </w:r>
      <w:r>
        <w:t xml:space="preserve">, </w:t>
      </w:r>
      <w:proofErr w:type="spellStart"/>
      <w:r w:rsidRPr="00900DD5">
        <w:rPr>
          <w:b/>
        </w:rPr>
        <w:t>Rina</w:t>
      </w:r>
      <w:proofErr w:type="spellEnd"/>
      <w:r w:rsidRPr="00900DD5">
        <w:rPr>
          <w:b/>
        </w:rPr>
        <w:t xml:space="preserve"> Astini</w:t>
      </w:r>
      <w:r w:rsidRPr="0040131F">
        <w:rPr>
          <w:vertAlign w:val="superscript"/>
        </w:rPr>
        <w:t>1</w:t>
      </w:r>
    </w:p>
    <w:p w:rsidR="0040131F" w:rsidRDefault="00900DD5" w:rsidP="0040131F">
      <w:pPr>
        <w:spacing w:after="0" w:line="240" w:lineRule="auto"/>
      </w:pPr>
      <w:r w:rsidRPr="00900DD5">
        <w:rPr>
          <w:vertAlign w:val="superscript"/>
        </w:rPr>
        <w:t>1</w:t>
      </w:r>
      <w:r w:rsidR="0040131F">
        <w:t xml:space="preserve">Study Program Management, Economy and Business Faculty, </w:t>
      </w:r>
      <w:proofErr w:type="spellStart"/>
      <w:r w:rsidR="0040131F">
        <w:t>Universitas</w:t>
      </w:r>
      <w:proofErr w:type="spellEnd"/>
      <w:r w:rsidR="0040131F">
        <w:t xml:space="preserve"> </w:t>
      </w:r>
      <w:proofErr w:type="spellStart"/>
      <w:r w:rsidR="0040131F">
        <w:t>Mercu</w:t>
      </w:r>
      <w:proofErr w:type="spellEnd"/>
      <w:r w:rsidR="0040131F">
        <w:t xml:space="preserve"> </w:t>
      </w:r>
      <w:proofErr w:type="spellStart"/>
      <w:r w:rsidR="0040131F">
        <w:t>Buana</w:t>
      </w:r>
      <w:proofErr w:type="spellEnd"/>
      <w:r w:rsidR="0040131F">
        <w:t xml:space="preserve"> </w:t>
      </w:r>
    </w:p>
    <w:p w:rsidR="0040131F" w:rsidRDefault="0040131F" w:rsidP="0040131F">
      <w:pPr>
        <w:spacing w:after="0" w:line="240" w:lineRule="auto"/>
      </w:pPr>
      <w:r>
        <w:t xml:space="preserve">Jl. Raya </w:t>
      </w:r>
      <w:proofErr w:type="spellStart"/>
      <w:r>
        <w:t>Meruya</w:t>
      </w:r>
      <w:proofErr w:type="spellEnd"/>
      <w:r>
        <w:t xml:space="preserve"> Selatan, </w:t>
      </w:r>
      <w:proofErr w:type="spellStart"/>
      <w:r>
        <w:t>Kembangan</w:t>
      </w:r>
      <w:proofErr w:type="spellEnd"/>
      <w:r>
        <w:t>, Jakarta 11650</w:t>
      </w:r>
    </w:p>
    <w:p w:rsidR="0040131F" w:rsidRDefault="0040131F" w:rsidP="0040131F">
      <w:pPr>
        <w:spacing w:after="0" w:line="240" w:lineRule="auto"/>
      </w:pPr>
      <w:r>
        <w:t xml:space="preserve">Email: </w:t>
      </w:r>
      <w:hyperlink r:id="rId8" w:history="1">
        <w:r w:rsidRPr="00E3149A">
          <w:rPr>
            <w:rStyle w:val="Hyperlink"/>
          </w:rPr>
          <w:t>novitasp08@gmail.com</w:t>
        </w:r>
      </w:hyperlink>
      <w:r>
        <w:t xml:space="preserve"> </w:t>
      </w:r>
      <w:hyperlink r:id="rId9" w:history="1">
        <w:r w:rsidR="003D300B" w:rsidRPr="005B1684">
          <w:rPr>
            <w:rStyle w:val="Hyperlink"/>
          </w:rPr>
          <w:t>rinaastini09@gmail.com</w:t>
        </w:r>
      </w:hyperlink>
      <w:r>
        <w:t xml:space="preserve"> </w:t>
      </w:r>
    </w:p>
    <w:p w:rsidR="00900DD5" w:rsidRDefault="00900DD5" w:rsidP="0040131F">
      <w:pPr>
        <w:spacing w:after="0" w:line="240" w:lineRule="auto"/>
      </w:pPr>
    </w:p>
    <w:p w:rsidR="00900DD5" w:rsidRDefault="00900DD5" w:rsidP="00180BF0">
      <w:pPr>
        <w:spacing w:after="0" w:line="240" w:lineRule="auto"/>
        <w:jc w:val="both"/>
        <w:rPr>
          <w:i/>
        </w:rPr>
      </w:pPr>
      <w:r w:rsidRPr="00900DD5">
        <w:rPr>
          <w:b/>
          <w:i/>
        </w:rPr>
        <w:t>Abstract</w:t>
      </w:r>
      <w:r>
        <w:t xml:space="preserve"> – </w:t>
      </w:r>
      <w:r w:rsidRPr="00C7085A">
        <w:rPr>
          <w:i/>
        </w:rPr>
        <w:t xml:space="preserve">This study aims to examine and analyze the effect of current ratio, debt to </w:t>
      </w:r>
      <w:r w:rsidR="0088731A" w:rsidRPr="00C7085A">
        <w:rPr>
          <w:i/>
        </w:rPr>
        <w:t xml:space="preserve">equity </w:t>
      </w:r>
      <w:r w:rsidR="005226CF" w:rsidRPr="00C7085A">
        <w:rPr>
          <w:i/>
        </w:rPr>
        <w:t xml:space="preserve">ratio, return on assets and earning per share on stock price. </w:t>
      </w:r>
      <w:r w:rsidR="0088731A" w:rsidRPr="00C7085A">
        <w:rPr>
          <w:i/>
        </w:rPr>
        <w:t>The object of this study is conventional taxi and bus companies</w:t>
      </w:r>
      <w:r w:rsidR="00C7085A" w:rsidRPr="00C7085A">
        <w:rPr>
          <w:i/>
        </w:rPr>
        <w:t xml:space="preserve"> listed in Indonesia Stock Exchange on 2013-2017</w:t>
      </w:r>
      <w:r w:rsidR="0088731A" w:rsidRPr="00C7085A">
        <w:rPr>
          <w:i/>
        </w:rPr>
        <w:t xml:space="preserve">. The sample selection is using purposive sampling and got six companies that match with the criteria. The method used is panel data regression analysis and found that the appropriate model </w:t>
      </w:r>
      <w:r w:rsidR="00175423" w:rsidRPr="00C7085A">
        <w:rPr>
          <w:i/>
        </w:rPr>
        <w:t>to use</w:t>
      </w:r>
      <w:r w:rsidR="0088731A" w:rsidRPr="00C7085A">
        <w:rPr>
          <w:i/>
        </w:rPr>
        <w:t xml:space="preserve"> is common effect. From the result </w:t>
      </w:r>
      <w:r w:rsidR="00175423" w:rsidRPr="00C7085A">
        <w:rPr>
          <w:i/>
        </w:rPr>
        <w:t>of this study obtained the variable of earning per share has a positive and significan</w:t>
      </w:r>
      <w:r w:rsidR="00C7085A" w:rsidRPr="00C7085A">
        <w:rPr>
          <w:i/>
        </w:rPr>
        <w:t xml:space="preserve">t effect on stock price. </w:t>
      </w:r>
    </w:p>
    <w:p w:rsidR="00C7085A" w:rsidRDefault="00C7085A" w:rsidP="00900DD5">
      <w:pPr>
        <w:spacing w:after="0" w:line="240" w:lineRule="auto"/>
        <w:jc w:val="left"/>
        <w:rPr>
          <w:i/>
        </w:rPr>
      </w:pPr>
    </w:p>
    <w:p w:rsidR="00C7085A" w:rsidRDefault="00C7085A" w:rsidP="00900DD5">
      <w:pPr>
        <w:spacing w:after="0" w:line="240" w:lineRule="auto"/>
        <w:jc w:val="left"/>
        <w:rPr>
          <w:i/>
        </w:rPr>
      </w:pPr>
      <w:r w:rsidRPr="00C7085A">
        <w:rPr>
          <w:b/>
          <w:i/>
        </w:rPr>
        <w:t>Keywords</w:t>
      </w:r>
      <w:r w:rsidRPr="00C7085A">
        <w:t>:</w:t>
      </w:r>
      <w:r>
        <w:t xml:space="preserve"> </w:t>
      </w:r>
      <w:r>
        <w:rPr>
          <w:i/>
        </w:rPr>
        <w:t>current ratio;</w:t>
      </w:r>
      <w:r w:rsidRPr="00C7085A">
        <w:rPr>
          <w:i/>
        </w:rPr>
        <w:t xml:space="preserve"> debt to equity </w:t>
      </w:r>
      <w:r>
        <w:rPr>
          <w:i/>
        </w:rPr>
        <w:t>ratio;</w:t>
      </w:r>
      <w:r w:rsidRPr="00C7085A">
        <w:rPr>
          <w:i/>
        </w:rPr>
        <w:t xml:space="preserve"> return on assets</w:t>
      </w:r>
      <w:r>
        <w:rPr>
          <w:i/>
        </w:rPr>
        <w:t xml:space="preserve">; </w:t>
      </w:r>
      <w:r w:rsidRPr="00C7085A">
        <w:rPr>
          <w:i/>
        </w:rPr>
        <w:t>earning per share</w:t>
      </w:r>
      <w:r>
        <w:rPr>
          <w:i/>
        </w:rPr>
        <w:t>; stock price</w:t>
      </w:r>
    </w:p>
    <w:p w:rsidR="006522A0" w:rsidRDefault="006522A0" w:rsidP="00900DD5">
      <w:pPr>
        <w:spacing w:after="0" w:line="240" w:lineRule="auto"/>
        <w:jc w:val="left"/>
        <w:rPr>
          <w:i/>
        </w:rPr>
      </w:pPr>
    </w:p>
    <w:p w:rsidR="006522A0" w:rsidRDefault="006522A0" w:rsidP="00900DD5">
      <w:pPr>
        <w:spacing w:after="0" w:line="240" w:lineRule="auto"/>
        <w:jc w:val="left"/>
        <w:rPr>
          <w:b/>
        </w:rPr>
      </w:pPr>
      <w:r w:rsidRPr="006522A0">
        <w:rPr>
          <w:b/>
        </w:rPr>
        <w:t xml:space="preserve">Introduction </w:t>
      </w:r>
    </w:p>
    <w:p w:rsidR="00FF1836" w:rsidRDefault="00FF1836" w:rsidP="00A23D45">
      <w:pPr>
        <w:spacing w:after="0" w:line="240" w:lineRule="auto"/>
        <w:ind w:firstLine="720"/>
        <w:jc w:val="both"/>
      </w:pPr>
      <w:r>
        <w:t>Transp</w:t>
      </w:r>
      <w:r w:rsidR="003A3EF8">
        <w:t xml:space="preserve">ortation has a strategic role of national </w:t>
      </w:r>
      <w:proofErr w:type="gramStart"/>
      <w:r w:rsidR="003A3EF8">
        <w:t>economy,</w:t>
      </w:r>
      <w:proofErr w:type="gramEnd"/>
      <w:r w:rsidR="003A3EF8">
        <w:t xml:space="preserve"> on the other hand, transportation is also business area as other sector. The development of transportation sector can be seen from the contribution of each type of transportation to the Gross Domestic Product (GDP). As the news published in ekonomi.bisnis.com on data reported by BPS that Indonesia’s economic growth reached 5.07% throughout 2017. By sector, transportation and warehousing are among the most auspicious sector. Data shows that transportation and warehouse scored annual growth of 8.49% or the second-highest growth after the information and communication sector which raised 9.81%. (economy.bisnis.com/2018).</w:t>
      </w:r>
    </w:p>
    <w:p w:rsidR="003A3EF8" w:rsidRDefault="003A3EF8" w:rsidP="00A23D45">
      <w:pPr>
        <w:spacing w:after="0" w:line="240" w:lineRule="auto"/>
        <w:ind w:firstLine="720"/>
        <w:jc w:val="both"/>
      </w:pPr>
    </w:p>
    <w:p w:rsidR="006522A0" w:rsidRDefault="006D1B96" w:rsidP="00A23D45">
      <w:pPr>
        <w:spacing w:after="0" w:line="240" w:lineRule="auto"/>
        <w:ind w:firstLine="720"/>
        <w:jc w:val="both"/>
      </w:pPr>
      <w:r>
        <w:t>In 2015 was a phenomenal period for the development of online transportation services in Indonesia. Transportation on demand or commonly called online transportation. In Indonesia, there are three major transportation services companies, namely Go-</w:t>
      </w:r>
      <w:proofErr w:type="spellStart"/>
      <w:r>
        <w:t>Jek</w:t>
      </w:r>
      <w:proofErr w:type="spellEnd"/>
      <w:r>
        <w:t xml:space="preserve">, Grab, and </w:t>
      </w:r>
      <w:proofErr w:type="spellStart"/>
      <w:r>
        <w:t>Uber</w:t>
      </w:r>
      <w:proofErr w:type="spellEnd"/>
      <w:r>
        <w:t xml:space="preserve">. </w:t>
      </w:r>
      <w:r w:rsidR="00461E99">
        <w:t>Onli</w:t>
      </w:r>
      <w:r w:rsidR="00DF24BD">
        <w:t>ne transportation is well welcomed at the beginning of appeara</w:t>
      </w:r>
      <w:r w:rsidR="000D5497">
        <w:t>nce considering be</w:t>
      </w:r>
      <w:r w:rsidR="001424FC">
        <w:t>come innovative and useful</w:t>
      </w:r>
      <w:r w:rsidR="000D5497">
        <w:t xml:space="preserve"> that certainly attracts people to use it. </w:t>
      </w:r>
    </w:p>
    <w:p w:rsidR="00044CCE" w:rsidRDefault="00044CCE" w:rsidP="00044CCE">
      <w:pPr>
        <w:spacing w:after="0" w:line="240" w:lineRule="auto"/>
        <w:ind w:firstLine="720"/>
        <w:jc w:val="both"/>
      </w:pPr>
    </w:p>
    <w:p w:rsidR="000D5497" w:rsidRDefault="00044CCE" w:rsidP="003424DA">
      <w:pPr>
        <w:spacing w:after="0" w:line="240" w:lineRule="auto"/>
        <w:ind w:firstLine="720"/>
        <w:jc w:val="both"/>
      </w:pPr>
      <w:r>
        <w:t xml:space="preserve">Along the skyrocketing </w:t>
      </w:r>
      <w:r w:rsidR="00C16B0B">
        <w:t>in growth and development</w:t>
      </w:r>
      <w:r w:rsidR="003424DA">
        <w:t xml:space="preserve"> of online transportation has </w:t>
      </w:r>
      <w:r w:rsidR="00C16B0B">
        <w:t>not followed by the development of non-online (conventional) transportation services as well. Conventional transportation, in this study ment</w:t>
      </w:r>
      <w:r w:rsidR="009C509E">
        <w:t>ioned as taxi and bus who previously existed and used experiences the declining in company performance, most caused by the decline of passengers to use the service. According to d</w:t>
      </w:r>
      <w:r w:rsidR="003424DA">
        <w:t xml:space="preserve">ata by </w:t>
      </w:r>
      <w:proofErr w:type="spellStart"/>
      <w:r w:rsidR="003424DA">
        <w:t>Organda</w:t>
      </w:r>
      <w:proofErr w:type="spellEnd"/>
      <w:r w:rsidR="003424DA">
        <w:t xml:space="preserve"> Jakarta, in 2015, a decreasing of passengers in almost all kind of transportation mode, taxis dropped to 30</w:t>
      </w:r>
      <w:proofErr w:type="gramStart"/>
      <w:r w:rsidR="003424DA">
        <w:t>%  as</w:t>
      </w:r>
      <w:proofErr w:type="gramEnd"/>
      <w:r w:rsidR="003424DA">
        <w:t xml:space="preserve"> well as buses which has dropped to 30%, and </w:t>
      </w:r>
      <w:proofErr w:type="spellStart"/>
      <w:r w:rsidR="003424DA">
        <w:t>bajaj</w:t>
      </w:r>
      <w:proofErr w:type="spellEnd"/>
      <w:r w:rsidR="003424DA">
        <w:t xml:space="preserve"> dropped to 40%. If averaged, the </w:t>
      </w:r>
      <w:proofErr w:type="gramStart"/>
      <w:r w:rsidR="003424DA">
        <w:t>decline in number of passengers of conventional transportation reach</w:t>
      </w:r>
      <w:proofErr w:type="gramEnd"/>
      <w:r w:rsidR="003424DA">
        <w:t xml:space="preserve"> to 33% - 34%. </w:t>
      </w:r>
    </w:p>
    <w:p w:rsidR="003424DA" w:rsidRDefault="003424DA" w:rsidP="003424DA">
      <w:pPr>
        <w:spacing w:after="0" w:line="240" w:lineRule="auto"/>
        <w:ind w:firstLine="720"/>
        <w:jc w:val="both"/>
      </w:pPr>
    </w:p>
    <w:p w:rsidR="00FB78A3" w:rsidRDefault="007146EB" w:rsidP="00FB78A3">
      <w:pPr>
        <w:spacing w:after="0" w:line="240" w:lineRule="auto"/>
        <w:ind w:firstLine="720"/>
        <w:jc w:val="both"/>
      </w:pPr>
      <w:r>
        <w:lastRenderedPageBreak/>
        <w:t xml:space="preserve">The decreasing number of passengers not only being one of the factors that conventional transportation companies received from the impact of online transportation presence. The stock price of conventional transport companies get the impact as well, most directly affected. The average of stock price itself tends to decrease from year to year. </w:t>
      </w:r>
      <w:r w:rsidR="001424FC">
        <w:t xml:space="preserve">The companies, namely PT Blue Bird </w:t>
      </w:r>
      <w:proofErr w:type="spellStart"/>
      <w:r w:rsidR="001424FC">
        <w:t>Tbk</w:t>
      </w:r>
      <w:proofErr w:type="spellEnd"/>
      <w:r w:rsidR="001424FC">
        <w:t xml:space="preserve">, PT Express </w:t>
      </w:r>
      <w:proofErr w:type="spellStart"/>
      <w:r w:rsidR="001424FC">
        <w:t>Trasindo</w:t>
      </w:r>
      <w:proofErr w:type="spellEnd"/>
      <w:r w:rsidR="001424FC">
        <w:t xml:space="preserve"> </w:t>
      </w:r>
      <w:proofErr w:type="spellStart"/>
      <w:r w:rsidR="001424FC">
        <w:t>Utama</w:t>
      </w:r>
      <w:proofErr w:type="spellEnd"/>
      <w:r w:rsidR="001424FC">
        <w:t xml:space="preserve"> </w:t>
      </w:r>
      <w:proofErr w:type="spellStart"/>
      <w:r w:rsidR="001424FC">
        <w:t>Tbk</w:t>
      </w:r>
      <w:proofErr w:type="spellEnd"/>
      <w:r w:rsidR="001424FC">
        <w:t xml:space="preserve">, PT </w:t>
      </w:r>
      <w:proofErr w:type="spellStart"/>
      <w:r w:rsidR="001424FC">
        <w:t>Ekasari</w:t>
      </w:r>
      <w:proofErr w:type="spellEnd"/>
      <w:r w:rsidR="001424FC">
        <w:t xml:space="preserve"> Lorena Transport </w:t>
      </w:r>
      <w:proofErr w:type="spellStart"/>
      <w:r w:rsidR="001424FC">
        <w:t>Tbk</w:t>
      </w:r>
      <w:proofErr w:type="spellEnd"/>
      <w:r w:rsidR="001424FC">
        <w:t xml:space="preserve">, PT Steady Safe </w:t>
      </w:r>
      <w:proofErr w:type="spellStart"/>
      <w:r w:rsidR="001424FC">
        <w:t>Tbk</w:t>
      </w:r>
      <w:proofErr w:type="spellEnd"/>
      <w:r w:rsidR="001424FC">
        <w:t xml:space="preserve">, PT </w:t>
      </w:r>
      <w:proofErr w:type="spellStart"/>
      <w:r w:rsidR="001424FC">
        <w:t>Weha</w:t>
      </w:r>
      <w:proofErr w:type="spellEnd"/>
      <w:r w:rsidR="001424FC">
        <w:t xml:space="preserve"> </w:t>
      </w:r>
      <w:proofErr w:type="spellStart"/>
      <w:r w:rsidR="001424FC">
        <w:t>Transportasi</w:t>
      </w:r>
      <w:proofErr w:type="spellEnd"/>
      <w:r w:rsidR="001424FC">
        <w:t xml:space="preserve"> Indonesia, PT Zebra Nusantara </w:t>
      </w:r>
      <w:proofErr w:type="spellStart"/>
      <w:r w:rsidR="001424FC">
        <w:t>Tbk</w:t>
      </w:r>
      <w:proofErr w:type="spellEnd"/>
      <w:r w:rsidR="001424FC">
        <w:t xml:space="preserve">. </w:t>
      </w:r>
    </w:p>
    <w:p w:rsidR="007274F4" w:rsidRDefault="007274F4" w:rsidP="00FB78A3">
      <w:pPr>
        <w:spacing w:after="0" w:line="240" w:lineRule="auto"/>
        <w:ind w:firstLine="720"/>
        <w:jc w:val="both"/>
      </w:pPr>
    </w:p>
    <w:p w:rsidR="007274F4" w:rsidRDefault="007274F4" w:rsidP="00FB78A3">
      <w:pPr>
        <w:spacing w:after="0" w:line="240" w:lineRule="auto"/>
        <w:ind w:firstLine="720"/>
        <w:jc w:val="both"/>
      </w:pPr>
      <w:r>
        <w:t xml:space="preserve">Some of the things that become news related to the declining of conventional transportation company’s stock price are; first, the inclusion of </w:t>
      </w:r>
      <w:proofErr w:type="spellStart"/>
      <w:r>
        <w:t>Uber</w:t>
      </w:r>
      <w:proofErr w:type="spellEnd"/>
      <w:r>
        <w:t xml:space="preserve"> Taxi which started on August 2014. </w:t>
      </w:r>
      <w:proofErr w:type="gramStart"/>
      <w:r>
        <w:t xml:space="preserve">Second, </w:t>
      </w:r>
      <w:proofErr w:type="spellStart"/>
      <w:r>
        <w:t>Ojek</w:t>
      </w:r>
      <w:proofErr w:type="spellEnd"/>
      <w:r>
        <w:t xml:space="preserve"> Online, competition for taxi companies increasingly fier</w:t>
      </w:r>
      <w:r w:rsidR="00D56F0F">
        <w:t>ce with the rise of conventional</w:t>
      </w:r>
      <w:r>
        <w:t xml:space="preserve"> taxi.</w:t>
      </w:r>
      <w:proofErr w:type="gramEnd"/>
      <w:r>
        <w:t xml:space="preserve"> Third, the online tax rate applied. Fourth, lower rates of online taxi canceled. </w:t>
      </w:r>
      <w:proofErr w:type="gramStart"/>
      <w:r>
        <w:t>Fifth,</w:t>
      </w:r>
      <w:r w:rsidR="00D56F0F">
        <w:t xml:space="preserve"> </w:t>
      </w:r>
      <w:r>
        <w:t>company’s performances.</w:t>
      </w:r>
      <w:proofErr w:type="gramEnd"/>
      <w:r>
        <w:t xml:space="preserve"> </w:t>
      </w:r>
      <w:r w:rsidR="00D56F0F">
        <w:t xml:space="preserve"> </w:t>
      </w:r>
    </w:p>
    <w:p w:rsidR="00D56F0F" w:rsidRDefault="00D56F0F" w:rsidP="00FB78A3">
      <w:pPr>
        <w:spacing w:after="0" w:line="240" w:lineRule="auto"/>
        <w:ind w:firstLine="720"/>
        <w:jc w:val="both"/>
      </w:pPr>
    </w:p>
    <w:p w:rsidR="00FB78A3" w:rsidRDefault="00D56F0F" w:rsidP="00D56F0F">
      <w:pPr>
        <w:spacing w:after="0" w:line="240" w:lineRule="auto"/>
        <w:ind w:firstLine="720"/>
        <w:jc w:val="both"/>
      </w:pPr>
      <w:r>
        <w:t xml:space="preserve">There are many research </w:t>
      </w:r>
      <w:proofErr w:type="gramStart"/>
      <w:r>
        <w:t>who</w:t>
      </w:r>
      <w:proofErr w:type="gramEnd"/>
      <w:r>
        <w:t xml:space="preserve"> associated and support with the variables in this research. Some of the research result as follows: Research conducted by Sari (2013) shows that DER, CR, </w:t>
      </w:r>
      <w:proofErr w:type="gramStart"/>
      <w:r>
        <w:t>ROA,</w:t>
      </w:r>
      <w:proofErr w:type="gramEnd"/>
      <w:r>
        <w:t xml:space="preserve"> EPS did not significantly influence the stock price. </w:t>
      </w:r>
      <w:proofErr w:type="spellStart"/>
      <w:r>
        <w:t>Adipalguna</w:t>
      </w:r>
      <w:proofErr w:type="spellEnd"/>
      <w:r>
        <w:t xml:space="preserve"> (2016) shows that CR, DER, ROA has not significant effect on stock price, while EPS has significant and positive effect to stock price.</w:t>
      </w:r>
    </w:p>
    <w:p w:rsidR="00FB78A3" w:rsidRDefault="00FB78A3" w:rsidP="003424DA">
      <w:pPr>
        <w:spacing w:after="0" w:line="240" w:lineRule="auto"/>
        <w:ind w:firstLine="720"/>
        <w:jc w:val="both"/>
      </w:pPr>
    </w:p>
    <w:p w:rsidR="001424FC" w:rsidRPr="00E871D2" w:rsidRDefault="00E871D2" w:rsidP="00E871D2">
      <w:pPr>
        <w:spacing w:after="0" w:line="240" w:lineRule="auto"/>
        <w:jc w:val="both"/>
        <w:rPr>
          <w:b/>
        </w:rPr>
      </w:pPr>
      <w:r w:rsidRPr="00E871D2">
        <w:rPr>
          <w:b/>
        </w:rPr>
        <w:t xml:space="preserve">Literature Review and Hypothesis </w:t>
      </w:r>
    </w:p>
    <w:p w:rsidR="00783CB3" w:rsidRDefault="00D56F0F" w:rsidP="00D56F0F">
      <w:pPr>
        <w:spacing w:after="0" w:line="240" w:lineRule="auto"/>
        <w:ind w:firstLine="720"/>
        <w:jc w:val="both"/>
      </w:pPr>
      <w:r>
        <w:t xml:space="preserve">Financial </w:t>
      </w:r>
      <w:proofErr w:type="spellStart"/>
      <w:r>
        <w:t>m</w:t>
      </w:r>
      <w:r w:rsidR="00FB78A3">
        <w:t>nagement</w:t>
      </w:r>
      <w:proofErr w:type="spellEnd"/>
      <w:r w:rsidR="00FB78A3">
        <w:t xml:space="preserve"> is concerned with the acquisition, financing, and management of</w:t>
      </w:r>
      <w:r w:rsidR="00365EAF">
        <w:t xml:space="preserve"> assets with some overall goal (Horne, 2012).  </w:t>
      </w:r>
      <w:r w:rsidR="00783CB3">
        <w:t xml:space="preserve">According to </w:t>
      </w:r>
      <w:proofErr w:type="spellStart"/>
      <w:r w:rsidR="00783CB3">
        <w:t>Keown</w:t>
      </w:r>
      <w:proofErr w:type="spellEnd"/>
      <w:r w:rsidR="00783CB3">
        <w:t xml:space="preserve"> et al (2010), financial management is concerned with the maintenance and creation of economic value or wealth. </w:t>
      </w:r>
      <w:r w:rsidR="00FC4A2F">
        <w:t xml:space="preserve">The goal </w:t>
      </w:r>
      <w:r w:rsidR="00365EAF">
        <w:t>of financial management in a for-pro</w:t>
      </w:r>
      <w:r w:rsidR="00FC4A2F">
        <w:t>fit business is to make decision</w:t>
      </w:r>
      <w:r w:rsidR="00365EAF">
        <w:t xml:space="preserve"> that </w:t>
      </w:r>
      <w:r w:rsidR="00FC4A2F">
        <w:t xml:space="preserve">will </w:t>
      </w:r>
      <w:r w:rsidR="00365EAF">
        <w:t xml:space="preserve">increase the value of stock, generally, increase the market value of equity (Ross et al, 2016). </w:t>
      </w:r>
    </w:p>
    <w:p w:rsidR="00180BF0" w:rsidRDefault="00180BF0" w:rsidP="00E871D2">
      <w:pPr>
        <w:spacing w:after="0" w:line="240" w:lineRule="auto"/>
        <w:jc w:val="both"/>
      </w:pPr>
    </w:p>
    <w:p w:rsidR="00C37A1A" w:rsidRDefault="00783CB3" w:rsidP="00E871D2">
      <w:pPr>
        <w:spacing w:after="0" w:line="240" w:lineRule="auto"/>
        <w:jc w:val="both"/>
      </w:pPr>
      <w:r>
        <w:tab/>
      </w:r>
      <w:r w:rsidR="00190DB7">
        <w:t>Accord</w:t>
      </w:r>
      <w:r w:rsidR="00636AE2">
        <w:t>ing to Brigham and Houston (2012</w:t>
      </w:r>
      <w:r w:rsidR="00190DB7">
        <w:t>) financial statement describes how are ratios are used to analyze the financial statement to identify the weaknesses that needed to maximize the s</w:t>
      </w:r>
      <w:r w:rsidR="00C37A1A">
        <w:t xml:space="preserve">tock price. Financial statement </w:t>
      </w:r>
      <w:r w:rsidR="00190DB7">
        <w:t>consist</w:t>
      </w:r>
      <w:r w:rsidR="00C37A1A">
        <w:t>s</w:t>
      </w:r>
      <w:r w:rsidR="00190DB7">
        <w:t xml:space="preserve"> of several types, namely; </w:t>
      </w:r>
      <w:r w:rsidR="00C37A1A">
        <w:t>balance sheet; income statement; statement of cash flow; statement of stockholders equity.</w:t>
      </w:r>
    </w:p>
    <w:p w:rsidR="00180BF0" w:rsidRDefault="00180BF0" w:rsidP="00E871D2">
      <w:pPr>
        <w:spacing w:after="0" w:line="240" w:lineRule="auto"/>
        <w:jc w:val="both"/>
      </w:pPr>
    </w:p>
    <w:p w:rsidR="00365EAF" w:rsidRDefault="00365EAF" w:rsidP="00C37A1A">
      <w:pPr>
        <w:spacing w:after="0" w:line="240" w:lineRule="auto"/>
        <w:ind w:firstLine="720"/>
        <w:jc w:val="both"/>
      </w:pPr>
      <w:r>
        <w:t>Stock price is the current market value the stock at a given time determined by the demand and supply of shares concerned the capital market (</w:t>
      </w:r>
      <w:proofErr w:type="spellStart"/>
      <w:r>
        <w:t>Jogiyanto</w:t>
      </w:r>
      <w:proofErr w:type="spellEnd"/>
      <w:r>
        <w:t xml:space="preserve">, 2008). </w:t>
      </w:r>
      <w:r w:rsidR="00C37A1A">
        <w:t>Stock price occur on the stock exchange at certain times. Stock price can go up or down in a fast period. Stock price can change in a minutes or even seconds (</w:t>
      </w:r>
      <w:proofErr w:type="spellStart"/>
      <w:r w:rsidR="00C37A1A">
        <w:t>Darmadji</w:t>
      </w:r>
      <w:proofErr w:type="spellEnd"/>
      <w:r w:rsidR="00C37A1A">
        <w:t xml:space="preserve"> and </w:t>
      </w:r>
      <w:proofErr w:type="spellStart"/>
      <w:r w:rsidR="00C37A1A">
        <w:t>Fakhruddin</w:t>
      </w:r>
      <w:proofErr w:type="spellEnd"/>
      <w:r w:rsidR="00C37A1A">
        <w:t xml:space="preserve">, 2012). According to </w:t>
      </w:r>
      <w:proofErr w:type="spellStart"/>
      <w:r w:rsidR="00C37A1A">
        <w:t>Tandelilin</w:t>
      </w:r>
      <w:proofErr w:type="spellEnd"/>
      <w:r w:rsidR="00C37A1A">
        <w:t xml:space="preserve"> (2010), stock price are reflection of investor expectation of earnings </w:t>
      </w:r>
      <w:r w:rsidR="00336D03">
        <w:t xml:space="preserve">factors, cash flow and level of return required </w:t>
      </w:r>
      <w:r w:rsidR="00AF2566">
        <w:t xml:space="preserve">by investors, which highly influenced by macroeconomics performance. </w:t>
      </w:r>
    </w:p>
    <w:p w:rsidR="00190DB7" w:rsidRDefault="00190DB7" w:rsidP="00E871D2">
      <w:pPr>
        <w:spacing w:after="0" w:line="240" w:lineRule="auto"/>
        <w:jc w:val="both"/>
      </w:pPr>
    </w:p>
    <w:p w:rsidR="00190DB7" w:rsidRPr="00723708" w:rsidRDefault="00190DB7" w:rsidP="00E871D2">
      <w:pPr>
        <w:spacing w:after="0" w:line="240" w:lineRule="auto"/>
        <w:jc w:val="both"/>
        <w:rPr>
          <w:b/>
        </w:rPr>
      </w:pPr>
      <w:r w:rsidRPr="00723708">
        <w:rPr>
          <w:b/>
        </w:rPr>
        <w:t xml:space="preserve">Hypothesis </w:t>
      </w:r>
    </w:p>
    <w:p w:rsidR="00190DB7" w:rsidRDefault="00190DB7" w:rsidP="00E871D2">
      <w:pPr>
        <w:spacing w:after="0" w:line="240" w:lineRule="auto"/>
        <w:jc w:val="both"/>
      </w:pPr>
      <w:r>
        <w:t>Based on the framework then researcher formulates the hypothesis as follows:</w:t>
      </w:r>
    </w:p>
    <w:p w:rsidR="00190DB7" w:rsidRDefault="00190DB7" w:rsidP="00E871D2">
      <w:pPr>
        <w:spacing w:after="0" w:line="240" w:lineRule="auto"/>
        <w:jc w:val="both"/>
      </w:pPr>
      <w:proofErr w:type="gramStart"/>
      <w:r>
        <w:t>H</w:t>
      </w:r>
      <w:r w:rsidRPr="00D500B8">
        <w:rPr>
          <w:vertAlign w:val="subscript"/>
        </w:rPr>
        <w:t>1</w:t>
      </w:r>
      <w:r>
        <w:t xml:space="preserve"> :</w:t>
      </w:r>
      <w:proofErr w:type="gramEnd"/>
      <w:r>
        <w:t xml:space="preserve"> There are </w:t>
      </w:r>
      <w:r w:rsidR="00723708">
        <w:t xml:space="preserve"> an effect of current ratio to</w:t>
      </w:r>
      <w:r w:rsidR="00D1373F">
        <w:t xml:space="preserve"> stock price</w:t>
      </w:r>
      <w:r w:rsidR="00560F03">
        <w:t>.</w:t>
      </w:r>
    </w:p>
    <w:p w:rsidR="00964C9B" w:rsidRDefault="00964C9B" w:rsidP="00E871D2">
      <w:pPr>
        <w:spacing w:after="0" w:line="240" w:lineRule="auto"/>
        <w:jc w:val="both"/>
      </w:pPr>
      <w:proofErr w:type="gramStart"/>
      <w:r>
        <w:t>H</w:t>
      </w:r>
      <w:r w:rsidRPr="00D500B8">
        <w:rPr>
          <w:vertAlign w:val="subscript"/>
        </w:rPr>
        <w:t>2</w:t>
      </w:r>
      <w:r>
        <w:t xml:space="preserve"> :</w:t>
      </w:r>
      <w:proofErr w:type="gramEnd"/>
      <w:r w:rsidR="00D1373F">
        <w:t xml:space="preserve"> There are </w:t>
      </w:r>
      <w:r w:rsidR="00723708">
        <w:t xml:space="preserve">an </w:t>
      </w:r>
      <w:r w:rsidR="00D1373F">
        <w:t>effect of debt to equity</w:t>
      </w:r>
      <w:r w:rsidR="00723708">
        <w:t xml:space="preserve"> ratio to </w:t>
      </w:r>
      <w:r w:rsidR="00D1373F">
        <w:t>stock price</w:t>
      </w:r>
      <w:r w:rsidR="00560F03">
        <w:t>.</w:t>
      </w:r>
    </w:p>
    <w:p w:rsidR="00964C9B" w:rsidRDefault="00964C9B" w:rsidP="00E871D2">
      <w:pPr>
        <w:spacing w:after="0" w:line="240" w:lineRule="auto"/>
        <w:jc w:val="both"/>
      </w:pPr>
      <w:proofErr w:type="gramStart"/>
      <w:r>
        <w:t>H</w:t>
      </w:r>
      <w:r w:rsidRPr="00D500B8">
        <w:rPr>
          <w:vertAlign w:val="subscript"/>
        </w:rPr>
        <w:t>3</w:t>
      </w:r>
      <w:r>
        <w:t xml:space="preserve"> :</w:t>
      </w:r>
      <w:proofErr w:type="gramEnd"/>
      <w:r w:rsidR="00D1373F">
        <w:t xml:space="preserve"> There are </w:t>
      </w:r>
      <w:r w:rsidR="00723708">
        <w:t xml:space="preserve">an </w:t>
      </w:r>
      <w:r w:rsidR="00D1373F">
        <w:t>effect of return on asset</w:t>
      </w:r>
      <w:r w:rsidR="00723708">
        <w:t xml:space="preserve"> to</w:t>
      </w:r>
      <w:r w:rsidR="00D1373F">
        <w:t xml:space="preserve"> stock price</w:t>
      </w:r>
      <w:r w:rsidR="00560F03">
        <w:t>.</w:t>
      </w:r>
    </w:p>
    <w:p w:rsidR="00560F03" w:rsidRDefault="00964C9B" w:rsidP="00D1373F">
      <w:pPr>
        <w:spacing w:after="0" w:line="240" w:lineRule="auto"/>
        <w:jc w:val="both"/>
      </w:pPr>
      <w:proofErr w:type="gramStart"/>
      <w:r>
        <w:t>H</w:t>
      </w:r>
      <w:r w:rsidRPr="00D500B8">
        <w:rPr>
          <w:vertAlign w:val="subscript"/>
        </w:rPr>
        <w:t>4</w:t>
      </w:r>
      <w:r>
        <w:t xml:space="preserve"> :</w:t>
      </w:r>
      <w:proofErr w:type="gramEnd"/>
      <w:r w:rsidR="00D1373F">
        <w:t xml:space="preserve"> There are </w:t>
      </w:r>
      <w:r w:rsidR="00723708">
        <w:t xml:space="preserve">an </w:t>
      </w:r>
      <w:r w:rsidR="00D1373F">
        <w:t>effect of earning per share</w:t>
      </w:r>
      <w:r w:rsidR="00723708">
        <w:t xml:space="preserve"> to</w:t>
      </w:r>
      <w:r w:rsidR="00D1373F">
        <w:t xml:space="preserve"> stock price</w:t>
      </w:r>
      <w:r w:rsidR="00560F03">
        <w:t>.</w:t>
      </w:r>
    </w:p>
    <w:p w:rsidR="00560F03" w:rsidRDefault="00560F03" w:rsidP="00D1373F">
      <w:pPr>
        <w:spacing w:after="0" w:line="240" w:lineRule="auto"/>
        <w:jc w:val="both"/>
        <w:rPr>
          <w:b/>
        </w:rPr>
      </w:pPr>
      <w:r w:rsidRPr="00560F03">
        <w:rPr>
          <w:b/>
        </w:rPr>
        <w:t xml:space="preserve">Research Method </w:t>
      </w:r>
    </w:p>
    <w:p w:rsidR="00180BF0" w:rsidRPr="00CA1B4B" w:rsidRDefault="00560F03" w:rsidP="00CA1B4B">
      <w:pPr>
        <w:pStyle w:val="ListParagraph"/>
        <w:numPr>
          <w:ilvl w:val="0"/>
          <w:numId w:val="2"/>
        </w:numPr>
        <w:spacing w:after="0" w:line="240" w:lineRule="auto"/>
        <w:jc w:val="both"/>
        <w:rPr>
          <w:b/>
        </w:rPr>
      </w:pPr>
      <w:r>
        <w:rPr>
          <w:b/>
        </w:rPr>
        <w:lastRenderedPageBreak/>
        <w:t xml:space="preserve">Data Collection Technique </w:t>
      </w:r>
    </w:p>
    <w:p w:rsidR="00D56F0F" w:rsidRDefault="00ED7BBF" w:rsidP="00D56F0F">
      <w:pPr>
        <w:spacing w:after="0" w:line="240" w:lineRule="auto"/>
        <w:ind w:left="720" w:firstLine="720"/>
        <w:jc w:val="both"/>
      </w:pPr>
      <w:r w:rsidRPr="00ED7BBF">
        <w:t xml:space="preserve">In this </w:t>
      </w:r>
      <w:r>
        <w:t xml:space="preserve">research, type of data used is secondary data. Secondary data is data that has been processed, obtained based on annual report that audited and published. </w:t>
      </w:r>
      <w:proofErr w:type="gramStart"/>
      <w:r w:rsidR="00784252">
        <w:t>Data of this annual report obtained by researcher from the official website of Indonesia Stock Exchange (IDX).</w:t>
      </w:r>
      <w:proofErr w:type="gramEnd"/>
    </w:p>
    <w:p w:rsidR="00824FD0" w:rsidRPr="00014947" w:rsidRDefault="00784252" w:rsidP="00D56F0F">
      <w:pPr>
        <w:spacing w:after="0" w:line="240" w:lineRule="auto"/>
        <w:ind w:left="720" w:firstLine="720"/>
        <w:jc w:val="both"/>
      </w:pPr>
      <w:r>
        <w:t xml:space="preserve"> </w:t>
      </w:r>
    </w:p>
    <w:p w:rsidR="00180BF0" w:rsidRPr="00CA1B4B" w:rsidRDefault="00824FD0" w:rsidP="00CA1B4B">
      <w:pPr>
        <w:pStyle w:val="ListParagraph"/>
        <w:numPr>
          <w:ilvl w:val="0"/>
          <w:numId w:val="2"/>
        </w:numPr>
        <w:spacing w:after="0" w:line="240" w:lineRule="auto"/>
        <w:jc w:val="both"/>
        <w:rPr>
          <w:b/>
        </w:rPr>
      </w:pPr>
      <w:r w:rsidRPr="00824FD0">
        <w:rPr>
          <w:b/>
        </w:rPr>
        <w:t xml:space="preserve">Data Analysis Method </w:t>
      </w:r>
    </w:p>
    <w:p w:rsidR="007274F4" w:rsidRDefault="00824FD0" w:rsidP="002F45F9">
      <w:pPr>
        <w:pStyle w:val="ListParagraph"/>
        <w:spacing w:after="0" w:line="240" w:lineRule="auto"/>
        <w:ind w:firstLine="720"/>
        <w:jc w:val="both"/>
      </w:pPr>
      <w:r>
        <w:t xml:space="preserve">The analytical method used in this research is panel data regression analysis with assist of software </w:t>
      </w:r>
      <w:proofErr w:type="spellStart"/>
      <w:r w:rsidR="00180BF0">
        <w:rPr>
          <w:i/>
        </w:rPr>
        <w:t>Eviews</w:t>
      </w:r>
      <w:proofErr w:type="spellEnd"/>
      <w:r w:rsidR="00180BF0">
        <w:rPr>
          <w:i/>
        </w:rPr>
        <w:t xml:space="preserve"> 9</w:t>
      </w:r>
      <w:r>
        <w:t xml:space="preserve">. </w:t>
      </w:r>
      <w:proofErr w:type="spellStart"/>
      <w:r w:rsidR="00954269" w:rsidRPr="00824FD0">
        <w:rPr>
          <w:i/>
        </w:rPr>
        <w:t>Eviews</w:t>
      </w:r>
      <w:proofErr w:type="spellEnd"/>
      <w:r w:rsidR="00954269">
        <w:rPr>
          <w:i/>
        </w:rPr>
        <w:t xml:space="preserve"> </w:t>
      </w:r>
      <w:r w:rsidR="00954269">
        <w:t>is a computer program used to process statistical data and econometric data. According to Gujarati and Porter (2012) panel data is a special form of pooled data (accumulating time series observations with individuals), combinations of time and individual time data.</w:t>
      </w:r>
    </w:p>
    <w:p w:rsidR="007274F4" w:rsidRDefault="007274F4" w:rsidP="00D56F0F">
      <w:pPr>
        <w:spacing w:after="0" w:line="240" w:lineRule="auto"/>
        <w:jc w:val="both"/>
      </w:pPr>
    </w:p>
    <w:p w:rsidR="00180BF0" w:rsidRDefault="003741C5" w:rsidP="003741C5">
      <w:pPr>
        <w:spacing w:after="0" w:line="240" w:lineRule="auto"/>
        <w:jc w:val="both"/>
        <w:rPr>
          <w:b/>
        </w:rPr>
      </w:pPr>
      <w:r w:rsidRPr="0007739C">
        <w:rPr>
          <w:b/>
        </w:rPr>
        <w:t xml:space="preserve">Result </w:t>
      </w:r>
      <w:r w:rsidR="0007739C" w:rsidRPr="0007739C">
        <w:rPr>
          <w:b/>
        </w:rPr>
        <w:t xml:space="preserve">and Discussion </w:t>
      </w:r>
    </w:p>
    <w:p w:rsidR="002511A7" w:rsidRDefault="000C6C29" w:rsidP="00A84550">
      <w:pPr>
        <w:pStyle w:val="ListParagraph"/>
        <w:numPr>
          <w:ilvl w:val="0"/>
          <w:numId w:val="4"/>
        </w:numPr>
        <w:spacing w:after="0" w:line="240" w:lineRule="auto"/>
        <w:jc w:val="both"/>
        <w:rPr>
          <w:b/>
        </w:rPr>
      </w:pPr>
      <w:r>
        <w:rPr>
          <w:b/>
        </w:rPr>
        <w:t>Stati</w:t>
      </w:r>
      <w:r w:rsidR="00A84550">
        <w:rPr>
          <w:b/>
        </w:rPr>
        <w:t>onary Test</w:t>
      </w:r>
    </w:p>
    <w:p w:rsidR="00A84550" w:rsidRDefault="00A84550" w:rsidP="0085209E">
      <w:pPr>
        <w:pStyle w:val="ListParagraph"/>
        <w:spacing w:after="0" w:line="240" w:lineRule="auto"/>
        <w:rPr>
          <w:b/>
        </w:rPr>
      </w:pPr>
      <w:r>
        <w:rPr>
          <w:b/>
        </w:rPr>
        <w:t xml:space="preserve">Table </w:t>
      </w:r>
      <w:r w:rsidR="0085209E">
        <w:rPr>
          <w:b/>
        </w:rPr>
        <w:t>4.2</w:t>
      </w:r>
    </w:p>
    <w:p w:rsidR="00206142" w:rsidRDefault="0085209E" w:rsidP="0085209E">
      <w:pPr>
        <w:pStyle w:val="ListParagraph"/>
        <w:spacing w:after="0" w:line="240" w:lineRule="auto"/>
        <w:rPr>
          <w:b/>
        </w:rPr>
      </w:pPr>
      <w:r>
        <w:rPr>
          <w:b/>
        </w:rPr>
        <w:t>Stationary Test</w:t>
      </w:r>
      <w:r w:rsidR="002F462D">
        <w:rPr>
          <w:b/>
        </w:rPr>
        <w:t xml:space="preserve"> Result </w:t>
      </w:r>
    </w:p>
    <w:tbl>
      <w:tblPr>
        <w:tblStyle w:val="TableGrid"/>
        <w:tblW w:w="6863" w:type="dxa"/>
        <w:tblInd w:w="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975"/>
        <w:gridCol w:w="1209"/>
        <w:gridCol w:w="933"/>
        <w:gridCol w:w="768"/>
        <w:gridCol w:w="949"/>
        <w:gridCol w:w="1192"/>
      </w:tblGrid>
      <w:tr w:rsidR="00206142" w:rsidRPr="00D669D0" w:rsidTr="00014947">
        <w:trPr>
          <w:trHeight w:val="281"/>
        </w:trPr>
        <w:tc>
          <w:tcPr>
            <w:tcW w:w="837" w:type="dxa"/>
            <w:tcBorders>
              <w:top w:val="single" w:sz="4" w:space="0" w:color="auto"/>
              <w:bottom w:val="single" w:sz="4" w:space="0" w:color="auto"/>
            </w:tcBorders>
            <w:vAlign w:val="center"/>
          </w:tcPr>
          <w:p w:rsidR="00206142" w:rsidRPr="00D669D0" w:rsidRDefault="00206142" w:rsidP="00654D0F">
            <w:pPr>
              <w:pStyle w:val="NoSpacing"/>
              <w:rPr>
                <w:sz w:val="18"/>
              </w:rPr>
            </w:pPr>
            <w:r w:rsidRPr="00D669D0">
              <w:rPr>
                <w:sz w:val="18"/>
              </w:rPr>
              <w:t>No</w:t>
            </w:r>
          </w:p>
        </w:tc>
        <w:tc>
          <w:tcPr>
            <w:tcW w:w="975" w:type="dxa"/>
            <w:tcBorders>
              <w:top w:val="single" w:sz="4" w:space="0" w:color="auto"/>
              <w:bottom w:val="single" w:sz="4" w:space="0" w:color="auto"/>
            </w:tcBorders>
            <w:vAlign w:val="center"/>
          </w:tcPr>
          <w:p w:rsidR="00206142" w:rsidRPr="00D669D0" w:rsidRDefault="00206142" w:rsidP="00654D0F">
            <w:pPr>
              <w:pStyle w:val="NoSpacing"/>
              <w:rPr>
                <w:sz w:val="18"/>
              </w:rPr>
            </w:pPr>
            <w:r>
              <w:rPr>
                <w:sz w:val="18"/>
              </w:rPr>
              <w:t>Variable</w:t>
            </w:r>
          </w:p>
        </w:tc>
        <w:tc>
          <w:tcPr>
            <w:tcW w:w="1209" w:type="dxa"/>
            <w:tcBorders>
              <w:top w:val="single" w:sz="4" w:space="0" w:color="auto"/>
              <w:bottom w:val="single" w:sz="4" w:space="0" w:color="auto"/>
            </w:tcBorders>
            <w:vAlign w:val="center"/>
          </w:tcPr>
          <w:p w:rsidR="00206142" w:rsidRPr="00D669D0" w:rsidRDefault="00206142" w:rsidP="00654D0F">
            <w:pPr>
              <w:pStyle w:val="NoSpacing"/>
              <w:rPr>
                <w:sz w:val="18"/>
              </w:rPr>
            </w:pPr>
            <w:r w:rsidRPr="00D669D0">
              <w:rPr>
                <w:sz w:val="18"/>
              </w:rPr>
              <w:t>Unit Root Test in</w:t>
            </w:r>
          </w:p>
        </w:tc>
        <w:tc>
          <w:tcPr>
            <w:tcW w:w="933" w:type="dxa"/>
            <w:tcBorders>
              <w:top w:val="single" w:sz="4" w:space="0" w:color="auto"/>
              <w:bottom w:val="single" w:sz="4" w:space="0" w:color="auto"/>
            </w:tcBorders>
            <w:vAlign w:val="center"/>
          </w:tcPr>
          <w:p w:rsidR="00206142" w:rsidRPr="00D669D0" w:rsidRDefault="00206142" w:rsidP="00654D0F">
            <w:pPr>
              <w:pStyle w:val="NoSpacing"/>
              <w:rPr>
                <w:sz w:val="18"/>
              </w:rPr>
            </w:pPr>
            <w:r w:rsidRPr="00D669D0">
              <w:rPr>
                <w:sz w:val="18"/>
              </w:rPr>
              <w:t>ADF Test Statistic</w:t>
            </w:r>
          </w:p>
        </w:tc>
        <w:tc>
          <w:tcPr>
            <w:tcW w:w="768" w:type="dxa"/>
            <w:tcBorders>
              <w:top w:val="single" w:sz="4" w:space="0" w:color="auto"/>
              <w:bottom w:val="single" w:sz="4" w:space="0" w:color="auto"/>
            </w:tcBorders>
            <w:vAlign w:val="center"/>
          </w:tcPr>
          <w:p w:rsidR="00206142" w:rsidRPr="00D669D0" w:rsidRDefault="00206142" w:rsidP="00654D0F">
            <w:pPr>
              <w:pStyle w:val="NoSpacing"/>
              <w:rPr>
                <w:sz w:val="18"/>
              </w:rPr>
            </w:pPr>
            <w:r w:rsidRPr="00D669D0">
              <w:rPr>
                <w:sz w:val="18"/>
              </w:rPr>
              <w:t>Prob.</w:t>
            </w:r>
          </w:p>
        </w:tc>
        <w:tc>
          <w:tcPr>
            <w:tcW w:w="949" w:type="dxa"/>
            <w:tcBorders>
              <w:top w:val="single" w:sz="4" w:space="0" w:color="auto"/>
              <w:bottom w:val="single" w:sz="4" w:space="0" w:color="auto"/>
            </w:tcBorders>
            <w:vAlign w:val="center"/>
          </w:tcPr>
          <w:p w:rsidR="00206142" w:rsidRPr="00D669D0" w:rsidRDefault="00206142" w:rsidP="00654D0F">
            <w:pPr>
              <w:pStyle w:val="NoSpacing"/>
              <w:rPr>
                <w:sz w:val="18"/>
              </w:rPr>
            </w:pPr>
            <w:r w:rsidRPr="00D669D0">
              <w:rPr>
                <w:sz w:val="18"/>
              </w:rPr>
              <w:t>Critical Value 5%</w:t>
            </w:r>
          </w:p>
        </w:tc>
        <w:tc>
          <w:tcPr>
            <w:tcW w:w="1192" w:type="dxa"/>
            <w:tcBorders>
              <w:top w:val="single" w:sz="4" w:space="0" w:color="auto"/>
              <w:bottom w:val="single" w:sz="4" w:space="0" w:color="auto"/>
            </w:tcBorders>
            <w:vAlign w:val="center"/>
          </w:tcPr>
          <w:p w:rsidR="00206142" w:rsidRPr="00D669D0" w:rsidRDefault="00206142" w:rsidP="00654D0F">
            <w:pPr>
              <w:pStyle w:val="NoSpacing"/>
              <w:rPr>
                <w:sz w:val="18"/>
              </w:rPr>
            </w:pPr>
            <w:r w:rsidRPr="00D669D0">
              <w:rPr>
                <w:sz w:val="18"/>
              </w:rPr>
              <w:t>Information</w:t>
            </w:r>
          </w:p>
        </w:tc>
      </w:tr>
      <w:tr w:rsidR="00206142" w:rsidRPr="00D669D0" w:rsidTr="00014947">
        <w:trPr>
          <w:trHeight w:val="281"/>
        </w:trPr>
        <w:tc>
          <w:tcPr>
            <w:tcW w:w="837" w:type="dxa"/>
            <w:tcBorders>
              <w:top w:val="single" w:sz="4" w:space="0" w:color="auto"/>
            </w:tcBorders>
            <w:vAlign w:val="center"/>
          </w:tcPr>
          <w:p w:rsidR="00206142" w:rsidRPr="00D669D0" w:rsidRDefault="00206142" w:rsidP="00654D0F">
            <w:pPr>
              <w:pStyle w:val="NoSpacing"/>
              <w:rPr>
                <w:sz w:val="18"/>
              </w:rPr>
            </w:pPr>
            <w:r w:rsidRPr="00D669D0">
              <w:rPr>
                <w:sz w:val="18"/>
              </w:rPr>
              <w:t>1</w:t>
            </w:r>
          </w:p>
        </w:tc>
        <w:tc>
          <w:tcPr>
            <w:tcW w:w="975" w:type="dxa"/>
            <w:tcBorders>
              <w:top w:val="single" w:sz="4" w:space="0" w:color="auto"/>
            </w:tcBorders>
            <w:vAlign w:val="center"/>
          </w:tcPr>
          <w:p w:rsidR="00206142" w:rsidRPr="00D669D0" w:rsidRDefault="00206142" w:rsidP="00654D0F">
            <w:pPr>
              <w:pStyle w:val="NoSpacing"/>
              <w:rPr>
                <w:sz w:val="18"/>
              </w:rPr>
            </w:pPr>
            <w:r w:rsidRPr="00D669D0">
              <w:rPr>
                <w:sz w:val="18"/>
              </w:rPr>
              <w:t>SP</w:t>
            </w:r>
          </w:p>
        </w:tc>
        <w:tc>
          <w:tcPr>
            <w:tcW w:w="1209" w:type="dxa"/>
            <w:tcBorders>
              <w:top w:val="single" w:sz="4" w:space="0" w:color="auto"/>
            </w:tcBorders>
            <w:vAlign w:val="center"/>
          </w:tcPr>
          <w:p w:rsidR="00206142" w:rsidRPr="00D669D0" w:rsidRDefault="00206142" w:rsidP="00654D0F">
            <w:pPr>
              <w:pStyle w:val="NoSpacing"/>
              <w:rPr>
                <w:sz w:val="18"/>
              </w:rPr>
            </w:pPr>
            <w:r w:rsidRPr="00D669D0">
              <w:rPr>
                <w:sz w:val="18"/>
              </w:rPr>
              <w:t>1st difference</w:t>
            </w:r>
          </w:p>
        </w:tc>
        <w:tc>
          <w:tcPr>
            <w:tcW w:w="933" w:type="dxa"/>
            <w:tcBorders>
              <w:top w:val="single" w:sz="4" w:space="0" w:color="auto"/>
            </w:tcBorders>
            <w:vAlign w:val="center"/>
          </w:tcPr>
          <w:p w:rsidR="00206142" w:rsidRPr="00D669D0" w:rsidRDefault="00206142" w:rsidP="00654D0F">
            <w:pPr>
              <w:pStyle w:val="NoSpacing"/>
              <w:rPr>
                <w:sz w:val="18"/>
              </w:rPr>
            </w:pPr>
            <w:r w:rsidRPr="00D669D0">
              <w:rPr>
                <w:sz w:val="18"/>
              </w:rPr>
              <w:t>-5.638883</w:t>
            </w:r>
          </w:p>
        </w:tc>
        <w:tc>
          <w:tcPr>
            <w:tcW w:w="768" w:type="dxa"/>
            <w:tcBorders>
              <w:top w:val="single" w:sz="4" w:space="0" w:color="auto"/>
            </w:tcBorders>
            <w:vAlign w:val="center"/>
          </w:tcPr>
          <w:p w:rsidR="00206142" w:rsidRPr="00D669D0" w:rsidRDefault="00206142" w:rsidP="00654D0F">
            <w:pPr>
              <w:pStyle w:val="NoSpacing"/>
              <w:rPr>
                <w:sz w:val="18"/>
              </w:rPr>
            </w:pPr>
            <w:r w:rsidRPr="00D669D0">
              <w:rPr>
                <w:sz w:val="18"/>
              </w:rPr>
              <w:t>0.0001</w:t>
            </w:r>
          </w:p>
        </w:tc>
        <w:tc>
          <w:tcPr>
            <w:tcW w:w="949" w:type="dxa"/>
            <w:tcBorders>
              <w:top w:val="single" w:sz="4" w:space="0" w:color="auto"/>
            </w:tcBorders>
            <w:vAlign w:val="center"/>
          </w:tcPr>
          <w:p w:rsidR="00206142" w:rsidRPr="00D669D0" w:rsidRDefault="00206142" w:rsidP="00654D0F">
            <w:pPr>
              <w:pStyle w:val="NoSpacing"/>
              <w:rPr>
                <w:sz w:val="18"/>
              </w:rPr>
            </w:pPr>
            <w:r w:rsidRPr="00D669D0">
              <w:rPr>
                <w:sz w:val="18"/>
              </w:rPr>
              <w:t>-2.971853</w:t>
            </w:r>
          </w:p>
        </w:tc>
        <w:tc>
          <w:tcPr>
            <w:tcW w:w="1192" w:type="dxa"/>
            <w:tcBorders>
              <w:top w:val="single" w:sz="4" w:space="0" w:color="auto"/>
            </w:tcBorders>
            <w:vAlign w:val="center"/>
          </w:tcPr>
          <w:p w:rsidR="00206142" w:rsidRPr="00D669D0" w:rsidRDefault="00206142" w:rsidP="00654D0F">
            <w:pPr>
              <w:pStyle w:val="NoSpacing"/>
              <w:rPr>
                <w:sz w:val="18"/>
              </w:rPr>
            </w:pPr>
            <w:r w:rsidRPr="00D669D0">
              <w:rPr>
                <w:sz w:val="18"/>
              </w:rPr>
              <w:t>Stationary</w:t>
            </w:r>
          </w:p>
        </w:tc>
      </w:tr>
      <w:tr w:rsidR="00206142" w:rsidRPr="00D669D0" w:rsidTr="00014947">
        <w:trPr>
          <w:trHeight w:val="281"/>
        </w:trPr>
        <w:tc>
          <w:tcPr>
            <w:tcW w:w="837" w:type="dxa"/>
            <w:vAlign w:val="center"/>
          </w:tcPr>
          <w:p w:rsidR="00206142" w:rsidRPr="00D669D0" w:rsidRDefault="00206142" w:rsidP="00654D0F">
            <w:pPr>
              <w:pStyle w:val="NoSpacing"/>
              <w:rPr>
                <w:sz w:val="18"/>
              </w:rPr>
            </w:pPr>
            <w:r w:rsidRPr="00D669D0">
              <w:rPr>
                <w:sz w:val="18"/>
              </w:rPr>
              <w:t>2</w:t>
            </w:r>
          </w:p>
        </w:tc>
        <w:tc>
          <w:tcPr>
            <w:tcW w:w="975" w:type="dxa"/>
            <w:vAlign w:val="center"/>
          </w:tcPr>
          <w:p w:rsidR="00206142" w:rsidRPr="00D669D0" w:rsidRDefault="00206142" w:rsidP="00654D0F">
            <w:pPr>
              <w:pStyle w:val="NoSpacing"/>
              <w:rPr>
                <w:sz w:val="18"/>
              </w:rPr>
            </w:pPr>
            <w:r w:rsidRPr="00D669D0">
              <w:rPr>
                <w:sz w:val="18"/>
              </w:rPr>
              <w:t>CR</w:t>
            </w:r>
          </w:p>
        </w:tc>
        <w:tc>
          <w:tcPr>
            <w:tcW w:w="1209" w:type="dxa"/>
            <w:vAlign w:val="center"/>
          </w:tcPr>
          <w:p w:rsidR="00206142" w:rsidRPr="00D669D0" w:rsidRDefault="00206142" w:rsidP="00654D0F">
            <w:pPr>
              <w:pStyle w:val="NoSpacing"/>
              <w:rPr>
                <w:sz w:val="18"/>
              </w:rPr>
            </w:pPr>
            <w:r w:rsidRPr="00D669D0">
              <w:rPr>
                <w:sz w:val="18"/>
              </w:rPr>
              <w:t>1st difference</w:t>
            </w:r>
          </w:p>
        </w:tc>
        <w:tc>
          <w:tcPr>
            <w:tcW w:w="933" w:type="dxa"/>
            <w:vAlign w:val="center"/>
          </w:tcPr>
          <w:p w:rsidR="00206142" w:rsidRPr="00D669D0" w:rsidRDefault="00206142" w:rsidP="00654D0F">
            <w:pPr>
              <w:pStyle w:val="NoSpacing"/>
              <w:rPr>
                <w:sz w:val="18"/>
              </w:rPr>
            </w:pPr>
            <w:r w:rsidRPr="00D669D0">
              <w:rPr>
                <w:sz w:val="18"/>
              </w:rPr>
              <w:t>-6.983088</w:t>
            </w:r>
          </w:p>
        </w:tc>
        <w:tc>
          <w:tcPr>
            <w:tcW w:w="768" w:type="dxa"/>
            <w:vAlign w:val="center"/>
          </w:tcPr>
          <w:p w:rsidR="00206142" w:rsidRPr="00D669D0" w:rsidRDefault="00206142" w:rsidP="00654D0F">
            <w:pPr>
              <w:pStyle w:val="NoSpacing"/>
              <w:rPr>
                <w:sz w:val="18"/>
              </w:rPr>
            </w:pPr>
            <w:r w:rsidRPr="00D669D0">
              <w:rPr>
                <w:sz w:val="18"/>
              </w:rPr>
              <w:t>0.0000</w:t>
            </w:r>
          </w:p>
        </w:tc>
        <w:tc>
          <w:tcPr>
            <w:tcW w:w="949" w:type="dxa"/>
            <w:vAlign w:val="center"/>
          </w:tcPr>
          <w:p w:rsidR="00206142" w:rsidRPr="00D669D0" w:rsidRDefault="00206142" w:rsidP="00654D0F">
            <w:pPr>
              <w:pStyle w:val="NoSpacing"/>
              <w:rPr>
                <w:sz w:val="18"/>
              </w:rPr>
            </w:pPr>
            <w:r w:rsidRPr="00D669D0">
              <w:rPr>
                <w:sz w:val="18"/>
              </w:rPr>
              <w:t>-2.971853</w:t>
            </w:r>
          </w:p>
        </w:tc>
        <w:tc>
          <w:tcPr>
            <w:tcW w:w="1192" w:type="dxa"/>
            <w:vAlign w:val="center"/>
          </w:tcPr>
          <w:p w:rsidR="00206142" w:rsidRPr="00D669D0" w:rsidRDefault="00206142" w:rsidP="00654D0F">
            <w:pPr>
              <w:pStyle w:val="NoSpacing"/>
              <w:rPr>
                <w:sz w:val="18"/>
              </w:rPr>
            </w:pPr>
            <w:r w:rsidRPr="00D669D0">
              <w:rPr>
                <w:sz w:val="18"/>
              </w:rPr>
              <w:t>Stationary</w:t>
            </w:r>
          </w:p>
        </w:tc>
      </w:tr>
      <w:tr w:rsidR="00206142" w:rsidRPr="00D669D0" w:rsidTr="00014947">
        <w:trPr>
          <w:trHeight w:val="281"/>
        </w:trPr>
        <w:tc>
          <w:tcPr>
            <w:tcW w:w="837" w:type="dxa"/>
            <w:vAlign w:val="center"/>
          </w:tcPr>
          <w:p w:rsidR="00206142" w:rsidRPr="00D669D0" w:rsidRDefault="00206142" w:rsidP="00654D0F">
            <w:pPr>
              <w:pStyle w:val="NoSpacing"/>
              <w:rPr>
                <w:sz w:val="18"/>
              </w:rPr>
            </w:pPr>
            <w:r w:rsidRPr="00D669D0">
              <w:rPr>
                <w:sz w:val="18"/>
              </w:rPr>
              <w:t>3</w:t>
            </w:r>
          </w:p>
        </w:tc>
        <w:tc>
          <w:tcPr>
            <w:tcW w:w="975" w:type="dxa"/>
            <w:vAlign w:val="center"/>
          </w:tcPr>
          <w:p w:rsidR="00206142" w:rsidRPr="00D669D0" w:rsidRDefault="00206142" w:rsidP="00654D0F">
            <w:pPr>
              <w:pStyle w:val="NoSpacing"/>
              <w:rPr>
                <w:sz w:val="18"/>
              </w:rPr>
            </w:pPr>
            <w:r w:rsidRPr="00D669D0">
              <w:rPr>
                <w:sz w:val="18"/>
              </w:rPr>
              <w:t>DER</w:t>
            </w:r>
          </w:p>
        </w:tc>
        <w:tc>
          <w:tcPr>
            <w:tcW w:w="1209" w:type="dxa"/>
            <w:vAlign w:val="center"/>
          </w:tcPr>
          <w:p w:rsidR="00206142" w:rsidRPr="00D669D0" w:rsidRDefault="00206142" w:rsidP="00654D0F">
            <w:pPr>
              <w:pStyle w:val="NoSpacing"/>
              <w:rPr>
                <w:sz w:val="18"/>
              </w:rPr>
            </w:pPr>
            <w:r w:rsidRPr="00D669D0">
              <w:rPr>
                <w:sz w:val="18"/>
              </w:rPr>
              <w:t>1st difference</w:t>
            </w:r>
          </w:p>
        </w:tc>
        <w:tc>
          <w:tcPr>
            <w:tcW w:w="933" w:type="dxa"/>
            <w:vAlign w:val="center"/>
          </w:tcPr>
          <w:p w:rsidR="00206142" w:rsidRPr="00D669D0" w:rsidRDefault="00206142" w:rsidP="00654D0F">
            <w:pPr>
              <w:pStyle w:val="NoSpacing"/>
              <w:rPr>
                <w:sz w:val="18"/>
              </w:rPr>
            </w:pPr>
            <w:r w:rsidRPr="00D669D0">
              <w:rPr>
                <w:sz w:val="18"/>
              </w:rPr>
              <w:t>-9.765319</w:t>
            </w:r>
          </w:p>
        </w:tc>
        <w:tc>
          <w:tcPr>
            <w:tcW w:w="768" w:type="dxa"/>
            <w:vAlign w:val="center"/>
          </w:tcPr>
          <w:p w:rsidR="00206142" w:rsidRPr="00D669D0" w:rsidRDefault="00206142" w:rsidP="00654D0F">
            <w:pPr>
              <w:pStyle w:val="NoSpacing"/>
              <w:rPr>
                <w:sz w:val="18"/>
              </w:rPr>
            </w:pPr>
            <w:r w:rsidRPr="00D669D0">
              <w:rPr>
                <w:sz w:val="18"/>
              </w:rPr>
              <w:t>0.0000</w:t>
            </w:r>
          </w:p>
        </w:tc>
        <w:tc>
          <w:tcPr>
            <w:tcW w:w="949" w:type="dxa"/>
            <w:vAlign w:val="center"/>
          </w:tcPr>
          <w:p w:rsidR="00206142" w:rsidRPr="00D669D0" w:rsidRDefault="00206142" w:rsidP="00654D0F">
            <w:pPr>
              <w:pStyle w:val="NoSpacing"/>
              <w:rPr>
                <w:sz w:val="18"/>
              </w:rPr>
            </w:pPr>
            <w:r w:rsidRPr="00D669D0">
              <w:rPr>
                <w:sz w:val="18"/>
              </w:rPr>
              <w:t>-2.971853</w:t>
            </w:r>
          </w:p>
        </w:tc>
        <w:tc>
          <w:tcPr>
            <w:tcW w:w="1192" w:type="dxa"/>
            <w:vAlign w:val="center"/>
          </w:tcPr>
          <w:p w:rsidR="00206142" w:rsidRPr="00D669D0" w:rsidRDefault="00206142" w:rsidP="00654D0F">
            <w:pPr>
              <w:pStyle w:val="NoSpacing"/>
              <w:rPr>
                <w:sz w:val="18"/>
              </w:rPr>
            </w:pPr>
            <w:r w:rsidRPr="00D669D0">
              <w:rPr>
                <w:sz w:val="18"/>
              </w:rPr>
              <w:t>Stationary</w:t>
            </w:r>
          </w:p>
        </w:tc>
      </w:tr>
      <w:tr w:rsidR="00206142" w:rsidRPr="00D669D0" w:rsidTr="00014947">
        <w:trPr>
          <w:trHeight w:val="274"/>
        </w:trPr>
        <w:tc>
          <w:tcPr>
            <w:tcW w:w="837" w:type="dxa"/>
            <w:vAlign w:val="center"/>
          </w:tcPr>
          <w:p w:rsidR="00206142" w:rsidRPr="00D669D0" w:rsidRDefault="00206142" w:rsidP="00654D0F">
            <w:pPr>
              <w:pStyle w:val="NoSpacing"/>
              <w:rPr>
                <w:sz w:val="18"/>
              </w:rPr>
            </w:pPr>
            <w:r w:rsidRPr="00D669D0">
              <w:rPr>
                <w:sz w:val="18"/>
              </w:rPr>
              <w:t>4</w:t>
            </w:r>
          </w:p>
        </w:tc>
        <w:tc>
          <w:tcPr>
            <w:tcW w:w="975" w:type="dxa"/>
            <w:vAlign w:val="center"/>
          </w:tcPr>
          <w:p w:rsidR="00206142" w:rsidRPr="00D669D0" w:rsidRDefault="00206142" w:rsidP="00654D0F">
            <w:pPr>
              <w:pStyle w:val="NoSpacing"/>
              <w:rPr>
                <w:sz w:val="18"/>
              </w:rPr>
            </w:pPr>
            <w:r w:rsidRPr="00D669D0">
              <w:rPr>
                <w:sz w:val="18"/>
              </w:rPr>
              <w:t>ROA</w:t>
            </w:r>
          </w:p>
        </w:tc>
        <w:tc>
          <w:tcPr>
            <w:tcW w:w="1209" w:type="dxa"/>
            <w:vAlign w:val="center"/>
          </w:tcPr>
          <w:p w:rsidR="00206142" w:rsidRPr="00D669D0" w:rsidRDefault="00206142" w:rsidP="00654D0F">
            <w:pPr>
              <w:pStyle w:val="NoSpacing"/>
              <w:rPr>
                <w:sz w:val="18"/>
              </w:rPr>
            </w:pPr>
            <w:r w:rsidRPr="00D669D0">
              <w:rPr>
                <w:sz w:val="18"/>
              </w:rPr>
              <w:t>1st difference</w:t>
            </w:r>
          </w:p>
        </w:tc>
        <w:tc>
          <w:tcPr>
            <w:tcW w:w="933" w:type="dxa"/>
            <w:vAlign w:val="center"/>
          </w:tcPr>
          <w:p w:rsidR="00206142" w:rsidRPr="00D669D0" w:rsidRDefault="00206142" w:rsidP="00654D0F">
            <w:pPr>
              <w:pStyle w:val="NoSpacing"/>
              <w:rPr>
                <w:sz w:val="18"/>
              </w:rPr>
            </w:pPr>
            <w:r w:rsidRPr="00D669D0">
              <w:rPr>
                <w:sz w:val="18"/>
              </w:rPr>
              <w:t>-8.534361</w:t>
            </w:r>
          </w:p>
        </w:tc>
        <w:tc>
          <w:tcPr>
            <w:tcW w:w="768" w:type="dxa"/>
            <w:vAlign w:val="center"/>
          </w:tcPr>
          <w:p w:rsidR="00206142" w:rsidRPr="00D669D0" w:rsidRDefault="00206142" w:rsidP="00654D0F">
            <w:pPr>
              <w:pStyle w:val="NoSpacing"/>
              <w:rPr>
                <w:sz w:val="18"/>
              </w:rPr>
            </w:pPr>
            <w:r w:rsidRPr="00D669D0">
              <w:rPr>
                <w:sz w:val="18"/>
              </w:rPr>
              <w:t>0.0000</w:t>
            </w:r>
          </w:p>
        </w:tc>
        <w:tc>
          <w:tcPr>
            <w:tcW w:w="949" w:type="dxa"/>
            <w:vAlign w:val="center"/>
          </w:tcPr>
          <w:p w:rsidR="00206142" w:rsidRPr="00D669D0" w:rsidRDefault="00206142" w:rsidP="00654D0F">
            <w:pPr>
              <w:pStyle w:val="NoSpacing"/>
              <w:rPr>
                <w:sz w:val="18"/>
              </w:rPr>
            </w:pPr>
            <w:r w:rsidRPr="00D669D0">
              <w:rPr>
                <w:sz w:val="18"/>
              </w:rPr>
              <w:t>-2.971853</w:t>
            </w:r>
          </w:p>
        </w:tc>
        <w:tc>
          <w:tcPr>
            <w:tcW w:w="1192" w:type="dxa"/>
            <w:vAlign w:val="center"/>
          </w:tcPr>
          <w:p w:rsidR="00206142" w:rsidRPr="00D669D0" w:rsidRDefault="00206142" w:rsidP="00654D0F">
            <w:pPr>
              <w:pStyle w:val="NoSpacing"/>
              <w:rPr>
                <w:sz w:val="18"/>
              </w:rPr>
            </w:pPr>
            <w:r w:rsidRPr="00D669D0">
              <w:rPr>
                <w:sz w:val="18"/>
              </w:rPr>
              <w:t>Stationary</w:t>
            </w:r>
          </w:p>
        </w:tc>
      </w:tr>
      <w:tr w:rsidR="00206142" w:rsidRPr="00D669D0" w:rsidTr="00014947">
        <w:trPr>
          <w:trHeight w:val="281"/>
        </w:trPr>
        <w:tc>
          <w:tcPr>
            <w:tcW w:w="837" w:type="dxa"/>
            <w:tcBorders>
              <w:bottom w:val="single" w:sz="4" w:space="0" w:color="auto"/>
            </w:tcBorders>
            <w:vAlign w:val="center"/>
          </w:tcPr>
          <w:p w:rsidR="00206142" w:rsidRPr="00D669D0" w:rsidRDefault="00206142" w:rsidP="00654D0F">
            <w:pPr>
              <w:pStyle w:val="NoSpacing"/>
              <w:rPr>
                <w:sz w:val="18"/>
              </w:rPr>
            </w:pPr>
            <w:r w:rsidRPr="00D669D0">
              <w:rPr>
                <w:sz w:val="18"/>
              </w:rPr>
              <w:t>5</w:t>
            </w:r>
          </w:p>
        </w:tc>
        <w:tc>
          <w:tcPr>
            <w:tcW w:w="975" w:type="dxa"/>
            <w:tcBorders>
              <w:bottom w:val="single" w:sz="4" w:space="0" w:color="auto"/>
            </w:tcBorders>
            <w:vAlign w:val="center"/>
          </w:tcPr>
          <w:p w:rsidR="00206142" w:rsidRPr="00D669D0" w:rsidRDefault="00206142" w:rsidP="00654D0F">
            <w:pPr>
              <w:pStyle w:val="NoSpacing"/>
              <w:rPr>
                <w:sz w:val="18"/>
              </w:rPr>
            </w:pPr>
            <w:r w:rsidRPr="00D669D0">
              <w:rPr>
                <w:sz w:val="18"/>
              </w:rPr>
              <w:t>EPS</w:t>
            </w:r>
          </w:p>
        </w:tc>
        <w:tc>
          <w:tcPr>
            <w:tcW w:w="1209" w:type="dxa"/>
            <w:tcBorders>
              <w:bottom w:val="single" w:sz="4" w:space="0" w:color="auto"/>
            </w:tcBorders>
            <w:vAlign w:val="center"/>
          </w:tcPr>
          <w:p w:rsidR="00206142" w:rsidRPr="00D669D0" w:rsidRDefault="00206142" w:rsidP="00654D0F">
            <w:pPr>
              <w:pStyle w:val="NoSpacing"/>
              <w:rPr>
                <w:sz w:val="18"/>
              </w:rPr>
            </w:pPr>
            <w:r w:rsidRPr="00D669D0">
              <w:rPr>
                <w:sz w:val="18"/>
              </w:rPr>
              <w:t>1st difference</w:t>
            </w:r>
          </w:p>
        </w:tc>
        <w:tc>
          <w:tcPr>
            <w:tcW w:w="933" w:type="dxa"/>
            <w:tcBorders>
              <w:bottom w:val="single" w:sz="4" w:space="0" w:color="auto"/>
            </w:tcBorders>
            <w:vAlign w:val="center"/>
          </w:tcPr>
          <w:p w:rsidR="00206142" w:rsidRPr="00D669D0" w:rsidRDefault="00206142" w:rsidP="00654D0F">
            <w:pPr>
              <w:pStyle w:val="NoSpacing"/>
              <w:rPr>
                <w:sz w:val="18"/>
              </w:rPr>
            </w:pPr>
            <w:r w:rsidRPr="00D669D0">
              <w:rPr>
                <w:sz w:val="18"/>
              </w:rPr>
              <w:t>-5.682094</w:t>
            </w:r>
          </w:p>
        </w:tc>
        <w:tc>
          <w:tcPr>
            <w:tcW w:w="768" w:type="dxa"/>
            <w:tcBorders>
              <w:bottom w:val="single" w:sz="4" w:space="0" w:color="auto"/>
            </w:tcBorders>
            <w:vAlign w:val="center"/>
          </w:tcPr>
          <w:p w:rsidR="00206142" w:rsidRPr="00D669D0" w:rsidRDefault="00206142" w:rsidP="00654D0F">
            <w:pPr>
              <w:pStyle w:val="NoSpacing"/>
              <w:rPr>
                <w:sz w:val="18"/>
              </w:rPr>
            </w:pPr>
            <w:r w:rsidRPr="00D669D0">
              <w:rPr>
                <w:sz w:val="18"/>
              </w:rPr>
              <w:t>0.0001</w:t>
            </w:r>
          </w:p>
        </w:tc>
        <w:tc>
          <w:tcPr>
            <w:tcW w:w="949" w:type="dxa"/>
            <w:tcBorders>
              <w:bottom w:val="single" w:sz="4" w:space="0" w:color="auto"/>
            </w:tcBorders>
            <w:vAlign w:val="center"/>
          </w:tcPr>
          <w:p w:rsidR="00206142" w:rsidRPr="00D669D0" w:rsidRDefault="00206142" w:rsidP="00654D0F">
            <w:pPr>
              <w:pStyle w:val="NoSpacing"/>
              <w:rPr>
                <w:sz w:val="18"/>
              </w:rPr>
            </w:pPr>
            <w:r w:rsidRPr="00D669D0">
              <w:rPr>
                <w:sz w:val="18"/>
              </w:rPr>
              <w:t>-2.971853</w:t>
            </w:r>
          </w:p>
        </w:tc>
        <w:tc>
          <w:tcPr>
            <w:tcW w:w="1192" w:type="dxa"/>
            <w:tcBorders>
              <w:bottom w:val="single" w:sz="4" w:space="0" w:color="auto"/>
            </w:tcBorders>
            <w:vAlign w:val="center"/>
          </w:tcPr>
          <w:p w:rsidR="00206142" w:rsidRPr="00D669D0" w:rsidRDefault="00206142" w:rsidP="00654D0F">
            <w:pPr>
              <w:pStyle w:val="NoSpacing"/>
              <w:rPr>
                <w:sz w:val="18"/>
              </w:rPr>
            </w:pPr>
            <w:r w:rsidRPr="00D669D0">
              <w:rPr>
                <w:sz w:val="18"/>
              </w:rPr>
              <w:t>Stationary</w:t>
            </w:r>
          </w:p>
        </w:tc>
      </w:tr>
    </w:tbl>
    <w:p w:rsidR="004206EC" w:rsidRDefault="00A84550" w:rsidP="00206142">
      <w:pPr>
        <w:spacing w:after="0" w:line="240" w:lineRule="auto"/>
        <w:ind w:firstLine="720"/>
        <w:jc w:val="both"/>
      </w:pPr>
      <w:r w:rsidRPr="002F462D">
        <w:t>Source:</w:t>
      </w:r>
      <w:r w:rsidR="002F462D">
        <w:t xml:space="preserve"> Output </w:t>
      </w:r>
      <w:proofErr w:type="spellStart"/>
      <w:r w:rsidR="002F462D">
        <w:t>Eviews</w:t>
      </w:r>
      <w:proofErr w:type="spellEnd"/>
      <w:r w:rsidR="002F462D">
        <w:t xml:space="preserve"> 9</w:t>
      </w:r>
    </w:p>
    <w:p w:rsidR="00D46958" w:rsidRDefault="00D46958" w:rsidP="00206142">
      <w:pPr>
        <w:spacing w:after="0" w:line="240" w:lineRule="auto"/>
        <w:ind w:firstLine="360"/>
        <w:jc w:val="both"/>
      </w:pPr>
    </w:p>
    <w:p w:rsidR="002F462D" w:rsidRDefault="002F462D" w:rsidP="00206142">
      <w:pPr>
        <w:spacing w:after="0" w:line="240" w:lineRule="auto"/>
        <w:ind w:firstLine="360"/>
        <w:jc w:val="both"/>
      </w:pPr>
      <w:r>
        <w:t>From the result table above, the probability value obtained that all variables is stationary on the degree of level integr</w:t>
      </w:r>
      <w:r w:rsidR="00D37EA9">
        <w:t xml:space="preserve">ation. </w:t>
      </w:r>
    </w:p>
    <w:p w:rsidR="002F462D" w:rsidRPr="002F462D" w:rsidRDefault="002F462D" w:rsidP="002F462D">
      <w:pPr>
        <w:spacing w:after="0" w:line="240" w:lineRule="auto"/>
        <w:jc w:val="both"/>
      </w:pPr>
    </w:p>
    <w:p w:rsidR="008861A9" w:rsidRPr="0036669A" w:rsidRDefault="00E333BC" w:rsidP="0036669A">
      <w:pPr>
        <w:pStyle w:val="ListParagraph"/>
        <w:numPr>
          <w:ilvl w:val="0"/>
          <w:numId w:val="4"/>
        </w:numPr>
        <w:spacing w:after="0" w:line="240" w:lineRule="auto"/>
        <w:jc w:val="both"/>
        <w:rPr>
          <w:b/>
        </w:rPr>
      </w:pPr>
      <w:r>
        <w:rPr>
          <w:b/>
        </w:rPr>
        <w:t xml:space="preserve">Panel Data Regression Analysis Model </w:t>
      </w:r>
    </w:p>
    <w:p w:rsidR="008861A9" w:rsidRDefault="008861A9" w:rsidP="008861A9">
      <w:pPr>
        <w:pStyle w:val="ListParagraph"/>
        <w:spacing w:after="0" w:line="240" w:lineRule="auto"/>
        <w:rPr>
          <w:b/>
        </w:rPr>
      </w:pPr>
      <w:r>
        <w:rPr>
          <w:b/>
        </w:rPr>
        <w:t>Table 4.</w:t>
      </w:r>
      <w:r w:rsidR="0036669A">
        <w:rPr>
          <w:b/>
        </w:rPr>
        <w:t>3</w:t>
      </w:r>
    </w:p>
    <w:p w:rsidR="008861A9" w:rsidRPr="008861A9" w:rsidRDefault="0036669A" w:rsidP="008861A9">
      <w:pPr>
        <w:pStyle w:val="ListParagraph"/>
        <w:spacing w:after="0" w:line="240" w:lineRule="auto"/>
        <w:rPr>
          <w:b/>
        </w:rPr>
      </w:pPr>
      <w:r>
        <w:rPr>
          <w:b/>
        </w:rPr>
        <w:t xml:space="preserve">Common Effect Model Test Result </w:t>
      </w:r>
      <w:r w:rsidR="008861A9">
        <w:rPr>
          <w:b/>
        </w:rPr>
        <w:t xml:space="preserve"> </w:t>
      </w:r>
    </w:p>
    <w:tbl>
      <w:tblPr>
        <w:tblStyle w:val="TableGrid1"/>
        <w:tblW w:w="0" w:type="auto"/>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1077"/>
        <w:gridCol w:w="1978"/>
        <w:gridCol w:w="1112"/>
        <w:gridCol w:w="967"/>
      </w:tblGrid>
      <w:tr w:rsidR="008861A9" w:rsidRPr="008861A9" w:rsidTr="00014947">
        <w:trPr>
          <w:trHeight w:val="255"/>
        </w:trPr>
        <w:tc>
          <w:tcPr>
            <w:tcW w:w="1787" w:type="dxa"/>
            <w:tcBorders>
              <w:top w:val="single" w:sz="4" w:space="0" w:color="auto"/>
              <w:bottom w:val="single" w:sz="4" w:space="0" w:color="auto"/>
            </w:tcBorders>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Variable</w:t>
            </w:r>
          </w:p>
        </w:tc>
        <w:tc>
          <w:tcPr>
            <w:tcW w:w="1077" w:type="dxa"/>
            <w:tcBorders>
              <w:top w:val="single" w:sz="4" w:space="0" w:color="auto"/>
              <w:bottom w:val="single" w:sz="4" w:space="0" w:color="auto"/>
            </w:tcBorders>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Coefficient</w:t>
            </w:r>
          </w:p>
        </w:tc>
        <w:tc>
          <w:tcPr>
            <w:tcW w:w="1978" w:type="dxa"/>
            <w:tcBorders>
              <w:top w:val="single" w:sz="4" w:space="0" w:color="auto"/>
              <w:bottom w:val="single" w:sz="4" w:space="0" w:color="auto"/>
            </w:tcBorders>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Std. Error</w:t>
            </w:r>
          </w:p>
        </w:tc>
        <w:tc>
          <w:tcPr>
            <w:tcW w:w="1112" w:type="dxa"/>
            <w:tcBorders>
              <w:top w:val="single" w:sz="4" w:space="0" w:color="auto"/>
              <w:bottom w:val="single" w:sz="4" w:space="0" w:color="auto"/>
            </w:tcBorders>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t-Statistic</w:t>
            </w:r>
          </w:p>
        </w:tc>
        <w:tc>
          <w:tcPr>
            <w:tcW w:w="957" w:type="dxa"/>
            <w:tcBorders>
              <w:top w:val="single" w:sz="4" w:space="0" w:color="auto"/>
              <w:bottom w:val="single" w:sz="4" w:space="0" w:color="auto"/>
            </w:tcBorders>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Prob.</w:t>
            </w:r>
          </w:p>
        </w:tc>
      </w:tr>
      <w:tr w:rsidR="008861A9" w:rsidRPr="008861A9" w:rsidTr="00014947">
        <w:trPr>
          <w:trHeight w:val="276"/>
        </w:trPr>
        <w:tc>
          <w:tcPr>
            <w:tcW w:w="1787" w:type="dxa"/>
            <w:tcBorders>
              <w:top w:val="single" w:sz="4" w:space="0" w:color="auto"/>
            </w:tcBorders>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C</w:t>
            </w:r>
          </w:p>
        </w:tc>
        <w:tc>
          <w:tcPr>
            <w:tcW w:w="1077" w:type="dxa"/>
            <w:tcBorders>
              <w:top w:val="single" w:sz="4" w:space="0" w:color="auto"/>
            </w:tcBorders>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1314.994</w:t>
            </w:r>
          </w:p>
        </w:tc>
        <w:tc>
          <w:tcPr>
            <w:tcW w:w="1978" w:type="dxa"/>
            <w:tcBorders>
              <w:top w:val="single" w:sz="4" w:space="0" w:color="auto"/>
            </w:tcBorders>
            <w:vAlign w:val="center"/>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409.2307</w:t>
            </w:r>
          </w:p>
        </w:tc>
        <w:tc>
          <w:tcPr>
            <w:tcW w:w="1112" w:type="dxa"/>
            <w:tcBorders>
              <w:top w:val="single" w:sz="4" w:space="0" w:color="auto"/>
            </w:tcBorders>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3.213331</w:t>
            </w:r>
          </w:p>
        </w:tc>
        <w:tc>
          <w:tcPr>
            <w:tcW w:w="957" w:type="dxa"/>
            <w:tcBorders>
              <w:top w:val="single" w:sz="4" w:space="0" w:color="auto"/>
            </w:tcBorders>
          </w:tcPr>
          <w:p w:rsidR="008861A9" w:rsidRPr="008861A9" w:rsidRDefault="008861A9" w:rsidP="008861A9">
            <w:pPr>
              <w:widowControl w:val="0"/>
              <w:autoSpaceDE w:val="0"/>
              <w:autoSpaceDN w:val="0"/>
              <w:jc w:val="right"/>
              <w:rPr>
                <w:rFonts w:ascii="Arial" w:eastAsia="Calibri" w:hAnsi="Arial" w:cs="Arial"/>
                <w:sz w:val="18"/>
                <w:szCs w:val="18"/>
              </w:rPr>
            </w:pPr>
            <w:r w:rsidRPr="008861A9">
              <w:rPr>
                <w:rFonts w:ascii="Arial" w:eastAsia="Calibri" w:hAnsi="Arial" w:cs="Arial"/>
                <w:sz w:val="18"/>
                <w:szCs w:val="18"/>
              </w:rPr>
              <w:t>0.0036</w:t>
            </w:r>
          </w:p>
        </w:tc>
      </w:tr>
      <w:tr w:rsidR="008861A9" w:rsidRPr="008861A9" w:rsidTr="00014947">
        <w:trPr>
          <w:trHeight w:val="276"/>
        </w:trPr>
        <w:tc>
          <w:tcPr>
            <w:tcW w:w="1787" w:type="dxa"/>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CR</w:t>
            </w:r>
          </w:p>
        </w:tc>
        <w:tc>
          <w:tcPr>
            <w:tcW w:w="1077" w:type="dxa"/>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-178.9829</w:t>
            </w:r>
          </w:p>
        </w:tc>
        <w:tc>
          <w:tcPr>
            <w:tcW w:w="1978" w:type="dxa"/>
            <w:vAlign w:val="center"/>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357.4978</w:t>
            </w:r>
          </w:p>
        </w:tc>
        <w:tc>
          <w:tcPr>
            <w:tcW w:w="1112"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-0.500655</w:t>
            </w:r>
          </w:p>
        </w:tc>
        <w:tc>
          <w:tcPr>
            <w:tcW w:w="957" w:type="dxa"/>
          </w:tcPr>
          <w:p w:rsidR="008861A9" w:rsidRPr="008861A9" w:rsidRDefault="008861A9" w:rsidP="008861A9">
            <w:pPr>
              <w:widowControl w:val="0"/>
              <w:autoSpaceDE w:val="0"/>
              <w:autoSpaceDN w:val="0"/>
              <w:jc w:val="right"/>
              <w:rPr>
                <w:rFonts w:ascii="Arial" w:eastAsia="Calibri" w:hAnsi="Arial" w:cs="Arial"/>
                <w:sz w:val="18"/>
                <w:szCs w:val="18"/>
              </w:rPr>
            </w:pPr>
            <w:r w:rsidRPr="008861A9">
              <w:rPr>
                <w:rFonts w:ascii="Arial" w:eastAsia="Calibri" w:hAnsi="Arial" w:cs="Arial"/>
                <w:sz w:val="18"/>
                <w:szCs w:val="18"/>
              </w:rPr>
              <w:t>0.6210</w:t>
            </w:r>
          </w:p>
        </w:tc>
      </w:tr>
      <w:tr w:rsidR="008861A9" w:rsidRPr="008861A9" w:rsidTr="00014947">
        <w:trPr>
          <w:trHeight w:val="255"/>
        </w:trPr>
        <w:tc>
          <w:tcPr>
            <w:tcW w:w="1787" w:type="dxa"/>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DER</w:t>
            </w:r>
          </w:p>
        </w:tc>
        <w:tc>
          <w:tcPr>
            <w:tcW w:w="1077" w:type="dxa"/>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91.99073</w:t>
            </w:r>
          </w:p>
        </w:tc>
        <w:tc>
          <w:tcPr>
            <w:tcW w:w="1978" w:type="dxa"/>
            <w:vAlign w:val="center"/>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70.91404</w:t>
            </w:r>
          </w:p>
        </w:tc>
        <w:tc>
          <w:tcPr>
            <w:tcW w:w="1112"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1.297214</w:t>
            </w:r>
          </w:p>
        </w:tc>
        <w:tc>
          <w:tcPr>
            <w:tcW w:w="957" w:type="dxa"/>
          </w:tcPr>
          <w:p w:rsidR="008861A9" w:rsidRPr="008861A9" w:rsidRDefault="008861A9" w:rsidP="008861A9">
            <w:pPr>
              <w:widowControl w:val="0"/>
              <w:autoSpaceDE w:val="0"/>
              <w:autoSpaceDN w:val="0"/>
              <w:jc w:val="right"/>
              <w:rPr>
                <w:rFonts w:ascii="Arial" w:eastAsia="Calibri" w:hAnsi="Arial" w:cs="Arial"/>
                <w:sz w:val="18"/>
                <w:szCs w:val="18"/>
              </w:rPr>
            </w:pPr>
            <w:r w:rsidRPr="008861A9">
              <w:rPr>
                <w:rFonts w:ascii="Arial" w:eastAsia="Calibri" w:hAnsi="Arial" w:cs="Arial"/>
                <w:sz w:val="18"/>
                <w:szCs w:val="18"/>
              </w:rPr>
              <w:t>0.2064</w:t>
            </w:r>
          </w:p>
        </w:tc>
      </w:tr>
      <w:tr w:rsidR="008861A9" w:rsidRPr="008861A9" w:rsidTr="00014947">
        <w:trPr>
          <w:trHeight w:val="276"/>
        </w:trPr>
        <w:tc>
          <w:tcPr>
            <w:tcW w:w="1787" w:type="dxa"/>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ROA</w:t>
            </w:r>
          </w:p>
        </w:tc>
        <w:tc>
          <w:tcPr>
            <w:tcW w:w="1077" w:type="dxa"/>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-801.1673</w:t>
            </w:r>
          </w:p>
        </w:tc>
        <w:tc>
          <w:tcPr>
            <w:tcW w:w="1978" w:type="dxa"/>
            <w:vAlign w:val="center"/>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391.9680</w:t>
            </w:r>
          </w:p>
        </w:tc>
        <w:tc>
          <w:tcPr>
            <w:tcW w:w="1112"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-2.043961</w:t>
            </w:r>
          </w:p>
        </w:tc>
        <w:tc>
          <w:tcPr>
            <w:tcW w:w="957" w:type="dxa"/>
          </w:tcPr>
          <w:p w:rsidR="008861A9" w:rsidRPr="008861A9" w:rsidRDefault="008861A9" w:rsidP="008861A9">
            <w:pPr>
              <w:widowControl w:val="0"/>
              <w:autoSpaceDE w:val="0"/>
              <w:autoSpaceDN w:val="0"/>
              <w:jc w:val="right"/>
              <w:rPr>
                <w:rFonts w:ascii="Arial" w:eastAsia="Calibri" w:hAnsi="Arial" w:cs="Arial"/>
                <w:sz w:val="18"/>
                <w:szCs w:val="18"/>
              </w:rPr>
            </w:pPr>
            <w:r w:rsidRPr="008861A9">
              <w:rPr>
                <w:rFonts w:ascii="Arial" w:eastAsia="Calibri" w:hAnsi="Arial" w:cs="Arial"/>
                <w:sz w:val="18"/>
                <w:szCs w:val="18"/>
              </w:rPr>
              <w:t>0.0516</w:t>
            </w:r>
          </w:p>
        </w:tc>
      </w:tr>
      <w:tr w:rsidR="008861A9" w:rsidRPr="008861A9" w:rsidTr="00014947">
        <w:trPr>
          <w:trHeight w:val="276"/>
        </w:trPr>
        <w:tc>
          <w:tcPr>
            <w:tcW w:w="1787" w:type="dxa"/>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EPS</w:t>
            </w:r>
          </w:p>
        </w:tc>
        <w:tc>
          <w:tcPr>
            <w:tcW w:w="1077" w:type="dxa"/>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14.24790</w:t>
            </w:r>
          </w:p>
        </w:tc>
        <w:tc>
          <w:tcPr>
            <w:tcW w:w="1978" w:type="dxa"/>
            <w:vAlign w:val="center"/>
          </w:tcPr>
          <w:p w:rsidR="008861A9" w:rsidRPr="008861A9" w:rsidRDefault="008861A9" w:rsidP="0036669A">
            <w:pPr>
              <w:widowControl w:val="0"/>
              <w:autoSpaceDE w:val="0"/>
              <w:autoSpaceDN w:val="0"/>
              <w:jc w:val="center"/>
              <w:rPr>
                <w:rFonts w:ascii="Arial" w:eastAsia="Calibri" w:hAnsi="Arial" w:cs="Arial"/>
                <w:sz w:val="18"/>
                <w:szCs w:val="18"/>
              </w:rPr>
            </w:pPr>
            <w:r w:rsidRPr="008861A9">
              <w:rPr>
                <w:rFonts w:ascii="Arial" w:eastAsia="Calibri" w:hAnsi="Arial" w:cs="Arial"/>
                <w:sz w:val="18"/>
                <w:szCs w:val="18"/>
              </w:rPr>
              <w:t>1.926955</w:t>
            </w:r>
          </w:p>
        </w:tc>
        <w:tc>
          <w:tcPr>
            <w:tcW w:w="1112"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7.393997</w:t>
            </w:r>
          </w:p>
        </w:tc>
        <w:tc>
          <w:tcPr>
            <w:tcW w:w="957" w:type="dxa"/>
          </w:tcPr>
          <w:p w:rsidR="008861A9" w:rsidRPr="008861A9" w:rsidRDefault="008861A9" w:rsidP="008861A9">
            <w:pPr>
              <w:widowControl w:val="0"/>
              <w:autoSpaceDE w:val="0"/>
              <w:autoSpaceDN w:val="0"/>
              <w:jc w:val="right"/>
              <w:rPr>
                <w:rFonts w:ascii="Arial" w:eastAsia="Calibri" w:hAnsi="Arial" w:cs="Arial"/>
                <w:sz w:val="18"/>
                <w:szCs w:val="18"/>
              </w:rPr>
            </w:pPr>
            <w:r w:rsidRPr="008861A9">
              <w:rPr>
                <w:rFonts w:ascii="Arial" w:eastAsia="Calibri" w:hAnsi="Arial" w:cs="Arial"/>
                <w:sz w:val="18"/>
                <w:szCs w:val="18"/>
              </w:rPr>
              <w:t>0.0000</w:t>
            </w:r>
          </w:p>
        </w:tc>
      </w:tr>
      <w:tr w:rsidR="008861A9" w:rsidRPr="008861A9" w:rsidTr="00014947">
        <w:trPr>
          <w:trHeight w:val="276"/>
        </w:trPr>
        <w:tc>
          <w:tcPr>
            <w:tcW w:w="178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R-Squared</w:t>
            </w:r>
          </w:p>
        </w:tc>
        <w:tc>
          <w:tcPr>
            <w:tcW w:w="107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0.686728</w:t>
            </w:r>
          </w:p>
        </w:tc>
        <w:tc>
          <w:tcPr>
            <w:tcW w:w="1978"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 xml:space="preserve">Mean dependent </w:t>
            </w:r>
            <w:proofErr w:type="spellStart"/>
            <w:r w:rsidRPr="008861A9">
              <w:rPr>
                <w:rFonts w:ascii="Arial" w:eastAsia="Calibri" w:hAnsi="Arial" w:cs="Arial"/>
                <w:sz w:val="18"/>
                <w:szCs w:val="18"/>
              </w:rPr>
              <w:t>var</w:t>
            </w:r>
            <w:proofErr w:type="spellEnd"/>
            <w:r w:rsidRPr="008861A9">
              <w:rPr>
                <w:rFonts w:ascii="Arial" w:eastAsia="Calibri" w:hAnsi="Arial" w:cs="Arial"/>
                <w:sz w:val="18"/>
                <w:szCs w:val="18"/>
              </w:rPr>
              <w:t xml:space="preserve"> </w:t>
            </w:r>
          </w:p>
        </w:tc>
        <w:tc>
          <w:tcPr>
            <w:tcW w:w="1112" w:type="dxa"/>
          </w:tcPr>
          <w:p w:rsidR="008861A9" w:rsidRPr="008861A9" w:rsidRDefault="008861A9" w:rsidP="008861A9">
            <w:pPr>
              <w:widowControl w:val="0"/>
              <w:autoSpaceDE w:val="0"/>
              <w:autoSpaceDN w:val="0"/>
              <w:rPr>
                <w:rFonts w:ascii="Arial" w:eastAsia="Calibri" w:hAnsi="Arial" w:cs="Arial"/>
                <w:sz w:val="18"/>
                <w:szCs w:val="18"/>
              </w:rPr>
            </w:pPr>
          </w:p>
        </w:tc>
        <w:tc>
          <w:tcPr>
            <w:tcW w:w="95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1222.767</w:t>
            </w:r>
          </w:p>
        </w:tc>
      </w:tr>
      <w:tr w:rsidR="008861A9" w:rsidRPr="008861A9" w:rsidTr="00014947">
        <w:trPr>
          <w:trHeight w:val="276"/>
        </w:trPr>
        <w:tc>
          <w:tcPr>
            <w:tcW w:w="178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Adjusted R-squared</w:t>
            </w:r>
          </w:p>
        </w:tc>
        <w:tc>
          <w:tcPr>
            <w:tcW w:w="107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0.636604</w:t>
            </w:r>
          </w:p>
        </w:tc>
        <w:tc>
          <w:tcPr>
            <w:tcW w:w="1978"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 xml:space="preserve">S.D. dependent </w:t>
            </w:r>
            <w:proofErr w:type="spellStart"/>
            <w:r w:rsidRPr="008861A9">
              <w:rPr>
                <w:rFonts w:ascii="Arial" w:eastAsia="Calibri" w:hAnsi="Arial" w:cs="Arial"/>
                <w:sz w:val="18"/>
                <w:szCs w:val="18"/>
              </w:rPr>
              <w:t>var</w:t>
            </w:r>
            <w:proofErr w:type="spellEnd"/>
          </w:p>
        </w:tc>
        <w:tc>
          <w:tcPr>
            <w:tcW w:w="1112" w:type="dxa"/>
          </w:tcPr>
          <w:p w:rsidR="008861A9" w:rsidRPr="008861A9" w:rsidRDefault="008861A9" w:rsidP="008861A9">
            <w:pPr>
              <w:widowControl w:val="0"/>
              <w:autoSpaceDE w:val="0"/>
              <w:autoSpaceDN w:val="0"/>
              <w:rPr>
                <w:rFonts w:ascii="Arial" w:eastAsia="Calibri" w:hAnsi="Arial" w:cs="Arial"/>
                <w:sz w:val="18"/>
                <w:szCs w:val="18"/>
              </w:rPr>
            </w:pPr>
          </w:p>
        </w:tc>
        <w:tc>
          <w:tcPr>
            <w:tcW w:w="95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2449.318</w:t>
            </w:r>
          </w:p>
        </w:tc>
      </w:tr>
      <w:tr w:rsidR="008861A9" w:rsidRPr="008861A9" w:rsidTr="00014947">
        <w:trPr>
          <w:trHeight w:val="255"/>
        </w:trPr>
        <w:tc>
          <w:tcPr>
            <w:tcW w:w="178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 xml:space="preserve">S.E. of regression </w:t>
            </w:r>
          </w:p>
        </w:tc>
        <w:tc>
          <w:tcPr>
            <w:tcW w:w="107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1476.506</w:t>
            </w:r>
          </w:p>
        </w:tc>
        <w:tc>
          <w:tcPr>
            <w:tcW w:w="1978" w:type="dxa"/>
          </w:tcPr>
          <w:p w:rsidR="008861A9" w:rsidRPr="008861A9" w:rsidRDefault="008861A9" w:rsidP="008861A9">
            <w:pPr>
              <w:widowControl w:val="0"/>
              <w:autoSpaceDE w:val="0"/>
              <w:autoSpaceDN w:val="0"/>
              <w:rPr>
                <w:rFonts w:ascii="Arial" w:eastAsia="Calibri" w:hAnsi="Arial" w:cs="Arial"/>
                <w:sz w:val="18"/>
                <w:szCs w:val="18"/>
              </w:rPr>
            </w:pPr>
            <w:proofErr w:type="spellStart"/>
            <w:r w:rsidRPr="008861A9">
              <w:rPr>
                <w:rFonts w:ascii="Arial" w:eastAsia="Calibri" w:hAnsi="Arial" w:cs="Arial"/>
                <w:sz w:val="18"/>
                <w:szCs w:val="18"/>
              </w:rPr>
              <w:t>Akaike</w:t>
            </w:r>
            <w:proofErr w:type="spellEnd"/>
            <w:r w:rsidRPr="008861A9">
              <w:rPr>
                <w:rFonts w:ascii="Arial" w:eastAsia="Calibri" w:hAnsi="Arial" w:cs="Arial"/>
                <w:sz w:val="18"/>
                <w:szCs w:val="18"/>
              </w:rPr>
              <w:t xml:space="preserve"> info criterion</w:t>
            </w:r>
          </w:p>
        </w:tc>
        <w:tc>
          <w:tcPr>
            <w:tcW w:w="1112" w:type="dxa"/>
          </w:tcPr>
          <w:p w:rsidR="008861A9" w:rsidRPr="008861A9" w:rsidRDefault="008861A9" w:rsidP="008861A9">
            <w:pPr>
              <w:widowControl w:val="0"/>
              <w:autoSpaceDE w:val="0"/>
              <w:autoSpaceDN w:val="0"/>
              <w:rPr>
                <w:rFonts w:ascii="Arial" w:eastAsia="Calibri" w:hAnsi="Arial" w:cs="Arial"/>
                <w:sz w:val="18"/>
                <w:szCs w:val="18"/>
              </w:rPr>
            </w:pPr>
          </w:p>
        </w:tc>
        <w:tc>
          <w:tcPr>
            <w:tcW w:w="95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17.58376</w:t>
            </w:r>
          </w:p>
        </w:tc>
      </w:tr>
      <w:tr w:rsidR="008861A9" w:rsidRPr="008861A9" w:rsidTr="00014947">
        <w:trPr>
          <w:trHeight w:val="276"/>
        </w:trPr>
        <w:tc>
          <w:tcPr>
            <w:tcW w:w="178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 xml:space="preserve">Sum squared </w:t>
            </w:r>
            <w:proofErr w:type="spellStart"/>
            <w:r w:rsidRPr="008861A9">
              <w:rPr>
                <w:rFonts w:ascii="Arial" w:eastAsia="Calibri" w:hAnsi="Arial" w:cs="Arial"/>
                <w:sz w:val="18"/>
                <w:szCs w:val="18"/>
              </w:rPr>
              <w:t>resid</w:t>
            </w:r>
            <w:proofErr w:type="spellEnd"/>
          </w:p>
        </w:tc>
        <w:tc>
          <w:tcPr>
            <w:tcW w:w="107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54501728</w:t>
            </w:r>
          </w:p>
        </w:tc>
        <w:tc>
          <w:tcPr>
            <w:tcW w:w="1978"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Schwarz criterion</w:t>
            </w:r>
          </w:p>
        </w:tc>
        <w:tc>
          <w:tcPr>
            <w:tcW w:w="1112" w:type="dxa"/>
          </w:tcPr>
          <w:p w:rsidR="008861A9" w:rsidRPr="008861A9" w:rsidRDefault="008861A9" w:rsidP="008861A9">
            <w:pPr>
              <w:widowControl w:val="0"/>
              <w:autoSpaceDE w:val="0"/>
              <w:autoSpaceDN w:val="0"/>
              <w:rPr>
                <w:rFonts w:ascii="Arial" w:eastAsia="Calibri" w:hAnsi="Arial" w:cs="Arial"/>
                <w:sz w:val="18"/>
                <w:szCs w:val="18"/>
              </w:rPr>
            </w:pPr>
          </w:p>
        </w:tc>
        <w:tc>
          <w:tcPr>
            <w:tcW w:w="95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17.81729</w:t>
            </w:r>
          </w:p>
        </w:tc>
      </w:tr>
      <w:tr w:rsidR="008861A9" w:rsidRPr="008861A9" w:rsidTr="00014947">
        <w:trPr>
          <w:trHeight w:val="276"/>
        </w:trPr>
        <w:tc>
          <w:tcPr>
            <w:tcW w:w="178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Log likelihood</w:t>
            </w:r>
          </w:p>
        </w:tc>
        <w:tc>
          <w:tcPr>
            <w:tcW w:w="107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-258.7563</w:t>
            </w:r>
          </w:p>
        </w:tc>
        <w:tc>
          <w:tcPr>
            <w:tcW w:w="1978" w:type="dxa"/>
          </w:tcPr>
          <w:p w:rsidR="008861A9" w:rsidRPr="008861A9" w:rsidRDefault="008861A9" w:rsidP="008861A9">
            <w:pPr>
              <w:widowControl w:val="0"/>
              <w:autoSpaceDE w:val="0"/>
              <w:autoSpaceDN w:val="0"/>
              <w:rPr>
                <w:rFonts w:ascii="Arial" w:eastAsia="Calibri" w:hAnsi="Arial" w:cs="Arial"/>
                <w:sz w:val="18"/>
                <w:szCs w:val="18"/>
              </w:rPr>
            </w:pPr>
            <w:proofErr w:type="spellStart"/>
            <w:r w:rsidRPr="008861A9">
              <w:rPr>
                <w:rFonts w:ascii="Arial" w:eastAsia="Calibri" w:hAnsi="Arial" w:cs="Arial"/>
                <w:sz w:val="18"/>
                <w:szCs w:val="18"/>
              </w:rPr>
              <w:t>Hannan</w:t>
            </w:r>
            <w:proofErr w:type="spellEnd"/>
            <w:r w:rsidRPr="008861A9">
              <w:rPr>
                <w:rFonts w:ascii="Arial" w:eastAsia="Calibri" w:hAnsi="Arial" w:cs="Arial"/>
                <w:sz w:val="18"/>
                <w:szCs w:val="18"/>
              </w:rPr>
              <w:t xml:space="preserve">-Quinn </w:t>
            </w:r>
            <w:proofErr w:type="spellStart"/>
            <w:r w:rsidRPr="008861A9">
              <w:rPr>
                <w:rFonts w:ascii="Arial" w:eastAsia="Calibri" w:hAnsi="Arial" w:cs="Arial"/>
                <w:sz w:val="18"/>
                <w:szCs w:val="18"/>
              </w:rPr>
              <w:t>criter</w:t>
            </w:r>
            <w:proofErr w:type="spellEnd"/>
            <w:r w:rsidRPr="008861A9">
              <w:rPr>
                <w:rFonts w:ascii="Arial" w:eastAsia="Calibri" w:hAnsi="Arial" w:cs="Arial"/>
                <w:sz w:val="18"/>
                <w:szCs w:val="18"/>
              </w:rPr>
              <w:t xml:space="preserve"> </w:t>
            </w:r>
          </w:p>
        </w:tc>
        <w:tc>
          <w:tcPr>
            <w:tcW w:w="1112" w:type="dxa"/>
          </w:tcPr>
          <w:p w:rsidR="008861A9" w:rsidRPr="008861A9" w:rsidRDefault="008861A9" w:rsidP="008861A9">
            <w:pPr>
              <w:widowControl w:val="0"/>
              <w:autoSpaceDE w:val="0"/>
              <w:autoSpaceDN w:val="0"/>
              <w:rPr>
                <w:rFonts w:ascii="Arial" w:eastAsia="Calibri" w:hAnsi="Arial" w:cs="Arial"/>
                <w:sz w:val="18"/>
                <w:szCs w:val="18"/>
              </w:rPr>
            </w:pPr>
          </w:p>
        </w:tc>
        <w:tc>
          <w:tcPr>
            <w:tcW w:w="95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17.65847</w:t>
            </w:r>
          </w:p>
        </w:tc>
      </w:tr>
      <w:tr w:rsidR="008861A9" w:rsidRPr="008861A9" w:rsidTr="00014947">
        <w:trPr>
          <w:trHeight w:val="276"/>
        </w:trPr>
        <w:tc>
          <w:tcPr>
            <w:tcW w:w="178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F-statistic</w:t>
            </w:r>
          </w:p>
        </w:tc>
        <w:tc>
          <w:tcPr>
            <w:tcW w:w="107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13.70069</w:t>
            </w:r>
          </w:p>
        </w:tc>
        <w:tc>
          <w:tcPr>
            <w:tcW w:w="1978"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Durbin-Watson stat</w:t>
            </w:r>
          </w:p>
        </w:tc>
        <w:tc>
          <w:tcPr>
            <w:tcW w:w="1112" w:type="dxa"/>
          </w:tcPr>
          <w:p w:rsidR="008861A9" w:rsidRPr="008861A9" w:rsidRDefault="008861A9" w:rsidP="008861A9">
            <w:pPr>
              <w:widowControl w:val="0"/>
              <w:autoSpaceDE w:val="0"/>
              <w:autoSpaceDN w:val="0"/>
              <w:rPr>
                <w:rFonts w:ascii="Arial" w:eastAsia="Calibri" w:hAnsi="Arial" w:cs="Arial"/>
                <w:sz w:val="18"/>
                <w:szCs w:val="18"/>
              </w:rPr>
            </w:pPr>
          </w:p>
        </w:tc>
        <w:tc>
          <w:tcPr>
            <w:tcW w:w="957" w:type="dxa"/>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1.178582</w:t>
            </w:r>
          </w:p>
        </w:tc>
      </w:tr>
      <w:tr w:rsidR="008861A9" w:rsidRPr="008861A9" w:rsidTr="00014947">
        <w:trPr>
          <w:trHeight w:val="276"/>
        </w:trPr>
        <w:tc>
          <w:tcPr>
            <w:tcW w:w="1787" w:type="dxa"/>
            <w:tcBorders>
              <w:bottom w:val="single" w:sz="4" w:space="0" w:color="auto"/>
            </w:tcBorders>
          </w:tcPr>
          <w:p w:rsidR="008861A9" w:rsidRPr="008861A9" w:rsidRDefault="008861A9" w:rsidP="008861A9">
            <w:pPr>
              <w:widowControl w:val="0"/>
              <w:autoSpaceDE w:val="0"/>
              <w:autoSpaceDN w:val="0"/>
              <w:rPr>
                <w:rFonts w:ascii="Arial" w:eastAsia="Calibri" w:hAnsi="Arial" w:cs="Arial"/>
                <w:sz w:val="18"/>
                <w:szCs w:val="18"/>
              </w:rPr>
            </w:pPr>
            <w:proofErr w:type="spellStart"/>
            <w:r w:rsidRPr="008861A9">
              <w:rPr>
                <w:rFonts w:ascii="Arial" w:eastAsia="Calibri" w:hAnsi="Arial" w:cs="Arial"/>
                <w:sz w:val="18"/>
                <w:szCs w:val="18"/>
              </w:rPr>
              <w:lastRenderedPageBreak/>
              <w:t>Prob</w:t>
            </w:r>
            <w:proofErr w:type="spellEnd"/>
            <w:r w:rsidRPr="008861A9">
              <w:rPr>
                <w:rFonts w:ascii="Arial" w:eastAsia="Calibri" w:hAnsi="Arial" w:cs="Arial"/>
                <w:sz w:val="18"/>
                <w:szCs w:val="18"/>
              </w:rPr>
              <w:t>(F-statistic)</w:t>
            </w:r>
          </w:p>
        </w:tc>
        <w:tc>
          <w:tcPr>
            <w:tcW w:w="1077" w:type="dxa"/>
            <w:tcBorders>
              <w:bottom w:val="single" w:sz="4" w:space="0" w:color="auto"/>
            </w:tcBorders>
          </w:tcPr>
          <w:p w:rsidR="008861A9" w:rsidRPr="008861A9" w:rsidRDefault="008861A9" w:rsidP="008861A9">
            <w:pPr>
              <w:widowControl w:val="0"/>
              <w:autoSpaceDE w:val="0"/>
              <w:autoSpaceDN w:val="0"/>
              <w:rPr>
                <w:rFonts w:ascii="Arial" w:eastAsia="Calibri" w:hAnsi="Arial" w:cs="Arial"/>
                <w:sz w:val="18"/>
                <w:szCs w:val="18"/>
              </w:rPr>
            </w:pPr>
            <w:r w:rsidRPr="008861A9">
              <w:rPr>
                <w:rFonts w:ascii="Arial" w:eastAsia="Calibri" w:hAnsi="Arial" w:cs="Arial"/>
                <w:sz w:val="18"/>
                <w:szCs w:val="18"/>
              </w:rPr>
              <w:t>0.000005</w:t>
            </w:r>
          </w:p>
        </w:tc>
        <w:tc>
          <w:tcPr>
            <w:tcW w:w="1978" w:type="dxa"/>
            <w:tcBorders>
              <w:bottom w:val="single" w:sz="4" w:space="0" w:color="auto"/>
            </w:tcBorders>
          </w:tcPr>
          <w:p w:rsidR="008861A9" w:rsidRPr="008861A9" w:rsidRDefault="008861A9" w:rsidP="008861A9">
            <w:pPr>
              <w:widowControl w:val="0"/>
              <w:autoSpaceDE w:val="0"/>
              <w:autoSpaceDN w:val="0"/>
              <w:rPr>
                <w:rFonts w:ascii="Arial" w:eastAsia="Calibri" w:hAnsi="Arial" w:cs="Arial"/>
                <w:sz w:val="18"/>
                <w:szCs w:val="18"/>
              </w:rPr>
            </w:pPr>
          </w:p>
        </w:tc>
        <w:tc>
          <w:tcPr>
            <w:tcW w:w="1112" w:type="dxa"/>
            <w:tcBorders>
              <w:bottom w:val="single" w:sz="4" w:space="0" w:color="auto"/>
            </w:tcBorders>
          </w:tcPr>
          <w:p w:rsidR="008861A9" w:rsidRPr="008861A9" w:rsidRDefault="008861A9" w:rsidP="008861A9">
            <w:pPr>
              <w:widowControl w:val="0"/>
              <w:autoSpaceDE w:val="0"/>
              <w:autoSpaceDN w:val="0"/>
              <w:rPr>
                <w:rFonts w:ascii="Arial" w:eastAsia="Calibri" w:hAnsi="Arial" w:cs="Arial"/>
                <w:sz w:val="18"/>
                <w:szCs w:val="18"/>
              </w:rPr>
            </w:pPr>
          </w:p>
        </w:tc>
        <w:tc>
          <w:tcPr>
            <w:tcW w:w="957" w:type="dxa"/>
            <w:tcBorders>
              <w:bottom w:val="single" w:sz="4" w:space="0" w:color="auto"/>
            </w:tcBorders>
          </w:tcPr>
          <w:p w:rsidR="008861A9" w:rsidRPr="008861A9" w:rsidRDefault="008861A9" w:rsidP="008861A9">
            <w:pPr>
              <w:widowControl w:val="0"/>
              <w:autoSpaceDE w:val="0"/>
              <w:autoSpaceDN w:val="0"/>
              <w:rPr>
                <w:rFonts w:ascii="Arial" w:eastAsia="Calibri" w:hAnsi="Arial" w:cs="Arial"/>
                <w:sz w:val="18"/>
                <w:szCs w:val="18"/>
              </w:rPr>
            </w:pPr>
          </w:p>
        </w:tc>
      </w:tr>
    </w:tbl>
    <w:p w:rsidR="007F070B" w:rsidRDefault="007F070B" w:rsidP="007F070B">
      <w:pPr>
        <w:spacing w:after="0" w:line="240" w:lineRule="auto"/>
        <w:ind w:firstLine="720"/>
        <w:jc w:val="both"/>
      </w:pPr>
      <w:r w:rsidRPr="002F462D">
        <w:t>Source:</w:t>
      </w:r>
      <w:r>
        <w:t xml:space="preserve"> Output </w:t>
      </w:r>
      <w:proofErr w:type="spellStart"/>
      <w:r>
        <w:t>Eviews</w:t>
      </w:r>
      <w:proofErr w:type="spellEnd"/>
      <w:r>
        <w:t xml:space="preserve"> 9</w:t>
      </w:r>
    </w:p>
    <w:p w:rsidR="00D46958" w:rsidRDefault="00D46958" w:rsidP="00B96B28">
      <w:pPr>
        <w:spacing w:after="0" w:line="240" w:lineRule="auto"/>
        <w:ind w:firstLine="720"/>
        <w:jc w:val="both"/>
      </w:pPr>
    </w:p>
    <w:p w:rsidR="00B96B28" w:rsidRDefault="00B96B28" w:rsidP="00B96B28">
      <w:pPr>
        <w:spacing w:after="0" w:line="240" w:lineRule="auto"/>
        <w:ind w:firstLine="720"/>
        <w:jc w:val="both"/>
      </w:pPr>
      <w:r>
        <w:t xml:space="preserve">Common Effect Model or Ordinary Least Square is approach to estimating panel data model parameters by combining cross section and time series data as a whole and without regard to time and individual differences. </w:t>
      </w:r>
    </w:p>
    <w:p w:rsidR="00F42BD7" w:rsidRDefault="00F42BD7" w:rsidP="00B96B28">
      <w:pPr>
        <w:spacing w:after="0" w:line="240" w:lineRule="auto"/>
        <w:ind w:firstLine="720"/>
        <w:jc w:val="both"/>
      </w:pPr>
    </w:p>
    <w:p w:rsidR="005C3442" w:rsidRDefault="00B96B28" w:rsidP="002F45F9">
      <w:pPr>
        <w:spacing w:after="0" w:line="240" w:lineRule="auto"/>
        <w:ind w:firstLine="720"/>
        <w:jc w:val="both"/>
      </w:pPr>
      <w:r>
        <w:t xml:space="preserve">From the result, it can be seen that the value Adjusted R-Square is 0.636604 or 64% which interpreted that the </w:t>
      </w:r>
      <w:r w:rsidR="00383192">
        <w:t xml:space="preserve">independent </w:t>
      </w:r>
      <w:r>
        <w:t>variables in this research can expl</w:t>
      </w:r>
      <w:r w:rsidR="008A360B">
        <w:t>a</w:t>
      </w:r>
      <w:r w:rsidR="002F45F9">
        <w:t>ined by the dependent variable.</w:t>
      </w:r>
    </w:p>
    <w:p w:rsidR="007274F4" w:rsidRDefault="007274F4" w:rsidP="00383192">
      <w:pPr>
        <w:spacing w:after="0" w:line="240" w:lineRule="auto"/>
        <w:ind w:firstLine="720"/>
        <w:jc w:val="both"/>
      </w:pPr>
    </w:p>
    <w:p w:rsidR="00E333BC" w:rsidRPr="00CA1B4B" w:rsidRDefault="00E333BC" w:rsidP="00CA1B4B">
      <w:pPr>
        <w:spacing w:after="0" w:line="240" w:lineRule="auto"/>
        <w:jc w:val="both"/>
        <w:rPr>
          <w:b/>
        </w:rPr>
      </w:pPr>
      <w:r w:rsidRPr="00CA1B4B">
        <w:rPr>
          <w:b/>
        </w:rPr>
        <w:t>Model Selection Test of Panel Data</w:t>
      </w:r>
    </w:p>
    <w:p w:rsidR="00055B70" w:rsidRDefault="00055B70" w:rsidP="00055B70">
      <w:pPr>
        <w:pStyle w:val="ListParagraph"/>
        <w:spacing w:after="0" w:line="240" w:lineRule="auto"/>
        <w:rPr>
          <w:b/>
        </w:rPr>
      </w:pPr>
      <w:r>
        <w:rPr>
          <w:b/>
        </w:rPr>
        <w:t>Table 4.4</w:t>
      </w:r>
    </w:p>
    <w:p w:rsidR="005A3A43" w:rsidRDefault="00D46958" w:rsidP="00055B70">
      <w:pPr>
        <w:pStyle w:val="ListParagraph"/>
        <w:spacing w:after="0" w:line="240" w:lineRule="auto"/>
        <w:rPr>
          <w:b/>
        </w:rPr>
      </w:pPr>
      <w:r>
        <w:rPr>
          <w:b/>
        </w:rPr>
        <w:t xml:space="preserve">Lagrange Multiplier </w:t>
      </w:r>
      <w:r w:rsidR="00055B70">
        <w:rPr>
          <w:b/>
        </w:rPr>
        <w:t>Test Result</w:t>
      </w:r>
    </w:p>
    <w:tbl>
      <w:tblPr>
        <w:tblStyle w:val="TableGrid"/>
        <w:tblW w:w="6693"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611"/>
        <w:gridCol w:w="1675"/>
        <w:gridCol w:w="1735"/>
      </w:tblGrid>
      <w:tr w:rsidR="00D46958" w:rsidRPr="004756CE" w:rsidTr="00D46958">
        <w:trPr>
          <w:trHeight w:val="451"/>
        </w:trPr>
        <w:tc>
          <w:tcPr>
            <w:tcW w:w="1672" w:type="dxa"/>
            <w:tcBorders>
              <w:top w:val="single" w:sz="4" w:space="0" w:color="auto"/>
              <w:bottom w:val="single" w:sz="4" w:space="0" w:color="auto"/>
            </w:tcBorders>
          </w:tcPr>
          <w:p w:rsidR="00D46958" w:rsidRPr="004756CE" w:rsidRDefault="00D46958" w:rsidP="00857B84">
            <w:pPr>
              <w:rPr>
                <w:rFonts w:eastAsia="Calibri"/>
                <w:sz w:val="18"/>
              </w:rPr>
            </w:pPr>
          </w:p>
        </w:tc>
        <w:tc>
          <w:tcPr>
            <w:tcW w:w="1611" w:type="dxa"/>
            <w:tcBorders>
              <w:top w:val="single" w:sz="4" w:space="0" w:color="auto"/>
              <w:bottom w:val="single" w:sz="4" w:space="0" w:color="auto"/>
            </w:tcBorders>
          </w:tcPr>
          <w:p w:rsidR="00D46958" w:rsidRPr="004756CE" w:rsidRDefault="00D46958" w:rsidP="00857B84">
            <w:pPr>
              <w:rPr>
                <w:rFonts w:eastAsia="Calibri"/>
                <w:sz w:val="18"/>
              </w:rPr>
            </w:pPr>
            <w:r w:rsidRPr="004756CE">
              <w:rPr>
                <w:rFonts w:eastAsia="Calibri"/>
                <w:sz w:val="18"/>
              </w:rPr>
              <w:t>Test Hypothesis Cross-section</w:t>
            </w:r>
          </w:p>
        </w:tc>
        <w:tc>
          <w:tcPr>
            <w:tcW w:w="1675" w:type="dxa"/>
            <w:tcBorders>
              <w:top w:val="single" w:sz="4" w:space="0" w:color="auto"/>
              <w:bottom w:val="single" w:sz="4" w:space="0" w:color="auto"/>
            </w:tcBorders>
          </w:tcPr>
          <w:p w:rsidR="00D46958" w:rsidRPr="004756CE" w:rsidRDefault="00D46958" w:rsidP="00857B84">
            <w:pPr>
              <w:rPr>
                <w:rFonts w:eastAsia="Calibri"/>
                <w:sz w:val="18"/>
              </w:rPr>
            </w:pPr>
            <w:r w:rsidRPr="004756CE">
              <w:rPr>
                <w:rFonts w:eastAsia="Calibri"/>
                <w:sz w:val="18"/>
              </w:rPr>
              <w:t>Time</w:t>
            </w:r>
          </w:p>
        </w:tc>
        <w:tc>
          <w:tcPr>
            <w:tcW w:w="1735" w:type="dxa"/>
            <w:tcBorders>
              <w:top w:val="single" w:sz="4" w:space="0" w:color="auto"/>
              <w:bottom w:val="single" w:sz="4" w:space="0" w:color="auto"/>
            </w:tcBorders>
          </w:tcPr>
          <w:p w:rsidR="00D46958" w:rsidRPr="004756CE" w:rsidRDefault="00D46958" w:rsidP="00857B84">
            <w:pPr>
              <w:rPr>
                <w:rFonts w:eastAsia="Calibri"/>
                <w:sz w:val="18"/>
              </w:rPr>
            </w:pPr>
            <w:r w:rsidRPr="004756CE">
              <w:rPr>
                <w:rFonts w:eastAsia="Calibri"/>
                <w:sz w:val="18"/>
              </w:rPr>
              <w:t>Both</w:t>
            </w:r>
          </w:p>
        </w:tc>
      </w:tr>
      <w:tr w:rsidR="00D46958" w:rsidRPr="004756CE" w:rsidTr="00D46958">
        <w:trPr>
          <w:trHeight w:val="388"/>
        </w:trPr>
        <w:tc>
          <w:tcPr>
            <w:tcW w:w="1672" w:type="dxa"/>
            <w:tcBorders>
              <w:top w:val="single" w:sz="4" w:space="0" w:color="auto"/>
            </w:tcBorders>
          </w:tcPr>
          <w:p w:rsidR="00D46958" w:rsidRPr="004756CE" w:rsidRDefault="00D46958" w:rsidP="00857B84">
            <w:pPr>
              <w:rPr>
                <w:rFonts w:eastAsia="Calibri"/>
                <w:sz w:val="18"/>
              </w:rPr>
            </w:pPr>
            <w:proofErr w:type="spellStart"/>
            <w:r w:rsidRPr="004756CE">
              <w:rPr>
                <w:rFonts w:eastAsia="Calibri"/>
                <w:sz w:val="18"/>
              </w:rPr>
              <w:t>Breusch</w:t>
            </w:r>
            <w:proofErr w:type="spellEnd"/>
            <w:r w:rsidRPr="004756CE">
              <w:rPr>
                <w:rFonts w:eastAsia="Calibri"/>
                <w:sz w:val="18"/>
              </w:rPr>
              <w:t>-Pagan</w:t>
            </w:r>
          </w:p>
        </w:tc>
        <w:tc>
          <w:tcPr>
            <w:tcW w:w="1611" w:type="dxa"/>
            <w:tcBorders>
              <w:top w:val="single" w:sz="4" w:space="0" w:color="auto"/>
            </w:tcBorders>
          </w:tcPr>
          <w:p w:rsidR="00D46958" w:rsidRPr="004756CE" w:rsidRDefault="00D46958" w:rsidP="00857B84">
            <w:pPr>
              <w:rPr>
                <w:rFonts w:eastAsia="Calibri"/>
                <w:sz w:val="18"/>
              </w:rPr>
            </w:pPr>
            <w:r w:rsidRPr="004756CE">
              <w:rPr>
                <w:rFonts w:eastAsia="Calibri"/>
                <w:sz w:val="18"/>
              </w:rPr>
              <w:t>2.111223</w:t>
            </w:r>
          </w:p>
        </w:tc>
        <w:tc>
          <w:tcPr>
            <w:tcW w:w="1675" w:type="dxa"/>
            <w:tcBorders>
              <w:top w:val="single" w:sz="4" w:space="0" w:color="auto"/>
            </w:tcBorders>
          </w:tcPr>
          <w:p w:rsidR="00D46958" w:rsidRPr="004756CE" w:rsidRDefault="00D46958" w:rsidP="00857B84">
            <w:pPr>
              <w:rPr>
                <w:rFonts w:eastAsia="Calibri"/>
                <w:sz w:val="18"/>
              </w:rPr>
            </w:pPr>
            <w:r w:rsidRPr="004756CE">
              <w:rPr>
                <w:rFonts w:eastAsia="Calibri"/>
                <w:sz w:val="18"/>
              </w:rPr>
              <w:t>1.863251</w:t>
            </w:r>
          </w:p>
        </w:tc>
        <w:tc>
          <w:tcPr>
            <w:tcW w:w="1735" w:type="dxa"/>
            <w:tcBorders>
              <w:top w:val="single" w:sz="4" w:space="0" w:color="auto"/>
            </w:tcBorders>
          </w:tcPr>
          <w:p w:rsidR="00D46958" w:rsidRPr="004756CE" w:rsidRDefault="00D46958" w:rsidP="00857B84">
            <w:pPr>
              <w:rPr>
                <w:rFonts w:eastAsia="Calibri"/>
                <w:sz w:val="18"/>
              </w:rPr>
            </w:pPr>
            <w:r w:rsidRPr="004756CE">
              <w:rPr>
                <w:rFonts w:eastAsia="Calibri"/>
                <w:sz w:val="18"/>
              </w:rPr>
              <w:t>3.974474</w:t>
            </w:r>
          </w:p>
        </w:tc>
      </w:tr>
      <w:tr w:rsidR="00D46958" w:rsidRPr="004756CE" w:rsidTr="00D46958">
        <w:trPr>
          <w:trHeight w:val="361"/>
        </w:trPr>
        <w:tc>
          <w:tcPr>
            <w:tcW w:w="1672" w:type="dxa"/>
            <w:tcBorders>
              <w:bottom w:val="single" w:sz="4" w:space="0" w:color="auto"/>
            </w:tcBorders>
          </w:tcPr>
          <w:p w:rsidR="00D46958" w:rsidRPr="004756CE" w:rsidRDefault="00D46958" w:rsidP="00857B84">
            <w:pPr>
              <w:rPr>
                <w:rFonts w:eastAsia="Calibri"/>
                <w:sz w:val="18"/>
              </w:rPr>
            </w:pPr>
          </w:p>
        </w:tc>
        <w:tc>
          <w:tcPr>
            <w:tcW w:w="1611" w:type="dxa"/>
            <w:tcBorders>
              <w:bottom w:val="single" w:sz="4" w:space="0" w:color="auto"/>
            </w:tcBorders>
          </w:tcPr>
          <w:p w:rsidR="00D46958" w:rsidRPr="004756CE" w:rsidRDefault="00D46958" w:rsidP="00857B84">
            <w:pPr>
              <w:rPr>
                <w:rFonts w:eastAsia="Calibri"/>
                <w:sz w:val="18"/>
              </w:rPr>
            </w:pPr>
            <w:r w:rsidRPr="004756CE">
              <w:rPr>
                <w:rFonts w:eastAsia="Calibri"/>
                <w:sz w:val="18"/>
              </w:rPr>
              <w:t>(0.1462)</w:t>
            </w:r>
          </w:p>
        </w:tc>
        <w:tc>
          <w:tcPr>
            <w:tcW w:w="1675" w:type="dxa"/>
            <w:tcBorders>
              <w:bottom w:val="single" w:sz="4" w:space="0" w:color="auto"/>
            </w:tcBorders>
          </w:tcPr>
          <w:p w:rsidR="00D46958" w:rsidRPr="004756CE" w:rsidRDefault="00D46958" w:rsidP="00857B84">
            <w:pPr>
              <w:rPr>
                <w:rFonts w:eastAsia="Calibri"/>
                <w:sz w:val="18"/>
              </w:rPr>
            </w:pPr>
            <w:r w:rsidRPr="004756CE">
              <w:rPr>
                <w:rFonts w:eastAsia="Calibri"/>
                <w:sz w:val="18"/>
              </w:rPr>
              <w:t>(0.1723)</w:t>
            </w:r>
          </w:p>
        </w:tc>
        <w:tc>
          <w:tcPr>
            <w:tcW w:w="1735" w:type="dxa"/>
            <w:tcBorders>
              <w:bottom w:val="single" w:sz="4" w:space="0" w:color="auto"/>
            </w:tcBorders>
          </w:tcPr>
          <w:p w:rsidR="00D46958" w:rsidRPr="004756CE" w:rsidRDefault="00D46958" w:rsidP="00857B84">
            <w:pPr>
              <w:rPr>
                <w:rFonts w:eastAsia="Calibri"/>
                <w:sz w:val="18"/>
              </w:rPr>
            </w:pPr>
            <w:r w:rsidRPr="004756CE">
              <w:rPr>
                <w:rFonts w:eastAsia="Calibri"/>
                <w:sz w:val="18"/>
              </w:rPr>
              <w:t>(0.0462)</w:t>
            </w:r>
          </w:p>
        </w:tc>
      </w:tr>
    </w:tbl>
    <w:p w:rsidR="00180BF0" w:rsidRDefault="00055B70" w:rsidP="00D46958">
      <w:pPr>
        <w:spacing w:after="0" w:line="240" w:lineRule="auto"/>
        <w:ind w:firstLine="720"/>
        <w:jc w:val="both"/>
      </w:pPr>
      <w:r w:rsidRPr="002F462D">
        <w:t>Source:</w:t>
      </w:r>
      <w:r>
        <w:t xml:space="preserve"> Output </w:t>
      </w:r>
      <w:proofErr w:type="spellStart"/>
      <w:r>
        <w:t>Eviews</w:t>
      </w:r>
      <w:proofErr w:type="spellEnd"/>
      <w:r>
        <w:t xml:space="preserve"> 9</w:t>
      </w:r>
    </w:p>
    <w:p w:rsidR="00180BF0" w:rsidRDefault="00180BF0" w:rsidP="00D46958">
      <w:pPr>
        <w:spacing w:after="0" w:line="240" w:lineRule="auto"/>
        <w:ind w:firstLine="720"/>
        <w:jc w:val="both"/>
      </w:pPr>
    </w:p>
    <w:p w:rsidR="00B92636" w:rsidRDefault="00180BF0" w:rsidP="00CA1B4B">
      <w:pPr>
        <w:spacing w:after="0" w:line="240" w:lineRule="auto"/>
        <w:ind w:firstLine="720"/>
        <w:jc w:val="both"/>
      </w:pPr>
      <w:r>
        <w:t xml:space="preserve">Lagrange Multiplier Test aims to determine whether random effect model or common effect model is appropriate to use in panel data regression model. The significance test was developed by </w:t>
      </w:r>
      <w:proofErr w:type="spellStart"/>
      <w:r>
        <w:t>Breusch</w:t>
      </w:r>
      <w:proofErr w:type="spellEnd"/>
      <w:r>
        <w:t xml:space="preserve">-Pagan. The </w:t>
      </w:r>
      <w:proofErr w:type="spellStart"/>
      <w:r>
        <w:t>Breusch</w:t>
      </w:r>
      <w:proofErr w:type="spellEnd"/>
      <w:r>
        <w:t>-Pagan</w:t>
      </w:r>
      <w:r w:rsidR="00B92636">
        <w:t xml:space="preserve"> method is significance test is based on the residual value of OLS (Ordinary Least Square). In this test done by the </w:t>
      </w:r>
      <w:r w:rsidR="002944C1">
        <w:t xml:space="preserve">following </w:t>
      </w:r>
      <w:proofErr w:type="gramStart"/>
      <w:r w:rsidR="002944C1">
        <w:t>hypo</w:t>
      </w:r>
      <w:r w:rsidR="00B92636">
        <w:t>thesis :</w:t>
      </w:r>
      <w:proofErr w:type="gramEnd"/>
    </w:p>
    <w:p w:rsidR="00B92636" w:rsidRDefault="00B92636" w:rsidP="00CA1B4B">
      <w:pPr>
        <w:spacing w:after="0" w:line="240" w:lineRule="auto"/>
        <w:jc w:val="both"/>
      </w:pPr>
      <w:r>
        <w:t>H</w:t>
      </w:r>
      <w:r w:rsidRPr="00B92636">
        <w:rPr>
          <w:vertAlign w:val="subscript"/>
        </w:rPr>
        <w:t>0</w:t>
      </w:r>
      <w:r>
        <w:t>: Common Effect Model (CEM)</w:t>
      </w:r>
    </w:p>
    <w:p w:rsidR="00180BF0" w:rsidRDefault="00B92636" w:rsidP="00CA1B4B">
      <w:pPr>
        <w:spacing w:after="0" w:line="240" w:lineRule="auto"/>
        <w:jc w:val="both"/>
      </w:pPr>
      <w:r>
        <w:t>H</w:t>
      </w:r>
      <w:r w:rsidRPr="00B92636">
        <w:rPr>
          <w:vertAlign w:val="subscript"/>
        </w:rPr>
        <w:t>a</w:t>
      </w:r>
      <w:r>
        <w:t xml:space="preserve">: Random Effect Model </w:t>
      </w:r>
      <w:r w:rsidR="002944C1">
        <w:t>(REM)</w:t>
      </w:r>
    </w:p>
    <w:p w:rsidR="00CA1B4B" w:rsidRDefault="00CA1B4B" w:rsidP="00CA1B4B">
      <w:pPr>
        <w:spacing w:after="0" w:line="240" w:lineRule="auto"/>
        <w:jc w:val="both"/>
      </w:pPr>
    </w:p>
    <w:p w:rsidR="00180BF0" w:rsidRDefault="00180BF0" w:rsidP="00CA1B4B">
      <w:pPr>
        <w:spacing w:after="0" w:line="240" w:lineRule="auto"/>
        <w:ind w:firstLine="720"/>
        <w:jc w:val="both"/>
      </w:pPr>
      <w:r>
        <w:t xml:space="preserve">From the result above, the probability value of </w:t>
      </w:r>
      <w:proofErr w:type="spellStart"/>
      <w:r>
        <w:t>Breus</w:t>
      </w:r>
      <w:r w:rsidR="00B92636">
        <w:t>ch</w:t>
      </w:r>
      <w:proofErr w:type="spellEnd"/>
      <w:r w:rsidR="00B92636">
        <w:t>-Pagan is 0.0462 &gt;0.05</w:t>
      </w:r>
      <w:r w:rsidR="002944C1">
        <w:t>. Then H</w:t>
      </w:r>
      <w:r w:rsidR="002944C1" w:rsidRPr="00B92636">
        <w:rPr>
          <w:vertAlign w:val="subscript"/>
        </w:rPr>
        <w:t>0</w:t>
      </w:r>
      <w:r w:rsidR="002944C1">
        <w:rPr>
          <w:vertAlign w:val="subscript"/>
        </w:rPr>
        <w:t xml:space="preserve"> </w:t>
      </w:r>
      <w:r w:rsidR="002944C1">
        <w:t>is accepted and H</w:t>
      </w:r>
      <w:r w:rsidR="002944C1" w:rsidRPr="00B92636">
        <w:rPr>
          <w:vertAlign w:val="subscript"/>
        </w:rPr>
        <w:t>a</w:t>
      </w:r>
      <w:r w:rsidR="002944C1">
        <w:rPr>
          <w:vertAlign w:val="subscript"/>
        </w:rPr>
        <w:t xml:space="preserve"> </w:t>
      </w:r>
      <w:r w:rsidR="002944C1">
        <w:t xml:space="preserve">is </w:t>
      </w:r>
      <w:r w:rsidR="004F60C7">
        <w:t xml:space="preserve">rejected means common effect </w:t>
      </w:r>
      <w:r w:rsidR="00256714">
        <w:t>model is a</w:t>
      </w:r>
      <w:r w:rsidR="004F60C7">
        <w:t>p</w:t>
      </w:r>
      <w:r w:rsidR="00256714">
        <w:t>p</w:t>
      </w:r>
      <w:r w:rsidR="004F60C7">
        <w:t xml:space="preserve">ropriate to use in this research. </w:t>
      </w:r>
    </w:p>
    <w:p w:rsidR="00256714" w:rsidRDefault="00256714" w:rsidP="00256714">
      <w:pPr>
        <w:spacing w:after="0" w:line="240" w:lineRule="auto"/>
        <w:jc w:val="both"/>
      </w:pPr>
    </w:p>
    <w:p w:rsidR="00256714" w:rsidRPr="004371F3" w:rsidRDefault="00256714" w:rsidP="004371F3">
      <w:pPr>
        <w:pStyle w:val="ListParagraph"/>
        <w:spacing w:after="0" w:line="240" w:lineRule="auto"/>
        <w:ind w:left="0"/>
        <w:jc w:val="both"/>
        <w:rPr>
          <w:b/>
        </w:rPr>
      </w:pPr>
      <w:r w:rsidRPr="004371F3">
        <w:rPr>
          <w:b/>
        </w:rPr>
        <w:t xml:space="preserve">Result Discussion </w:t>
      </w:r>
    </w:p>
    <w:p w:rsidR="00256714" w:rsidRDefault="00256714" w:rsidP="00CA1B4B">
      <w:pPr>
        <w:spacing w:after="0" w:line="240" w:lineRule="auto"/>
        <w:ind w:firstLine="720"/>
        <w:jc w:val="both"/>
      </w:pPr>
      <w:r>
        <w:t xml:space="preserve">From the result output in common effect model, the regression equation model as follow: </w:t>
      </w:r>
    </w:p>
    <w:p w:rsidR="00256714" w:rsidRDefault="00256714" w:rsidP="00256714">
      <w:pPr>
        <w:spacing w:after="0" w:line="240" w:lineRule="auto"/>
        <w:jc w:val="both"/>
      </w:pPr>
      <w:proofErr w:type="gramStart"/>
      <w:r>
        <w:t>Y  =</w:t>
      </w:r>
      <w:proofErr w:type="gramEnd"/>
      <w:r>
        <w:t xml:space="preserve"> a + bx1 + bx2 + bx3 + bx4 </w:t>
      </w:r>
    </w:p>
    <w:p w:rsidR="00256714" w:rsidRPr="00256714" w:rsidRDefault="00256714" w:rsidP="00256714">
      <w:pPr>
        <w:spacing w:after="0" w:line="240" w:lineRule="auto"/>
        <w:jc w:val="both"/>
      </w:pPr>
      <w:r>
        <w:t xml:space="preserve">SP = 1314.994 – 178.9829 CR + 91.99073 DER – 801.1673 ROA + 14.24790 EPS </w:t>
      </w:r>
    </w:p>
    <w:p w:rsidR="00256714" w:rsidRDefault="00256714" w:rsidP="00256714">
      <w:pPr>
        <w:spacing w:after="0" w:line="240" w:lineRule="auto"/>
        <w:jc w:val="left"/>
      </w:pPr>
      <w:r>
        <w:t>Analysis of coefficient panel data regression:</w:t>
      </w:r>
    </w:p>
    <w:p w:rsidR="00256714" w:rsidRDefault="00256714" w:rsidP="00256714">
      <w:pPr>
        <w:spacing w:after="0" w:line="240" w:lineRule="auto"/>
        <w:jc w:val="left"/>
      </w:pPr>
      <w:proofErr w:type="gramStart"/>
      <w:r>
        <w:t>H</w:t>
      </w:r>
      <w:r w:rsidRPr="00256714">
        <w:rPr>
          <w:vertAlign w:val="subscript"/>
        </w:rPr>
        <w:t xml:space="preserve">a </w:t>
      </w:r>
      <w:r>
        <w:t>:</w:t>
      </w:r>
      <w:proofErr w:type="gramEnd"/>
      <w:r>
        <w:t xml:space="preserve"> model is true </w:t>
      </w:r>
    </w:p>
    <w:p w:rsidR="00A23D45" w:rsidRDefault="00256714" w:rsidP="00256714">
      <w:pPr>
        <w:spacing w:after="0" w:line="240" w:lineRule="auto"/>
        <w:jc w:val="left"/>
      </w:pPr>
      <w:proofErr w:type="gramStart"/>
      <w:r>
        <w:t>H</w:t>
      </w:r>
      <w:r w:rsidRPr="00256714">
        <w:rPr>
          <w:vertAlign w:val="subscript"/>
        </w:rPr>
        <w:t>0</w:t>
      </w:r>
      <w:r>
        <w:t xml:space="preserve"> :</w:t>
      </w:r>
      <w:proofErr w:type="gramEnd"/>
      <w:r>
        <w:t xml:space="preserve"> model is not true</w:t>
      </w:r>
    </w:p>
    <w:p w:rsidR="003E1A37" w:rsidRDefault="00256714" w:rsidP="00256714">
      <w:pPr>
        <w:spacing w:after="0" w:line="240" w:lineRule="auto"/>
        <w:jc w:val="left"/>
      </w:pPr>
      <w:r>
        <w:t>Criteria probability is less than 0.05</w:t>
      </w:r>
    </w:p>
    <w:p w:rsidR="00A23D45" w:rsidRDefault="00A23D45" w:rsidP="00256714">
      <w:pPr>
        <w:spacing w:after="0" w:line="240" w:lineRule="auto"/>
        <w:jc w:val="left"/>
      </w:pPr>
    </w:p>
    <w:p w:rsidR="00470846" w:rsidRDefault="003E1A37" w:rsidP="005C3442">
      <w:pPr>
        <w:pStyle w:val="ListParagraph"/>
        <w:numPr>
          <w:ilvl w:val="0"/>
          <w:numId w:val="9"/>
        </w:numPr>
        <w:spacing w:after="0" w:line="240" w:lineRule="auto"/>
        <w:jc w:val="both"/>
      </w:pPr>
      <w:r>
        <w:t>The effect of current ra</w:t>
      </w:r>
      <w:r w:rsidR="00470846">
        <w:t xml:space="preserve">tio on stock price obtained from </w:t>
      </w:r>
      <w:r w:rsidR="008C1C2D">
        <w:t>probability value is</w:t>
      </w:r>
      <w:r w:rsidR="004F529A">
        <w:t xml:space="preserve"> 0.06210 greater than the level of </w:t>
      </w:r>
      <w:r w:rsidR="00470846">
        <w:t>significance 0.05 means H</w:t>
      </w:r>
      <w:r w:rsidR="00470846" w:rsidRPr="00470846">
        <w:rPr>
          <w:vertAlign w:val="subscript"/>
        </w:rPr>
        <w:t>0</w:t>
      </w:r>
      <w:r w:rsidR="008C1C2D">
        <w:t xml:space="preserve"> </w:t>
      </w:r>
      <w:r w:rsidR="00470846">
        <w:t>is accepted and H</w:t>
      </w:r>
      <w:r w:rsidR="00470846" w:rsidRPr="00470846">
        <w:rPr>
          <w:vertAlign w:val="subscript"/>
        </w:rPr>
        <w:t>a</w:t>
      </w:r>
      <w:r w:rsidR="00470846">
        <w:t xml:space="preserve"> is rejected. This interpreted that current ratio does not effect to stock price of conventional taxi and bus companies in period 2013-2017.</w:t>
      </w:r>
    </w:p>
    <w:p w:rsidR="00A23D45" w:rsidRDefault="00A23D45" w:rsidP="00A23D45">
      <w:pPr>
        <w:pStyle w:val="ListParagraph"/>
        <w:spacing w:after="0" w:line="240" w:lineRule="auto"/>
        <w:jc w:val="both"/>
      </w:pPr>
    </w:p>
    <w:p w:rsidR="00CA1B4B" w:rsidRDefault="00470846" w:rsidP="00CA1B4B">
      <w:pPr>
        <w:pStyle w:val="ListParagraph"/>
        <w:numPr>
          <w:ilvl w:val="0"/>
          <w:numId w:val="9"/>
        </w:numPr>
        <w:spacing w:after="0" w:line="240" w:lineRule="auto"/>
        <w:jc w:val="both"/>
      </w:pPr>
      <w:r>
        <w:t>The effect of debt to equity ratio on stock price obtained from probability value is 0.2064 greater than the level of significance 0.05 means H</w:t>
      </w:r>
      <w:r w:rsidRPr="00470846">
        <w:rPr>
          <w:vertAlign w:val="subscript"/>
        </w:rPr>
        <w:t>0</w:t>
      </w:r>
      <w:r>
        <w:t xml:space="preserve"> is accepted and H</w:t>
      </w:r>
      <w:r w:rsidRPr="00470846">
        <w:rPr>
          <w:vertAlign w:val="subscript"/>
        </w:rPr>
        <w:t>a</w:t>
      </w:r>
      <w:r>
        <w:t xml:space="preserve"> is rejected. This </w:t>
      </w:r>
      <w:r>
        <w:lastRenderedPageBreak/>
        <w:t>interpreted that debt to equity ratio does not effect to stock price of conventional taxi and bus companies in period 2013-2017.</w:t>
      </w:r>
    </w:p>
    <w:p w:rsidR="00A23D45" w:rsidRDefault="00A23D45" w:rsidP="00A23D45">
      <w:pPr>
        <w:spacing w:after="0" w:line="240" w:lineRule="auto"/>
        <w:jc w:val="both"/>
      </w:pPr>
    </w:p>
    <w:p w:rsidR="00CA1B4B" w:rsidRDefault="00470846" w:rsidP="00CA1B4B">
      <w:pPr>
        <w:pStyle w:val="ListParagraph"/>
        <w:numPr>
          <w:ilvl w:val="0"/>
          <w:numId w:val="9"/>
        </w:numPr>
        <w:spacing w:after="0" w:line="240" w:lineRule="auto"/>
        <w:jc w:val="both"/>
      </w:pPr>
      <w:r>
        <w:t>The effect of return on asset on stock price obtained from probability value is 0.0516 greater than the level of significance 0.05 means H</w:t>
      </w:r>
      <w:r w:rsidRPr="00470846">
        <w:rPr>
          <w:vertAlign w:val="subscript"/>
        </w:rPr>
        <w:t>0</w:t>
      </w:r>
      <w:r>
        <w:t xml:space="preserve"> is accepted and H</w:t>
      </w:r>
      <w:r w:rsidRPr="00470846">
        <w:rPr>
          <w:vertAlign w:val="subscript"/>
        </w:rPr>
        <w:t>a</w:t>
      </w:r>
      <w:r>
        <w:t xml:space="preserve"> is rejected. This interpreted of return on asset does not effect to stock price of conventional taxi and bus companies in per</w:t>
      </w:r>
      <w:r w:rsidR="004371F3">
        <w:t>iod 2013-2017.</w:t>
      </w:r>
    </w:p>
    <w:p w:rsidR="00A23D45" w:rsidRDefault="00A23D45" w:rsidP="00A23D45">
      <w:pPr>
        <w:spacing w:after="0" w:line="240" w:lineRule="auto"/>
        <w:jc w:val="both"/>
      </w:pPr>
    </w:p>
    <w:p w:rsidR="00470846" w:rsidRDefault="00470846" w:rsidP="004371F3">
      <w:pPr>
        <w:pStyle w:val="ListParagraph"/>
        <w:numPr>
          <w:ilvl w:val="0"/>
          <w:numId w:val="9"/>
        </w:numPr>
        <w:spacing w:after="0" w:line="240" w:lineRule="auto"/>
        <w:jc w:val="both"/>
      </w:pPr>
      <w:r>
        <w:t xml:space="preserve">The </w:t>
      </w:r>
      <w:r w:rsidR="00797A4E">
        <w:t>effect of earning per share</w:t>
      </w:r>
      <w:r>
        <w:t xml:space="preserve"> on stock price obtained from probability value is</w:t>
      </w:r>
      <w:r w:rsidR="00797A4E">
        <w:t xml:space="preserve"> 0.0000 smalle</w:t>
      </w:r>
      <w:r>
        <w:t>r than the level of significance 0.05 means H</w:t>
      </w:r>
      <w:r w:rsidRPr="00470846">
        <w:rPr>
          <w:vertAlign w:val="subscript"/>
        </w:rPr>
        <w:t>0</w:t>
      </w:r>
      <w:r>
        <w:t xml:space="preserve"> </w:t>
      </w:r>
      <w:r w:rsidR="00797A4E">
        <w:t>is rejected</w:t>
      </w:r>
      <w:r>
        <w:t xml:space="preserve"> and H</w:t>
      </w:r>
      <w:r w:rsidRPr="00470846">
        <w:rPr>
          <w:vertAlign w:val="subscript"/>
        </w:rPr>
        <w:t>a</w:t>
      </w:r>
      <w:r>
        <w:t xml:space="preserve"> </w:t>
      </w:r>
      <w:r w:rsidR="00797A4E">
        <w:t>is accep</w:t>
      </w:r>
      <w:r>
        <w:t xml:space="preserve">ted. This interpreted that </w:t>
      </w:r>
      <w:r w:rsidR="00797A4E">
        <w:t xml:space="preserve">earning per share does </w:t>
      </w:r>
      <w:r w:rsidR="003263D2">
        <w:t>effe</w:t>
      </w:r>
      <w:r>
        <w:t>ct to stock price of conventional taxi and bu</w:t>
      </w:r>
      <w:r w:rsidR="007274F4">
        <w:t>s companies in period 2013-2017.</w:t>
      </w:r>
    </w:p>
    <w:p w:rsidR="005C3442" w:rsidRDefault="005C3442" w:rsidP="004371F3">
      <w:pPr>
        <w:spacing w:after="0" w:line="240" w:lineRule="auto"/>
        <w:jc w:val="both"/>
      </w:pPr>
    </w:p>
    <w:p w:rsidR="00470846" w:rsidRDefault="00797A4E" w:rsidP="00797A4E">
      <w:pPr>
        <w:spacing w:after="0" w:line="240" w:lineRule="auto"/>
        <w:jc w:val="left"/>
        <w:rPr>
          <w:b/>
        </w:rPr>
      </w:pPr>
      <w:r w:rsidRPr="00797A4E">
        <w:rPr>
          <w:b/>
        </w:rPr>
        <w:t xml:space="preserve">Conclusion </w:t>
      </w:r>
    </w:p>
    <w:p w:rsidR="004371F3" w:rsidRDefault="003263D2" w:rsidP="007E139F">
      <w:pPr>
        <w:spacing w:after="0" w:line="240" w:lineRule="auto"/>
        <w:ind w:firstLine="720"/>
        <w:jc w:val="both"/>
      </w:pPr>
      <w:r w:rsidRPr="003263D2">
        <w:t xml:space="preserve">Based on the analysis of current ratio; debt to equity ratio; return on asset; earning per share on stock price of conventional taxi and bus companies </w:t>
      </w:r>
      <w:r w:rsidR="004371F3">
        <w:t xml:space="preserve">listed in Indonesia Stock Exchange (IDX) </w:t>
      </w:r>
      <w:r w:rsidRPr="003263D2">
        <w:t>in per</w:t>
      </w:r>
      <w:r w:rsidR="004371F3">
        <w:t xml:space="preserve">iod 2013-2017 can be conclude as follows: 1) current ratio does not effect to stock price of conventional taxi and bus companies in period 2013-2017; 2) debt to equity ratio does not effect to stock price of conventional taxi and bus companies in period 2013-2017; 3) return on asset does not effect to stock price of conventional taxi and bus companies in period 2013-2017; 4) </w:t>
      </w:r>
      <w:proofErr w:type="spellStart"/>
      <w:r w:rsidR="004371F3">
        <w:t>earning</w:t>
      </w:r>
      <w:proofErr w:type="spellEnd"/>
      <w:r w:rsidR="004371F3">
        <w:t xml:space="preserve"> per share does  effect to stock price of conventional taxi and bus companies in period 2013-2017.</w:t>
      </w:r>
    </w:p>
    <w:p w:rsidR="004371F3" w:rsidRDefault="004371F3" w:rsidP="004371F3">
      <w:pPr>
        <w:spacing w:after="0" w:line="240" w:lineRule="auto"/>
        <w:jc w:val="both"/>
      </w:pPr>
    </w:p>
    <w:p w:rsidR="007274F4" w:rsidRPr="007E139F" w:rsidRDefault="007E139F" w:rsidP="004371F3">
      <w:pPr>
        <w:spacing w:after="0" w:line="240" w:lineRule="auto"/>
        <w:jc w:val="both"/>
        <w:rPr>
          <w:b/>
        </w:rPr>
      </w:pPr>
      <w:r w:rsidRPr="007E139F">
        <w:rPr>
          <w:b/>
        </w:rPr>
        <w:t xml:space="preserve">BIBLIOGRAPHY </w:t>
      </w:r>
    </w:p>
    <w:p w:rsidR="007274F4" w:rsidRDefault="007274F4" w:rsidP="007274F4">
      <w:pPr>
        <w:pStyle w:val="Heading1"/>
        <w:ind w:left="0"/>
        <w:jc w:val="left"/>
      </w:pPr>
    </w:p>
    <w:p w:rsidR="007E139F" w:rsidRDefault="007274F4" w:rsidP="00A23D45">
      <w:pPr>
        <w:spacing w:after="0" w:line="240" w:lineRule="auto"/>
        <w:ind w:left="550" w:hanging="550"/>
        <w:jc w:val="both"/>
        <w:rPr>
          <w:color w:val="222222"/>
          <w:szCs w:val="24"/>
          <w:shd w:val="clear" w:color="auto" w:fill="FFFFFF"/>
        </w:rPr>
      </w:pPr>
      <w:proofErr w:type="spellStart"/>
      <w:proofErr w:type="gramStart"/>
      <w:r w:rsidRPr="00506FE5">
        <w:rPr>
          <w:color w:val="222222"/>
          <w:szCs w:val="24"/>
          <w:shd w:val="clear" w:color="auto" w:fill="FFFFFF"/>
        </w:rPr>
        <w:t>Adipalguna</w:t>
      </w:r>
      <w:proofErr w:type="spellEnd"/>
      <w:r w:rsidRPr="00506FE5">
        <w:rPr>
          <w:color w:val="222222"/>
          <w:szCs w:val="24"/>
          <w:shd w:val="clear" w:color="auto" w:fill="FFFFFF"/>
        </w:rPr>
        <w:t xml:space="preserve">, I. S., &amp; </w:t>
      </w:r>
      <w:proofErr w:type="spellStart"/>
      <w:r w:rsidRPr="00506FE5">
        <w:rPr>
          <w:color w:val="222222"/>
          <w:szCs w:val="24"/>
          <w:shd w:val="clear" w:color="auto" w:fill="FFFFFF"/>
        </w:rPr>
        <w:t>Suarjaya</w:t>
      </w:r>
      <w:proofErr w:type="spellEnd"/>
      <w:r w:rsidRPr="00506FE5">
        <w:rPr>
          <w:color w:val="222222"/>
          <w:szCs w:val="24"/>
          <w:shd w:val="clear" w:color="auto" w:fill="FFFFFF"/>
        </w:rPr>
        <w:t>, A. A. G. (2016).</w:t>
      </w:r>
      <w:proofErr w:type="gramEnd"/>
      <w:r w:rsidRPr="00506FE5">
        <w:rPr>
          <w:color w:val="222222"/>
          <w:szCs w:val="24"/>
          <w:shd w:val="clear" w:color="auto" w:fill="FFFFFF"/>
        </w:rPr>
        <w:t xml:space="preserve"> </w:t>
      </w:r>
      <w:proofErr w:type="spellStart"/>
      <w:proofErr w:type="gramStart"/>
      <w:r w:rsidRPr="00506FE5">
        <w:rPr>
          <w:color w:val="222222"/>
          <w:szCs w:val="24"/>
          <w:shd w:val="clear" w:color="auto" w:fill="FFFFFF"/>
        </w:rPr>
        <w:t>Pengaruh</w:t>
      </w:r>
      <w:proofErr w:type="spellEnd"/>
      <w:r w:rsidRPr="00506FE5">
        <w:rPr>
          <w:color w:val="222222"/>
          <w:szCs w:val="24"/>
          <w:shd w:val="clear" w:color="auto" w:fill="FFFFFF"/>
        </w:rPr>
        <w:t xml:space="preserve"> </w:t>
      </w:r>
      <w:proofErr w:type="spellStart"/>
      <w:r w:rsidRPr="00506FE5">
        <w:rPr>
          <w:color w:val="222222"/>
          <w:szCs w:val="24"/>
          <w:shd w:val="clear" w:color="auto" w:fill="FFFFFF"/>
        </w:rPr>
        <w:t>Likuiditas</w:t>
      </w:r>
      <w:proofErr w:type="spellEnd"/>
      <w:r w:rsidRPr="00506FE5">
        <w:rPr>
          <w:color w:val="222222"/>
          <w:szCs w:val="24"/>
          <w:shd w:val="clear" w:color="auto" w:fill="FFFFFF"/>
        </w:rPr>
        <w:t xml:space="preserve">, </w:t>
      </w:r>
      <w:proofErr w:type="spellStart"/>
      <w:r w:rsidRPr="00506FE5">
        <w:rPr>
          <w:color w:val="222222"/>
          <w:szCs w:val="24"/>
          <w:shd w:val="clear" w:color="auto" w:fill="FFFFFF"/>
        </w:rPr>
        <w:t>Solvabilitas</w:t>
      </w:r>
      <w:proofErr w:type="spellEnd"/>
      <w:r w:rsidRPr="00506FE5">
        <w:rPr>
          <w:color w:val="222222"/>
          <w:szCs w:val="24"/>
          <w:shd w:val="clear" w:color="auto" w:fill="FFFFFF"/>
        </w:rPr>
        <w:t xml:space="preserve">, </w:t>
      </w:r>
      <w:proofErr w:type="spellStart"/>
      <w:r w:rsidRPr="00506FE5">
        <w:rPr>
          <w:color w:val="222222"/>
          <w:szCs w:val="24"/>
          <w:shd w:val="clear" w:color="auto" w:fill="FFFFFF"/>
        </w:rPr>
        <w:t>Aktivitas</w:t>
      </w:r>
      <w:proofErr w:type="spellEnd"/>
      <w:r w:rsidRPr="00506FE5">
        <w:rPr>
          <w:color w:val="222222"/>
          <w:szCs w:val="24"/>
          <w:shd w:val="clear" w:color="auto" w:fill="FFFFFF"/>
        </w:rPr>
        <w:t xml:space="preserve">,  </w:t>
      </w:r>
      <w:r>
        <w:rPr>
          <w:color w:val="222222"/>
          <w:szCs w:val="24"/>
          <w:shd w:val="clear" w:color="auto" w:fill="FFFFFF"/>
        </w:rPr>
        <w:t xml:space="preserve">  </w:t>
      </w:r>
      <w:proofErr w:type="spellStart"/>
      <w:r w:rsidRPr="00506FE5">
        <w:rPr>
          <w:color w:val="222222"/>
          <w:szCs w:val="24"/>
          <w:shd w:val="clear" w:color="auto" w:fill="FFFFFF"/>
        </w:rPr>
        <w:t>Profitabilitas</w:t>
      </w:r>
      <w:proofErr w:type="spellEnd"/>
      <w:r w:rsidRPr="00506FE5">
        <w:rPr>
          <w:color w:val="222222"/>
          <w:szCs w:val="24"/>
          <w:shd w:val="clear" w:color="auto" w:fill="FFFFFF"/>
        </w:rPr>
        <w:t xml:space="preserve">, Dan </w:t>
      </w:r>
      <w:proofErr w:type="spellStart"/>
      <w:r w:rsidRPr="00506FE5">
        <w:rPr>
          <w:color w:val="222222"/>
          <w:szCs w:val="24"/>
          <w:shd w:val="clear" w:color="auto" w:fill="FFFFFF"/>
        </w:rPr>
        <w:t>Penilaian</w:t>
      </w:r>
      <w:proofErr w:type="spellEnd"/>
      <w:r w:rsidRPr="00506FE5">
        <w:rPr>
          <w:color w:val="222222"/>
          <w:szCs w:val="24"/>
          <w:shd w:val="clear" w:color="auto" w:fill="FFFFFF"/>
        </w:rPr>
        <w:t xml:space="preserve"> </w:t>
      </w:r>
      <w:proofErr w:type="spellStart"/>
      <w:r w:rsidRPr="00506FE5">
        <w:rPr>
          <w:color w:val="222222"/>
          <w:szCs w:val="24"/>
          <w:shd w:val="clear" w:color="auto" w:fill="FFFFFF"/>
        </w:rPr>
        <w:t>Pasar</w:t>
      </w:r>
      <w:proofErr w:type="spellEnd"/>
      <w:r w:rsidRPr="00506FE5">
        <w:rPr>
          <w:color w:val="222222"/>
          <w:szCs w:val="24"/>
          <w:shd w:val="clear" w:color="auto" w:fill="FFFFFF"/>
        </w:rPr>
        <w:t xml:space="preserve"> </w:t>
      </w:r>
      <w:proofErr w:type="spellStart"/>
      <w:r w:rsidRPr="00506FE5">
        <w:rPr>
          <w:color w:val="222222"/>
          <w:szCs w:val="24"/>
          <w:shd w:val="clear" w:color="auto" w:fill="FFFFFF"/>
        </w:rPr>
        <w:t>Terhadap</w:t>
      </w:r>
      <w:proofErr w:type="spellEnd"/>
      <w:r w:rsidRPr="00506FE5">
        <w:rPr>
          <w:color w:val="222222"/>
          <w:szCs w:val="24"/>
          <w:shd w:val="clear" w:color="auto" w:fill="FFFFFF"/>
        </w:rPr>
        <w:t xml:space="preserve"> </w:t>
      </w:r>
      <w:proofErr w:type="spellStart"/>
      <w:r w:rsidRPr="00506FE5">
        <w:rPr>
          <w:color w:val="222222"/>
          <w:szCs w:val="24"/>
          <w:shd w:val="clear" w:color="auto" w:fill="FFFFFF"/>
        </w:rPr>
        <w:t>Harga</w:t>
      </w:r>
      <w:proofErr w:type="spellEnd"/>
      <w:r w:rsidRPr="00506FE5">
        <w:rPr>
          <w:color w:val="222222"/>
          <w:szCs w:val="24"/>
          <w:shd w:val="clear" w:color="auto" w:fill="FFFFFF"/>
        </w:rPr>
        <w:t xml:space="preserve"> </w:t>
      </w:r>
      <w:proofErr w:type="spellStart"/>
      <w:r w:rsidRPr="00506FE5">
        <w:rPr>
          <w:color w:val="222222"/>
          <w:szCs w:val="24"/>
          <w:shd w:val="clear" w:color="auto" w:fill="FFFFFF"/>
        </w:rPr>
        <w:t>Saham</w:t>
      </w:r>
      <w:proofErr w:type="spellEnd"/>
      <w:r w:rsidRPr="00506FE5">
        <w:rPr>
          <w:color w:val="222222"/>
          <w:szCs w:val="24"/>
          <w:shd w:val="clear" w:color="auto" w:fill="FFFFFF"/>
        </w:rPr>
        <w:t xml:space="preserve"> Perusahaan LQ45 di BEI.</w:t>
      </w:r>
      <w:proofErr w:type="gramEnd"/>
      <w:r w:rsidRPr="00506FE5">
        <w:rPr>
          <w:color w:val="222222"/>
          <w:szCs w:val="24"/>
          <w:shd w:val="clear" w:color="auto" w:fill="FFFFFF"/>
        </w:rPr>
        <w:t> </w:t>
      </w:r>
      <w:r w:rsidRPr="00506FE5">
        <w:rPr>
          <w:i/>
          <w:iCs/>
          <w:color w:val="222222"/>
          <w:szCs w:val="24"/>
          <w:shd w:val="clear" w:color="auto" w:fill="FFFFFF"/>
        </w:rPr>
        <w:t>E-</w:t>
      </w:r>
      <w:proofErr w:type="spellStart"/>
      <w:r w:rsidRPr="00506FE5">
        <w:rPr>
          <w:i/>
          <w:iCs/>
          <w:color w:val="222222"/>
          <w:szCs w:val="24"/>
          <w:shd w:val="clear" w:color="auto" w:fill="FFFFFF"/>
        </w:rPr>
        <w:t>Jurnal</w:t>
      </w:r>
      <w:proofErr w:type="spellEnd"/>
      <w:r w:rsidRPr="00506FE5">
        <w:rPr>
          <w:i/>
          <w:iCs/>
          <w:color w:val="222222"/>
          <w:szCs w:val="24"/>
          <w:shd w:val="clear" w:color="auto" w:fill="FFFFFF"/>
        </w:rPr>
        <w:t xml:space="preserve"> </w:t>
      </w:r>
      <w:proofErr w:type="spellStart"/>
      <w:r w:rsidRPr="00506FE5">
        <w:rPr>
          <w:i/>
          <w:iCs/>
          <w:color w:val="222222"/>
          <w:szCs w:val="24"/>
          <w:shd w:val="clear" w:color="auto" w:fill="FFFFFF"/>
        </w:rPr>
        <w:t>Manajemen</w:t>
      </w:r>
      <w:proofErr w:type="spellEnd"/>
      <w:r w:rsidRPr="00506FE5">
        <w:rPr>
          <w:color w:val="222222"/>
          <w:szCs w:val="24"/>
          <w:shd w:val="clear" w:color="auto" w:fill="FFFFFF"/>
        </w:rPr>
        <w:t>, </w:t>
      </w:r>
      <w:r w:rsidRPr="00506FE5">
        <w:rPr>
          <w:i/>
          <w:iCs/>
          <w:color w:val="222222"/>
          <w:szCs w:val="24"/>
          <w:shd w:val="clear" w:color="auto" w:fill="FFFFFF"/>
        </w:rPr>
        <w:t>5</w:t>
      </w:r>
      <w:r w:rsidRPr="00506FE5">
        <w:rPr>
          <w:color w:val="222222"/>
          <w:szCs w:val="24"/>
          <w:shd w:val="clear" w:color="auto" w:fill="FFFFFF"/>
        </w:rPr>
        <w:t>(12)</w:t>
      </w:r>
    </w:p>
    <w:p w:rsidR="00A23D45" w:rsidRDefault="00A23D45" w:rsidP="00A23D45">
      <w:pPr>
        <w:spacing w:after="0" w:line="240" w:lineRule="auto"/>
        <w:ind w:left="550" w:hanging="550"/>
        <w:jc w:val="both"/>
        <w:rPr>
          <w:color w:val="222222"/>
          <w:szCs w:val="24"/>
          <w:shd w:val="clear" w:color="auto" w:fill="FFFFFF"/>
        </w:rPr>
      </w:pPr>
    </w:p>
    <w:p w:rsidR="00A23D45" w:rsidRPr="002424E5" w:rsidRDefault="00A23D45" w:rsidP="00A23D45">
      <w:pPr>
        <w:spacing w:after="0" w:line="240" w:lineRule="auto"/>
        <w:ind w:left="550" w:hanging="550"/>
        <w:jc w:val="both"/>
        <w:rPr>
          <w:i/>
          <w:color w:val="222222"/>
          <w:szCs w:val="24"/>
          <w:shd w:val="clear" w:color="auto" w:fill="FFFFFF"/>
        </w:rPr>
      </w:pPr>
      <w:proofErr w:type="gramStart"/>
      <w:r>
        <w:rPr>
          <w:color w:val="222222"/>
          <w:szCs w:val="24"/>
          <w:shd w:val="clear" w:color="auto" w:fill="FFFFFF"/>
        </w:rPr>
        <w:t>Brigham, E., &amp; Houston</w:t>
      </w:r>
      <w:r w:rsidR="00636AE2">
        <w:rPr>
          <w:color w:val="222222"/>
          <w:szCs w:val="24"/>
          <w:shd w:val="clear" w:color="auto" w:fill="FFFFFF"/>
        </w:rPr>
        <w:t>, J.F. (2012</w:t>
      </w:r>
      <w:r>
        <w:rPr>
          <w:color w:val="222222"/>
          <w:szCs w:val="24"/>
          <w:shd w:val="clear" w:color="auto" w:fill="FFFFFF"/>
        </w:rPr>
        <w:t>)</w:t>
      </w:r>
      <w:r w:rsidR="00636AE2">
        <w:rPr>
          <w:color w:val="222222"/>
          <w:szCs w:val="24"/>
          <w:shd w:val="clear" w:color="auto" w:fill="FFFFFF"/>
        </w:rPr>
        <w:t>.</w:t>
      </w:r>
      <w:proofErr w:type="gramEnd"/>
      <w:r w:rsidR="00636AE2">
        <w:rPr>
          <w:color w:val="222222"/>
          <w:szCs w:val="24"/>
          <w:shd w:val="clear" w:color="auto" w:fill="FFFFFF"/>
        </w:rPr>
        <w:t xml:space="preserve"> </w:t>
      </w:r>
      <w:proofErr w:type="gramStart"/>
      <w:r w:rsidR="00636AE2">
        <w:rPr>
          <w:color w:val="222222"/>
          <w:szCs w:val="24"/>
          <w:shd w:val="clear" w:color="auto" w:fill="FFFFFF"/>
        </w:rPr>
        <w:t>Fundamentals of financial management.</w:t>
      </w:r>
      <w:proofErr w:type="gramEnd"/>
      <w:r w:rsidR="00636AE2">
        <w:rPr>
          <w:color w:val="222222"/>
          <w:szCs w:val="24"/>
          <w:shd w:val="clear" w:color="auto" w:fill="FFFFFF"/>
        </w:rPr>
        <w:t xml:space="preserve"> </w:t>
      </w:r>
      <w:proofErr w:type="spellStart"/>
      <w:r w:rsidR="00636AE2">
        <w:rPr>
          <w:color w:val="222222"/>
          <w:szCs w:val="24"/>
          <w:shd w:val="clear" w:color="auto" w:fill="FFFFFF"/>
        </w:rPr>
        <w:t>Cengage</w:t>
      </w:r>
      <w:proofErr w:type="spellEnd"/>
      <w:r w:rsidR="00636AE2">
        <w:rPr>
          <w:color w:val="222222"/>
          <w:szCs w:val="24"/>
          <w:shd w:val="clear" w:color="auto" w:fill="FFFFFF"/>
        </w:rPr>
        <w:t xml:space="preserve"> Learning.</w:t>
      </w:r>
    </w:p>
    <w:p w:rsidR="00A23D45" w:rsidRPr="002424E5" w:rsidRDefault="00A23D45" w:rsidP="00A23D45">
      <w:pPr>
        <w:spacing w:after="0" w:line="240" w:lineRule="auto"/>
        <w:ind w:left="550" w:hanging="550"/>
        <w:jc w:val="both"/>
        <w:rPr>
          <w:i/>
          <w:color w:val="222222"/>
          <w:szCs w:val="24"/>
          <w:shd w:val="clear" w:color="auto" w:fill="FFFFFF"/>
        </w:rPr>
      </w:pPr>
    </w:p>
    <w:p w:rsidR="00A23D45" w:rsidRPr="00A23D45" w:rsidRDefault="00A23D45" w:rsidP="00A23D45">
      <w:pPr>
        <w:spacing w:after="0" w:line="240" w:lineRule="auto"/>
        <w:ind w:left="550" w:hanging="550"/>
        <w:jc w:val="both"/>
        <w:rPr>
          <w:i/>
          <w:color w:val="222222"/>
          <w:szCs w:val="24"/>
          <w:shd w:val="clear" w:color="auto" w:fill="FFFFFF"/>
        </w:rPr>
      </w:pPr>
      <w:r>
        <w:rPr>
          <w:color w:val="222222"/>
          <w:szCs w:val="24"/>
          <w:shd w:val="clear" w:color="auto" w:fill="FFFFFF"/>
        </w:rPr>
        <w:t xml:space="preserve">Gujarati, D.N., &amp; Porter, D.C. (2012) </w:t>
      </w:r>
      <w:proofErr w:type="spellStart"/>
      <w:r>
        <w:rPr>
          <w:color w:val="222222"/>
          <w:szCs w:val="24"/>
          <w:shd w:val="clear" w:color="auto" w:fill="FFFFFF"/>
        </w:rPr>
        <w:t>Dasar-Dasar</w:t>
      </w:r>
      <w:proofErr w:type="spellEnd"/>
      <w:r>
        <w:rPr>
          <w:color w:val="222222"/>
          <w:szCs w:val="24"/>
          <w:shd w:val="clear" w:color="auto" w:fill="FFFFFF"/>
        </w:rPr>
        <w:t xml:space="preserve"> </w:t>
      </w:r>
      <w:proofErr w:type="spellStart"/>
      <w:r>
        <w:rPr>
          <w:color w:val="222222"/>
          <w:szCs w:val="24"/>
          <w:shd w:val="clear" w:color="auto" w:fill="FFFFFF"/>
        </w:rPr>
        <w:t>Ekonometrika</w:t>
      </w:r>
      <w:proofErr w:type="spellEnd"/>
      <w:r>
        <w:rPr>
          <w:color w:val="222222"/>
          <w:szCs w:val="24"/>
          <w:shd w:val="clear" w:color="auto" w:fill="FFFFFF"/>
        </w:rPr>
        <w:t xml:space="preserve">, </w:t>
      </w:r>
      <w:proofErr w:type="spellStart"/>
      <w:r>
        <w:rPr>
          <w:color w:val="222222"/>
          <w:szCs w:val="24"/>
          <w:shd w:val="clear" w:color="auto" w:fill="FFFFFF"/>
        </w:rPr>
        <w:t>Edisi</w:t>
      </w:r>
      <w:proofErr w:type="spellEnd"/>
      <w:r>
        <w:rPr>
          <w:color w:val="222222"/>
          <w:szCs w:val="24"/>
          <w:shd w:val="clear" w:color="auto" w:fill="FFFFFF"/>
        </w:rPr>
        <w:t xml:space="preserve"> 5. </w:t>
      </w:r>
      <w:r w:rsidRPr="00A23D45">
        <w:rPr>
          <w:i/>
          <w:color w:val="222222"/>
          <w:szCs w:val="24"/>
          <w:shd w:val="clear" w:color="auto" w:fill="FFFFFF"/>
        </w:rPr>
        <w:t xml:space="preserve">Jakarta: </w:t>
      </w:r>
      <w:proofErr w:type="spellStart"/>
      <w:r w:rsidRPr="00A23D45">
        <w:rPr>
          <w:i/>
          <w:color w:val="222222"/>
          <w:szCs w:val="24"/>
          <w:shd w:val="clear" w:color="auto" w:fill="FFFFFF"/>
        </w:rPr>
        <w:t>Salemba</w:t>
      </w:r>
      <w:proofErr w:type="spellEnd"/>
      <w:r w:rsidRPr="00A23D45">
        <w:rPr>
          <w:i/>
          <w:color w:val="222222"/>
          <w:szCs w:val="24"/>
          <w:shd w:val="clear" w:color="auto" w:fill="FFFFFF"/>
        </w:rPr>
        <w:t xml:space="preserve"> </w:t>
      </w:r>
      <w:proofErr w:type="spellStart"/>
      <w:r w:rsidRPr="00A23D45">
        <w:rPr>
          <w:i/>
          <w:color w:val="222222"/>
          <w:szCs w:val="24"/>
          <w:shd w:val="clear" w:color="auto" w:fill="FFFFFF"/>
        </w:rPr>
        <w:t>Empat</w:t>
      </w:r>
      <w:proofErr w:type="spellEnd"/>
      <w:r w:rsidRPr="00A23D45">
        <w:rPr>
          <w:i/>
          <w:color w:val="222222"/>
          <w:szCs w:val="24"/>
          <w:shd w:val="clear" w:color="auto" w:fill="FFFFFF"/>
        </w:rPr>
        <w:t xml:space="preserve"> </w:t>
      </w:r>
    </w:p>
    <w:p w:rsidR="00A23D45" w:rsidRDefault="00A23D45" w:rsidP="00A23D45">
      <w:pPr>
        <w:spacing w:after="0" w:line="240" w:lineRule="auto"/>
        <w:ind w:left="550" w:hanging="550"/>
        <w:jc w:val="both"/>
        <w:rPr>
          <w:color w:val="222222"/>
          <w:szCs w:val="24"/>
          <w:shd w:val="clear" w:color="auto" w:fill="FFFFFF"/>
        </w:rPr>
      </w:pPr>
    </w:p>
    <w:p w:rsidR="00A23D45" w:rsidRDefault="00A23D45" w:rsidP="00A23D45">
      <w:pPr>
        <w:spacing w:after="0" w:line="240" w:lineRule="auto"/>
        <w:ind w:left="550" w:hanging="550"/>
        <w:jc w:val="both"/>
        <w:rPr>
          <w:color w:val="222222"/>
          <w:szCs w:val="24"/>
          <w:shd w:val="clear" w:color="auto" w:fill="FFFFFF"/>
        </w:rPr>
      </w:pPr>
      <w:proofErr w:type="spellStart"/>
      <w:proofErr w:type="gramStart"/>
      <w:r>
        <w:rPr>
          <w:color w:val="222222"/>
          <w:szCs w:val="24"/>
          <w:shd w:val="clear" w:color="auto" w:fill="FFFFFF"/>
        </w:rPr>
        <w:t>Darmadji</w:t>
      </w:r>
      <w:proofErr w:type="spellEnd"/>
      <w:r>
        <w:rPr>
          <w:color w:val="222222"/>
          <w:szCs w:val="24"/>
          <w:shd w:val="clear" w:color="auto" w:fill="FFFFFF"/>
        </w:rPr>
        <w:t xml:space="preserve">, T., &amp; </w:t>
      </w:r>
      <w:proofErr w:type="spellStart"/>
      <w:r>
        <w:rPr>
          <w:color w:val="222222"/>
          <w:szCs w:val="24"/>
          <w:shd w:val="clear" w:color="auto" w:fill="FFFFFF"/>
        </w:rPr>
        <w:t>Fakhruddin</w:t>
      </w:r>
      <w:proofErr w:type="spellEnd"/>
      <w:r>
        <w:rPr>
          <w:color w:val="222222"/>
          <w:szCs w:val="24"/>
          <w:shd w:val="clear" w:color="auto" w:fill="FFFFFF"/>
        </w:rPr>
        <w:t>, H.M. (2012).</w:t>
      </w:r>
      <w:proofErr w:type="gramEnd"/>
      <w:r>
        <w:rPr>
          <w:color w:val="222222"/>
          <w:szCs w:val="24"/>
          <w:shd w:val="clear" w:color="auto" w:fill="FFFFFF"/>
        </w:rPr>
        <w:t xml:space="preserve"> </w:t>
      </w:r>
      <w:proofErr w:type="spellStart"/>
      <w:r w:rsidRPr="00A23D45">
        <w:rPr>
          <w:i/>
          <w:color w:val="222222"/>
          <w:szCs w:val="24"/>
          <w:shd w:val="clear" w:color="auto" w:fill="FFFFFF"/>
        </w:rPr>
        <w:t>Pasar</w:t>
      </w:r>
      <w:proofErr w:type="spellEnd"/>
      <w:r w:rsidRPr="00A23D45">
        <w:rPr>
          <w:i/>
          <w:color w:val="222222"/>
          <w:szCs w:val="24"/>
          <w:shd w:val="clear" w:color="auto" w:fill="FFFFFF"/>
        </w:rPr>
        <w:t xml:space="preserve"> modal di </w:t>
      </w:r>
      <w:proofErr w:type="spellStart"/>
      <w:proofErr w:type="gramStart"/>
      <w:r w:rsidRPr="00A23D45">
        <w:rPr>
          <w:i/>
          <w:color w:val="222222"/>
          <w:szCs w:val="24"/>
          <w:shd w:val="clear" w:color="auto" w:fill="FFFFFF"/>
        </w:rPr>
        <w:t>indonesia</w:t>
      </w:r>
      <w:proofErr w:type="spellEnd"/>
      <w:proofErr w:type="gramEnd"/>
      <w:r w:rsidRPr="00A23D45">
        <w:rPr>
          <w:i/>
          <w:color w:val="222222"/>
          <w:szCs w:val="24"/>
          <w:shd w:val="clear" w:color="auto" w:fill="FFFFFF"/>
        </w:rPr>
        <w:t xml:space="preserve"> </w:t>
      </w:r>
      <w:proofErr w:type="spellStart"/>
      <w:r w:rsidRPr="00A23D45">
        <w:rPr>
          <w:i/>
          <w:color w:val="222222"/>
          <w:szCs w:val="24"/>
          <w:shd w:val="clear" w:color="auto" w:fill="FFFFFF"/>
        </w:rPr>
        <w:t>pendekatan</w:t>
      </w:r>
      <w:proofErr w:type="spellEnd"/>
      <w:r w:rsidRPr="00A23D45">
        <w:rPr>
          <w:i/>
          <w:color w:val="222222"/>
          <w:szCs w:val="24"/>
          <w:shd w:val="clear" w:color="auto" w:fill="FFFFFF"/>
        </w:rPr>
        <w:t xml:space="preserve"> </w:t>
      </w:r>
      <w:proofErr w:type="spellStart"/>
      <w:r w:rsidRPr="00A23D45">
        <w:rPr>
          <w:i/>
          <w:color w:val="222222"/>
          <w:szCs w:val="24"/>
          <w:shd w:val="clear" w:color="auto" w:fill="FFFFFF"/>
        </w:rPr>
        <w:t>tanya</w:t>
      </w:r>
      <w:proofErr w:type="spellEnd"/>
      <w:r w:rsidRPr="00A23D45">
        <w:rPr>
          <w:i/>
          <w:color w:val="222222"/>
          <w:szCs w:val="24"/>
          <w:shd w:val="clear" w:color="auto" w:fill="FFFFFF"/>
        </w:rPr>
        <w:t xml:space="preserve"> </w:t>
      </w:r>
      <w:proofErr w:type="spellStart"/>
      <w:r w:rsidRPr="00A23D45">
        <w:rPr>
          <w:i/>
          <w:color w:val="222222"/>
          <w:szCs w:val="24"/>
          <w:shd w:val="clear" w:color="auto" w:fill="FFFFFF"/>
        </w:rPr>
        <w:t>jawab</w:t>
      </w:r>
      <w:proofErr w:type="spellEnd"/>
      <w:r w:rsidRPr="00A23D45">
        <w:rPr>
          <w:i/>
          <w:color w:val="222222"/>
          <w:szCs w:val="24"/>
          <w:shd w:val="clear" w:color="auto" w:fill="FFFFFF"/>
        </w:rPr>
        <w:t>.</w:t>
      </w:r>
      <w:r>
        <w:rPr>
          <w:color w:val="222222"/>
          <w:szCs w:val="24"/>
          <w:shd w:val="clear" w:color="auto" w:fill="FFFFFF"/>
        </w:rPr>
        <w:t xml:space="preserve"> </w:t>
      </w:r>
      <w:proofErr w:type="spellStart"/>
      <w:r>
        <w:rPr>
          <w:color w:val="222222"/>
          <w:szCs w:val="24"/>
          <w:shd w:val="clear" w:color="auto" w:fill="FFFFFF"/>
        </w:rPr>
        <w:t>Salemba</w:t>
      </w:r>
      <w:proofErr w:type="spellEnd"/>
      <w:r>
        <w:rPr>
          <w:color w:val="222222"/>
          <w:szCs w:val="24"/>
          <w:shd w:val="clear" w:color="auto" w:fill="FFFFFF"/>
        </w:rPr>
        <w:t xml:space="preserve"> </w:t>
      </w:r>
      <w:proofErr w:type="spellStart"/>
      <w:r>
        <w:rPr>
          <w:color w:val="222222"/>
          <w:szCs w:val="24"/>
          <w:shd w:val="clear" w:color="auto" w:fill="FFFFFF"/>
        </w:rPr>
        <w:t>Empat</w:t>
      </w:r>
      <w:proofErr w:type="spellEnd"/>
      <w:r>
        <w:rPr>
          <w:color w:val="222222"/>
          <w:szCs w:val="24"/>
          <w:shd w:val="clear" w:color="auto" w:fill="FFFFFF"/>
        </w:rPr>
        <w:t>.</w:t>
      </w:r>
    </w:p>
    <w:p w:rsidR="00A23D45" w:rsidRPr="00506FE5" w:rsidRDefault="00A23D45" w:rsidP="00A23D45">
      <w:pPr>
        <w:spacing w:after="0" w:line="240" w:lineRule="auto"/>
        <w:ind w:left="550" w:hanging="550"/>
        <w:jc w:val="both"/>
        <w:rPr>
          <w:color w:val="222222"/>
          <w:szCs w:val="24"/>
          <w:shd w:val="clear" w:color="auto" w:fill="FFFFFF"/>
        </w:rPr>
      </w:pPr>
    </w:p>
    <w:p w:rsidR="007274F4" w:rsidRDefault="007274F4" w:rsidP="007274F4">
      <w:pPr>
        <w:spacing w:after="0" w:line="240" w:lineRule="auto"/>
        <w:ind w:left="550" w:hanging="550"/>
        <w:jc w:val="both"/>
        <w:rPr>
          <w:rFonts w:cs="Times New Roman"/>
          <w:color w:val="222222"/>
          <w:szCs w:val="24"/>
          <w:shd w:val="clear" w:color="auto" w:fill="FFFFFF"/>
        </w:rPr>
      </w:pPr>
      <w:proofErr w:type="spellStart"/>
      <w:proofErr w:type="gramStart"/>
      <w:r w:rsidRPr="008B320A">
        <w:rPr>
          <w:rFonts w:cs="Times New Roman"/>
          <w:color w:val="222222"/>
          <w:szCs w:val="24"/>
          <w:shd w:val="clear" w:color="auto" w:fill="FFFFFF"/>
        </w:rPr>
        <w:t>Hanafi</w:t>
      </w:r>
      <w:proofErr w:type="spellEnd"/>
      <w:r w:rsidRPr="008B320A">
        <w:rPr>
          <w:rFonts w:cs="Times New Roman"/>
          <w:color w:val="222222"/>
          <w:szCs w:val="24"/>
          <w:shd w:val="clear" w:color="auto" w:fill="FFFFFF"/>
        </w:rPr>
        <w:t xml:space="preserve">, M. M., &amp; </w:t>
      </w:r>
      <w:proofErr w:type="spellStart"/>
      <w:r w:rsidRPr="008B320A">
        <w:rPr>
          <w:rFonts w:cs="Times New Roman"/>
          <w:color w:val="222222"/>
          <w:szCs w:val="24"/>
          <w:shd w:val="clear" w:color="auto" w:fill="FFFFFF"/>
        </w:rPr>
        <w:t>Halim</w:t>
      </w:r>
      <w:proofErr w:type="spellEnd"/>
      <w:r w:rsidRPr="008B320A">
        <w:rPr>
          <w:rFonts w:cs="Times New Roman"/>
          <w:color w:val="222222"/>
          <w:szCs w:val="24"/>
          <w:shd w:val="clear" w:color="auto" w:fill="FFFFFF"/>
        </w:rPr>
        <w:t>, A. (2009).</w:t>
      </w:r>
      <w:proofErr w:type="gram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Analisis</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Laporan</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Keuangan</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Edisi</w:t>
      </w:r>
      <w:proofErr w:type="spellEnd"/>
      <w:r w:rsidRPr="008B320A">
        <w:rPr>
          <w:rFonts w:cs="Times New Roman"/>
          <w:color w:val="222222"/>
          <w:szCs w:val="24"/>
          <w:shd w:val="clear" w:color="auto" w:fill="FFFFFF"/>
        </w:rPr>
        <w:t xml:space="preserve"> 4). </w:t>
      </w:r>
      <w:r w:rsidRPr="008B320A">
        <w:rPr>
          <w:rFonts w:cs="Times New Roman"/>
          <w:i/>
          <w:iCs/>
          <w:color w:val="222222"/>
          <w:szCs w:val="24"/>
          <w:shd w:val="clear" w:color="auto" w:fill="FFFFFF"/>
        </w:rPr>
        <w:t xml:space="preserve">Yogyakarta: Unit </w:t>
      </w:r>
      <w:proofErr w:type="spellStart"/>
      <w:r w:rsidRPr="008B320A">
        <w:rPr>
          <w:rFonts w:cs="Times New Roman"/>
          <w:i/>
          <w:iCs/>
          <w:color w:val="222222"/>
          <w:szCs w:val="24"/>
          <w:shd w:val="clear" w:color="auto" w:fill="FFFFFF"/>
        </w:rPr>
        <w:t>Penerbit</w:t>
      </w:r>
      <w:proofErr w:type="spellEnd"/>
      <w:r w:rsidRPr="008B320A">
        <w:rPr>
          <w:rFonts w:cs="Times New Roman"/>
          <w:i/>
          <w:iCs/>
          <w:color w:val="222222"/>
          <w:szCs w:val="24"/>
          <w:shd w:val="clear" w:color="auto" w:fill="FFFFFF"/>
        </w:rPr>
        <w:t xml:space="preserve"> Dan </w:t>
      </w:r>
      <w:proofErr w:type="spellStart"/>
      <w:r w:rsidRPr="008B320A">
        <w:rPr>
          <w:rFonts w:cs="Times New Roman"/>
          <w:i/>
          <w:iCs/>
          <w:color w:val="222222"/>
          <w:szCs w:val="24"/>
          <w:shd w:val="clear" w:color="auto" w:fill="FFFFFF"/>
        </w:rPr>
        <w:t>Percetakan</w:t>
      </w:r>
      <w:proofErr w:type="spellEnd"/>
      <w:r w:rsidRPr="008B320A">
        <w:rPr>
          <w:rFonts w:cs="Times New Roman"/>
          <w:i/>
          <w:iCs/>
          <w:color w:val="222222"/>
          <w:szCs w:val="24"/>
          <w:shd w:val="clear" w:color="auto" w:fill="FFFFFF"/>
        </w:rPr>
        <w:t xml:space="preserve"> </w:t>
      </w:r>
      <w:proofErr w:type="spellStart"/>
      <w:r w:rsidRPr="008B320A">
        <w:rPr>
          <w:rFonts w:cs="Times New Roman"/>
          <w:i/>
          <w:iCs/>
          <w:color w:val="222222"/>
          <w:szCs w:val="24"/>
          <w:shd w:val="clear" w:color="auto" w:fill="FFFFFF"/>
        </w:rPr>
        <w:t>Sekolah</w:t>
      </w:r>
      <w:proofErr w:type="spellEnd"/>
      <w:r w:rsidRPr="008B320A">
        <w:rPr>
          <w:rFonts w:cs="Times New Roman"/>
          <w:i/>
          <w:iCs/>
          <w:color w:val="222222"/>
          <w:szCs w:val="24"/>
          <w:shd w:val="clear" w:color="auto" w:fill="FFFFFF"/>
        </w:rPr>
        <w:t xml:space="preserve"> </w:t>
      </w:r>
      <w:proofErr w:type="spellStart"/>
      <w:r w:rsidRPr="008B320A">
        <w:rPr>
          <w:rFonts w:cs="Times New Roman"/>
          <w:i/>
          <w:iCs/>
          <w:color w:val="222222"/>
          <w:szCs w:val="24"/>
          <w:shd w:val="clear" w:color="auto" w:fill="FFFFFF"/>
        </w:rPr>
        <w:t>Tinggi</w:t>
      </w:r>
      <w:proofErr w:type="spellEnd"/>
      <w:r w:rsidRPr="008B320A">
        <w:rPr>
          <w:rFonts w:cs="Times New Roman"/>
          <w:i/>
          <w:iCs/>
          <w:color w:val="222222"/>
          <w:szCs w:val="24"/>
          <w:shd w:val="clear" w:color="auto" w:fill="FFFFFF"/>
        </w:rPr>
        <w:t xml:space="preserve"> </w:t>
      </w:r>
      <w:proofErr w:type="spellStart"/>
      <w:r w:rsidRPr="008B320A">
        <w:rPr>
          <w:rFonts w:cs="Times New Roman"/>
          <w:i/>
          <w:iCs/>
          <w:color w:val="222222"/>
          <w:szCs w:val="24"/>
          <w:shd w:val="clear" w:color="auto" w:fill="FFFFFF"/>
        </w:rPr>
        <w:t>Ilmu</w:t>
      </w:r>
      <w:proofErr w:type="spellEnd"/>
      <w:r w:rsidRPr="008B320A">
        <w:rPr>
          <w:rFonts w:cs="Times New Roman"/>
          <w:color w:val="222222"/>
          <w:szCs w:val="24"/>
          <w:shd w:val="clear" w:color="auto" w:fill="FFFFFF"/>
        </w:rPr>
        <w:t>.</w:t>
      </w:r>
    </w:p>
    <w:p w:rsidR="007E139F" w:rsidRDefault="007E139F" w:rsidP="007274F4">
      <w:pPr>
        <w:spacing w:after="0" w:line="240" w:lineRule="auto"/>
        <w:ind w:left="550" w:hanging="550"/>
        <w:jc w:val="both"/>
        <w:rPr>
          <w:color w:val="222222"/>
          <w:szCs w:val="24"/>
          <w:shd w:val="clear" w:color="auto" w:fill="FFFFFF"/>
        </w:rPr>
      </w:pPr>
    </w:p>
    <w:p w:rsidR="007274F4" w:rsidRDefault="007274F4" w:rsidP="007274F4">
      <w:pPr>
        <w:spacing w:after="0" w:line="240" w:lineRule="auto"/>
        <w:ind w:left="550" w:hanging="550"/>
        <w:jc w:val="both"/>
        <w:rPr>
          <w:rFonts w:cs="Times New Roman"/>
          <w:color w:val="222222"/>
          <w:szCs w:val="24"/>
          <w:shd w:val="clear" w:color="auto" w:fill="FFFFFF"/>
        </w:rPr>
      </w:pPr>
      <w:proofErr w:type="gramStart"/>
      <w:r w:rsidRPr="008B320A">
        <w:rPr>
          <w:rFonts w:cs="Times New Roman"/>
          <w:color w:val="222222"/>
          <w:szCs w:val="24"/>
          <w:shd w:val="clear" w:color="auto" w:fill="FFFFFF"/>
        </w:rPr>
        <w:t xml:space="preserve">Horne, J. C. V., &amp; </w:t>
      </w:r>
      <w:proofErr w:type="spellStart"/>
      <w:r w:rsidRPr="008B320A">
        <w:rPr>
          <w:rFonts w:cs="Times New Roman"/>
          <w:color w:val="222222"/>
          <w:szCs w:val="24"/>
          <w:shd w:val="clear" w:color="auto" w:fill="FFFFFF"/>
        </w:rPr>
        <w:t>Wachowicz</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Jr</w:t>
      </w:r>
      <w:proofErr w:type="spellEnd"/>
      <w:r w:rsidRPr="008B320A">
        <w:rPr>
          <w:rFonts w:cs="Times New Roman"/>
          <w:color w:val="222222"/>
          <w:szCs w:val="24"/>
          <w:shd w:val="clear" w:color="auto" w:fill="FFFFFF"/>
        </w:rPr>
        <w:t>, J. M. (2012).</w:t>
      </w:r>
      <w:proofErr w:type="gram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Prinsip-prinsip</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manajemen</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keuangan</w:t>
      </w:r>
      <w:proofErr w:type="spellEnd"/>
      <w:r w:rsidRPr="008B320A">
        <w:rPr>
          <w:rFonts w:cs="Times New Roman"/>
          <w:color w:val="222222"/>
          <w:szCs w:val="24"/>
          <w:shd w:val="clear" w:color="auto" w:fill="FFFFFF"/>
        </w:rPr>
        <w:t xml:space="preserve"> (</w:t>
      </w:r>
      <w:proofErr w:type="spellStart"/>
      <w:proofErr w:type="gramStart"/>
      <w:r w:rsidRPr="008B320A">
        <w:rPr>
          <w:rFonts w:cs="Times New Roman"/>
          <w:color w:val="222222"/>
          <w:szCs w:val="24"/>
          <w:shd w:val="clear" w:color="auto" w:fill="FFFFFF"/>
        </w:rPr>
        <w:t>Edisi</w:t>
      </w:r>
      <w:proofErr w:type="spellEnd"/>
      <w:r w:rsidRPr="008B320A">
        <w:rPr>
          <w:rFonts w:cs="Times New Roman"/>
          <w:color w:val="222222"/>
          <w:szCs w:val="24"/>
          <w:shd w:val="clear" w:color="auto" w:fill="FFFFFF"/>
        </w:rPr>
        <w:t xml:space="preserve"> </w:t>
      </w:r>
      <w:r>
        <w:rPr>
          <w:rFonts w:cs="Times New Roman"/>
          <w:color w:val="222222"/>
          <w:szCs w:val="24"/>
          <w:shd w:val="clear" w:color="auto" w:fill="FFFFFF"/>
        </w:rPr>
        <w:t xml:space="preserve"> </w:t>
      </w:r>
      <w:r w:rsidRPr="008B320A">
        <w:rPr>
          <w:rFonts w:cs="Times New Roman"/>
          <w:color w:val="222222"/>
          <w:szCs w:val="24"/>
          <w:shd w:val="clear" w:color="auto" w:fill="FFFFFF"/>
        </w:rPr>
        <w:t>13</w:t>
      </w:r>
      <w:proofErr w:type="gramEnd"/>
      <w:r w:rsidRPr="008B320A">
        <w:rPr>
          <w:rFonts w:cs="Times New Roman"/>
          <w:color w:val="222222"/>
          <w:szCs w:val="24"/>
          <w:shd w:val="clear" w:color="auto" w:fill="FFFFFF"/>
        </w:rPr>
        <w:t>). </w:t>
      </w:r>
      <w:r w:rsidRPr="008B320A">
        <w:rPr>
          <w:rFonts w:cs="Times New Roman"/>
          <w:i/>
          <w:iCs/>
          <w:color w:val="222222"/>
          <w:szCs w:val="24"/>
          <w:shd w:val="clear" w:color="auto" w:fill="FFFFFF"/>
        </w:rPr>
        <w:t xml:space="preserve">Jakarta: </w:t>
      </w:r>
      <w:proofErr w:type="spellStart"/>
      <w:r w:rsidRPr="008B320A">
        <w:rPr>
          <w:rFonts w:cs="Times New Roman"/>
          <w:i/>
          <w:iCs/>
          <w:color w:val="222222"/>
          <w:szCs w:val="24"/>
          <w:shd w:val="clear" w:color="auto" w:fill="FFFFFF"/>
        </w:rPr>
        <w:t>Salemba</w:t>
      </w:r>
      <w:proofErr w:type="spellEnd"/>
      <w:r w:rsidRPr="008B320A">
        <w:rPr>
          <w:rFonts w:cs="Times New Roman"/>
          <w:i/>
          <w:iCs/>
          <w:color w:val="222222"/>
          <w:szCs w:val="24"/>
          <w:shd w:val="clear" w:color="auto" w:fill="FFFFFF"/>
        </w:rPr>
        <w:t xml:space="preserve"> </w:t>
      </w:r>
      <w:proofErr w:type="spellStart"/>
      <w:r w:rsidRPr="008B320A">
        <w:rPr>
          <w:rFonts w:cs="Times New Roman"/>
          <w:i/>
          <w:iCs/>
          <w:color w:val="222222"/>
          <w:szCs w:val="24"/>
          <w:shd w:val="clear" w:color="auto" w:fill="FFFFFF"/>
        </w:rPr>
        <w:t>Empat</w:t>
      </w:r>
      <w:proofErr w:type="spellEnd"/>
      <w:r w:rsidRPr="008B320A">
        <w:rPr>
          <w:rFonts w:cs="Times New Roman"/>
          <w:color w:val="222222"/>
          <w:szCs w:val="24"/>
          <w:shd w:val="clear" w:color="auto" w:fill="FFFFFF"/>
        </w:rPr>
        <w:t>.</w:t>
      </w:r>
    </w:p>
    <w:p w:rsidR="007E139F" w:rsidRDefault="007E139F" w:rsidP="007274F4">
      <w:pPr>
        <w:spacing w:after="0" w:line="240" w:lineRule="auto"/>
        <w:ind w:left="550" w:hanging="550"/>
        <w:jc w:val="both"/>
        <w:rPr>
          <w:color w:val="222222"/>
          <w:szCs w:val="24"/>
          <w:shd w:val="clear" w:color="auto" w:fill="FFFFFF"/>
        </w:rPr>
      </w:pPr>
    </w:p>
    <w:p w:rsidR="007274F4" w:rsidRPr="002F45F9" w:rsidRDefault="0091436C" w:rsidP="007274F4">
      <w:pPr>
        <w:spacing w:after="0" w:line="240" w:lineRule="auto"/>
        <w:ind w:left="550" w:hanging="550"/>
        <w:jc w:val="both"/>
        <w:rPr>
          <w:rFonts w:cs="Times New Roman"/>
          <w:szCs w:val="24"/>
          <w:shd w:val="clear" w:color="auto" w:fill="FFFFFF"/>
        </w:rPr>
      </w:pPr>
      <w:hyperlink r:id="rId10" w:history="1">
        <w:r w:rsidR="007274F4" w:rsidRPr="002F45F9">
          <w:rPr>
            <w:rStyle w:val="Hyperlink"/>
            <w:rFonts w:cs="Times New Roman"/>
            <w:color w:val="auto"/>
            <w:szCs w:val="24"/>
            <w:u w:val="none"/>
            <w:shd w:val="clear" w:color="auto" w:fill="FFFFFF"/>
          </w:rPr>
          <w:t>https://www.bareksa.com/id/text/2015/12/18/kemunculan-ojek-online-turunkan-performa-pertumbuhan-perusahaan-taksi/12226/analysis</w:t>
        </w:r>
      </w:hyperlink>
      <w:r w:rsidR="007274F4" w:rsidRPr="002F45F9">
        <w:rPr>
          <w:rFonts w:cs="Times New Roman"/>
          <w:szCs w:val="24"/>
          <w:shd w:val="clear" w:color="auto" w:fill="FFFFFF"/>
        </w:rPr>
        <w:t>.</w:t>
      </w:r>
    </w:p>
    <w:p w:rsidR="007E139F" w:rsidRPr="00EC6704" w:rsidRDefault="007E139F" w:rsidP="007274F4">
      <w:pPr>
        <w:spacing w:after="0" w:line="240" w:lineRule="auto"/>
        <w:ind w:left="550" w:hanging="550"/>
        <w:jc w:val="both"/>
        <w:rPr>
          <w:szCs w:val="24"/>
          <w:shd w:val="clear" w:color="auto" w:fill="FFFFFF"/>
        </w:rPr>
      </w:pPr>
    </w:p>
    <w:p w:rsidR="007274F4" w:rsidRPr="00636AE2" w:rsidRDefault="0091436C" w:rsidP="007274F4">
      <w:pPr>
        <w:spacing w:after="0" w:line="240" w:lineRule="auto"/>
        <w:ind w:left="550" w:hanging="550"/>
        <w:jc w:val="both"/>
        <w:rPr>
          <w:rFonts w:cs="Times New Roman"/>
          <w:color w:val="222222"/>
          <w:szCs w:val="24"/>
          <w:shd w:val="clear" w:color="auto" w:fill="FFFFFF"/>
        </w:rPr>
      </w:pPr>
      <w:hyperlink r:id="rId11" w:history="1">
        <w:r w:rsidR="002424E5" w:rsidRPr="00636AE2">
          <w:rPr>
            <w:rStyle w:val="Hyperlink"/>
            <w:rFonts w:cs="Times New Roman"/>
            <w:color w:val="auto"/>
            <w:szCs w:val="24"/>
            <w:u w:val="none"/>
            <w:shd w:val="clear" w:color="auto" w:fill="FFFFFF"/>
          </w:rPr>
          <w:t>https://www.ekonomi.bisnis.com/read/20180206/98/735189/sektor-transportasi-tumbuh-moncer-di-2017.-ini-penyebabnya</w:t>
        </w:r>
      </w:hyperlink>
      <w:r w:rsidR="007274F4" w:rsidRPr="00636AE2">
        <w:rPr>
          <w:rFonts w:cs="Times New Roman"/>
          <w:szCs w:val="24"/>
          <w:shd w:val="clear" w:color="auto" w:fill="FFFFFF"/>
        </w:rPr>
        <w:t>.</w:t>
      </w:r>
    </w:p>
    <w:p w:rsidR="002424E5" w:rsidRDefault="002424E5" w:rsidP="00636AE2">
      <w:pPr>
        <w:spacing w:after="0" w:line="240" w:lineRule="auto"/>
        <w:ind w:left="550" w:hanging="550"/>
        <w:rPr>
          <w:rFonts w:cs="Times New Roman"/>
          <w:color w:val="222222"/>
          <w:szCs w:val="24"/>
          <w:shd w:val="clear" w:color="auto" w:fill="FFFFFF"/>
        </w:rPr>
      </w:pPr>
    </w:p>
    <w:p w:rsidR="002424E5" w:rsidRDefault="002424E5" w:rsidP="007274F4">
      <w:pPr>
        <w:spacing w:after="0" w:line="240" w:lineRule="auto"/>
        <w:ind w:left="550" w:hanging="550"/>
        <w:jc w:val="both"/>
        <w:rPr>
          <w:rFonts w:cs="Times New Roman"/>
          <w:color w:val="222222"/>
          <w:szCs w:val="24"/>
          <w:shd w:val="clear" w:color="auto" w:fill="FFFFFF"/>
        </w:rPr>
      </w:pPr>
      <w:proofErr w:type="spellStart"/>
      <w:r>
        <w:rPr>
          <w:rFonts w:cs="Times New Roman"/>
          <w:color w:val="222222"/>
          <w:szCs w:val="24"/>
          <w:shd w:val="clear" w:color="auto" w:fill="FFFFFF"/>
        </w:rPr>
        <w:t>Jogiyanto</w:t>
      </w:r>
      <w:proofErr w:type="spellEnd"/>
      <w:r>
        <w:rPr>
          <w:rFonts w:cs="Times New Roman"/>
          <w:color w:val="222222"/>
          <w:szCs w:val="24"/>
          <w:shd w:val="clear" w:color="auto" w:fill="FFFFFF"/>
        </w:rPr>
        <w:t xml:space="preserve">, K. B. 2008. </w:t>
      </w:r>
      <w:proofErr w:type="spellStart"/>
      <w:proofErr w:type="gramStart"/>
      <w:r>
        <w:rPr>
          <w:rFonts w:cs="Times New Roman"/>
          <w:color w:val="222222"/>
          <w:szCs w:val="24"/>
          <w:shd w:val="clear" w:color="auto" w:fill="FFFFFF"/>
        </w:rPr>
        <w:t>Teori</w:t>
      </w:r>
      <w:proofErr w:type="spellEnd"/>
      <w:r>
        <w:rPr>
          <w:rFonts w:cs="Times New Roman"/>
          <w:color w:val="222222"/>
          <w:szCs w:val="24"/>
          <w:shd w:val="clear" w:color="auto" w:fill="FFFFFF"/>
        </w:rPr>
        <w:t xml:space="preserve"> Portfolio </w:t>
      </w:r>
      <w:proofErr w:type="spellStart"/>
      <w:r>
        <w:rPr>
          <w:rFonts w:cs="Times New Roman"/>
          <w:color w:val="222222"/>
          <w:szCs w:val="24"/>
          <w:shd w:val="clear" w:color="auto" w:fill="FFFFFF"/>
        </w:rPr>
        <w:t>dan</w:t>
      </w:r>
      <w:proofErr w:type="spellEnd"/>
      <w:r>
        <w:rPr>
          <w:rFonts w:cs="Times New Roman"/>
          <w:color w:val="222222"/>
          <w:szCs w:val="24"/>
          <w:shd w:val="clear" w:color="auto" w:fill="FFFFFF"/>
        </w:rPr>
        <w:t xml:space="preserve"> </w:t>
      </w:r>
      <w:proofErr w:type="spellStart"/>
      <w:r>
        <w:rPr>
          <w:rFonts w:cs="Times New Roman"/>
          <w:color w:val="222222"/>
          <w:szCs w:val="24"/>
          <w:shd w:val="clear" w:color="auto" w:fill="FFFFFF"/>
        </w:rPr>
        <w:t>Analisis</w:t>
      </w:r>
      <w:proofErr w:type="spellEnd"/>
      <w:r>
        <w:rPr>
          <w:rFonts w:cs="Times New Roman"/>
          <w:color w:val="222222"/>
          <w:szCs w:val="24"/>
          <w:shd w:val="clear" w:color="auto" w:fill="FFFFFF"/>
        </w:rPr>
        <w:t xml:space="preserve"> </w:t>
      </w:r>
      <w:proofErr w:type="spellStart"/>
      <w:r>
        <w:rPr>
          <w:rFonts w:cs="Times New Roman"/>
          <w:color w:val="222222"/>
          <w:szCs w:val="24"/>
          <w:shd w:val="clear" w:color="auto" w:fill="FFFFFF"/>
        </w:rPr>
        <w:t>Investasi</w:t>
      </w:r>
      <w:proofErr w:type="spellEnd"/>
      <w:r>
        <w:rPr>
          <w:rFonts w:cs="Times New Roman"/>
          <w:color w:val="222222"/>
          <w:szCs w:val="24"/>
          <w:shd w:val="clear" w:color="auto" w:fill="FFFFFF"/>
        </w:rPr>
        <w:t>.</w:t>
      </w:r>
      <w:proofErr w:type="gramEnd"/>
      <w:r>
        <w:rPr>
          <w:rFonts w:cs="Times New Roman"/>
          <w:color w:val="222222"/>
          <w:szCs w:val="24"/>
          <w:shd w:val="clear" w:color="auto" w:fill="FFFFFF"/>
        </w:rPr>
        <w:t xml:space="preserve"> </w:t>
      </w:r>
      <w:proofErr w:type="spellStart"/>
      <w:r>
        <w:rPr>
          <w:rFonts w:cs="Times New Roman"/>
          <w:color w:val="222222"/>
          <w:szCs w:val="24"/>
          <w:shd w:val="clear" w:color="auto" w:fill="FFFFFF"/>
        </w:rPr>
        <w:t>Edisi</w:t>
      </w:r>
      <w:proofErr w:type="spellEnd"/>
      <w:r>
        <w:rPr>
          <w:rFonts w:cs="Times New Roman"/>
          <w:color w:val="222222"/>
          <w:szCs w:val="24"/>
          <w:shd w:val="clear" w:color="auto" w:fill="FFFFFF"/>
        </w:rPr>
        <w:t xml:space="preserve"> </w:t>
      </w:r>
      <w:proofErr w:type="spellStart"/>
      <w:r>
        <w:rPr>
          <w:rFonts w:cs="Times New Roman"/>
          <w:color w:val="222222"/>
          <w:szCs w:val="24"/>
          <w:shd w:val="clear" w:color="auto" w:fill="FFFFFF"/>
        </w:rPr>
        <w:t>Ketiga</w:t>
      </w:r>
      <w:proofErr w:type="spellEnd"/>
      <w:r>
        <w:rPr>
          <w:rFonts w:cs="Times New Roman"/>
          <w:color w:val="222222"/>
          <w:szCs w:val="24"/>
          <w:shd w:val="clear" w:color="auto" w:fill="FFFFFF"/>
        </w:rPr>
        <w:t>. Yogyakarta: BPFE</w:t>
      </w:r>
    </w:p>
    <w:p w:rsidR="007E139F" w:rsidRPr="00EC6704" w:rsidRDefault="007E139F" w:rsidP="007274F4">
      <w:pPr>
        <w:spacing w:after="0" w:line="240" w:lineRule="auto"/>
        <w:ind w:left="550" w:hanging="550"/>
        <w:jc w:val="both"/>
        <w:rPr>
          <w:color w:val="222222"/>
          <w:szCs w:val="24"/>
          <w:shd w:val="clear" w:color="auto" w:fill="FFFFFF"/>
        </w:rPr>
      </w:pPr>
    </w:p>
    <w:p w:rsidR="007274F4" w:rsidRPr="008B320A" w:rsidRDefault="007274F4" w:rsidP="007274F4">
      <w:pPr>
        <w:spacing w:after="0" w:line="240" w:lineRule="auto"/>
        <w:jc w:val="both"/>
        <w:rPr>
          <w:rFonts w:cs="Times New Roman"/>
          <w:szCs w:val="24"/>
        </w:rPr>
      </w:pPr>
      <w:proofErr w:type="spellStart"/>
      <w:proofErr w:type="gramStart"/>
      <w:r w:rsidRPr="008B320A">
        <w:rPr>
          <w:rFonts w:cs="Times New Roman"/>
          <w:color w:val="222222"/>
          <w:szCs w:val="24"/>
          <w:shd w:val="clear" w:color="auto" w:fill="FFFFFF"/>
        </w:rPr>
        <w:t>Keown</w:t>
      </w:r>
      <w:proofErr w:type="spellEnd"/>
      <w:r w:rsidRPr="008B320A">
        <w:rPr>
          <w:rFonts w:cs="Times New Roman"/>
          <w:color w:val="222222"/>
          <w:szCs w:val="24"/>
          <w:shd w:val="clear" w:color="auto" w:fill="FFFFFF"/>
        </w:rPr>
        <w:t xml:space="preserve">, A. J., Scott </w:t>
      </w:r>
      <w:proofErr w:type="spellStart"/>
      <w:r w:rsidRPr="008B320A">
        <w:rPr>
          <w:rFonts w:cs="Times New Roman"/>
          <w:color w:val="222222"/>
          <w:szCs w:val="24"/>
          <w:shd w:val="clear" w:color="auto" w:fill="FFFFFF"/>
        </w:rPr>
        <w:t>Jr</w:t>
      </w:r>
      <w:proofErr w:type="spellEnd"/>
      <w:r w:rsidRPr="008B320A">
        <w:rPr>
          <w:rFonts w:cs="Times New Roman"/>
          <w:color w:val="222222"/>
          <w:szCs w:val="24"/>
          <w:shd w:val="clear" w:color="auto" w:fill="FFFFFF"/>
        </w:rPr>
        <w:t>, D. F., Martin, J. D., &amp; Petty, J. W. (2010).</w:t>
      </w:r>
      <w:proofErr w:type="gram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Manajemen</w:t>
      </w:r>
      <w:proofErr w:type="spellEnd"/>
      <w:r w:rsidRPr="008B320A">
        <w:rPr>
          <w:rFonts w:cs="Times New Roman"/>
          <w:color w:val="222222"/>
          <w:szCs w:val="24"/>
          <w:shd w:val="clear" w:color="auto" w:fill="FFFFFF"/>
        </w:rPr>
        <w:t xml:space="preserve"> </w:t>
      </w:r>
      <w:r w:rsidRPr="008B320A">
        <w:rPr>
          <w:rFonts w:cs="Times New Roman"/>
          <w:color w:val="222222"/>
          <w:szCs w:val="24"/>
          <w:shd w:val="clear" w:color="auto" w:fill="FFFFFF"/>
        </w:rPr>
        <w:tab/>
      </w:r>
      <w:r w:rsidRPr="008B320A">
        <w:rPr>
          <w:rFonts w:cs="Times New Roman"/>
          <w:color w:val="222222"/>
          <w:szCs w:val="24"/>
          <w:shd w:val="clear" w:color="auto" w:fill="FFFFFF"/>
        </w:rPr>
        <w:tab/>
      </w:r>
      <w:proofErr w:type="spellStart"/>
      <w:r w:rsidRPr="008B320A">
        <w:rPr>
          <w:rFonts w:cs="Times New Roman"/>
          <w:color w:val="222222"/>
          <w:szCs w:val="24"/>
          <w:shd w:val="clear" w:color="auto" w:fill="FFFFFF"/>
        </w:rPr>
        <w:t>Keuangan</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Prinsip</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dan</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Penerapan</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jilid</w:t>
      </w:r>
      <w:proofErr w:type="spellEnd"/>
      <w:r w:rsidRPr="008B320A">
        <w:rPr>
          <w:rFonts w:cs="Times New Roman"/>
          <w:color w:val="222222"/>
          <w:szCs w:val="24"/>
          <w:shd w:val="clear" w:color="auto" w:fill="FFFFFF"/>
        </w:rPr>
        <w:t xml:space="preserve"> 1 (</w:t>
      </w:r>
      <w:proofErr w:type="spellStart"/>
      <w:r w:rsidRPr="008B320A">
        <w:rPr>
          <w:rFonts w:cs="Times New Roman"/>
          <w:color w:val="222222"/>
          <w:szCs w:val="24"/>
          <w:shd w:val="clear" w:color="auto" w:fill="FFFFFF"/>
        </w:rPr>
        <w:t>edisi</w:t>
      </w:r>
      <w:proofErr w:type="spellEnd"/>
      <w:r w:rsidRPr="008B320A">
        <w:rPr>
          <w:rFonts w:cs="Times New Roman"/>
          <w:color w:val="222222"/>
          <w:szCs w:val="24"/>
          <w:shd w:val="clear" w:color="auto" w:fill="FFFFFF"/>
        </w:rPr>
        <w:t xml:space="preserve"> </w:t>
      </w:r>
      <w:r w:rsidRPr="008B320A">
        <w:rPr>
          <w:rFonts w:cs="Times New Roman"/>
          <w:color w:val="222222"/>
          <w:szCs w:val="24"/>
          <w:shd w:val="clear" w:color="auto" w:fill="FFFFFF"/>
        </w:rPr>
        <w:tab/>
      </w:r>
      <w:r w:rsidRPr="008B320A">
        <w:rPr>
          <w:rFonts w:cs="Times New Roman"/>
          <w:color w:val="222222"/>
          <w:szCs w:val="24"/>
          <w:shd w:val="clear" w:color="auto" w:fill="FFFFFF"/>
        </w:rPr>
        <w:tab/>
      </w:r>
      <w:r w:rsidRPr="008B320A">
        <w:rPr>
          <w:rFonts w:cs="Times New Roman"/>
          <w:color w:val="222222"/>
          <w:szCs w:val="24"/>
          <w:shd w:val="clear" w:color="auto" w:fill="FFFFFF"/>
        </w:rPr>
        <w:tab/>
      </w:r>
      <w:r w:rsidRPr="008B320A">
        <w:rPr>
          <w:rFonts w:cs="Times New Roman"/>
          <w:color w:val="222222"/>
          <w:szCs w:val="24"/>
          <w:shd w:val="clear" w:color="auto" w:fill="FFFFFF"/>
        </w:rPr>
        <w:tab/>
      </w:r>
      <w:r w:rsidRPr="008B320A">
        <w:rPr>
          <w:rFonts w:cs="Times New Roman"/>
          <w:color w:val="222222"/>
          <w:szCs w:val="24"/>
          <w:shd w:val="clear" w:color="auto" w:fill="FFFFFF"/>
        </w:rPr>
        <w:tab/>
      </w:r>
      <w:proofErr w:type="spellStart"/>
      <w:r w:rsidRPr="008B320A">
        <w:rPr>
          <w:rFonts w:cs="Times New Roman"/>
          <w:color w:val="222222"/>
          <w:szCs w:val="24"/>
          <w:shd w:val="clear" w:color="auto" w:fill="FFFFFF"/>
        </w:rPr>
        <w:t>kesepuluh</w:t>
      </w:r>
      <w:proofErr w:type="spellEnd"/>
      <w:r w:rsidRPr="008B320A">
        <w:rPr>
          <w:rFonts w:cs="Times New Roman"/>
          <w:color w:val="222222"/>
          <w:szCs w:val="24"/>
          <w:shd w:val="clear" w:color="auto" w:fill="FFFFFF"/>
        </w:rPr>
        <w:t>). </w:t>
      </w:r>
      <w:r w:rsidRPr="008B320A">
        <w:rPr>
          <w:rFonts w:cs="Times New Roman"/>
          <w:i/>
          <w:iCs/>
          <w:color w:val="222222"/>
          <w:szCs w:val="24"/>
          <w:shd w:val="clear" w:color="auto" w:fill="FFFFFF"/>
        </w:rPr>
        <w:t xml:space="preserve">Jakarta: PT. </w:t>
      </w:r>
      <w:proofErr w:type="spellStart"/>
      <w:r w:rsidRPr="008B320A">
        <w:rPr>
          <w:rFonts w:cs="Times New Roman"/>
          <w:i/>
          <w:iCs/>
          <w:color w:val="222222"/>
          <w:szCs w:val="24"/>
          <w:shd w:val="clear" w:color="auto" w:fill="FFFFFF"/>
        </w:rPr>
        <w:t>Indeks</w:t>
      </w:r>
      <w:proofErr w:type="spellEnd"/>
      <w:r w:rsidRPr="008B320A">
        <w:rPr>
          <w:rFonts w:cs="Times New Roman"/>
          <w:color w:val="222222"/>
          <w:szCs w:val="24"/>
          <w:shd w:val="clear" w:color="auto" w:fill="FFFFFF"/>
        </w:rPr>
        <w:t>.</w:t>
      </w:r>
    </w:p>
    <w:p w:rsidR="002F45F9" w:rsidRDefault="002F45F9" w:rsidP="007274F4">
      <w:pPr>
        <w:spacing w:after="0" w:line="240" w:lineRule="auto"/>
        <w:ind w:left="550" w:hanging="550"/>
        <w:jc w:val="both"/>
        <w:rPr>
          <w:rFonts w:cs="Times New Roman"/>
          <w:color w:val="222222"/>
          <w:szCs w:val="24"/>
          <w:shd w:val="clear" w:color="auto" w:fill="FFFFFF"/>
        </w:rPr>
      </w:pPr>
    </w:p>
    <w:p w:rsidR="007274F4" w:rsidRDefault="003D300B" w:rsidP="007274F4">
      <w:pPr>
        <w:spacing w:after="0" w:line="240" w:lineRule="auto"/>
        <w:ind w:left="550" w:hanging="550"/>
        <w:jc w:val="both"/>
        <w:rPr>
          <w:rFonts w:cs="Times New Roman"/>
          <w:color w:val="222222"/>
          <w:szCs w:val="24"/>
          <w:shd w:val="clear" w:color="auto" w:fill="FFFFFF"/>
        </w:rPr>
      </w:pPr>
      <w:proofErr w:type="spellStart"/>
      <w:proofErr w:type="gramStart"/>
      <w:r w:rsidRPr="008B320A">
        <w:rPr>
          <w:rFonts w:cs="Times New Roman"/>
          <w:color w:val="222222"/>
          <w:szCs w:val="24"/>
          <w:shd w:val="clear" w:color="auto" w:fill="FFFFFF"/>
        </w:rPr>
        <w:t>Roro</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Puspa</w:t>
      </w:r>
      <w:proofErr w:type="spellEnd"/>
      <w:r w:rsidRPr="008B320A">
        <w:rPr>
          <w:rFonts w:cs="Times New Roman"/>
          <w:color w:val="222222"/>
          <w:szCs w:val="24"/>
          <w:shd w:val="clear" w:color="auto" w:fill="FFFFFF"/>
        </w:rPr>
        <w:t xml:space="preserve"> Sari, W. E. I. S. T. Y. (2013).</w:t>
      </w:r>
      <w:proofErr w:type="gram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Pengaruh</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Rasio</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Keuangan</w:t>
      </w:r>
      <w:proofErr w:type="spellEnd"/>
      <w:r w:rsidRPr="008B320A">
        <w:rPr>
          <w:rFonts w:cs="Times New Roman"/>
          <w:color w:val="222222"/>
          <w:szCs w:val="24"/>
          <w:shd w:val="clear" w:color="auto" w:fill="FFFFFF"/>
        </w:rPr>
        <w:t xml:space="preserve"> Der, Cr, </w:t>
      </w:r>
      <w:proofErr w:type="spellStart"/>
      <w:r w:rsidRPr="008B320A">
        <w:rPr>
          <w:rFonts w:cs="Times New Roman"/>
          <w:color w:val="222222"/>
          <w:szCs w:val="24"/>
          <w:shd w:val="clear" w:color="auto" w:fill="FFFFFF"/>
        </w:rPr>
        <w:t>Roa</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Eps</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Terhadap</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Harga</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Saham</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Pada</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Perusahan</w:t>
      </w:r>
      <w:proofErr w:type="spellEnd"/>
      <w:r w:rsidRPr="008B320A">
        <w:rPr>
          <w:rFonts w:cs="Times New Roman"/>
          <w:color w:val="222222"/>
          <w:szCs w:val="24"/>
          <w:shd w:val="clear" w:color="auto" w:fill="FFFFFF"/>
        </w:rPr>
        <w:t xml:space="preserve"> Semen Yang </w:t>
      </w:r>
      <w:proofErr w:type="spellStart"/>
      <w:r w:rsidRPr="008B320A">
        <w:rPr>
          <w:rFonts w:cs="Times New Roman"/>
          <w:color w:val="222222"/>
          <w:szCs w:val="24"/>
          <w:shd w:val="clear" w:color="auto" w:fill="FFFFFF"/>
        </w:rPr>
        <w:t>Terdaftar</w:t>
      </w:r>
      <w:proofErr w:type="spellEnd"/>
      <w:r w:rsidRPr="008B320A">
        <w:rPr>
          <w:rFonts w:cs="Times New Roman"/>
          <w:color w:val="222222"/>
          <w:szCs w:val="24"/>
          <w:shd w:val="clear" w:color="auto" w:fill="FFFFFF"/>
        </w:rPr>
        <w:t xml:space="preserve"> Di Bursa </w:t>
      </w:r>
      <w:proofErr w:type="spellStart"/>
      <w:r w:rsidRPr="008B320A">
        <w:rPr>
          <w:rFonts w:cs="Times New Roman"/>
          <w:color w:val="222222"/>
          <w:szCs w:val="24"/>
          <w:shd w:val="clear" w:color="auto" w:fill="FFFFFF"/>
        </w:rPr>
        <w:t>Efek</w:t>
      </w:r>
      <w:proofErr w:type="spellEnd"/>
      <w:r w:rsidRPr="008B320A">
        <w:rPr>
          <w:rFonts w:cs="Times New Roman"/>
          <w:color w:val="222222"/>
          <w:szCs w:val="24"/>
          <w:shd w:val="clear" w:color="auto" w:fill="FFFFFF"/>
        </w:rPr>
        <w:t xml:space="preserve"> Indonesia (</w:t>
      </w:r>
      <w:proofErr w:type="spellStart"/>
      <w:r w:rsidRPr="008B320A">
        <w:rPr>
          <w:rFonts w:cs="Times New Roman"/>
          <w:color w:val="222222"/>
          <w:szCs w:val="24"/>
          <w:shd w:val="clear" w:color="auto" w:fill="FFFFFF"/>
        </w:rPr>
        <w:t>Studi</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Kasus</w:t>
      </w:r>
      <w:proofErr w:type="spellEnd"/>
      <w:r w:rsidRPr="008B320A">
        <w:rPr>
          <w:rFonts w:cs="Times New Roman"/>
          <w:color w:val="222222"/>
          <w:szCs w:val="24"/>
          <w:shd w:val="clear" w:color="auto" w:fill="FFFFFF"/>
        </w:rPr>
        <w:t xml:space="preserve"> </w:t>
      </w:r>
      <w:proofErr w:type="spellStart"/>
      <w:r w:rsidRPr="008B320A">
        <w:rPr>
          <w:rFonts w:cs="Times New Roman"/>
          <w:color w:val="222222"/>
          <w:szCs w:val="24"/>
          <w:shd w:val="clear" w:color="auto" w:fill="FFFFFF"/>
        </w:rPr>
        <w:t>Pada</w:t>
      </w:r>
      <w:proofErr w:type="spellEnd"/>
      <w:r w:rsidRPr="008B320A">
        <w:rPr>
          <w:rFonts w:cs="Times New Roman"/>
          <w:color w:val="222222"/>
          <w:szCs w:val="24"/>
          <w:shd w:val="clear" w:color="auto" w:fill="FFFFFF"/>
        </w:rPr>
        <w:t xml:space="preserve"> Perusahaan Semen Yang </w:t>
      </w:r>
      <w:proofErr w:type="spellStart"/>
      <w:r w:rsidRPr="008B320A">
        <w:rPr>
          <w:rFonts w:cs="Times New Roman"/>
          <w:color w:val="222222"/>
          <w:szCs w:val="24"/>
          <w:shd w:val="clear" w:color="auto" w:fill="FFFFFF"/>
        </w:rPr>
        <w:t>Terdaftar</w:t>
      </w:r>
      <w:proofErr w:type="spellEnd"/>
      <w:r w:rsidRPr="008B320A">
        <w:rPr>
          <w:rFonts w:cs="Times New Roman"/>
          <w:color w:val="222222"/>
          <w:szCs w:val="24"/>
          <w:shd w:val="clear" w:color="auto" w:fill="FFFFFF"/>
        </w:rPr>
        <w:t xml:space="preserve"> Di </w:t>
      </w:r>
      <w:proofErr w:type="spellStart"/>
      <w:r w:rsidRPr="008B320A">
        <w:rPr>
          <w:rFonts w:cs="Times New Roman"/>
          <w:color w:val="222222"/>
          <w:szCs w:val="24"/>
          <w:shd w:val="clear" w:color="auto" w:fill="FFFFFF"/>
        </w:rPr>
        <w:t>Bei</w:t>
      </w:r>
      <w:proofErr w:type="spellEnd"/>
      <w:r w:rsidRPr="008B320A">
        <w:rPr>
          <w:rFonts w:cs="Times New Roman"/>
          <w:color w:val="222222"/>
          <w:szCs w:val="24"/>
          <w:shd w:val="clear" w:color="auto" w:fill="FFFFFF"/>
        </w:rPr>
        <w:t>). </w:t>
      </w:r>
      <w:proofErr w:type="spellStart"/>
      <w:r w:rsidRPr="008B320A">
        <w:rPr>
          <w:rFonts w:cs="Times New Roman"/>
          <w:i/>
          <w:iCs/>
          <w:color w:val="222222"/>
          <w:szCs w:val="24"/>
          <w:shd w:val="clear" w:color="auto" w:fill="FFFFFF"/>
        </w:rPr>
        <w:t>Jurnal</w:t>
      </w:r>
      <w:proofErr w:type="spellEnd"/>
      <w:r w:rsidRPr="008B320A">
        <w:rPr>
          <w:rFonts w:cs="Times New Roman"/>
          <w:i/>
          <w:iCs/>
          <w:color w:val="222222"/>
          <w:szCs w:val="24"/>
          <w:shd w:val="clear" w:color="auto" w:fill="FFFFFF"/>
        </w:rPr>
        <w:t xml:space="preserve"> </w:t>
      </w:r>
      <w:proofErr w:type="spellStart"/>
      <w:r w:rsidRPr="008B320A">
        <w:rPr>
          <w:rFonts w:cs="Times New Roman"/>
          <w:i/>
          <w:iCs/>
          <w:color w:val="222222"/>
          <w:szCs w:val="24"/>
          <w:shd w:val="clear" w:color="auto" w:fill="FFFFFF"/>
        </w:rPr>
        <w:t>Akuntansi</w:t>
      </w:r>
      <w:proofErr w:type="spellEnd"/>
      <w:r w:rsidRPr="008B320A">
        <w:rPr>
          <w:rFonts w:cs="Times New Roman"/>
          <w:i/>
          <w:iCs/>
          <w:color w:val="222222"/>
          <w:szCs w:val="24"/>
          <w:shd w:val="clear" w:color="auto" w:fill="FFFFFF"/>
        </w:rPr>
        <w:t xml:space="preserve"> </w:t>
      </w:r>
      <w:proofErr w:type="spellStart"/>
      <w:r w:rsidRPr="008B320A">
        <w:rPr>
          <w:rFonts w:cs="Times New Roman"/>
          <w:i/>
          <w:iCs/>
          <w:color w:val="222222"/>
          <w:szCs w:val="24"/>
          <w:shd w:val="clear" w:color="auto" w:fill="FFFFFF"/>
        </w:rPr>
        <w:t>Unesa</w:t>
      </w:r>
      <w:proofErr w:type="spellEnd"/>
      <w:r w:rsidRPr="008B320A">
        <w:rPr>
          <w:rFonts w:cs="Times New Roman"/>
          <w:color w:val="222222"/>
          <w:szCs w:val="24"/>
          <w:shd w:val="clear" w:color="auto" w:fill="FFFFFF"/>
        </w:rPr>
        <w:t>, </w:t>
      </w:r>
      <w:r w:rsidRPr="008B320A">
        <w:rPr>
          <w:rFonts w:cs="Times New Roman"/>
          <w:i/>
          <w:iCs/>
          <w:color w:val="222222"/>
          <w:szCs w:val="24"/>
          <w:shd w:val="clear" w:color="auto" w:fill="FFFFFF"/>
        </w:rPr>
        <w:t>1</w:t>
      </w:r>
      <w:r w:rsidRPr="008B320A">
        <w:rPr>
          <w:rFonts w:cs="Times New Roman"/>
          <w:color w:val="222222"/>
          <w:szCs w:val="24"/>
          <w:shd w:val="clear" w:color="auto" w:fill="FFFFFF"/>
        </w:rPr>
        <w:t>(3).</w:t>
      </w:r>
    </w:p>
    <w:p w:rsidR="002424E5" w:rsidRDefault="002424E5" w:rsidP="007274F4">
      <w:pPr>
        <w:spacing w:after="0" w:line="240" w:lineRule="auto"/>
        <w:ind w:left="550" w:hanging="550"/>
        <w:jc w:val="both"/>
        <w:rPr>
          <w:rFonts w:cs="Times New Roman"/>
          <w:color w:val="222222"/>
          <w:szCs w:val="24"/>
          <w:shd w:val="clear" w:color="auto" w:fill="FFFFFF"/>
        </w:rPr>
      </w:pPr>
    </w:p>
    <w:p w:rsidR="002424E5" w:rsidRDefault="002424E5" w:rsidP="007274F4">
      <w:pPr>
        <w:spacing w:after="0" w:line="240" w:lineRule="auto"/>
        <w:ind w:left="550" w:hanging="550"/>
        <w:jc w:val="both"/>
        <w:rPr>
          <w:rFonts w:cs="Times New Roman"/>
          <w:color w:val="222222"/>
          <w:szCs w:val="24"/>
          <w:shd w:val="clear" w:color="auto" w:fill="FFFFFF"/>
        </w:rPr>
      </w:pPr>
      <w:r>
        <w:rPr>
          <w:rFonts w:cs="Times New Roman"/>
          <w:color w:val="222222"/>
          <w:szCs w:val="24"/>
          <w:shd w:val="clear" w:color="auto" w:fill="FFFFFF"/>
        </w:rPr>
        <w:t xml:space="preserve">Ross, Stephen A, et al. 2016. </w:t>
      </w:r>
      <w:proofErr w:type="spellStart"/>
      <w:r>
        <w:rPr>
          <w:rFonts w:cs="Times New Roman"/>
          <w:color w:val="222222"/>
          <w:szCs w:val="24"/>
          <w:shd w:val="clear" w:color="auto" w:fill="FFFFFF"/>
        </w:rPr>
        <w:t>Pengantar</w:t>
      </w:r>
      <w:proofErr w:type="spellEnd"/>
      <w:r>
        <w:rPr>
          <w:rFonts w:cs="Times New Roman"/>
          <w:color w:val="222222"/>
          <w:szCs w:val="24"/>
          <w:shd w:val="clear" w:color="auto" w:fill="FFFFFF"/>
        </w:rPr>
        <w:t xml:space="preserve"> </w:t>
      </w:r>
      <w:proofErr w:type="spellStart"/>
      <w:r>
        <w:rPr>
          <w:rFonts w:cs="Times New Roman"/>
          <w:color w:val="222222"/>
          <w:szCs w:val="24"/>
          <w:shd w:val="clear" w:color="auto" w:fill="FFFFFF"/>
        </w:rPr>
        <w:t>Keuangan</w:t>
      </w:r>
      <w:proofErr w:type="spellEnd"/>
      <w:r>
        <w:rPr>
          <w:rFonts w:cs="Times New Roman"/>
          <w:color w:val="222222"/>
          <w:szCs w:val="24"/>
          <w:shd w:val="clear" w:color="auto" w:fill="FFFFFF"/>
        </w:rPr>
        <w:t xml:space="preserve"> Perusahaan. </w:t>
      </w:r>
      <w:proofErr w:type="spellStart"/>
      <w:r>
        <w:rPr>
          <w:rFonts w:cs="Times New Roman"/>
          <w:color w:val="222222"/>
          <w:szCs w:val="24"/>
          <w:shd w:val="clear" w:color="auto" w:fill="FFFFFF"/>
        </w:rPr>
        <w:t>Penerjemah</w:t>
      </w:r>
      <w:proofErr w:type="spellEnd"/>
      <w:r>
        <w:rPr>
          <w:rFonts w:cs="Times New Roman"/>
          <w:color w:val="222222"/>
          <w:szCs w:val="24"/>
          <w:shd w:val="clear" w:color="auto" w:fill="FFFFFF"/>
        </w:rPr>
        <w:t xml:space="preserve"> </w:t>
      </w:r>
      <w:proofErr w:type="spellStart"/>
      <w:r>
        <w:rPr>
          <w:rFonts w:cs="Times New Roman"/>
          <w:color w:val="222222"/>
          <w:szCs w:val="24"/>
          <w:shd w:val="clear" w:color="auto" w:fill="FFFFFF"/>
        </w:rPr>
        <w:t>Oleh</w:t>
      </w:r>
      <w:proofErr w:type="spellEnd"/>
      <w:r>
        <w:rPr>
          <w:rFonts w:cs="Times New Roman"/>
          <w:color w:val="222222"/>
          <w:szCs w:val="24"/>
          <w:shd w:val="clear" w:color="auto" w:fill="FFFFFF"/>
        </w:rPr>
        <w:t xml:space="preserve"> </w:t>
      </w:r>
      <w:proofErr w:type="spellStart"/>
      <w:r>
        <w:rPr>
          <w:rFonts w:cs="Times New Roman"/>
          <w:color w:val="222222"/>
          <w:szCs w:val="24"/>
          <w:shd w:val="clear" w:color="auto" w:fill="FFFFFF"/>
        </w:rPr>
        <w:t>Ratna</w:t>
      </w:r>
      <w:proofErr w:type="spellEnd"/>
      <w:r>
        <w:rPr>
          <w:rFonts w:cs="Times New Roman"/>
          <w:color w:val="222222"/>
          <w:szCs w:val="24"/>
          <w:shd w:val="clear" w:color="auto" w:fill="FFFFFF"/>
        </w:rPr>
        <w:t xml:space="preserve"> </w:t>
      </w:r>
      <w:proofErr w:type="spellStart"/>
      <w:r>
        <w:rPr>
          <w:rFonts w:cs="Times New Roman"/>
          <w:color w:val="222222"/>
          <w:szCs w:val="24"/>
          <w:shd w:val="clear" w:color="auto" w:fill="FFFFFF"/>
        </w:rPr>
        <w:t>Saraswati</w:t>
      </w:r>
      <w:proofErr w:type="spellEnd"/>
      <w:r>
        <w:rPr>
          <w:rFonts w:cs="Times New Roman"/>
          <w:color w:val="222222"/>
          <w:szCs w:val="24"/>
          <w:shd w:val="clear" w:color="auto" w:fill="FFFFFF"/>
        </w:rPr>
        <w:t xml:space="preserve">. </w:t>
      </w:r>
      <w:proofErr w:type="spellStart"/>
      <w:r>
        <w:rPr>
          <w:rFonts w:cs="Times New Roman"/>
          <w:color w:val="222222"/>
          <w:szCs w:val="24"/>
          <w:shd w:val="clear" w:color="auto" w:fill="FFFFFF"/>
        </w:rPr>
        <w:t>Buku</w:t>
      </w:r>
      <w:proofErr w:type="spellEnd"/>
      <w:r>
        <w:rPr>
          <w:rFonts w:cs="Times New Roman"/>
          <w:color w:val="222222"/>
          <w:szCs w:val="24"/>
          <w:shd w:val="clear" w:color="auto" w:fill="FFFFFF"/>
        </w:rPr>
        <w:t xml:space="preserve"> 2, </w:t>
      </w:r>
      <w:proofErr w:type="spellStart"/>
      <w:r>
        <w:rPr>
          <w:rFonts w:cs="Times New Roman"/>
          <w:color w:val="222222"/>
          <w:szCs w:val="24"/>
          <w:shd w:val="clear" w:color="auto" w:fill="FFFFFF"/>
        </w:rPr>
        <w:t>Edisi</w:t>
      </w:r>
      <w:proofErr w:type="spellEnd"/>
      <w:r>
        <w:rPr>
          <w:rFonts w:cs="Times New Roman"/>
          <w:color w:val="222222"/>
          <w:szCs w:val="24"/>
          <w:shd w:val="clear" w:color="auto" w:fill="FFFFFF"/>
        </w:rPr>
        <w:t xml:space="preserve"> Global Asia. Jakarta: </w:t>
      </w:r>
      <w:proofErr w:type="spellStart"/>
      <w:r>
        <w:rPr>
          <w:rFonts w:cs="Times New Roman"/>
          <w:color w:val="222222"/>
          <w:szCs w:val="24"/>
          <w:shd w:val="clear" w:color="auto" w:fill="FFFFFF"/>
        </w:rPr>
        <w:t>Salemba</w:t>
      </w:r>
      <w:proofErr w:type="spellEnd"/>
      <w:r>
        <w:rPr>
          <w:rFonts w:cs="Times New Roman"/>
          <w:color w:val="222222"/>
          <w:szCs w:val="24"/>
          <w:shd w:val="clear" w:color="auto" w:fill="FFFFFF"/>
        </w:rPr>
        <w:t xml:space="preserve"> </w:t>
      </w:r>
      <w:proofErr w:type="spellStart"/>
      <w:r>
        <w:rPr>
          <w:rFonts w:cs="Times New Roman"/>
          <w:color w:val="222222"/>
          <w:szCs w:val="24"/>
          <w:shd w:val="clear" w:color="auto" w:fill="FFFFFF"/>
        </w:rPr>
        <w:t>Empat</w:t>
      </w:r>
      <w:proofErr w:type="spellEnd"/>
    </w:p>
    <w:p w:rsidR="002424E5" w:rsidRDefault="002424E5" w:rsidP="007274F4">
      <w:pPr>
        <w:spacing w:after="0" w:line="240" w:lineRule="auto"/>
        <w:ind w:left="550" w:hanging="550"/>
        <w:jc w:val="both"/>
        <w:rPr>
          <w:rFonts w:cs="Times New Roman"/>
          <w:color w:val="222222"/>
          <w:szCs w:val="24"/>
          <w:shd w:val="clear" w:color="auto" w:fill="FFFFFF"/>
        </w:rPr>
      </w:pPr>
    </w:p>
    <w:p w:rsidR="003424DA" w:rsidRPr="006D1B96" w:rsidRDefault="002424E5" w:rsidP="00B76317">
      <w:pPr>
        <w:spacing w:after="0" w:line="240" w:lineRule="auto"/>
        <w:ind w:left="550" w:hanging="550"/>
        <w:jc w:val="both"/>
      </w:pPr>
      <w:proofErr w:type="spellStart"/>
      <w:r>
        <w:rPr>
          <w:rFonts w:cs="Times New Roman"/>
          <w:color w:val="222222"/>
          <w:szCs w:val="24"/>
          <w:shd w:val="clear" w:color="auto" w:fill="FFFFFF"/>
        </w:rPr>
        <w:t>Tandelilin</w:t>
      </w:r>
      <w:proofErr w:type="spellEnd"/>
      <w:r>
        <w:rPr>
          <w:rFonts w:cs="Times New Roman"/>
          <w:color w:val="222222"/>
          <w:szCs w:val="24"/>
          <w:shd w:val="clear" w:color="auto" w:fill="FFFFFF"/>
        </w:rPr>
        <w:t xml:space="preserve">, </w:t>
      </w:r>
      <w:bookmarkStart w:id="0" w:name="_GoBack"/>
      <w:bookmarkEnd w:id="0"/>
      <w:r>
        <w:rPr>
          <w:rFonts w:cs="Times New Roman"/>
          <w:color w:val="222222"/>
          <w:szCs w:val="24"/>
          <w:shd w:val="clear" w:color="auto" w:fill="FFFFFF"/>
        </w:rPr>
        <w:t xml:space="preserve">E. (2010). </w:t>
      </w:r>
      <w:r w:rsidRPr="00636AE2">
        <w:rPr>
          <w:rFonts w:cs="Times New Roman"/>
          <w:i/>
          <w:color w:val="222222"/>
          <w:szCs w:val="24"/>
          <w:shd w:val="clear" w:color="auto" w:fill="FFFFFF"/>
        </w:rPr>
        <w:t xml:space="preserve">Portfolio </w:t>
      </w:r>
      <w:proofErr w:type="spellStart"/>
      <w:r w:rsidRPr="00636AE2">
        <w:rPr>
          <w:rFonts w:cs="Times New Roman"/>
          <w:i/>
          <w:color w:val="222222"/>
          <w:szCs w:val="24"/>
          <w:shd w:val="clear" w:color="auto" w:fill="FFFFFF"/>
        </w:rPr>
        <w:t>dan</w:t>
      </w:r>
      <w:proofErr w:type="spellEnd"/>
      <w:r w:rsidRPr="00636AE2">
        <w:rPr>
          <w:rFonts w:cs="Times New Roman"/>
          <w:i/>
          <w:color w:val="222222"/>
          <w:szCs w:val="24"/>
          <w:shd w:val="clear" w:color="auto" w:fill="FFFFFF"/>
        </w:rPr>
        <w:t xml:space="preserve"> </w:t>
      </w:r>
      <w:proofErr w:type="spellStart"/>
      <w:r w:rsidRPr="00636AE2">
        <w:rPr>
          <w:rFonts w:cs="Times New Roman"/>
          <w:i/>
          <w:color w:val="222222"/>
          <w:szCs w:val="24"/>
          <w:shd w:val="clear" w:color="auto" w:fill="FFFFFF"/>
        </w:rPr>
        <w:t>Investasi</w:t>
      </w:r>
      <w:proofErr w:type="spellEnd"/>
      <w:r w:rsidRPr="00636AE2">
        <w:rPr>
          <w:rFonts w:cs="Times New Roman"/>
          <w:i/>
          <w:color w:val="222222"/>
          <w:szCs w:val="24"/>
          <w:shd w:val="clear" w:color="auto" w:fill="FFFFFF"/>
        </w:rPr>
        <w:t xml:space="preserve">: </w:t>
      </w:r>
      <w:proofErr w:type="spellStart"/>
      <w:r w:rsidRPr="00636AE2">
        <w:rPr>
          <w:rFonts w:cs="Times New Roman"/>
          <w:i/>
          <w:color w:val="222222"/>
          <w:szCs w:val="24"/>
          <w:shd w:val="clear" w:color="auto" w:fill="FFFFFF"/>
        </w:rPr>
        <w:t>Teori</w:t>
      </w:r>
      <w:proofErr w:type="spellEnd"/>
      <w:r w:rsidRPr="00636AE2">
        <w:rPr>
          <w:rFonts w:cs="Times New Roman"/>
          <w:i/>
          <w:color w:val="222222"/>
          <w:szCs w:val="24"/>
          <w:shd w:val="clear" w:color="auto" w:fill="FFFFFF"/>
        </w:rPr>
        <w:t xml:space="preserve"> </w:t>
      </w:r>
      <w:proofErr w:type="spellStart"/>
      <w:r w:rsidRPr="00636AE2">
        <w:rPr>
          <w:rFonts w:cs="Times New Roman"/>
          <w:i/>
          <w:color w:val="222222"/>
          <w:szCs w:val="24"/>
          <w:shd w:val="clear" w:color="auto" w:fill="FFFFFF"/>
        </w:rPr>
        <w:t>dan</w:t>
      </w:r>
      <w:proofErr w:type="spellEnd"/>
      <w:r w:rsidRPr="00636AE2">
        <w:rPr>
          <w:rFonts w:cs="Times New Roman"/>
          <w:i/>
          <w:color w:val="222222"/>
          <w:szCs w:val="24"/>
          <w:shd w:val="clear" w:color="auto" w:fill="FFFFFF"/>
        </w:rPr>
        <w:t xml:space="preserve"> </w:t>
      </w:r>
      <w:proofErr w:type="spellStart"/>
      <w:r w:rsidRPr="00636AE2">
        <w:rPr>
          <w:rFonts w:cs="Times New Roman"/>
          <w:i/>
          <w:color w:val="222222"/>
          <w:szCs w:val="24"/>
          <w:shd w:val="clear" w:color="auto" w:fill="FFFFFF"/>
        </w:rPr>
        <w:t>aplikasi</w:t>
      </w:r>
      <w:proofErr w:type="spellEnd"/>
      <w:r w:rsidR="003D300B">
        <w:rPr>
          <w:rFonts w:cs="Times New Roman"/>
          <w:color w:val="222222"/>
          <w:szCs w:val="24"/>
          <w:shd w:val="clear" w:color="auto" w:fill="FFFFFF"/>
        </w:rPr>
        <w:t xml:space="preserve">. </w:t>
      </w:r>
      <w:proofErr w:type="spellStart"/>
      <w:r w:rsidR="00B76317">
        <w:rPr>
          <w:rFonts w:cs="Times New Roman"/>
          <w:color w:val="222222"/>
          <w:szCs w:val="24"/>
          <w:shd w:val="clear" w:color="auto" w:fill="FFFFFF"/>
        </w:rPr>
        <w:t>Kanisius</w:t>
      </w:r>
      <w:proofErr w:type="spellEnd"/>
    </w:p>
    <w:sectPr w:rsidR="003424DA" w:rsidRPr="006D1B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36C" w:rsidRDefault="0091436C" w:rsidP="008C1C2D">
      <w:pPr>
        <w:spacing w:after="0" w:line="240" w:lineRule="auto"/>
      </w:pPr>
      <w:r>
        <w:separator/>
      </w:r>
    </w:p>
  </w:endnote>
  <w:endnote w:type="continuationSeparator" w:id="0">
    <w:p w:rsidR="0091436C" w:rsidRDefault="0091436C" w:rsidP="008C1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36C" w:rsidRDefault="0091436C" w:rsidP="008C1C2D">
      <w:pPr>
        <w:spacing w:after="0" w:line="240" w:lineRule="auto"/>
      </w:pPr>
      <w:r>
        <w:separator/>
      </w:r>
    </w:p>
  </w:footnote>
  <w:footnote w:type="continuationSeparator" w:id="0">
    <w:p w:rsidR="0091436C" w:rsidRDefault="0091436C" w:rsidP="008C1C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676F6"/>
    <w:multiLevelType w:val="hybridMultilevel"/>
    <w:tmpl w:val="72F0BAAE"/>
    <w:lvl w:ilvl="0" w:tplc="86C00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5D254B"/>
    <w:multiLevelType w:val="hybridMultilevel"/>
    <w:tmpl w:val="DF509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767EC7"/>
    <w:multiLevelType w:val="hybridMultilevel"/>
    <w:tmpl w:val="CEECBF78"/>
    <w:lvl w:ilvl="0" w:tplc="4BFA18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0BB631C"/>
    <w:multiLevelType w:val="hybridMultilevel"/>
    <w:tmpl w:val="6D829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1342F"/>
    <w:multiLevelType w:val="hybridMultilevel"/>
    <w:tmpl w:val="859AC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030FB"/>
    <w:multiLevelType w:val="hybridMultilevel"/>
    <w:tmpl w:val="DCE4C06E"/>
    <w:lvl w:ilvl="0" w:tplc="C884E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9E46A0"/>
    <w:multiLevelType w:val="hybridMultilevel"/>
    <w:tmpl w:val="F364D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084950"/>
    <w:multiLevelType w:val="hybridMultilevel"/>
    <w:tmpl w:val="F364D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470E15"/>
    <w:multiLevelType w:val="hybridMultilevel"/>
    <w:tmpl w:val="46D4A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4A12F8"/>
    <w:multiLevelType w:val="hybridMultilevel"/>
    <w:tmpl w:val="02700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6C6B06"/>
    <w:multiLevelType w:val="hybridMultilevel"/>
    <w:tmpl w:val="F364D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AB5327"/>
    <w:multiLevelType w:val="hybridMultilevel"/>
    <w:tmpl w:val="F364D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D648D1"/>
    <w:multiLevelType w:val="hybridMultilevel"/>
    <w:tmpl w:val="A574D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0"/>
  </w:num>
  <w:num w:numId="4">
    <w:abstractNumId w:val="8"/>
  </w:num>
  <w:num w:numId="5">
    <w:abstractNumId w:val="9"/>
  </w:num>
  <w:num w:numId="6">
    <w:abstractNumId w:val="5"/>
  </w:num>
  <w:num w:numId="7">
    <w:abstractNumId w:val="2"/>
  </w:num>
  <w:num w:numId="8">
    <w:abstractNumId w:val="4"/>
  </w:num>
  <w:num w:numId="9">
    <w:abstractNumId w:val="11"/>
  </w:num>
  <w:num w:numId="10">
    <w:abstractNumId w:val="10"/>
  </w:num>
  <w:num w:numId="11">
    <w:abstractNumId w:val="6"/>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67F"/>
    <w:rsid w:val="00014947"/>
    <w:rsid w:val="00044CCE"/>
    <w:rsid w:val="00055B70"/>
    <w:rsid w:val="000603D9"/>
    <w:rsid w:val="0007739C"/>
    <w:rsid w:val="00092EE2"/>
    <w:rsid w:val="000A090B"/>
    <w:rsid w:val="000C6C29"/>
    <w:rsid w:val="000D5497"/>
    <w:rsid w:val="000E041A"/>
    <w:rsid w:val="000F70C1"/>
    <w:rsid w:val="00121515"/>
    <w:rsid w:val="001424FC"/>
    <w:rsid w:val="00175423"/>
    <w:rsid w:val="00180BF0"/>
    <w:rsid w:val="00183507"/>
    <w:rsid w:val="00190DB7"/>
    <w:rsid w:val="00206142"/>
    <w:rsid w:val="002424E5"/>
    <w:rsid w:val="002511A7"/>
    <w:rsid w:val="00256714"/>
    <w:rsid w:val="00285824"/>
    <w:rsid w:val="002944C1"/>
    <w:rsid w:val="002F45F9"/>
    <w:rsid w:val="002F462D"/>
    <w:rsid w:val="003263D2"/>
    <w:rsid w:val="00336D03"/>
    <w:rsid w:val="003424DA"/>
    <w:rsid w:val="00365EAF"/>
    <w:rsid w:val="0036669A"/>
    <w:rsid w:val="003741C5"/>
    <w:rsid w:val="00383192"/>
    <w:rsid w:val="003A3EF8"/>
    <w:rsid w:val="003C1EAB"/>
    <w:rsid w:val="003D300B"/>
    <w:rsid w:val="003E1A37"/>
    <w:rsid w:val="0040131F"/>
    <w:rsid w:val="004206EC"/>
    <w:rsid w:val="00436F59"/>
    <w:rsid w:val="004371F3"/>
    <w:rsid w:val="00461E99"/>
    <w:rsid w:val="00470846"/>
    <w:rsid w:val="00484119"/>
    <w:rsid w:val="004F529A"/>
    <w:rsid w:val="004F60C7"/>
    <w:rsid w:val="005226CF"/>
    <w:rsid w:val="00560F03"/>
    <w:rsid w:val="0056360B"/>
    <w:rsid w:val="00566018"/>
    <w:rsid w:val="005A3A43"/>
    <w:rsid w:val="005A6A67"/>
    <w:rsid w:val="005C3442"/>
    <w:rsid w:val="006212FE"/>
    <w:rsid w:val="00636AE2"/>
    <w:rsid w:val="006522A0"/>
    <w:rsid w:val="006D1B96"/>
    <w:rsid w:val="00707F30"/>
    <w:rsid w:val="007146EB"/>
    <w:rsid w:val="00723708"/>
    <w:rsid w:val="0072667F"/>
    <w:rsid w:val="007274F4"/>
    <w:rsid w:val="00783CB3"/>
    <w:rsid w:val="00784252"/>
    <w:rsid w:val="00797A4E"/>
    <w:rsid w:val="007B3610"/>
    <w:rsid w:val="007D09A3"/>
    <w:rsid w:val="007E139F"/>
    <w:rsid w:val="007F070B"/>
    <w:rsid w:val="00824FD0"/>
    <w:rsid w:val="008349DE"/>
    <w:rsid w:val="0085209E"/>
    <w:rsid w:val="008861A9"/>
    <w:rsid w:val="0088731A"/>
    <w:rsid w:val="008A360B"/>
    <w:rsid w:val="008C1C2D"/>
    <w:rsid w:val="008F7451"/>
    <w:rsid w:val="00900DD5"/>
    <w:rsid w:val="00912C03"/>
    <w:rsid w:val="0091436C"/>
    <w:rsid w:val="00917AAF"/>
    <w:rsid w:val="00952724"/>
    <w:rsid w:val="00954269"/>
    <w:rsid w:val="00964C9B"/>
    <w:rsid w:val="009C509E"/>
    <w:rsid w:val="009E2C24"/>
    <w:rsid w:val="00A23D45"/>
    <w:rsid w:val="00A558BB"/>
    <w:rsid w:val="00A84550"/>
    <w:rsid w:val="00AF2566"/>
    <w:rsid w:val="00B32650"/>
    <w:rsid w:val="00B76317"/>
    <w:rsid w:val="00B92636"/>
    <w:rsid w:val="00B96B28"/>
    <w:rsid w:val="00BC5E29"/>
    <w:rsid w:val="00C07DF1"/>
    <w:rsid w:val="00C16B0B"/>
    <w:rsid w:val="00C37A1A"/>
    <w:rsid w:val="00C57B97"/>
    <w:rsid w:val="00C7085A"/>
    <w:rsid w:val="00CA1B4B"/>
    <w:rsid w:val="00D1373F"/>
    <w:rsid w:val="00D24C50"/>
    <w:rsid w:val="00D269C8"/>
    <w:rsid w:val="00D37EA9"/>
    <w:rsid w:val="00D46958"/>
    <w:rsid w:val="00D500B8"/>
    <w:rsid w:val="00D56F0F"/>
    <w:rsid w:val="00D77B25"/>
    <w:rsid w:val="00DA4A3B"/>
    <w:rsid w:val="00DF24BD"/>
    <w:rsid w:val="00E1104F"/>
    <w:rsid w:val="00E333BC"/>
    <w:rsid w:val="00E7251F"/>
    <w:rsid w:val="00E871D2"/>
    <w:rsid w:val="00E9328F"/>
    <w:rsid w:val="00ED7BBF"/>
    <w:rsid w:val="00EF155A"/>
    <w:rsid w:val="00F42BD7"/>
    <w:rsid w:val="00F5546F"/>
    <w:rsid w:val="00FB12D8"/>
    <w:rsid w:val="00FB78A3"/>
    <w:rsid w:val="00FC4A2F"/>
    <w:rsid w:val="00FF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74F4"/>
    <w:pPr>
      <w:widowControl w:val="0"/>
      <w:autoSpaceDE w:val="0"/>
      <w:autoSpaceDN w:val="0"/>
      <w:spacing w:after="0" w:line="240" w:lineRule="auto"/>
      <w:ind w:left="100"/>
      <w:jc w:val="both"/>
      <w:outlineLvl w:val="0"/>
    </w:pPr>
    <w:rPr>
      <w:rFonts w:ascii="Arial" w:eastAsia="Arial" w:hAnsi="Arial" w:cs="Arial"/>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31F"/>
    <w:rPr>
      <w:color w:val="0000FF" w:themeColor="hyperlink"/>
      <w:u w:val="single"/>
    </w:rPr>
  </w:style>
  <w:style w:type="paragraph" w:styleId="ListParagraph">
    <w:name w:val="List Paragraph"/>
    <w:basedOn w:val="Normal"/>
    <w:uiPriority w:val="34"/>
    <w:qFormat/>
    <w:rsid w:val="00560F03"/>
    <w:pPr>
      <w:ind w:left="720"/>
      <w:contextualSpacing/>
    </w:pPr>
  </w:style>
  <w:style w:type="table" w:styleId="TableGrid">
    <w:name w:val="Table Grid"/>
    <w:basedOn w:val="TableNormal"/>
    <w:uiPriority w:val="39"/>
    <w:rsid w:val="00060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66018"/>
    <w:pPr>
      <w:spacing w:after="0" w:line="240" w:lineRule="auto"/>
    </w:pPr>
  </w:style>
  <w:style w:type="table" w:customStyle="1" w:styleId="TableGrid1">
    <w:name w:val="Table Grid1"/>
    <w:basedOn w:val="TableNormal"/>
    <w:next w:val="TableGrid"/>
    <w:uiPriority w:val="39"/>
    <w:rsid w:val="008861A9"/>
    <w:pPr>
      <w:spacing w:after="0"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F70C1"/>
    <w:pPr>
      <w:widowControl w:val="0"/>
      <w:autoSpaceDE w:val="0"/>
      <w:autoSpaceDN w:val="0"/>
      <w:spacing w:after="0" w:line="240" w:lineRule="auto"/>
      <w:jc w:val="left"/>
    </w:pPr>
    <w:rPr>
      <w:rFonts w:ascii="Arial" w:eastAsia="Arial" w:hAnsi="Arial" w:cs="Arial"/>
      <w:sz w:val="22"/>
      <w:lang w:bidi="en-US"/>
    </w:rPr>
  </w:style>
  <w:style w:type="paragraph" w:styleId="BodyText">
    <w:name w:val="Body Text"/>
    <w:basedOn w:val="Normal"/>
    <w:link w:val="BodyTextChar"/>
    <w:uiPriority w:val="1"/>
    <w:qFormat/>
    <w:rsid w:val="005A3A43"/>
    <w:pPr>
      <w:widowControl w:val="0"/>
      <w:autoSpaceDE w:val="0"/>
      <w:autoSpaceDN w:val="0"/>
      <w:spacing w:after="0" w:line="240" w:lineRule="auto"/>
      <w:jc w:val="left"/>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5A3A43"/>
    <w:rPr>
      <w:rFonts w:ascii="Arial" w:eastAsia="Arial" w:hAnsi="Arial" w:cs="Arial"/>
      <w:sz w:val="20"/>
      <w:szCs w:val="20"/>
      <w:lang w:bidi="en-US"/>
    </w:rPr>
  </w:style>
  <w:style w:type="paragraph" w:styleId="BalloonText">
    <w:name w:val="Balloon Text"/>
    <w:basedOn w:val="Normal"/>
    <w:link w:val="BalloonTextChar"/>
    <w:uiPriority w:val="99"/>
    <w:semiHidden/>
    <w:unhideWhenUsed/>
    <w:rsid w:val="00FC4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A2F"/>
    <w:rPr>
      <w:rFonts w:ascii="Tahoma" w:hAnsi="Tahoma" w:cs="Tahoma"/>
      <w:sz w:val="16"/>
      <w:szCs w:val="16"/>
    </w:rPr>
  </w:style>
  <w:style w:type="paragraph" w:styleId="Header">
    <w:name w:val="header"/>
    <w:basedOn w:val="Normal"/>
    <w:link w:val="HeaderChar"/>
    <w:uiPriority w:val="99"/>
    <w:unhideWhenUsed/>
    <w:rsid w:val="008C1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C2D"/>
  </w:style>
  <w:style w:type="paragraph" w:styleId="Footer">
    <w:name w:val="footer"/>
    <w:basedOn w:val="Normal"/>
    <w:link w:val="FooterChar"/>
    <w:uiPriority w:val="99"/>
    <w:unhideWhenUsed/>
    <w:rsid w:val="008C1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C2D"/>
  </w:style>
  <w:style w:type="character" w:customStyle="1" w:styleId="Heading1Char">
    <w:name w:val="Heading 1 Char"/>
    <w:basedOn w:val="DefaultParagraphFont"/>
    <w:link w:val="Heading1"/>
    <w:uiPriority w:val="9"/>
    <w:rsid w:val="007274F4"/>
    <w:rPr>
      <w:rFonts w:ascii="Arial" w:eastAsia="Arial" w:hAnsi="Arial" w:cs="Arial"/>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74F4"/>
    <w:pPr>
      <w:widowControl w:val="0"/>
      <w:autoSpaceDE w:val="0"/>
      <w:autoSpaceDN w:val="0"/>
      <w:spacing w:after="0" w:line="240" w:lineRule="auto"/>
      <w:ind w:left="100"/>
      <w:jc w:val="both"/>
      <w:outlineLvl w:val="0"/>
    </w:pPr>
    <w:rPr>
      <w:rFonts w:ascii="Arial" w:eastAsia="Arial" w:hAnsi="Arial" w:cs="Arial"/>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31F"/>
    <w:rPr>
      <w:color w:val="0000FF" w:themeColor="hyperlink"/>
      <w:u w:val="single"/>
    </w:rPr>
  </w:style>
  <w:style w:type="paragraph" w:styleId="ListParagraph">
    <w:name w:val="List Paragraph"/>
    <w:basedOn w:val="Normal"/>
    <w:uiPriority w:val="34"/>
    <w:qFormat/>
    <w:rsid w:val="00560F03"/>
    <w:pPr>
      <w:ind w:left="720"/>
      <w:contextualSpacing/>
    </w:pPr>
  </w:style>
  <w:style w:type="table" w:styleId="TableGrid">
    <w:name w:val="Table Grid"/>
    <w:basedOn w:val="TableNormal"/>
    <w:uiPriority w:val="39"/>
    <w:rsid w:val="00060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66018"/>
    <w:pPr>
      <w:spacing w:after="0" w:line="240" w:lineRule="auto"/>
    </w:pPr>
  </w:style>
  <w:style w:type="table" w:customStyle="1" w:styleId="TableGrid1">
    <w:name w:val="Table Grid1"/>
    <w:basedOn w:val="TableNormal"/>
    <w:next w:val="TableGrid"/>
    <w:uiPriority w:val="39"/>
    <w:rsid w:val="008861A9"/>
    <w:pPr>
      <w:spacing w:after="0"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F70C1"/>
    <w:pPr>
      <w:widowControl w:val="0"/>
      <w:autoSpaceDE w:val="0"/>
      <w:autoSpaceDN w:val="0"/>
      <w:spacing w:after="0" w:line="240" w:lineRule="auto"/>
      <w:jc w:val="left"/>
    </w:pPr>
    <w:rPr>
      <w:rFonts w:ascii="Arial" w:eastAsia="Arial" w:hAnsi="Arial" w:cs="Arial"/>
      <w:sz w:val="22"/>
      <w:lang w:bidi="en-US"/>
    </w:rPr>
  </w:style>
  <w:style w:type="paragraph" w:styleId="BodyText">
    <w:name w:val="Body Text"/>
    <w:basedOn w:val="Normal"/>
    <w:link w:val="BodyTextChar"/>
    <w:uiPriority w:val="1"/>
    <w:qFormat/>
    <w:rsid w:val="005A3A43"/>
    <w:pPr>
      <w:widowControl w:val="0"/>
      <w:autoSpaceDE w:val="0"/>
      <w:autoSpaceDN w:val="0"/>
      <w:spacing w:after="0" w:line="240" w:lineRule="auto"/>
      <w:jc w:val="left"/>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5A3A43"/>
    <w:rPr>
      <w:rFonts w:ascii="Arial" w:eastAsia="Arial" w:hAnsi="Arial" w:cs="Arial"/>
      <w:sz w:val="20"/>
      <w:szCs w:val="20"/>
      <w:lang w:bidi="en-US"/>
    </w:rPr>
  </w:style>
  <w:style w:type="paragraph" w:styleId="BalloonText">
    <w:name w:val="Balloon Text"/>
    <w:basedOn w:val="Normal"/>
    <w:link w:val="BalloonTextChar"/>
    <w:uiPriority w:val="99"/>
    <w:semiHidden/>
    <w:unhideWhenUsed/>
    <w:rsid w:val="00FC4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A2F"/>
    <w:rPr>
      <w:rFonts w:ascii="Tahoma" w:hAnsi="Tahoma" w:cs="Tahoma"/>
      <w:sz w:val="16"/>
      <w:szCs w:val="16"/>
    </w:rPr>
  </w:style>
  <w:style w:type="paragraph" w:styleId="Header">
    <w:name w:val="header"/>
    <w:basedOn w:val="Normal"/>
    <w:link w:val="HeaderChar"/>
    <w:uiPriority w:val="99"/>
    <w:unhideWhenUsed/>
    <w:rsid w:val="008C1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C2D"/>
  </w:style>
  <w:style w:type="paragraph" w:styleId="Footer">
    <w:name w:val="footer"/>
    <w:basedOn w:val="Normal"/>
    <w:link w:val="FooterChar"/>
    <w:uiPriority w:val="99"/>
    <w:unhideWhenUsed/>
    <w:rsid w:val="008C1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C2D"/>
  </w:style>
  <w:style w:type="character" w:customStyle="1" w:styleId="Heading1Char">
    <w:name w:val="Heading 1 Char"/>
    <w:basedOn w:val="DefaultParagraphFont"/>
    <w:link w:val="Heading1"/>
    <w:uiPriority w:val="9"/>
    <w:rsid w:val="007274F4"/>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tasp08@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konomi.bisnis.com/read/20180206/98/735189/sektor-transportasi-tumbuh-moncer-di-2017.-ini-penyebabnya" TargetMode="External"/><Relationship Id="rId5" Type="http://schemas.openxmlformats.org/officeDocument/2006/relationships/webSettings" Target="webSettings.xml"/><Relationship Id="rId10" Type="http://schemas.openxmlformats.org/officeDocument/2006/relationships/hyperlink" Target="https://www.bareksa.com/id/text/2015/12/18/kemunculan-ojek-online-turunkan-performa-pertumbuhan-perusahaan-taksi/12226/analysis" TargetMode="External"/><Relationship Id="rId4" Type="http://schemas.openxmlformats.org/officeDocument/2006/relationships/settings" Target="settings.xml"/><Relationship Id="rId9" Type="http://schemas.openxmlformats.org/officeDocument/2006/relationships/hyperlink" Target="mailto:rinaastini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2019-10-30T15:59:00Z</dcterms:created>
  <dcterms:modified xsi:type="dcterms:W3CDTF">2019-10-30T15:59:00Z</dcterms:modified>
</cp:coreProperties>
</file>