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B98EC"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DA0F0"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" strokeweight="1pt"/>
            </w:pict>
          </mc:Fallback>
        </mc:AlternateContent>
      </w:r>
    </w:p>
    <w:p w14:paraId="2E5CE754" w14:textId="701AE720" w:rsidR="00E41E95" w:rsidRDefault="00621D32" w:rsidP="00E41E95">
      <w:pPr>
        <w:widowControl w:val="0"/>
        <w:autoSpaceDE w:val="0"/>
        <w:autoSpaceDN w:val="0"/>
        <w:adjustRightInd w:val="0"/>
        <w:spacing w:after="0" w:line="240" w:lineRule="auto"/>
        <w:rPr>
          <w:rFonts w:ascii="Times New Roman" w:hAnsi="Times New Roman"/>
          <w:bCs/>
          <w:spacing w:val="2"/>
          <w:sz w:val="32"/>
          <w:szCs w:val="34"/>
          <w:lang w:val="id-ID"/>
        </w:rPr>
      </w:pPr>
      <w:r>
        <w:rPr>
          <w:rFonts w:ascii="Times New Roman" w:hAnsi="Times New Roman"/>
          <w:bCs/>
          <w:spacing w:val="2"/>
          <w:sz w:val="32"/>
          <w:szCs w:val="34"/>
        </w:rPr>
        <w:t xml:space="preserve">Comparative Study of </w:t>
      </w:r>
      <w:r w:rsidR="006C4856">
        <w:rPr>
          <w:rFonts w:ascii="Times New Roman" w:hAnsi="Times New Roman"/>
          <w:bCs/>
          <w:spacing w:val="2"/>
          <w:sz w:val="32"/>
          <w:szCs w:val="34"/>
        </w:rPr>
        <w:t>RCCP</w:t>
      </w:r>
      <w:r>
        <w:rPr>
          <w:rFonts w:ascii="Times New Roman" w:hAnsi="Times New Roman"/>
          <w:bCs/>
          <w:spacing w:val="2"/>
          <w:sz w:val="32"/>
          <w:szCs w:val="34"/>
        </w:rPr>
        <w:t xml:space="preserve"> and System Dynamics </w:t>
      </w:r>
      <w:r w:rsidR="006C4856">
        <w:rPr>
          <w:rFonts w:ascii="Times New Roman" w:hAnsi="Times New Roman"/>
          <w:bCs/>
          <w:spacing w:val="2"/>
          <w:sz w:val="32"/>
          <w:szCs w:val="34"/>
        </w:rPr>
        <w:t>in</w:t>
      </w:r>
      <w:r>
        <w:rPr>
          <w:rFonts w:ascii="Times New Roman" w:hAnsi="Times New Roman"/>
          <w:bCs/>
          <w:spacing w:val="2"/>
          <w:sz w:val="32"/>
          <w:szCs w:val="34"/>
        </w:rPr>
        <w:t xml:space="preserve"> Productivity Capacity</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57193098" w:rsidR="00E41E95" w:rsidRDefault="00621D32" w:rsidP="00E41E95">
      <w:pPr>
        <w:widowControl w:val="0"/>
        <w:autoSpaceDE w:val="0"/>
        <w:autoSpaceDN w:val="0"/>
        <w:adjustRightInd w:val="0"/>
        <w:spacing w:after="0" w:line="240" w:lineRule="auto"/>
        <w:rPr>
          <w:rFonts w:ascii="Times New Roman" w:hAnsi="Times New Roman"/>
          <w:bCs/>
          <w:spacing w:val="2"/>
          <w:szCs w:val="28"/>
          <w:lang w:val="id-ID"/>
        </w:rPr>
      </w:pPr>
      <w:r>
        <w:rPr>
          <w:rFonts w:ascii="Times New Roman" w:hAnsi="Times New Roman"/>
          <w:bCs/>
          <w:spacing w:val="2"/>
          <w:szCs w:val="28"/>
        </w:rPr>
        <w:t xml:space="preserve">B. Handoko </w:t>
      </w:r>
      <w:proofErr w:type="spellStart"/>
      <w:r>
        <w:rPr>
          <w:rFonts w:ascii="Times New Roman" w:hAnsi="Times New Roman"/>
          <w:bCs/>
          <w:spacing w:val="2"/>
          <w:szCs w:val="28"/>
        </w:rPr>
        <w:t>Purwojatmiko</w:t>
      </w:r>
      <w:proofErr w:type="spellEnd"/>
      <w:r w:rsidR="00E41E95">
        <w:rPr>
          <w:rFonts w:ascii="Times New Roman" w:hAnsi="Times New Roman"/>
          <w:bCs/>
          <w:spacing w:val="2"/>
          <w:szCs w:val="28"/>
          <w:vertAlign w:val="superscript"/>
          <w:lang w:val="id-ID"/>
        </w:rPr>
        <w:t>1*</w:t>
      </w:r>
      <w:r w:rsidR="00E41E95">
        <w:rPr>
          <w:rFonts w:ascii="Times New Roman" w:hAnsi="Times New Roman"/>
          <w:bCs/>
          <w:spacing w:val="2"/>
          <w:szCs w:val="28"/>
          <w:lang w:val="id-ID"/>
        </w:rPr>
        <w:t xml:space="preserve">, </w:t>
      </w:r>
      <w:r>
        <w:rPr>
          <w:rFonts w:ascii="Times New Roman" w:hAnsi="Times New Roman"/>
          <w:bCs/>
          <w:spacing w:val="2"/>
          <w:szCs w:val="28"/>
        </w:rPr>
        <w:t xml:space="preserve">Raissa Annisa </w:t>
      </w:r>
      <w:proofErr w:type="spellStart"/>
      <w:r>
        <w:rPr>
          <w:rFonts w:ascii="Times New Roman" w:hAnsi="Times New Roman"/>
          <w:bCs/>
          <w:spacing w:val="2"/>
          <w:szCs w:val="28"/>
        </w:rPr>
        <w:t>Cessari</w:t>
      </w:r>
      <w:proofErr w:type="spellEnd"/>
      <w:r w:rsidR="00E41E95">
        <w:rPr>
          <w:rFonts w:ascii="Times New Roman" w:hAnsi="Times New Roman"/>
          <w:bCs/>
          <w:spacing w:val="2"/>
          <w:szCs w:val="28"/>
          <w:lang w:val="id-ID"/>
        </w:rPr>
        <w:t xml:space="preserve"> </w:t>
      </w:r>
      <w:r w:rsidR="00E41E95">
        <w:rPr>
          <w:rFonts w:ascii="Times New Roman" w:hAnsi="Times New Roman"/>
          <w:bCs/>
          <w:spacing w:val="2"/>
          <w:szCs w:val="28"/>
          <w:vertAlign w:val="superscript"/>
          <w:lang w:val="id-ID"/>
        </w:rPr>
        <w:t>2</w:t>
      </w:r>
      <w:r w:rsidR="00E41E95">
        <w:rPr>
          <w:rFonts w:ascii="Times New Roman" w:hAnsi="Times New Roman"/>
          <w:bCs/>
          <w:spacing w:val="2"/>
          <w:szCs w:val="28"/>
          <w:lang w:val="id-ID"/>
        </w:rPr>
        <w:t xml:space="preserve">, </w:t>
      </w:r>
      <w:r>
        <w:rPr>
          <w:rFonts w:ascii="Times New Roman" w:hAnsi="Times New Roman"/>
          <w:bCs/>
          <w:spacing w:val="2"/>
          <w:szCs w:val="28"/>
        </w:rPr>
        <w:t xml:space="preserve">Laksmi </w:t>
      </w:r>
      <w:proofErr w:type="spellStart"/>
      <w:r>
        <w:rPr>
          <w:rFonts w:ascii="Times New Roman" w:hAnsi="Times New Roman"/>
          <w:bCs/>
          <w:spacing w:val="2"/>
          <w:szCs w:val="28"/>
        </w:rPr>
        <w:t>Ambarwati</w:t>
      </w:r>
      <w:proofErr w:type="spellEnd"/>
      <w:r w:rsidR="00E41E95">
        <w:rPr>
          <w:rFonts w:ascii="Times New Roman" w:hAnsi="Times New Roman"/>
          <w:bCs/>
          <w:spacing w:val="2"/>
          <w:szCs w:val="28"/>
          <w:vertAlign w:val="superscript"/>
          <w:lang w:val="id-ID"/>
        </w:rPr>
        <w:t>3</w:t>
      </w:r>
      <w:r>
        <w:rPr>
          <w:rFonts w:ascii="Times New Roman" w:hAnsi="Times New Roman"/>
          <w:bCs/>
          <w:spacing w:val="2"/>
          <w:szCs w:val="28"/>
        </w:rPr>
        <w:t>, Fredy Sumasto</w:t>
      </w:r>
      <w:r>
        <w:rPr>
          <w:rFonts w:ascii="Times New Roman" w:hAnsi="Times New Roman"/>
          <w:bCs/>
          <w:spacing w:val="2"/>
          <w:szCs w:val="28"/>
          <w:vertAlign w:val="superscript"/>
        </w:rPr>
        <w:t>4</w:t>
      </w:r>
    </w:p>
    <w:p w14:paraId="0EFC1CD4" w14:textId="77B10B48" w:rsidR="00621D32" w:rsidRDefault="00E41E95" w:rsidP="00621D32">
      <w:pPr>
        <w:widowControl w:val="0"/>
        <w:autoSpaceDE w:val="0"/>
        <w:autoSpaceDN w:val="0"/>
        <w:adjustRightInd w:val="0"/>
        <w:spacing w:after="0" w:line="240" w:lineRule="auto"/>
        <w:rPr>
          <w:rFonts w:ascii="Times New Roman" w:hAnsi="Times New Roman"/>
          <w:bCs/>
          <w:spacing w:val="2"/>
          <w:sz w:val="16"/>
          <w:szCs w:val="28"/>
          <w:lang w:val="id-ID"/>
        </w:rPr>
      </w:pPr>
      <w:r>
        <w:rPr>
          <w:rFonts w:ascii="Times New Roman" w:hAnsi="Times New Roman"/>
          <w:bCs/>
          <w:spacing w:val="2"/>
          <w:sz w:val="16"/>
          <w:szCs w:val="28"/>
          <w:vertAlign w:val="superscript"/>
          <w:lang w:val="id-ID"/>
        </w:rPr>
        <w:t>1</w:t>
      </w:r>
      <w:r w:rsidR="00621D32">
        <w:rPr>
          <w:rFonts w:ascii="Times New Roman" w:hAnsi="Times New Roman"/>
          <w:bCs/>
          <w:spacing w:val="2"/>
          <w:sz w:val="16"/>
          <w:szCs w:val="28"/>
          <w:vertAlign w:val="superscript"/>
        </w:rPr>
        <w:t>,2,3,4</w:t>
      </w:r>
      <w:r w:rsidR="00621D32">
        <w:rPr>
          <w:rFonts w:ascii="Times New Roman" w:hAnsi="Times New Roman"/>
          <w:bCs/>
          <w:spacing w:val="2"/>
          <w:sz w:val="16"/>
          <w:szCs w:val="28"/>
        </w:rPr>
        <w:t>Automotive Industrial Engineering</w:t>
      </w:r>
      <w:r>
        <w:rPr>
          <w:rFonts w:ascii="Times New Roman" w:hAnsi="Times New Roman"/>
          <w:bCs/>
          <w:spacing w:val="2"/>
          <w:sz w:val="16"/>
          <w:szCs w:val="28"/>
          <w:lang w:val="id-ID"/>
        </w:rPr>
        <w:t>,</w:t>
      </w:r>
      <w:r w:rsidR="00621D32">
        <w:rPr>
          <w:rFonts w:ascii="Times New Roman" w:hAnsi="Times New Roman"/>
          <w:bCs/>
          <w:spacing w:val="2"/>
          <w:sz w:val="16"/>
          <w:szCs w:val="28"/>
        </w:rPr>
        <w:t xml:space="preserve"> </w:t>
      </w:r>
      <w:proofErr w:type="spellStart"/>
      <w:r w:rsidR="00621D32">
        <w:rPr>
          <w:rFonts w:ascii="Times New Roman" w:hAnsi="Times New Roman"/>
          <w:bCs/>
          <w:spacing w:val="2"/>
          <w:sz w:val="16"/>
          <w:szCs w:val="28"/>
        </w:rPr>
        <w:t>Politeknik</w:t>
      </w:r>
      <w:proofErr w:type="spellEnd"/>
      <w:r w:rsidR="00621D32">
        <w:rPr>
          <w:rFonts w:ascii="Times New Roman" w:hAnsi="Times New Roman"/>
          <w:bCs/>
          <w:spacing w:val="2"/>
          <w:sz w:val="16"/>
          <w:szCs w:val="28"/>
        </w:rPr>
        <w:t xml:space="preserve"> STMI Jakarta, </w:t>
      </w:r>
      <w:r w:rsidR="00621D32" w:rsidRPr="00621D32">
        <w:rPr>
          <w:rFonts w:ascii="Times New Roman" w:hAnsi="Times New Roman"/>
          <w:bCs/>
          <w:spacing w:val="2"/>
          <w:sz w:val="16"/>
          <w:szCs w:val="28"/>
        </w:rPr>
        <w:t xml:space="preserve">Jl. </w:t>
      </w:r>
      <w:proofErr w:type="spellStart"/>
      <w:r w:rsidR="00621D32" w:rsidRPr="00621D32">
        <w:rPr>
          <w:rFonts w:ascii="Times New Roman" w:hAnsi="Times New Roman"/>
          <w:bCs/>
          <w:spacing w:val="2"/>
          <w:sz w:val="16"/>
          <w:szCs w:val="28"/>
        </w:rPr>
        <w:t>Letjend</w:t>
      </w:r>
      <w:proofErr w:type="spellEnd"/>
      <w:r w:rsidR="00621D32" w:rsidRPr="00621D32">
        <w:rPr>
          <w:rFonts w:ascii="Times New Roman" w:hAnsi="Times New Roman"/>
          <w:bCs/>
          <w:spacing w:val="2"/>
          <w:sz w:val="16"/>
          <w:szCs w:val="28"/>
        </w:rPr>
        <w:t xml:space="preserve"> </w:t>
      </w:r>
      <w:proofErr w:type="spellStart"/>
      <w:r w:rsidR="00621D32" w:rsidRPr="00621D32">
        <w:rPr>
          <w:rFonts w:ascii="Times New Roman" w:hAnsi="Times New Roman"/>
          <w:bCs/>
          <w:spacing w:val="2"/>
          <w:sz w:val="16"/>
          <w:szCs w:val="28"/>
        </w:rPr>
        <w:t>Suprapto</w:t>
      </w:r>
      <w:proofErr w:type="spellEnd"/>
      <w:r w:rsidR="00621D32" w:rsidRPr="00621D32">
        <w:rPr>
          <w:rFonts w:ascii="Times New Roman" w:hAnsi="Times New Roman"/>
          <w:bCs/>
          <w:spacing w:val="2"/>
          <w:sz w:val="16"/>
          <w:szCs w:val="28"/>
        </w:rPr>
        <w:t xml:space="preserve"> No. 26, Jakarta Pusat, 10510, Indonesia</w:t>
      </w:r>
    </w:p>
    <w:p w14:paraId="5B1D19CF" w14:textId="0721382D" w:rsidR="00E41E95" w:rsidRDefault="00E41E95" w:rsidP="00E41E95">
      <w:pPr>
        <w:widowControl w:val="0"/>
        <w:autoSpaceDE w:val="0"/>
        <w:autoSpaceDN w:val="0"/>
        <w:adjustRightInd w:val="0"/>
        <w:spacing w:after="0" w:line="240" w:lineRule="auto"/>
        <w:rPr>
          <w:rFonts w:ascii="Times New Roman" w:hAnsi="Times New Roman"/>
          <w:bCs/>
          <w:spacing w:val="2"/>
          <w:sz w:val="16"/>
          <w:szCs w:val="28"/>
          <w:lang w:val="id-ID"/>
        </w:rPr>
      </w:pPr>
    </w:p>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021E7"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C2AD52" w14:textId="77777777" w:rsidR="00E41E95" w:rsidRDefault="00E41E95" w:rsidP="00E41E95">
            <w:pPr>
              <w:spacing w:after="0"/>
              <w:jc w:val="both"/>
              <w:rPr>
                <w:rFonts w:ascii="Courier New" w:eastAsia="Arial Unicode MS" w:hAnsi="Courier New" w:cs="Courier New"/>
                <w:sz w:val="16"/>
                <w:szCs w:val="24"/>
                <w:lang w:val="id-ID"/>
              </w:rPr>
            </w:pPr>
          </w:p>
          <w:p w14:paraId="3E801D13" w14:textId="77777777"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3E82629"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77777777"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64D19A8A" w14:textId="77777777" w:rsidR="00E41E95" w:rsidRDefault="00E41E95" w:rsidP="00E41E95">
            <w:pPr>
              <w:spacing w:after="0"/>
              <w:jc w:val="both"/>
              <w:rPr>
                <w:rFonts w:ascii="Courier New" w:eastAsia="Calibri" w:hAnsi="Courier New" w:cs="Courier New"/>
                <w:sz w:val="16"/>
                <w:szCs w:val="24"/>
              </w:rPr>
            </w:pPr>
          </w:p>
          <w:p w14:paraId="5368A328" w14:textId="58229BEA"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select one (Research paper, Review paper, View point, Technical paper, Conceptual paper)</w:t>
            </w:r>
          </w:p>
        </w:tc>
        <w:tc>
          <w:tcPr>
            <w:tcW w:w="351" w:type="dxa"/>
            <w:vMerge/>
            <w:tcBorders>
              <w:left w:val="nil"/>
              <w:right w:val="nil"/>
            </w:tcBorders>
            <w:shd w:val="clear" w:color="auto" w:fill="FFFFFF"/>
          </w:tcPr>
          <w:p w14:paraId="7048264C"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4C17D1BB" w:rsidR="00F86432" w:rsidRPr="007167C3" w:rsidRDefault="00621D32" w:rsidP="00280F90">
            <w:pPr>
              <w:spacing w:before="120" w:after="120" w:line="240" w:lineRule="auto"/>
              <w:jc w:val="both"/>
              <w:rPr>
                <w:rFonts w:ascii="Times New Roman" w:eastAsia="Calibri" w:hAnsi="Times New Roman"/>
              </w:rPr>
            </w:pPr>
            <w:r w:rsidRPr="00621D32">
              <w:rPr>
                <w:rFonts w:ascii="Times New Roman" w:eastAsia="Calibri" w:hAnsi="Times New Roman"/>
              </w:rPr>
              <w:t xml:space="preserve">One of the manufacturing companies in Indonesia which is engaged in foundry has a production line for various types of automotive components and has produced 2051 types of products. One of the products produced is the </w:t>
            </w:r>
            <w:proofErr w:type="spellStart"/>
            <w:r w:rsidRPr="00621D32">
              <w:rPr>
                <w:rFonts w:ascii="Times New Roman" w:eastAsia="Calibri" w:hAnsi="Times New Roman"/>
              </w:rPr>
              <w:t>Trunion</w:t>
            </w:r>
            <w:proofErr w:type="spellEnd"/>
            <w:r w:rsidRPr="00621D32">
              <w:rPr>
                <w:rFonts w:ascii="Times New Roman" w:eastAsia="Calibri" w:hAnsi="Times New Roman"/>
              </w:rPr>
              <w:t xml:space="preserve"> Bracket. In the molding process, cores are needed that can provide cavities in the product. The current production process has not been able to meet demand because the production cycle time does not match the predetermined time. This discrepancy will affect consumer satisfaction. Therefore, it is necessary to make a schedule for the period July to December 2022, to assist companies in facilitating the scheduling of the production process using Rough Cut Capacity Planning and System dynamics. The calculation results from Rough Cut Capacity Planning indicate that the 5th workstation experienced a shortage of production time from July to September 2022, so an additional number of working hours had to be made. The addition of the number of working hours before improvement was 367 hours and after improvement was 112 hours. Meanwhile, the results of system dynamics modeling for the period July to December 2022, require an additional working hour before improvement by 308 hours and 205 hours after improvement are carried out. The companies can implement strategies based on the results of system dynamics simulations to identify, forecast, and plan production capacity requirements for the nex</w:t>
            </w:r>
            <w:r>
              <w:rPr>
                <w:rFonts w:ascii="Times New Roman" w:eastAsia="Calibri" w:hAnsi="Times New Roman"/>
              </w:rPr>
              <w:t>t</w:t>
            </w:r>
            <w:r w:rsidR="00E41E95">
              <w:rPr>
                <w:rFonts w:ascii="Times New Roman" w:eastAsia="Calibri" w:hAnsi="Times New Roman"/>
              </w:rPr>
              <w:t>.</w:t>
            </w:r>
            <w:r w:rsidR="00F86432">
              <w:rPr>
                <w:rFonts w:ascii="Times New Roman" w:eastAsia="Calibri" w:hAnsi="Times New Roman"/>
              </w:rPr>
              <w:t>\</w:t>
            </w: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2AF60345" w14:textId="77777777" w:rsidR="00F86432" w:rsidRDefault="00F86432" w:rsidP="00E41E95">
            <w:pPr>
              <w:spacing w:after="0"/>
              <w:jc w:val="both"/>
              <w:rPr>
                <w:rFonts w:ascii="Times New Roman" w:eastAsia="Calibri" w:hAnsi="Times New Roman"/>
                <w:sz w:val="16"/>
                <w:szCs w:val="24"/>
              </w:rPr>
            </w:pPr>
            <w:r>
              <w:rPr>
                <w:rFonts w:ascii="Times New Roman" w:eastAsia="Calibri" w:hAnsi="Times New Roman"/>
                <w:sz w:val="16"/>
                <w:szCs w:val="24"/>
              </w:rPr>
              <w:t>Manufacturing</w:t>
            </w:r>
          </w:p>
          <w:p w14:paraId="44751BFE" w14:textId="77777777" w:rsidR="00F86432" w:rsidRDefault="00F86432" w:rsidP="00E41E95">
            <w:pPr>
              <w:spacing w:after="0"/>
              <w:jc w:val="both"/>
              <w:rPr>
                <w:rFonts w:ascii="Times New Roman" w:eastAsia="Calibri" w:hAnsi="Times New Roman"/>
                <w:sz w:val="16"/>
                <w:szCs w:val="24"/>
              </w:rPr>
            </w:pPr>
            <w:r w:rsidRPr="00F86432">
              <w:rPr>
                <w:rFonts w:ascii="Times New Roman" w:eastAsia="Calibri" w:hAnsi="Times New Roman"/>
                <w:sz w:val="16"/>
                <w:szCs w:val="24"/>
              </w:rPr>
              <w:t xml:space="preserve">Rough-Cut Capacity Planning </w:t>
            </w:r>
          </w:p>
          <w:p w14:paraId="385969C0" w14:textId="330791E7" w:rsidR="00E41E95" w:rsidRPr="00F86432" w:rsidRDefault="00F86432" w:rsidP="00E41E95">
            <w:pPr>
              <w:spacing w:after="0"/>
              <w:jc w:val="both"/>
              <w:rPr>
                <w:rFonts w:ascii="Times New Roman" w:eastAsia="Calibri" w:hAnsi="Times New Roman"/>
                <w:sz w:val="16"/>
                <w:szCs w:val="24"/>
              </w:rPr>
            </w:pPr>
            <w:r>
              <w:rPr>
                <w:rFonts w:ascii="Times New Roman" w:eastAsia="Calibri" w:hAnsi="Times New Roman"/>
                <w:sz w:val="16"/>
                <w:szCs w:val="24"/>
              </w:rPr>
              <w:t>System Dynamics</w:t>
            </w:r>
          </w:p>
          <w:p w14:paraId="50664575" w14:textId="561D04FC" w:rsidR="00D51252" w:rsidRPr="00D1160F" w:rsidRDefault="00F86432" w:rsidP="00E41E95">
            <w:pPr>
              <w:spacing w:after="0"/>
              <w:jc w:val="both"/>
              <w:rPr>
                <w:rFonts w:ascii="Times New Roman" w:eastAsia="Calibri" w:hAnsi="Times New Roman"/>
                <w:sz w:val="16"/>
                <w:szCs w:val="24"/>
              </w:rPr>
            </w:pPr>
            <w:r>
              <w:rPr>
                <w:rFonts w:ascii="Times New Roman" w:eastAsia="Calibri" w:hAnsi="Times New Roman"/>
                <w:sz w:val="16"/>
                <w:szCs w:val="24"/>
              </w:rPr>
              <w:t>Simulation</w:t>
            </w: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25958A69" w14:textId="77777777" w:rsidR="00621D32" w:rsidRPr="00621D32" w:rsidRDefault="00621D32" w:rsidP="00621D32">
            <w:pPr>
              <w:spacing w:after="0"/>
              <w:rPr>
                <w:rFonts w:ascii="Times New Roman" w:eastAsia="Calibri" w:hAnsi="Times New Roman"/>
                <w:sz w:val="16"/>
                <w:szCs w:val="24"/>
              </w:rPr>
            </w:pPr>
            <w:r w:rsidRPr="00621D32">
              <w:rPr>
                <w:rFonts w:ascii="Times New Roman" w:eastAsia="Calibri" w:hAnsi="Times New Roman"/>
                <w:sz w:val="16"/>
                <w:szCs w:val="24"/>
              </w:rPr>
              <w:t xml:space="preserve">B. Handoko </w:t>
            </w:r>
            <w:proofErr w:type="spellStart"/>
            <w:r w:rsidRPr="00621D32">
              <w:rPr>
                <w:rFonts w:ascii="Times New Roman" w:eastAsia="Calibri" w:hAnsi="Times New Roman"/>
                <w:sz w:val="16"/>
                <w:szCs w:val="24"/>
              </w:rPr>
              <w:t>Purwojatmiko</w:t>
            </w:r>
            <w:proofErr w:type="spellEnd"/>
          </w:p>
          <w:p w14:paraId="0A412CDA" w14:textId="74EBAF37" w:rsidR="00673114" w:rsidRPr="008E23CA" w:rsidRDefault="00621D32" w:rsidP="00621D32">
            <w:pPr>
              <w:spacing w:after="0"/>
              <w:jc w:val="both"/>
              <w:rPr>
                <w:rFonts w:ascii="Times New Roman" w:eastAsia="Calibri" w:hAnsi="Times New Roman"/>
                <w:sz w:val="16"/>
                <w:szCs w:val="24"/>
                <w:lang w:val="id-ID"/>
              </w:rPr>
            </w:pPr>
            <w:r w:rsidRPr="00621D32">
              <w:rPr>
                <w:rFonts w:ascii="Times New Roman" w:eastAsia="Calibri" w:hAnsi="Times New Roman"/>
                <w:sz w:val="16"/>
                <w:szCs w:val="24"/>
              </w:rPr>
              <w:t>E-mail: bhandoko@stmi.ac.id</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2"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53867A72" w14:textId="6270167D" w:rsidR="00645FE1" w:rsidRDefault="00645FE1" w:rsidP="007623F5">
      <w:pPr>
        <w:widowControl w:val="0"/>
        <w:autoSpaceDE w:val="0"/>
        <w:autoSpaceDN w:val="0"/>
        <w:adjustRightInd w:val="0"/>
        <w:spacing w:after="0" w:line="240" w:lineRule="auto"/>
        <w:rPr>
          <w:rFonts w:ascii="Times New Roman" w:hAnsi="Times New Roman"/>
          <w:b/>
          <w:bCs/>
          <w:spacing w:val="2"/>
          <w:szCs w:val="28"/>
        </w:rPr>
      </w:pPr>
    </w:p>
    <w:p w14:paraId="011BA097" w14:textId="6E59E3DB" w:rsidR="00E41E95" w:rsidRDefault="00E41E95" w:rsidP="007623F5">
      <w:pPr>
        <w:widowControl w:val="0"/>
        <w:autoSpaceDE w:val="0"/>
        <w:autoSpaceDN w:val="0"/>
        <w:adjustRightInd w:val="0"/>
        <w:spacing w:after="0" w:line="240" w:lineRule="auto"/>
        <w:rPr>
          <w:rFonts w:ascii="Times New Roman" w:hAnsi="Times New Roman"/>
          <w:b/>
          <w:bCs/>
          <w:spacing w:val="2"/>
          <w:szCs w:val="28"/>
        </w:rPr>
      </w:pPr>
    </w:p>
    <w:p w14:paraId="09873D60" w14:textId="77777777"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B171E1">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1988CA48" w14:textId="70CEE443" w:rsidR="001158D6" w:rsidRDefault="001158D6"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1158D6">
        <w:rPr>
          <w:rFonts w:ascii="Times New Roman" w:hAnsi="Times New Roman"/>
          <w:b/>
          <w:bCs/>
          <w:spacing w:val="2"/>
          <w:szCs w:val="28"/>
        </w:rPr>
        <w:t>INTRODUCTION</w:t>
      </w:r>
    </w:p>
    <w:p w14:paraId="0AB8E29B" w14:textId="5188CF7D" w:rsidR="00F86432" w:rsidRDefault="00F86432" w:rsidP="00F86432">
      <w:pPr>
        <w:widowControl w:val="0"/>
        <w:autoSpaceDE w:val="0"/>
        <w:autoSpaceDN w:val="0"/>
        <w:adjustRightInd w:val="0"/>
        <w:spacing w:after="0" w:line="240" w:lineRule="auto"/>
        <w:jc w:val="both"/>
        <w:rPr>
          <w:rFonts w:ascii="Times New Roman" w:hAnsi="Times New Roman"/>
          <w:bCs/>
          <w:szCs w:val="20"/>
        </w:rPr>
      </w:pPr>
      <w:r w:rsidRPr="00F86432">
        <w:rPr>
          <w:rFonts w:ascii="Times New Roman" w:hAnsi="Times New Roman"/>
          <w:bCs/>
          <w:szCs w:val="20"/>
        </w:rPr>
        <w:t xml:space="preserve">Industrial development in Indonesia leads to seven main sectors consisting of the food dan </w:t>
      </w:r>
      <w:r w:rsidRPr="00F86432">
        <w:rPr>
          <w:rFonts w:ascii="Times New Roman" w:hAnsi="Times New Roman"/>
          <w:bCs/>
          <w:szCs w:val="20"/>
        </w:rPr>
        <w:t xml:space="preserve">beverage, textile, automotive, electronics, chemical, medical devices, and pharmaceutical industries. Several industries that are in the </w:t>
      </w:r>
      <w:r w:rsidRPr="00F86432">
        <w:rPr>
          <w:rFonts w:ascii="Times New Roman" w:hAnsi="Times New Roman"/>
          <w:bCs/>
          <w:szCs w:val="20"/>
        </w:rPr>
        <w:lastRenderedPageBreak/>
        <w:t xml:space="preserve">spotlight in Indonesia have significant development prospects. The automotive industry is one of the </w:t>
      </w:r>
      <w:r w:rsidRPr="000347BB">
        <w:rPr>
          <w:rFonts w:ascii="Times New Roman" w:hAnsi="Times New Roman"/>
          <w:bCs/>
          <w:szCs w:val="20"/>
        </w:rPr>
        <w:t>industries that is growing rapidly in Indonesia</w:t>
      </w:r>
      <w:r w:rsidR="000347BB" w:rsidRPr="000347BB">
        <w:rPr>
          <w:rFonts w:ascii="Times New Roman" w:hAnsi="Times New Roman"/>
          <w:bCs/>
          <w:szCs w:val="20"/>
        </w:rPr>
        <w:t xml:space="preserve"> </w:t>
      </w:r>
      <w:sdt>
        <w:sdtPr>
          <w:rPr>
            <w:rFonts w:ascii="Times New Roman" w:hAnsi="Times New Roman"/>
            <w:bCs/>
            <w:szCs w:val="20"/>
          </w:rPr>
          <w:tag w:val="MENDELEY_CITATION_v3_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"/>
          <w:id w:val="1760953724"/>
          <w:placeholder>
            <w:docPart w:val="DefaultPlaceholder_-1854013440"/>
          </w:placeholder>
        </w:sdtPr>
        <w:sdtContent>
          <w:r w:rsidR="000347BB" w:rsidRPr="000347BB">
            <w:rPr>
              <w:rFonts w:ascii="Times New Roman" w:hAnsi="Times New Roman"/>
            </w:rPr>
            <w:t>(</w:t>
          </w:r>
          <w:proofErr w:type="spellStart"/>
          <w:r w:rsidR="000347BB" w:rsidRPr="000347BB">
            <w:rPr>
              <w:rFonts w:ascii="Times New Roman" w:hAnsi="Times New Roman"/>
            </w:rPr>
            <w:t>Nurcahyo</w:t>
          </w:r>
          <w:proofErr w:type="spellEnd"/>
          <w:r w:rsidR="000347BB" w:rsidRPr="000347BB">
            <w:rPr>
              <w:rFonts w:ascii="Times New Roman" w:hAnsi="Times New Roman"/>
            </w:rPr>
            <w:t xml:space="preserve"> &amp; Wibowo, 2015)</w:t>
          </w:r>
        </w:sdtContent>
      </w:sdt>
      <w:r w:rsidRPr="000347BB">
        <w:rPr>
          <w:rFonts w:ascii="Times New Roman" w:hAnsi="Times New Roman"/>
          <w:bCs/>
          <w:szCs w:val="20"/>
        </w:rPr>
        <w:t>. The development of</w:t>
      </w:r>
      <w:r w:rsidRPr="00F86432">
        <w:rPr>
          <w:rFonts w:ascii="Times New Roman" w:hAnsi="Times New Roman"/>
          <w:bCs/>
          <w:szCs w:val="20"/>
        </w:rPr>
        <w:t xml:space="preserve"> the automotive industry is currently leading to automation and electrification. These advancements would present a substantial challenge to the industry's fundamental technology and the entrenched interests linked to substantial investments in factories, expertise, and supply networks</w:t>
      </w:r>
      <w:r w:rsidR="000347BB">
        <w:rPr>
          <w:rFonts w:ascii="Times New Roman" w:hAnsi="Times New Roman"/>
          <w:bCs/>
          <w:szCs w:val="20"/>
        </w:rPr>
        <w:t xml:space="preserve"> </w:t>
      </w:r>
      <w:sdt>
        <w:sdtPr>
          <w:rPr>
            <w:rFonts w:ascii="Times New Roman" w:hAnsi="Times New Roman"/>
            <w:bCs/>
            <w:color w:val="000000"/>
            <w:szCs w:val="20"/>
          </w:rPr>
          <w:tag w:val="MENDELEY_CITATION_v3_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"/>
          <w:id w:val="-524708053"/>
          <w:placeholder>
            <w:docPart w:val="DefaultPlaceholder_-1854013440"/>
          </w:placeholder>
        </w:sdtPr>
        <w:sdtContent>
          <w:r w:rsidR="000347BB" w:rsidRPr="000347BB">
            <w:rPr>
              <w:rFonts w:ascii="Times New Roman" w:hAnsi="Times New Roman"/>
              <w:bCs/>
              <w:color w:val="000000"/>
              <w:szCs w:val="20"/>
            </w:rPr>
            <w:t>(Chandra Setiawan et al., 2021)</w:t>
          </w:r>
        </w:sdtContent>
      </w:sdt>
      <w:r w:rsidRPr="00F86432">
        <w:rPr>
          <w:rFonts w:ascii="Times New Roman" w:hAnsi="Times New Roman"/>
          <w:bCs/>
          <w:szCs w:val="20"/>
        </w:rPr>
        <w:t>. This was driven by the rapid increase in technological developments and the high attractiveness of products from the automotive industry. The companies engaged in the automotive industry are required to be able to meet the needs and desires of consumers with effective and efficient strategies. The companies are also required to make an improvement to get a positive view of customers. The process improvement that can be carried out include just in time which prioritizes customer orientation to obtain quality assurance, low operating cost and timely delivery are well fulfilled</w:t>
      </w:r>
      <w:r w:rsidR="000347BB">
        <w:rPr>
          <w:rFonts w:ascii="Times New Roman" w:hAnsi="Times New Roman"/>
          <w:bCs/>
          <w:szCs w:val="20"/>
        </w:rPr>
        <w:t xml:space="preserve"> </w:t>
      </w:r>
      <w:sdt>
        <w:sdtPr>
          <w:rPr>
            <w:rFonts w:ascii="Times New Roman" w:hAnsi="Times New Roman"/>
            <w:bCs/>
            <w:color w:val="000000"/>
            <w:szCs w:val="20"/>
          </w:rPr>
          <w:tag w:val="MENDELEY_CITATION_v3_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"/>
          <w:id w:val="-1063629790"/>
          <w:placeholder>
            <w:docPart w:val="DefaultPlaceholder_-1854013440"/>
          </w:placeholder>
        </w:sdtPr>
        <w:sdtContent>
          <w:r w:rsidR="000347BB" w:rsidRPr="000347BB">
            <w:rPr>
              <w:rFonts w:ascii="Times New Roman" w:hAnsi="Times New Roman"/>
              <w:bCs/>
              <w:color w:val="000000"/>
              <w:szCs w:val="20"/>
            </w:rPr>
            <w:t>(</w:t>
          </w:r>
          <w:proofErr w:type="spellStart"/>
          <w:r w:rsidR="000347BB" w:rsidRPr="000347BB">
            <w:rPr>
              <w:rFonts w:ascii="Times New Roman" w:hAnsi="Times New Roman"/>
              <w:bCs/>
              <w:color w:val="000000"/>
              <w:szCs w:val="20"/>
            </w:rPr>
            <w:t>Dallasega</w:t>
          </w:r>
          <w:proofErr w:type="spellEnd"/>
          <w:r w:rsidR="000347BB" w:rsidRPr="000347BB">
            <w:rPr>
              <w:rFonts w:ascii="Times New Roman" w:hAnsi="Times New Roman"/>
              <w:bCs/>
              <w:color w:val="000000"/>
              <w:szCs w:val="20"/>
            </w:rPr>
            <w:t xml:space="preserve"> et al., 2016)</w:t>
          </w:r>
        </w:sdtContent>
      </w:sdt>
      <w:r w:rsidRPr="00F86432">
        <w:rPr>
          <w:rFonts w:ascii="Times New Roman" w:hAnsi="Times New Roman"/>
          <w:bCs/>
          <w:szCs w:val="20"/>
        </w:rPr>
        <w:t>.</w:t>
      </w:r>
    </w:p>
    <w:p w14:paraId="7A70D192" w14:textId="77777777" w:rsidR="00F86432" w:rsidRPr="00F86432" w:rsidRDefault="00F86432" w:rsidP="00F86432">
      <w:pPr>
        <w:widowControl w:val="0"/>
        <w:autoSpaceDE w:val="0"/>
        <w:autoSpaceDN w:val="0"/>
        <w:adjustRightInd w:val="0"/>
        <w:spacing w:after="0" w:line="240" w:lineRule="auto"/>
        <w:jc w:val="both"/>
        <w:rPr>
          <w:rFonts w:ascii="Times New Roman" w:hAnsi="Times New Roman"/>
          <w:bCs/>
          <w:szCs w:val="20"/>
        </w:rPr>
      </w:pPr>
    </w:p>
    <w:p w14:paraId="3F10CA1D" w14:textId="55C95B72" w:rsidR="00F86432" w:rsidRDefault="00F86432" w:rsidP="00F86432">
      <w:pPr>
        <w:widowControl w:val="0"/>
        <w:autoSpaceDE w:val="0"/>
        <w:autoSpaceDN w:val="0"/>
        <w:adjustRightInd w:val="0"/>
        <w:spacing w:after="0" w:line="240" w:lineRule="auto"/>
        <w:jc w:val="both"/>
        <w:rPr>
          <w:rFonts w:ascii="Times New Roman" w:hAnsi="Times New Roman"/>
          <w:bCs/>
          <w:szCs w:val="20"/>
        </w:rPr>
      </w:pPr>
      <w:r w:rsidRPr="00F86432">
        <w:rPr>
          <w:rFonts w:ascii="Times New Roman" w:hAnsi="Times New Roman"/>
          <w:bCs/>
          <w:szCs w:val="20"/>
        </w:rPr>
        <w:t xml:space="preserve">One of the manufacturing companies in Indonesia engaged in the foundry has a production for various types of automotive components. The total types of products produced by the company reached 2051 types of products. The products produced include flywheel </w:t>
      </w:r>
      <w:proofErr w:type="spellStart"/>
      <w:r w:rsidRPr="00F86432">
        <w:rPr>
          <w:rFonts w:ascii="Times New Roman" w:hAnsi="Times New Roman"/>
          <w:bCs/>
          <w:szCs w:val="20"/>
        </w:rPr>
        <w:t>assy</w:t>
      </w:r>
      <w:proofErr w:type="spellEnd"/>
      <w:r w:rsidRPr="00F86432">
        <w:rPr>
          <w:rFonts w:ascii="Times New Roman" w:hAnsi="Times New Roman"/>
          <w:bCs/>
          <w:szCs w:val="20"/>
        </w:rPr>
        <w:t xml:space="preserve"> and housing, shackle </w:t>
      </w:r>
      <w:proofErr w:type="spellStart"/>
      <w:r w:rsidRPr="00F86432">
        <w:rPr>
          <w:rFonts w:ascii="Times New Roman" w:hAnsi="Times New Roman"/>
          <w:bCs/>
          <w:szCs w:val="20"/>
        </w:rPr>
        <w:t>assy</w:t>
      </w:r>
      <w:proofErr w:type="spellEnd"/>
      <w:r w:rsidRPr="00F86432">
        <w:rPr>
          <w:rFonts w:ascii="Times New Roman" w:hAnsi="Times New Roman"/>
          <w:bCs/>
          <w:szCs w:val="20"/>
        </w:rPr>
        <w:t xml:space="preserve">, brake </w:t>
      </w:r>
      <w:proofErr w:type="spellStart"/>
      <w:r w:rsidRPr="00F86432">
        <w:rPr>
          <w:rFonts w:ascii="Times New Roman" w:hAnsi="Times New Roman"/>
          <w:bCs/>
          <w:szCs w:val="20"/>
        </w:rPr>
        <w:t>assy</w:t>
      </w:r>
      <w:proofErr w:type="spellEnd"/>
      <w:r w:rsidRPr="00F86432">
        <w:rPr>
          <w:rFonts w:ascii="Times New Roman" w:hAnsi="Times New Roman"/>
          <w:bCs/>
          <w:szCs w:val="20"/>
        </w:rPr>
        <w:t xml:space="preserve">, pressure plate, knuckle, manifold, hub, and drum brake </w:t>
      </w:r>
      <w:proofErr w:type="spellStart"/>
      <w:r w:rsidRPr="00F86432">
        <w:rPr>
          <w:rFonts w:ascii="Times New Roman" w:hAnsi="Times New Roman"/>
          <w:bCs/>
          <w:szCs w:val="20"/>
        </w:rPr>
        <w:t>assy</w:t>
      </w:r>
      <w:proofErr w:type="spellEnd"/>
      <w:r w:rsidRPr="00F86432">
        <w:rPr>
          <w:rFonts w:ascii="Times New Roman" w:hAnsi="Times New Roman"/>
          <w:bCs/>
          <w:szCs w:val="20"/>
        </w:rPr>
        <w:t xml:space="preserve">, disc brake and trunnion bracket. In the production process there are several products that require cores during the molding process, such as trunnion brackets, flywheel </w:t>
      </w:r>
      <w:proofErr w:type="spellStart"/>
      <w:r w:rsidRPr="00F86432">
        <w:rPr>
          <w:rFonts w:ascii="Times New Roman" w:hAnsi="Times New Roman"/>
          <w:bCs/>
          <w:szCs w:val="20"/>
        </w:rPr>
        <w:t>assy</w:t>
      </w:r>
      <w:proofErr w:type="spellEnd"/>
      <w:r w:rsidRPr="00F86432">
        <w:rPr>
          <w:rFonts w:ascii="Times New Roman" w:hAnsi="Times New Roman"/>
          <w:bCs/>
          <w:szCs w:val="20"/>
        </w:rPr>
        <w:t xml:space="preserve"> and housing products. One of the products that use the core is BT1804 with a trunnion bracket. In the current conditions, the production process that is being carried out is still unable to meet customer demand. The core production process is not optimal because there is a difference in the production cycle time compared to the predetermined time. This condition is caused by an ineffective production process that can affect consumer satisfaction. This non-optimality drives the need for a change in determining a more appropriate capacity to avoid decreasing quality in the company.</w:t>
      </w:r>
    </w:p>
    <w:p w14:paraId="15ED44F7" w14:textId="77777777" w:rsidR="00F86432" w:rsidRDefault="00F86432" w:rsidP="00F86432">
      <w:pPr>
        <w:widowControl w:val="0"/>
        <w:autoSpaceDE w:val="0"/>
        <w:autoSpaceDN w:val="0"/>
        <w:adjustRightInd w:val="0"/>
        <w:spacing w:after="0" w:line="240" w:lineRule="auto"/>
        <w:jc w:val="both"/>
        <w:rPr>
          <w:rFonts w:ascii="Times New Roman" w:hAnsi="Times New Roman"/>
          <w:bCs/>
          <w:szCs w:val="20"/>
        </w:rPr>
      </w:pPr>
    </w:p>
    <w:p w14:paraId="221B3545" w14:textId="4E52E5BE" w:rsidR="00F86432" w:rsidRDefault="00F86432" w:rsidP="00F86432">
      <w:pPr>
        <w:widowControl w:val="0"/>
        <w:autoSpaceDE w:val="0"/>
        <w:autoSpaceDN w:val="0"/>
        <w:adjustRightInd w:val="0"/>
        <w:spacing w:after="0" w:line="240" w:lineRule="auto"/>
        <w:jc w:val="both"/>
        <w:rPr>
          <w:rFonts w:ascii="Times New Roman" w:hAnsi="Times New Roman"/>
          <w:bCs/>
          <w:szCs w:val="20"/>
        </w:rPr>
      </w:pPr>
      <w:r w:rsidRPr="00F86432">
        <w:rPr>
          <w:rFonts w:ascii="Times New Roman" w:hAnsi="Times New Roman"/>
          <w:bCs/>
          <w:szCs w:val="20"/>
        </w:rPr>
        <w:t>With increased demand from customers, it is hoped that there will be improvements such as scheduling the production process to balance supply and demand. Product demand forecasting is determined to see which method is better. The forecasting method used is moving average</w:t>
      </w:r>
      <w:r w:rsidR="00F077F9">
        <w:rPr>
          <w:rFonts w:ascii="Times New Roman" w:hAnsi="Times New Roman"/>
          <w:bCs/>
          <w:szCs w:val="20"/>
        </w:rPr>
        <w:t xml:space="preserve"> </w:t>
      </w:r>
      <w:sdt>
        <w:sdtPr>
          <w:rPr>
            <w:rFonts w:ascii="Times New Roman" w:hAnsi="Times New Roman"/>
            <w:bCs/>
            <w:color w:val="000000"/>
            <w:szCs w:val="20"/>
          </w:rPr>
          <w:tag w:val="MENDELEY_CITATION_v3_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"/>
          <w:id w:val="-921795228"/>
          <w:placeholder>
            <w:docPart w:val="DefaultPlaceholder_-1854013440"/>
          </w:placeholder>
        </w:sdtPr>
        <w:sdtContent>
          <w:r w:rsidR="00F077F9" w:rsidRPr="00F077F9">
            <w:rPr>
              <w:rFonts w:ascii="Times New Roman" w:hAnsi="Times New Roman"/>
              <w:bCs/>
              <w:color w:val="000000"/>
              <w:szCs w:val="20"/>
            </w:rPr>
            <w:t>(Seong, 2020; Wen et al., 2022)</w:t>
          </w:r>
        </w:sdtContent>
      </w:sdt>
      <w:r w:rsidRPr="00F86432">
        <w:rPr>
          <w:rFonts w:ascii="Times New Roman" w:hAnsi="Times New Roman"/>
          <w:bCs/>
          <w:szCs w:val="20"/>
        </w:rPr>
        <w:t>. After obtaining the production demand forecasting, further analysis is carried out. Therefore, this research proposed to use Rough Cut Capacity Planning (RCCP) and system dynamics in solving production capacity problems. RCCP is proposed to be able to increase production capacity and balance customer demand by maximizing capacity elements such as workers and machines. Meanwhile, the system dynamics is used to see and understand possible problems. Meanwhile, the system dynamics is used to see possible problems, as well as analyze and predict problems that will occur in the future. The purpose of this research was to determine the design of the production capacity of BT1804 core to be able to meet customer demand using RCCP. In addition, the use of system dynamics is also used as a comparison in determining alternative improvements</w:t>
      </w:r>
      <w:r w:rsidR="003D39AD">
        <w:rPr>
          <w:rFonts w:ascii="Times New Roman" w:hAnsi="Times New Roman"/>
          <w:bCs/>
          <w:szCs w:val="20"/>
        </w:rPr>
        <w:t>.</w:t>
      </w:r>
    </w:p>
    <w:p w14:paraId="7D26878D" w14:textId="6449D672" w:rsidR="00E41E95" w:rsidRPr="00E41E95" w:rsidRDefault="00E41E95" w:rsidP="00E41E95">
      <w:pPr>
        <w:widowControl w:val="0"/>
        <w:autoSpaceDE w:val="0"/>
        <w:autoSpaceDN w:val="0"/>
        <w:adjustRightInd w:val="0"/>
        <w:spacing w:after="0" w:line="240" w:lineRule="auto"/>
        <w:jc w:val="both"/>
        <w:rPr>
          <w:rFonts w:ascii="Times New Roman" w:hAnsi="Times New Roman"/>
          <w:bCs/>
          <w:spacing w:val="2"/>
          <w:szCs w:val="28"/>
        </w:rPr>
      </w:pPr>
    </w:p>
    <w:p w14:paraId="2FFC971E" w14:textId="6090672A" w:rsidR="00E41E95" w:rsidRDefault="00E41E95"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E41E95">
        <w:rPr>
          <w:rFonts w:ascii="Times New Roman" w:hAnsi="Times New Roman"/>
          <w:b/>
          <w:bCs/>
          <w:spacing w:val="2"/>
          <w:szCs w:val="28"/>
        </w:rPr>
        <w:t xml:space="preserve">LITERATURE REVIEW </w:t>
      </w:r>
    </w:p>
    <w:p w14:paraId="7FF4D319" w14:textId="29FFA12C" w:rsidR="00F86432" w:rsidRDefault="00F86432" w:rsidP="00E41E95">
      <w:pPr>
        <w:widowControl w:val="0"/>
        <w:autoSpaceDE w:val="0"/>
        <w:autoSpaceDN w:val="0"/>
        <w:adjustRightInd w:val="0"/>
        <w:spacing w:after="0" w:line="240" w:lineRule="auto"/>
        <w:jc w:val="both"/>
        <w:rPr>
          <w:rFonts w:ascii="Times New Roman" w:hAnsi="Times New Roman"/>
          <w:bCs/>
        </w:rPr>
      </w:pPr>
      <w:r w:rsidRPr="00F86432">
        <w:rPr>
          <w:rFonts w:ascii="Times New Roman" w:hAnsi="Times New Roman"/>
          <w:bCs/>
        </w:rPr>
        <w:t>Rough cut capacity planning (RCCP) is a strategic process used by organizations to assess their production capabilities and determine whether they have enough resources to meet future demand. It is an essential part of the overall capacity planning process and helps businesses make informed decisions about production levels, resource allocation, and potential constraints</w:t>
      </w:r>
      <w:r w:rsidR="000061F3">
        <w:rPr>
          <w:rFonts w:ascii="Times New Roman" w:hAnsi="Times New Roman"/>
          <w:bCs/>
        </w:rPr>
        <w:t xml:space="preserve"> </w:t>
      </w:r>
      <w:sdt>
        <w:sdtPr>
          <w:rPr>
            <w:rFonts w:ascii="Times New Roman" w:hAnsi="Times New Roman"/>
            <w:bCs/>
            <w:color w:val="000000"/>
          </w:rPr>
          <w:tag w:val="MENDELEY_CITATION_v3_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"/>
          <w:id w:val="740988306"/>
          <w:placeholder>
            <w:docPart w:val="DefaultPlaceholder_-1854013440"/>
          </w:placeholder>
        </w:sdtPr>
        <w:sdtContent>
          <w:r w:rsidR="000061F3" w:rsidRPr="000061F3">
            <w:rPr>
              <w:rFonts w:ascii="Times New Roman" w:hAnsi="Times New Roman"/>
              <w:bCs/>
              <w:color w:val="000000"/>
            </w:rPr>
            <w:t>(Menezes et al., 2016)</w:t>
          </w:r>
        </w:sdtContent>
      </w:sdt>
      <w:r w:rsidRPr="00F86432">
        <w:rPr>
          <w:rFonts w:ascii="Times New Roman" w:hAnsi="Times New Roman"/>
          <w:bCs/>
        </w:rPr>
        <w:t xml:space="preserve">. The main goal of RCCP is to provide an estimate of the capacity required while considering various factors such as workforce availability, machinery and equipment capacity, and available raw materials. Rough cut capacity planning plays a crucial role in ensuring that organizations have the necessary capacity to meet future demand, maintain customer satisfaction, and achieve their business objectives. By conducting regular RCCP assessments, businesses can anticipate and proactively address potential capacity constraints, minimize production disruptions, optimize resource allocation, and meet </w:t>
      </w:r>
      <w:r w:rsidRPr="00F86432">
        <w:rPr>
          <w:rFonts w:ascii="Times New Roman" w:hAnsi="Times New Roman"/>
          <w:bCs/>
        </w:rPr>
        <w:lastRenderedPageBreak/>
        <w:t>customer demands more effectively</w:t>
      </w:r>
      <w:r w:rsidR="000061F3">
        <w:rPr>
          <w:rFonts w:ascii="Times New Roman" w:hAnsi="Times New Roman"/>
          <w:bCs/>
        </w:rPr>
        <w:t xml:space="preserve"> </w:t>
      </w:r>
      <w:sdt>
        <w:sdtPr>
          <w:rPr>
            <w:rFonts w:ascii="Times New Roman" w:hAnsi="Times New Roman"/>
            <w:bCs/>
            <w:color w:val="000000"/>
          </w:rPr>
          <w:tag w:val="MENDELEY_CITATION_v3_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"/>
          <w:id w:val="693121253"/>
          <w:placeholder>
            <w:docPart w:val="DefaultPlaceholder_-1854013440"/>
          </w:placeholder>
        </w:sdtPr>
        <w:sdtContent>
          <w:r w:rsidR="000061F3" w:rsidRPr="000061F3">
            <w:rPr>
              <w:rFonts w:ascii="Times New Roman" w:hAnsi="Times New Roman"/>
              <w:bCs/>
              <w:color w:val="000000"/>
            </w:rPr>
            <w:t>(Cherkaoui et al., 2015)</w:t>
          </w:r>
        </w:sdtContent>
      </w:sdt>
      <w:r w:rsidRPr="00F86432">
        <w:rPr>
          <w:rFonts w:ascii="Times New Roman" w:hAnsi="Times New Roman"/>
          <w:bCs/>
        </w:rPr>
        <w:t>. The advantages of this RCCP can be used as a first step in carrying out definite planning. The planning that is made, can be in the form of estimates based on previous historical data so that problems related to capacity can be easily resolved.</w:t>
      </w:r>
    </w:p>
    <w:p w14:paraId="0F52D7B7" w14:textId="77777777" w:rsidR="00F86432" w:rsidRDefault="00F86432" w:rsidP="00E41E95">
      <w:pPr>
        <w:widowControl w:val="0"/>
        <w:autoSpaceDE w:val="0"/>
        <w:autoSpaceDN w:val="0"/>
        <w:adjustRightInd w:val="0"/>
        <w:spacing w:after="0" w:line="240" w:lineRule="auto"/>
        <w:jc w:val="both"/>
        <w:rPr>
          <w:rFonts w:ascii="Times New Roman" w:hAnsi="Times New Roman"/>
          <w:bCs/>
        </w:rPr>
      </w:pPr>
    </w:p>
    <w:p w14:paraId="07CE330D" w14:textId="6847DAAF" w:rsidR="00F86432" w:rsidRDefault="00F86432" w:rsidP="00E41E95">
      <w:pPr>
        <w:widowControl w:val="0"/>
        <w:autoSpaceDE w:val="0"/>
        <w:autoSpaceDN w:val="0"/>
        <w:adjustRightInd w:val="0"/>
        <w:spacing w:after="0" w:line="240" w:lineRule="auto"/>
        <w:jc w:val="both"/>
        <w:rPr>
          <w:rFonts w:ascii="Times New Roman" w:hAnsi="Times New Roman"/>
          <w:bCs/>
        </w:rPr>
      </w:pPr>
      <w:r w:rsidRPr="00F86432">
        <w:rPr>
          <w:rFonts w:ascii="Times New Roman" w:hAnsi="Times New Roman"/>
          <w:bCs/>
        </w:rPr>
        <w:t xml:space="preserve">System dynamics is a methodology for studying complex systems and understanding their behavior over time. It provides a framework for analyzing the interconnections and feedback loops within a system, allowing for a better understanding of how changes in one part of the system can affect other parts </w:t>
      </w:r>
      <w:sdt>
        <w:sdtPr>
          <w:rPr>
            <w:rFonts w:ascii="Times New Roman" w:hAnsi="Times New Roman"/>
            <w:bCs/>
            <w:color w:val="000000"/>
          </w:rPr>
          <w:tag w:val="MENDELEY_CITATION_v3_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"/>
          <w:id w:val="-1504966150"/>
          <w:placeholder>
            <w:docPart w:val="DefaultPlaceholder_-1854013440"/>
          </w:placeholder>
        </w:sdtPr>
        <w:sdtContent>
          <w:r w:rsidR="000061F3" w:rsidRPr="000061F3">
            <w:rPr>
              <w:rFonts w:ascii="Times New Roman" w:hAnsi="Times New Roman"/>
              <w:bCs/>
              <w:color w:val="000000"/>
            </w:rPr>
            <w:t>(Georgiadis, 2013)</w:t>
          </w:r>
        </w:sdtContent>
      </w:sdt>
      <w:r w:rsidRPr="00F86432">
        <w:rPr>
          <w:rFonts w:ascii="Times New Roman" w:hAnsi="Times New Roman"/>
          <w:bCs/>
        </w:rPr>
        <w:t xml:space="preserve">. At its core, system dynamics focuses on the relationships and feedback loops between various components of a system. These relationships are typically represented using causal loop diagrams, which illustrate how different variables in the system interact and influence each other. The behavior of the system is then captured using mathematical equations that describe the rates of change of these variables overtime. System dynamics models allow for the simulation and experimentation of different scenarios to understand the long-term behavior of a system </w:t>
      </w:r>
      <w:sdt>
        <w:sdtPr>
          <w:rPr>
            <w:rFonts w:ascii="Times New Roman" w:hAnsi="Times New Roman"/>
            <w:bCs/>
            <w:color w:val="000000"/>
          </w:rPr>
          <w:tag w:val="MENDELEY_CITATION_v3_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"/>
          <w:id w:val="-1520610848"/>
          <w:placeholder>
            <w:docPart w:val="DefaultPlaceholder_-1854013440"/>
          </w:placeholder>
        </w:sdtPr>
        <w:sdtContent>
          <w:r w:rsidR="000061F3" w:rsidRPr="000061F3">
            <w:rPr>
              <w:rFonts w:ascii="Times New Roman" w:hAnsi="Times New Roman"/>
              <w:bCs/>
              <w:color w:val="000000"/>
            </w:rPr>
            <w:t>(Suryani et al., 2010)</w:t>
          </w:r>
        </w:sdtContent>
      </w:sdt>
      <w:r w:rsidRPr="00F86432">
        <w:rPr>
          <w:rFonts w:ascii="Times New Roman" w:hAnsi="Times New Roman"/>
          <w:bCs/>
        </w:rPr>
        <w:t>. By adjusting the values of various parameters and observing the resulting changes in the system's behavior, analysts can gain insights into the underlying dynamics and make informed decisions about system improvement, policy interventions, or strategic planning. System dynamics is an effective method for analyzing and assessing the dynamic properties of a system</w:t>
      </w:r>
      <w:r w:rsidR="000061F3">
        <w:rPr>
          <w:rFonts w:ascii="Times New Roman" w:hAnsi="Times New Roman"/>
          <w:bCs/>
        </w:rPr>
        <w:t xml:space="preserve"> </w:t>
      </w:r>
      <w:sdt>
        <w:sdtPr>
          <w:rPr>
            <w:rFonts w:ascii="Times New Roman" w:hAnsi="Times New Roman"/>
            <w:bCs/>
            <w:color w:val="000000"/>
          </w:rPr>
          <w:tag w:val="MENDELEY_CITATION_v3_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"/>
          <w:id w:val="-1900201767"/>
          <w:placeholder>
            <w:docPart w:val="DefaultPlaceholder_-1854013440"/>
          </w:placeholder>
        </w:sdtPr>
        <w:sdtContent>
          <w:r w:rsidR="000061F3" w:rsidRPr="000061F3">
            <w:rPr>
              <w:rFonts w:ascii="Times New Roman" w:hAnsi="Times New Roman"/>
              <w:bCs/>
              <w:color w:val="000000"/>
            </w:rPr>
            <w:t>(</w:t>
          </w:r>
          <w:proofErr w:type="spellStart"/>
          <w:r w:rsidR="000061F3" w:rsidRPr="000061F3">
            <w:rPr>
              <w:rFonts w:ascii="Times New Roman" w:hAnsi="Times New Roman"/>
              <w:bCs/>
              <w:color w:val="000000"/>
            </w:rPr>
            <w:t>Sudarto</w:t>
          </w:r>
          <w:proofErr w:type="spellEnd"/>
          <w:r w:rsidR="000061F3" w:rsidRPr="000061F3">
            <w:rPr>
              <w:rFonts w:ascii="Times New Roman" w:hAnsi="Times New Roman"/>
              <w:bCs/>
              <w:color w:val="000000"/>
            </w:rPr>
            <w:t xml:space="preserve"> et al., 2017)</w:t>
          </w:r>
        </w:sdtContent>
      </w:sdt>
      <w:r w:rsidRPr="00F86432">
        <w:rPr>
          <w:rFonts w:ascii="Times New Roman" w:hAnsi="Times New Roman"/>
          <w:bCs/>
        </w:rPr>
        <w:t>. System dynamics are widely also used in supply chain, logistics and circular economy. The capacity problems in the production of BT1804 cores can be a case that is solved through system dynamics analysis by looking at how the variables are interrelated and giving each effect to the solution of the improvement.</w:t>
      </w:r>
    </w:p>
    <w:p w14:paraId="717896BE" w14:textId="5611A5C7"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6601F495" w14:textId="1CEFDB29"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RESEARCH METHOD</w:t>
      </w:r>
    </w:p>
    <w:p w14:paraId="1C1EE083" w14:textId="11D94A46" w:rsidR="00E8630A" w:rsidRDefault="008959E2" w:rsidP="00E41E95">
      <w:pPr>
        <w:widowControl w:val="0"/>
        <w:autoSpaceDE w:val="0"/>
        <w:autoSpaceDN w:val="0"/>
        <w:adjustRightInd w:val="0"/>
        <w:spacing w:after="0" w:line="240" w:lineRule="auto"/>
        <w:jc w:val="both"/>
        <w:rPr>
          <w:rFonts w:ascii="Times New Roman" w:hAnsi="Times New Roman"/>
          <w:bCs/>
        </w:rPr>
      </w:pPr>
      <w:r w:rsidRPr="008959E2">
        <w:rPr>
          <w:rFonts w:ascii="Times New Roman" w:hAnsi="Times New Roman"/>
          <w:bCs/>
        </w:rPr>
        <w:t xml:space="preserve">To facilitate the implementation of this research, the data taken is secondary data. The secondary data used consists of demand data from January to June 2022, data on actual production results from January to June 2022, </w:t>
      </w:r>
      <w:r w:rsidRPr="008959E2">
        <w:rPr>
          <w:rFonts w:ascii="Times New Roman" w:hAnsi="Times New Roman"/>
          <w:bCs/>
        </w:rPr>
        <w:t xml:space="preserve">the company's effective working hours and the number of machines used. At the data collection stage, interview techniques were used to be able to analyze more deeply about the planning of BT1804 core production in the company. In data processing, the sequence of steps is arranged systematically to achieve the objectives of the research. The initial stage is to identify demand data and actual production results. The timeframe used for data collection is from January to June 2022. The next stage is to perform calculations to determine the amount of capacity needed using RCCP. Capacity calculation analysis using RCCP aims to be able to ensure the company does not accumulate material or overproduce products </w:t>
      </w:r>
      <w:sdt>
        <w:sdtPr>
          <w:rPr>
            <w:rFonts w:ascii="Times New Roman" w:hAnsi="Times New Roman"/>
            <w:bCs/>
            <w:color w:val="000000"/>
          </w:rPr>
          <w:tag w:val="MENDELEY_CITATION_v3_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"/>
          <w:id w:val="1153409228"/>
          <w:placeholder>
            <w:docPart w:val="DefaultPlaceholder_-1854013440"/>
          </w:placeholder>
        </w:sdtPr>
        <w:sdtContent>
          <w:r w:rsidR="007167C3" w:rsidRPr="007167C3">
            <w:rPr>
              <w:rFonts w:ascii="Times New Roman" w:hAnsi="Times New Roman"/>
              <w:bCs/>
              <w:color w:val="000000"/>
            </w:rPr>
            <w:t>(Cherkaoui et al., 2015)</w:t>
          </w:r>
        </w:sdtContent>
      </w:sdt>
      <w:r w:rsidRPr="008959E2">
        <w:rPr>
          <w:rFonts w:ascii="Times New Roman" w:hAnsi="Times New Roman"/>
          <w:bCs/>
        </w:rPr>
        <w:t xml:space="preserve">. The data collected is the processing time for each machine in hours. In addition, capacity data needed every month is also collected to schedule production based on demand. Calculation of the value of available capacity is also carried out to be able to determine the efficiency between demand and capacity who determined by the company. As a comparison, system dynamics is also used to estimate the planning rate of BT1804 core production in the future. The steps that must be taken in making system dynamics are determining the dependent and independent variables and creating model simulation scenarios assisted by </w:t>
      </w:r>
      <w:proofErr w:type="spellStart"/>
      <w:r w:rsidRPr="008959E2">
        <w:rPr>
          <w:rFonts w:ascii="Times New Roman" w:hAnsi="Times New Roman"/>
          <w:bCs/>
        </w:rPr>
        <w:t>Vensim</w:t>
      </w:r>
      <w:proofErr w:type="spellEnd"/>
      <w:r w:rsidRPr="008959E2">
        <w:rPr>
          <w:rFonts w:ascii="Times New Roman" w:hAnsi="Times New Roman"/>
          <w:bCs/>
        </w:rPr>
        <w:t xml:space="preserve"> PLE software</w:t>
      </w:r>
      <w:r>
        <w:rPr>
          <w:rFonts w:ascii="Times New Roman" w:hAnsi="Times New Roman"/>
          <w:bCs/>
        </w:rPr>
        <w:t>.</w:t>
      </w:r>
    </w:p>
    <w:p w14:paraId="3F5244C7" w14:textId="77777777" w:rsidR="008959E2" w:rsidRDefault="008959E2" w:rsidP="00E41E95">
      <w:pPr>
        <w:widowControl w:val="0"/>
        <w:autoSpaceDE w:val="0"/>
        <w:autoSpaceDN w:val="0"/>
        <w:adjustRightInd w:val="0"/>
        <w:spacing w:after="0" w:line="240" w:lineRule="auto"/>
        <w:jc w:val="both"/>
        <w:rPr>
          <w:rFonts w:ascii="Times New Roman" w:hAnsi="Times New Roman"/>
          <w:bCs/>
        </w:rPr>
      </w:pPr>
    </w:p>
    <w:p w14:paraId="7D1CBE95" w14:textId="41009C5A" w:rsidR="008959E2" w:rsidRDefault="008959E2" w:rsidP="008959E2">
      <w:pPr>
        <w:pStyle w:val="ListParagraph"/>
        <w:widowControl w:val="0"/>
        <w:numPr>
          <w:ilvl w:val="1"/>
          <w:numId w:val="12"/>
        </w:numPr>
        <w:autoSpaceDE w:val="0"/>
        <w:autoSpaceDN w:val="0"/>
        <w:adjustRightInd w:val="0"/>
        <w:spacing w:after="0" w:line="240" w:lineRule="auto"/>
        <w:ind w:left="426" w:hanging="426"/>
        <w:jc w:val="both"/>
        <w:rPr>
          <w:rFonts w:ascii="Times New Roman" w:hAnsi="Times New Roman"/>
          <w:bCs/>
        </w:rPr>
      </w:pPr>
      <w:r w:rsidRPr="008959E2">
        <w:rPr>
          <w:rFonts w:ascii="Times New Roman" w:hAnsi="Times New Roman"/>
          <w:bCs/>
        </w:rPr>
        <w:t>Product Demand Forecasting</w:t>
      </w:r>
    </w:p>
    <w:p w14:paraId="68FD8184" w14:textId="121F4EF1" w:rsidR="008959E2" w:rsidRDefault="008959E2" w:rsidP="008959E2">
      <w:pPr>
        <w:widowControl w:val="0"/>
        <w:autoSpaceDE w:val="0"/>
        <w:autoSpaceDN w:val="0"/>
        <w:adjustRightInd w:val="0"/>
        <w:spacing w:after="0" w:line="240" w:lineRule="auto"/>
        <w:jc w:val="both"/>
        <w:rPr>
          <w:rFonts w:ascii="Times New Roman" w:hAnsi="Times New Roman"/>
          <w:bCs/>
        </w:rPr>
      </w:pPr>
      <w:r w:rsidRPr="008959E2">
        <w:rPr>
          <w:rFonts w:ascii="Times New Roman" w:hAnsi="Times New Roman"/>
          <w:bCs/>
        </w:rPr>
        <w:t xml:space="preserve">Product demand forecasting is a crucial process that helps businesses estimate the future demand for their products or services. It involves analyzing historical data, market trends, and various influencing factors to make informed predictions about the expected customer demand over a specific period </w:t>
      </w:r>
      <w:sdt>
        <w:sdtPr>
          <w:rPr>
            <w:rFonts w:ascii="Times New Roman" w:hAnsi="Times New Roman"/>
            <w:bCs/>
            <w:color w:val="000000"/>
          </w:rPr>
          <w:tag w:val="MENDELEY_CITATION_v3_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"/>
          <w:id w:val="902795814"/>
          <w:placeholder>
            <w:docPart w:val="DefaultPlaceholder_-1854013440"/>
          </w:placeholder>
        </w:sdtPr>
        <w:sdtContent>
          <w:r w:rsidR="007167C3" w:rsidRPr="007167C3">
            <w:rPr>
              <w:rFonts w:ascii="Times New Roman" w:hAnsi="Times New Roman"/>
              <w:bCs/>
              <w:color w:val="000000"/>
            </w:rPr>
            <w:t>(Silva et al., 2022)</w:t>
          </w:r>
        </w:sdtContent>
      </w:sdt>
      <w:r w:rsidRPr="008959E2">
        <w:rPr>
          <w:rFonts w:ascii="Times New Roman" w:hAnsi="Times New Roman"/>
          <w:bCs/>
        </w:rPr>
        <w:t>. Forecasting is made by estimating the amount of consumer demand with consideration of historical data using moving averages. The focus of this forecast is on the master production schedule. Historical data used in determining forecasting was data from July 2021 to June 2022. Based on the data that has been collected, forecasting calculations are carried out based on actual demand in the previous period. Forecasting results using the moving average method are shown in Figure 1</w:t>
      </w:r>
      <w:r w:rsidR="00831411">
        <w:rPr>
          <w:rFonts w:ascii="Times New Roman" w:hAnsi="Times New Roman"/>
          <w:bCs/>
        </w:rPr>
        <w:t>.</w:t>
      </w:r>
    </w:p>
    <w:p w14:paraId="431316EF" w14:textId="77777777" w:rsidR="00987614" w:rsidRDefault="00987614" w:rsidP="008959E2">
      <w:pPr>
        <w:widowControl w:val="0"/>
        <w:autoSpaceDE w:val="0"/>
        <w:autoSpaceDN w:val="0"/>
        <w:adjustRightInd w:val="0"/>
        <w:spacing w:after="0" w:line="240" w:lineRule="auto"/>
        <w:jc w:val="both"/>
        <w:rPr>
          <w:rFonts w:ascii="Times New Roman" w:hAnsi="Times New Roman"/>
          <w:bCs/>
        </w:rPr>
      </w:pPr>
    </w:p>
    <w:p w14:paraId="009080BF" w14:textId="0202A7B8" w:rsidR="00306FB7" w:rsidRDefault="00306FB7" w:rsidP="008959E2">
      <w:pPr>
        <w:widowControl w:val="0"/>
        <w:autoSpaceDE w:val="0"/>
        <w:autoSpaceDN w:val="0"/>
        <w:adjustRightInd w:val="0"/>
        <w:spacing w:after="0" w:line="240" w:lineRule="auto"/>
        <w:jc w:val="both"/>
        <w:rPr>
          <w:rFonts w:ascii="Times New Roman" w:hAnsi="Times New Roman"/>
          <w:bCs/>
        </w:rPr>
      </w:pPr>
      <w:r>
        <w:rPr>
          <w:rFonts w:ascii="Times New Roman" w:hAnsi="Times New Roman"/>
          <w:bCs/>
          <w:noProof/>
        </w:rPr>
        <w:lastRenderedPageBreak/>
        <w:drawing>
          <wp:inline distT="0" distB="0" distL="0" distR="0" wp14:anchorId="29822157" wp14:editId="1CEFBD8C">
            <wp:extent cx="2627937" cy="1023042"/>
            <wp:effectExtent l="0" t="0" r="1270" b="5715"/>
            <wp:docPr id="1990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7772" cy="1034657"/>
                    </a:xfrm>
                    <a:prstGeom prst="rect">
                      <a:avLst/>
                    </a:prstGeom>
                    <a:noFill/>
                  </pic:spPr>
                </pic:pic>
              </a:graphicData>
            </a:graphic>
          </wp:inline>
        </w:drawing>
      </w:r>
    </w:p>
    <w:p w14:paraId="74284378" w14:textId="414987AF" w:rsidR="008959E2" w:rsidRDefault="00306FB7" w:rsidP="00306FB7">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Figure 1</w:t>
      </w:r>
      <w:r w:rsidRPr="00306FB7">
        <w:rPr>
          <w:rFonts w:ascii="Times New Roman" w:hAnsi="Times New Roman"/>
          <w:bCs/>
        </w:rPr>
        <w:t xml:space="preserve">. </w:t>
      </w:r>
      <w:r>
        <w:rPr>
          <w:rFonts w:ascii="Times New Roman" w:hAnsi="Times New Roman"/>
          <w:bCs/>
        </w:rPr>
        <w:t>Moving Average Chart</w:t>
      </w:r>
    </w:p>
    <w:p w14:paraId="126DEBC6" w14:textId="77777777" w:rsidR="00306FB7" w:rsidRPr="008959E2" w:rsidRDefault="00306FB7" w:rsidP="008959E2">
      <w:pPr>
        <w:widowControl w:val="0"/>
        <w:autoSpaceDE w:val="0"/>
        <w:autoSpaceDN w:val="0"/>
        <w:adjustRightInd w:val="0"/>
        <w:spacing w:after="0" w:line="240" w:lineRule="auto"/>
        <w:jc w:val="both"/>
        <w:rPr>
          <w:rFonts w:ascii="Times New Roman" w:hAnsi="Times New Roman"/>
          <w:bCs/>
        </w:rPr>
      </w:pPr>
    </w:p>
    <w:p w14:paraId="161F11F5" w14:textId="371B6760" w:rsidR="008959E2" w:rsidRDefault="008959E2" w:rsidP="008959E2">
      <w:pPr>
        <w:pStyle w:val="ListParagraph"/>
        <w:widowControl w:val="0"/>
        <w:numPr>
          <w:ilvl w:val="1"/>
          <w:numId w:val="12"/>
        </w:numPr>
        <w:autoSpaceDE w:val="0"/>
        <w:autoSpaceDN w:val="0"/>
        <w:adjustRightInd w:val="0"/>
        <w:spacing w:after="0" w:line="240" w:lineRule="auto"/>
        <w:ind w:left="426" w:hanging="426"/>
        <w:jc w:val="both"/>
        <w:rPr>
          <w:rFonts w:ascii="Times New Roman" w:hAnsi="Times New Roman"/>
          <w:bCs/>
        </w:rPr>
      </w:pPr>
      <w:r>
        <w:rPr>
          <w:rFonts w:ascii="Times New Roman" w:hAnsi="Times New Roman"/>
          <w:bCs/>
        </w:rPr>
        <w:t>Rough-Cut Capacity Planning</w:t>
      </w:r>
    </w:p>
    <w:p w14:paraId="0B5E1C8C" w14:textId="2EA0C14F" w:rsidR="00831411" w:rsidRDefault="00831411" w:rsidP="00831411">
      <w:pPr>
        <w:widowControl w:val="0"/>
        <w:autoSpaceDE w:val="0"/>
        <w:autoSpaceDN w:val="0"/>
        <w:adjustRightInd w:val="0"/>
        <w:spacing w:after="0" w:line="240" w:lineRule="auto"/>
        <w:jc w:val="both"/>
        <w:rPr>
          <w:rFonts w:ascii="Times New Roman" w:hAnsi="Times New Roman"/>
          <w:bCs/>
        </w:rPr>
      </w:pPr>
      <w:r w:rsidRPr="00831411">
        <w:rPr>
          <w:rFonts w:ascii="Times New Roman" w:hAnsi="Times New Roman"/>
          <w:bCs/>
        </w:rPr>
        <w:t xml:space="preserve">Preparation of a RCCP planning report involves data on the difference between capacity requirements and available capacity based on data for the period from January 2022 to June 2022. This data will later be used to forecast available capacity in the period July 2022 to December 2022. In the case of this study, there are 2 workstations that are of concern, because they have critical processes. Workstation number 5 is the final workstation for the assembly process, while workstation number 4 is the initial preparation process. Based on the results of data calculations, it was found that there was one workstation that experienced a shortage of production time from July 2022 to September 2022 as shown in figure </w:t>
      </w:r>
      <w:r>
        <w:rPr>
          <w:rFonts w:ascii="Times New Roman" w:hAnsi="Times New Roman"/>
          <w:bCs/>
        </w:rPr>
        <w:t>2.</w:t>
      </w:r>
    </w:p>
    <w:p w14:paraId="4FAEE7F7" w14:textId="77777777" w:rsidR="00306FB7" w:rsidRDefault="00306FB7" w:rsidP="00831411">
      <w:pPr>
        <w:widowControl w:val="0"/>
        <w:autoSpaceDE w:val="0"/>
        <w:autoSpaceDN w:val="0"/>
        <w:adjustRightInd w:val="0"/>
        <w:spacing w:after="0" w:line="240" w:lineRule="auto"/>
        <w:jc w:val="both"/>
        <w:rPr>
          <w:rFonts w:ascii="Times New Roman" w:hAnsi="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987614" w14:paraId="3FEE14D7" w14:textId="77777777" w:rsidTr="00987614">
        <w:tc>
          <w:tcPr>
            <w:tcW w:w="4392" w:type="dxa"/>
          </w:tcPr>
          <w:p w14:paraId="2933B687" w14:textId="2D903251" w:rsidR="00987614" w:rsidRDefault="00987614" w:rsidP="00831411">
            <w:pPr>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0FE71D61" wp14:editId="305EBE72">
                  <wp:extent cx="2803515" cy="1850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9359" cy="1880318"/>
                          </a:xfrm>
                          <a:prstGeom prst="rect">
                            <a:avLst/>
                          </a:prstGeom>
                          <a:noFill/>
                        </pic:spPr>
                      </pic:pic>
                    </a:graphicData>
                  </a:graphic>
                </wp:inline>
              </w:drawing>
            </w:r>
          </w:p>
        </w:tc>
      </w:tr>
      <w:tr w:rsidR="00987614" w14:paraId="49C22523" w14:textId="77777777" w:rsidTr="00987614">
        <w:tc>
          <w:tcPr>
            <w:tcW w:w="4392" w:type="dxa"/>
          </w:tcPr>
          <w:p w14:paraId="0B2FF477" w14:textId="2FE0026C" w:rsidR="00987614" w:rsidRDefault="00987614" w:rsidP="0098761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(a)</w:t>
            </w:r>
          </w:p>
        </w:tc>
      </w:tr>
      <w:tr w:rsidR="00987614" w14:paraId="01F8DEA9" w14:textId="77777777" w:rsidTr="00987614">
        <w:tc>
          <w:tcPr>
            <w:tcW w:w="4392" w:type="dxa"/>
          </w:tcPr>
          <w:p w14:paraId="7C8E8107" w14:textId="6F199AE1" w:rsidR="00987614" w:rsidRDefault="00987614" w:rsidP="00831411">
            <w:pPr>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4457A179" wp14:editId="70DA82FC">
                  <wp:extent cx="2805782" cy="18484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4299" cy="1867272"/>
                          </a:xfrm>
                          <a:prstGeom prst="rect">
                            <a:avLst/>
                          </a:prstGeom>
                          <a:noFill/>
                        </pic:spPr>
                      </pic:pic>
                    </a:graphicData>
                  </a:graphic>
                </wp:inline>
              </w:drawing>
            </w:r>
          </w:p>
        </w:tc>
      </w:tr>
      <w:tr w:rsidR="00987614" w14:paraId="793C2736" w14:textId="77777777" w:rsidTr="00987614">
        <w:tc>
          <w:tcPr>
            <w:tcW w:w="4392" w:type="dxa"/>
          </w:tcPr>
          <w:p w14:paraId="06A4BEE6" w14:textId="6DE2C363" w:rsidR="00987614" w:rsidRDefault="00987614" w:rsidP="0098761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(b)</w:t>
            </w:r>
          </w:p>
        </w:tc>
      </w:tr>
    </w:tbl>
    <w:p w14:paraId="1FD15635" w14:textId="77777777" w:rsidR="00306FB7" w:rsidRDefault="00306FB7" w:rsidP="00831411">
      <w:pPr>
        <w:widowControl w:val="0"/>
        <w:autoSpaceDE w:val="0"/>
        <w:autoSpaceDN w:val="0"/>
        <w:adjustRightInd w:val="0"/>
        <w:spacing w:after="0" w:line="240" w:lineRule="auto"/>
        <w:jc w:val="both"/>
        <w:rPr>
          <w:rFonts w:ascii="Times New Roman" w:hAnsi="Times New Roman"/>
          <w:bCs/>
        </w:rPr>
      </w:pPr>
    </w:p>
    <w:p w14:paraId="68D68C90" w14:textId="60633872" w:rsidR="00306FB7" w:rsidRDefault="00306FB7" w:rsidP="00306FB7">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 xml:space="preserve">Figure </w:t>
      </w:r>
      <w:r>
        <w:rPr>
          <w:rFonts w:ascii="Times New Roman" w:hAnsi="Times New Roman"/>
          <w:b/>
        </w:rPr>
        <w:t>2</w:t>
      </w:r>
      <w:r w:rsidRPr="00306FB7">
        <w:rPr>
          <w:rFonts w:ascii="Times New Roman" w:hAnsi="Times New Roman"/>
          <w:bCs/>
        </w:rPr>
        <w:t>. RCCP workstation report diagram (a) Workstation number 4 and (b) Workstation number 5</w:t>
      </w:r>
    </w:p>
    <w:p w14:paraId="43020C62" w14:textId="77777777" w:rsidR="00831411" w:rsidRPr="00831411" w:rsidRDefault="00831411" w:rsidP="00831411">
      <w:pPr>
        <w:widowControl w:val="0"/>
        <w:autoSpaceDE w:val="0"/>
        <w:autoSpaceDN w:val="0"/>
        <w:adjustRightInd w:val="0"/>
        <w:spacing w:after="0" w:line="240" w:lineRule="auto"/>
        <w:jc w:val="both"/>
        <w:rPr>
          <w:rFonts w:ascii="Times New Roman" w:hAnsi="Times New Roman"/>
          <w:bCs/>
        </w:rPr>
      </w:pPr>
    </w:p>
    <w:p w14:paraId="3941BEB3" w14:textId="39AE3941" w:rsidR="008959E2" w:rsidRDefault="008959E2" w:rsidP="008959E2">
      <w:pPr>
        <w:pStyle w:val="ListParagraph"/>
        <w:widowControl w:val="0"/>
        <w:numPr>
          <w:ilvl w:val="1"/>
          <w:numId w:val="12"/>
        </w:numPr>
        <w:autoSpaceDE w:val="0"/>
        <w:autoSpaceDN w:val="0"/>
        <w:adjustRightInd w:val="0"/>
        <w:spacing w:after="0" w:line="240" w:lineRule="auto"/>
        <w:ind w:left="426" w:hanging="426"/>
        <w:jc w:val="both"/>
        <w:rPr>
          <w:rFonts w:ascii="Times New Roman" w:hAnsi="Times New Roman"/>
          <w:bCs/>
        </w:rPr>
      </w:pPr>
      <w:r>
        <w:rPr>
          <w:rFonts w:ascii="Times New Roman" w:hAnsi="Times New Roman"/>
          <w:bCs/>
        </w:rPr>
        <w:t>System Dynamics</w:t>
      </w:r>
    </w:p>
    <w:p w14:paraId="19979314" w14:textId="089F0BB6" w:rsidR="00306FB7" w:rsidRDefault="00306FB7" w:rsidP="00306FB7">
      <w:pPr>
        <w:widowControl w:val="0"/>
        <w:autoSpaceDE w:val="0"/>
        <w:autoSpaceDN w:val="0"/>
        <w:adjustRightInd w:val="0"/>
        <w:spacing w:after="0" w:line="240" w:lineRule="auto"/>
        <w:jc w:val="both"/>
        <w:rPr>
          <w:rFonts w:ascii="Times New Roman" w:hAnsi="Times New Roman"/>
          <w:bCs/>
        </w:rPr>
      </w:pPr>
      <w:r w:rsidRPr="00306FB7">
        <w:rPr>
          <w:rFonts w:ascii="Times New Roman" w:hAnsi="Times New Roman"/>
          <w:bCs/>
        </w:rPr>
        <w:t xml:space="preserve">In the analysis through system dynamics, it is necessary to make a basic causal loop diagram model to be able to describe the relationship between variables in the system to be modeled. The relationship that occurs is cause and effect between variables that can meet the demand for BT1804 core production. In the causal loop diagram model, there are several sub-models according to the conditions. The first sub model is the occurrence of order backlog and desired capacity. This variable determines the condition of the existing production capacity in the company. If the company cannot fulfill the demand, an order backlog will arise. This can be known by calculating the difference between the variable of shipment rate and the order rate. While the shipment rate is greater than the order rate, an order backlog will occur. To prevent backlog orders from occurring, a change in production capacity is required. The amount of change in capacity is determined based on the ratio of desired capacity to initial capacity. This first sub model can be seen in Figure </w:t>
      </w:r>
      <w:r>
        <w:rPr>
          <w:rFonts w:ascii="Times New Roman" w:hAnsi="Times New Roman"/>
          <w:bCs/>
        </w:rPr>
        <w:t>3.</w:t>
      </w:r>
    </w:p>
    <w:p w14:paraId="4F2FF346" w14:textId="77777777" w:rsidR="00306FB7" w:rsidRDefault="00306FB7" w:rsidP="00306FB7">
      <w:pPr>
        <w:widowControl w:val="0"/>
        <w:autoSpaceDE w:val="0"/>
        <w:autoSpaceDN w:val="0"/>
        <w:adjustRightInd w:val="0"/>
        <w:spacing w:after="0" w:line="240" w:lineRule="auto"/>
        <w:jc w:val="both"/>
        <w:rPr>
          <w:rFonts w:ascii="Times New Roman" w:hAnsi="Times New Roman"/>
          <w:bCs/>
        </w:rPr>
      </w:pPr>
    </w:p>
    <w:p w14:paraId="2643C9E0" w14:textId="375425AE" w:rsidR="00987614" w:rsidRDefault="00987614" w:rsidP="00306FB7">
      <w:pPr>
        <w:widowControl w:val="0"/>
        <w:autoSpaceDE w:val="0"/>
        <w:autoSpaceDN w:val="0"/>
        <w:adjustRightInd w:val="0"/>
        <w:spacing w:after="0" w:line="240" w:lineRule="auto"/>
        <w:jc w:val="both"/>
        <w:rPr>
          <w:rFonts w:ascii="Times New Roman" w:hAnsi="Times New Roman"/>
          <w:bCs/>
        </w:rPr>
      </w:pPr>
      <w:r>
        <w:rPr>
          <w:rFonts w:ascii="Times New Roman" w:hAnsi="Times New Roman"/>
          <w:bCs/>
          <w:noProof/>
        </w:rPr>
        <w:drawing>
          <wp:inline distT="0" distB="0" distL="0" distR="0" wp14:anchorId="67307C2D" wp14:editId="78F98D55">
            <wp:extent cx="2694551" cy="2263367"/>
            <wp:effectExtent l="0" t="0" r="0" b="3810"/>
            <wp:docPr id="1568645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2116" cy="2269722"/>
                    </a:xfrm>
                    <a:prstGeom prst="rect">
                      <a:avLst/>
                    </a:prstGeom>
                    <a:noFill/>
                  </pic:spPr>
                </pic:pic>
              </a:graphicData>
            </a:graphic>
          </wp:inline>
        </w:drawing>
      </w:r>
    </w:p>
    <w:p w14:paraId="4BC49501" w14:textId="4AC8E530" w:rsidR="00306FB7" w:rsidRPr="00306FB7" w:rsidRDefault="00306FB7" w:rsidP="00306FB7">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 xml:space="preserve">Figure </w:t>
      </w:r>
      <w:r>
        <w:rPr>
          <w:rFonts w:ascii="Times New Roman" w:hAnsi="Times New Roman"/>
          <w:b/>
        </w:rPr>
        <w:t>3</w:t>
      </w:r>
      <w:r w:rsidRPr="00306FB7">
        <w:rPr>
          <w:rFonts w:ascii="Times New Roman" w:hAnsi="Times New Roman"/>
          <w:bCs/>
        </w:rPr>
        <w:t xml:space="preserve">. </w:t>
      </w:r>
      <w:r>
        <w:rPr>
          <w:rFonts w:ascii="Times New Roman" w:hAnsi="Times New Roman"/>
          <w:bCs/>
        </w:rPr>
        <w:t>Sub-model of order backlog and desired capacity</w:t>
      </w:r>
    </w:p>
    <w:p w14:paraId="44012837" w14:textId="77777777" w:rsidR="00E8630A" w:rsidRDefault="00E8630A" w:rsidP="00E41E95">
      <w:pPr>
        <w:widowControl w:val="0"/>
        <w:autoSpaceDE w:val="0"/>
        <w:autoSpaceDN w:val="0"/>
        <w:adjustRightInd w:val="0"/>
        <w:spacing w:after="0" w:line="240" w:lineRule="auto"/>
        <w:jc w:val="both"/>
        <w:rPr>
          <w:rFonts w:ascii="Times New Roman" w:hAnsi="Times New Roman"/>
          <w:bCs/>
          <w:color w:val="FF0000"/>
        </w:rPr>
      </w:pPr>
    </w:p>
    <w:p w14:paraId="12A88945" w14:textId="59895443" w:rsidR="00306FB7" w:rsidRDefault="00306FB7" w:rsidP="00E41E95">
      <w:pPr>
        <w:widowControl w:val="0"/>
        <w:autoSpaceDE w:val="0"/>
        <w:autoSpaceDN w:val="0"/>
        <w:adjustRightInd w:val="0"/>
        <w:spacing w:after="0" w:line="240" w:lineRule="auto"/>
        <w:jc w:val="both"/>
        <w:rPr>
          <w:rFonts w:ascii="Times New Roman" w:hAnsi="Times New Roman"/>
          <w:bCs/>
        </w:rPr>
      </w:pPr>
      <w:r w:rsidRPr="00306FB7">
        <w:rPr>
          <w:rFonts w:ascii="Times New Roman" w:hAnsi="Times New Roman"/>
          <w:bCs/>
        </w:rPr>
        <w:t xml:space="preserve">The second sub model is about change in capacity. Change in capacity will be affected by several variables such as delivery delay, shipment rate, order backlog, desired delivery delay, pressure to expand and effect of </w:t>
      </w:r>
      <w:r w:rsidRPr="00306FB7">
        <w:rPr>
          <w:rFonts w:ascii="Times New Roman" w:hAnsi="Times New Roman"/>
          <w:bCs/>
        </w:rPr>
        <w:lastRenderedPageBreak/>
        <w:t xml:space="preserve">pressure. All these variables influence each other towards changes in production capacity as illustrated in Figure </w:t>
      </w:r>
      <w:r>
        <w:rPr>
          <w:rFonts w:ascii="Times New Roman" w:hAnsi="Times New Roman"/>
          <w:bCs/>
        </w:rPr>
        <w:t>4</w:t>
      </w:r>
      <w:r w:rsidRPr="00306FB7">
        <w:rPr>
          <w:rFonts w:ascii="Times New Roman" w:hAnsi="Times New Roman"/>
          <w:bCs/>
        </w:rPr>
        <w:t>.</w:t>
      </w:r>
    </w:p>
    <w:p w14:paraId="38970A65" w14:textId="77777777" w:rsidR="00306FB7" w:rsidRDefault="00306FB7" w:rsidP="00E41E95">
      <w:pPr>
        <w:widowControl w:val="0"/>
        <w:autoSpaceDE w:val="0"/>
        <w:autoSpaceDN w:val="0"/>
        <w:adjustRightInd w:val="0"/>
        <w:spacing w:after="0" w:line="240" w:lineRule="auto"/>
        <w:jc w:val="both"/>
        <w:rPr>
          <w:rFonts w:ascii="Times New Roman" w:hAnsi="Times New Roman"/>
          <w:bCs/>
        </w:rPr>
      </w:pPr>
    </w:p>
    <w:p w14:paraId="5FA6FB38" w14:textId="26650DCF" w:rsidR="00987614" w:rsidRDefault="00987614" w:rsidP="00E41E95">
      <w:pPr>
        <w:widowControl w:val="0"/>
        <w:autoSpaceDE w:val="0"/>
        <w:autoSpaceDN w:val="0"/>
        <w:adjustRightInd w:val="0"/>
        <w:spacing w:after="0" w:line="240" w:lineRule="auto"/>
        <w:jc w:val="both"/>
        <w:rPr>
          <w:rFonts w:ascii="Times New Roman" w:hAnsi="Times New Roman"/>
          <w:bCs/>
        </w:rPr>
      </w:pPr>
      <w:r>
        <w:rPr>
          <w:rFonts w:ascii="Times New Roman" w:hAnsi="Times New Roman"/>
          <w:bCs/>
          <w:noProof/>
        </w:rPr>
        <w:drawing>
          <wp:inline distT="0" distB="0" distL="0" distR="0" wp14:anchorId="43070C1A" wp14:editId="3194CAD9">
            <wp:extent cx="2634559" cy="1487153"/>
            <wp:effectExtent l="0" t="0" r="0" b="0"/>
            <wp:docPr id="14473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8907" cy="1500897"/>
                    </a:xfrm>
                    <a:prstGeom prst="rect">
                      <a:avLst/>
                    </a:prstGeom>
                    <a:noFill/>
                  </pic:spPr>
                </pic:pic>
              </a:graphicData>
            </a:graphic>
          </wp:inline>
        </w:drawing>
      </w:r>
    </w:p>
    <w:p w14:paraId="018D2604" w14:textId="4FCD3F39" w:rsidR="00306FB7" w:rsidRDefault="00306FB7" w:rsidP="00306FB7">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 xml:space="preserve">Figure </w:t>
      </w:r>
      <w:r>
        <w:rPr>
          <w:rFonts w:ascii="Times New Roman" w:hAnsi="Times New Roman"/>
          <w:b/>
        </w:rPr>
        <w:t>4</w:t>
      </w:r>
      <w:r w:rsidRPr="00306FB7">
        <w:rPr>
          <w:rFonts w:ascii="Times New Roman" w:hAnsi="Times New Roman"/>
          <w:bCs/>
        </w:rPr>
        <w:t xml:space="preserve">. </w:t>
      </w:r>
      <w:r>
        <w:rPr>
          <w:rFonts w:ascii="Times New Roman" w:hAnsi="Times New Roman"/>
          <w:bCs/>
        </w:rPr>
        <w:t>Sub-model change in capacity</w:t>
      </w:r>
    </w:p>
    <w:p w14:paraId="3FE3229B" w14:textId="77777777" w:rsidR="00306FB7" w:rsidRDefault="00306FB7" w:rsidP="00306FB7">
      <w:pPr>
        <w:widowControl w:val="0"/>
        <w:autoSpaceDE w:val="0"/>
        <w:autoSpaceDN w:val="0"/>
        <w:adjustRightInd w:val="0"/>
        <w:spacing w:after="0" w:line="240" w:lineRule="auto"/>
        <w:rPr>
          <w:rFonts w:ascii="Times New Roman" w:hAnsi="Times New Roman"/>
          <w:bCs/>
        </w:rPr>
      </w:pPr>
    </w:p>
    <w:p w14:paraId="0B7583E2" w14:textId="0344E111" w:rsidR="00306FB7" w:rsidRDefault="00306FB7" w:rsidP="00306FB7">
      <w:pPr>
        <w:widowControl w:val="0"/>
        <w:autoSpaceDE w:val="0"/>
        <w:autoSpaceDN w:val="0"/>
        <w:adjustRightInd w:val="0"/>
        <w:spacing w:after="0" w:line="240" w:lineRule="auto"/>
        <w:jc w:val="both"/>
        <w:rPr>
          <w:rFonts w:ascii="Times New Roman" w:hAnsi="Times New Roman"/>
          <w:bCs/>
        </w:rPr>
      </w:pPr>
      <w:r w:rsidRPr="00306FB7">
        <w:rPr>
          <w:rFonts w:ascii="Times New Roman" w:hAnsi="Times New Roman"/>
          <w:bCs/>
        </w:rPr>
        <w:t xml:space="preserve">The third sub-model is related to how much production capacity changes. These changes will have an impact on how good production planning is. Several variables such as working day added available with overtime work and workers changed. Determination of the number of working days added and worker change is done by means of change capacity in units multiplied by the standard time. The third sub-model involves working day added, worker changed, standard time, capacity change time and desired overtime variables owned by the company as illustrated in Figure </w:t>
      </w:r>
      <w:r>
        <w:rPr>
          <w:rFonts w:ascii="Times New Roman" w:hAnsi="Times New Roman"/>
          <w:bCs/>
        </w:rPr>
        <w:t>5</w:t>
      </w:r>
    </w:p>
    <w:p w14:paraId="383AACC9" w14:textId="77777777" w:rsidR="005C6ED6" w:rsidRDefault="005C6ED6" w:rsidP="00306FB7">
      <w:pPr>
        <w:widowControl w:val="0"/>
        <w:autoSpaceDE w:val="0"/>
        <w:autoSpaceDN w:val="0"/>
        <w:adjustRightInd w:val="0"/>
        <w:spacing w:after="0" w:line="240" w:lineRule="auto"/>
        <w:jc w:val="both"/>
        <w:rPr>
          <w:rFonts w:ascii="Times New Roman" w:hAnsi="Times New Roman"/>
          <w:bCs/>
        </w:rPr>
      </w:pPr>
    </w:p>
    <w:p w14:paraId="6C702E85" w14:textId="56C0DA3B" w:rsidR="00987614" w:rsidRDefault="00987614" w:rsidP="00306FB7">
      <w:pPr>
        <w:widowControl w:val="0"/>
        <w:autoSpaceDE w:val="0"/>
        <w:autoSpaceDN w:val="0"/>
        <w:adjustRightInd w:val="0"/>
        <w:spacing w:after="0" w:line="240" w:lineRule="auto"/>
        <w:jc w:val="both"/>
        <w:rPr>
          <w:rFonts w:ascii="Times New Roman" w:hAnsi="Times New Roman"/>
          <w:bCs/>
        </w:rPr>
      </w:pPr>
      <w:r>
        <w:rPr>
          <w:rFonts w:ascii="Times New Roman" w:hAnsi="Times New Roman"/>
          <w:bCs/>
          <w:noProof/>
        </w:rPr>
        <w:drawing>
          <wp:inline distT="0" distB="0" distL="0" distR="0" wp14:anchorId="21D9EF9D" wp14:editId="180723B4">
            <wp:extent cx="2673809" cy="1520537"/>
            <wp:effectExtent l="0" t="0" r="0" b="3810"/>
            <wp:docPr id="1939570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91005" cy="1530316"/>
                    </a:xfrm>
                    <a:prstGeom prst="rect">
                      <a:avLst/>
                    </a:prstGeom>
                    <a:noFill/>
                  </pic:spPr>
                </pic:pic>
              </a:graphicData>
            </a:graphic>
          </wp:inline>
        </w:drawing>
      </w:r>
    </w:p>
    <w:p w14:paraId="22EF4CE5" w14:textId="60584F2E" w:rsidR="005C6ED6" w:rsidRDefault="005C6ED6" w:rsidP="005C6ED6">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 xml:space="preserve">Figure </w:t>
      </w:r>
      <w:r>
        <w:rPr>
          <w:rFonts w:ascii="Times New Roman" w:hAnsi="Times New Roman"/>
          <w:b/>
        </w:rPr>
        <w:t>5</w:t>
      </w:r>
      <w:r w:rsidRPr="00306FB7">
        <w:rPr>
          <w:rFonts w:ascii="Times New Roman" w:hAnsi="Times New Roman"/>
          <w:bCs/>
        </w:rPr>
        <w:t xml:space="preserve">. </w:t>
      </w:r>
      <w:r>
        <w:rPr>
          <w:rFonts w:ascii="Times New Roman" w:hAnsi="Times New Roman"/>
          <w:bCs/>
        </w:rPr>
        <w:t>Sub-model production planning</w:t>
      </w:r>
    </w:p>
    <w:p w14:paraId="23A2C7B9" w14:textId="77777777" w:rsidR="005C6ED6" w:rsidRDefault="005C6ED6" w:rsidP="005C6ED6">
      <w:pPr>
        <w:widowControl w:val="0"/>
        <w:autoSpaceDE w:val="0"/>
        <w:autoSpaceDN w:val="0"/>
        <w:adjustRightInd w:val="0"/>
        <w:spacing w:after="0" w:line="240" w:lineRule="auto"/>
        <w:jc w:val="center"/>
        <w:rPr>
          <w:rFonts w:ascii="Times New Roman" w:hAnsi="Times New Roman"/>
          <w:bCs/>
        </w:rPr>
      </w:pPr>
    </w:p>
    <w:p w14:paraId="40222810" w14:textId="67A31D8E" w:rsidR="00987614" w:rsidRDefault="005C6ED6" w:rsidP="00306FB7">
      <w:pPr>
        <w:widowControl w:val="0"/>
        <w:autoSpaceDE w:val="0"/>
        <w:autoSpaceDN w:val="0"/>
        <w:adjustRightInd w:val="0"/>
        <w:spacing w:after="0" w:line="240" w:lineRule="auto"/>
        <w:jc w:val="both"/>
        <w:rPr>
          <w:rFonts w:ascii="Times New Roman" w:hAnsi="Times New Roman"/>
          <w:bCs/>
        </w:rPr>
      </w:pPr>
      <w:r w:rsidRPr="005C6ED6">
        <w:rPr>
          <w:rFonts w:ascii="Times New Roman" w:hAnsi="Times New Roman"/>
          <w:bCs/>
        </w:rPr>
        <w:t xml:space="preserve">After the causal loop diagram model is made, the next step is to do the Stock and Flow Diagram (SFD) modeling. This modeling was created to obtain patterns of behavior between variables with the aim of being able to carry out simulations for further verification and validation of the suitability of the model. The process of making a stock and flow diagram models, there are two SFD sub-models of Production Capacity and Changes in Total Production Capacity as illustrated figure </w:t>
      </w:r>
      <w:r>
        <w:rPr>
          <w:rFonts w:ascii="Times New Roman" w:hAnsi="Times New Roman"/>
          <w:bCs/>
        </w:rPr>
        <w:t>6.</w:t>
      </w:r>
      <w:r w:rsidR="00987614">
        <w:rPr>
          <w:rFonts w:ascii="Times New Roman" w:hAnsi="Times New Roman"/>
          <w:bCs/>
        </w:rPr>
        <w:t xml:space="preserve"> </w:t>
      </w:r>
      <w:r w:rsidR="00987614" w:rsidRPr="005C6ED6">
        <w:rPr>
          <w:rFonts w:ascii="Times New Roman" w:hAnsi="Times New Roman"/>
          <w:bCs/>
        </w:rPr>
        <w:t xml:space="preserve">The model verification stage is carried out by </w:t>
      </w:r>
      <w:r w:rsidR="00987614" w:rsidRPr="005C6ED6">
        <w:rPr>
          <w:rFonts w:ascii="Times New Roman" w:hAnsi="Times New Roman"/>
          <w:bCs/>
        </w:rPr>
        <w:t xml:space="preserve">running a simulation on the </w:t>
      </w:r>
      <w:proofErr w:type="spellStart"/>
      <w:r w:rsidR="00987614" w:rsidRPr="005C6ED6">
        <w:rPr>
          <w:rFonts w:ascii="Times New Roman" w:hAnsi="Times New Roman"/>
          <w:bCs/>
        </w:rPr>
        <w:t>Vensim</w:t>
      </w:r>
      <w:proofErr w:type="spellEnd"/>
      <w:r w:rsidR="00987614" w:rsidRPr="005C6ED6">
        <w:rPr>
          <w:rFonts w:ascii="Times New Roman" w:hAnsi="Times New Roman"/>
          <w:bCs/>
        </w:rPr>
        <w:t xml:space="preserve"> software. Based on the simulation results in the software, it is stated that the model used has been verified. For the model validation stage, statistical testing was carried out. The simulation results of the SFD model show that there is a decrease in backlog orders as shown in Figure </w:t>
      </w:r>
      <w:r w:rsidR="00987614">
        <w:rPr>
          <w:rFonts w:ascii="Times New Roman" w:hAnsi="Times New Roman"/>
          <w:bCs/>
        </w:rPr>
        <w:t>7.</w:t>
      </w:r>
    </w:p>
    <w:p w14:paraId="051F53B9" w14:textId="77777777" w:rsidR="00987614" w:rsidRDefault="00987614" w:rsidP="00306FB7">
      <w:pPr>
        <w:widowControl w:val="0"/>
        <w:autoSpaceDE w:val="0"/>
        <w:autoSpaceDN w:val="0"/>
        <w:adjustRightInd w:val="0"/>
        <w:spacing w:after="0" w:line="240" w:lineRule="auto"/>
        <w:jc w:val="both"/>
        <w:rPr>
          <w:rFonts w:ascii="Times New Roman" w:hAnsi="Times New Roman"/>
          <w:bCs/>
        </w:rPr>
      </w:pPr>
    </w:p>
    <w:p w14:paraId="2847BE9A" w14:textId="77777777" w:rsidR="005C6ED6" w:rsidRDefault="005C6ED6" w:rsidP="00306FB7">
      <w:pPr>
        <w:widowControl w:val="0"/>
        <w:autoSpaceDE w:val="0"/>
        <w:autoSpaceDN w:val="0"/>
        <w:adjustRightInd w:val="0"/>
        <w:spacing w:after="0" w:line="240" w:lineRule="auto"/>
        <w:jc w:val="both"/>
        <w:rPr>
          <w:rFonts w:ascii="Times New Roman" w:hAnsi="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987614" w14:paraId="5F6A8513" w14:textId="77777777" w:rsidTr="00987614">
        <w:tc>
          <w:tcPr>
            <w:tcW w:w="4392" w:type="dxa"/>
          </w:tcPr>
          <w:p w14:paraId="77B11473" w14:textId="49E5CA94" w:rsidR="00987614" w:rsidRDefault="00987614" w:rsidP="00306FB7">
            <w:pPr>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0F995E85" wp14:editId="6C69CAC5">
                  <wp:extent cx="2673350" cy="181365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2202" cy="1826441"/>
                          </a:xfrm>
                          <a:prstGeom prst="rect">
                            <a:avLst/>
                          </a:prstGeom>
                          <a:noFill/>
                        </pic:spPr>
                      </pic:pic>
                    </a:graphicData>
                  </a:graphic>
                </wp:inline>
              </w:drawing>
            </w:r>
          </w:p>
        </w:tc>
      </w:tr>
      <w:tr w:rsidR="00987614" w14:paraId="0EEB5863" w14:textId="77777777" w:rsidTr="00987614">
        <w:tc>
          <w:tcPr>
            <w:tcW w:w="4392" w:type="dxa"/>
          </w:tcPr>
          <w:p w14:paraId="14800924" w14:textId="307E00A1" w:rsidR="00987614" w:rsidRDefault="00987614" w:rsidP="0098761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(a)</w:t>
            </w:r>
          </w:p>
        </w:tc>
      </w:tr>
      <w:tr w:rsidR="00987614" w14:paraId="2AAA4CE9" w14:textId="77777777" w:rsidTr="00987614">
        <w:tc>
          <w:tcPr>
            <w:tcW w:w="4392" w:type="dxa"/>
          </w:tcPr>
          <w:p w14:paraId="75AA8B2E" w14:textId="1C08B98E" w:rsidR="00987614" w:rsidRDefault="00987614" w:rsidP="00306FB7">
            <w:pPr>
              <w:widowControl w:val="0"/>
              <w:autoSpaceDE w:val="0"/>
              <w:autoSpaceDN w:val="0"/>
              <w:adjustRightInd w:val="0"/>
              <w:spacing w:after="0" w:line="240" w:lineRule="auto"/>
              <w:jc w:val="both"/>
              <w:rPr>
                <w:rFonts w:ascii="Times New Roman" w:hAnsi="Times New Roman"/>
                <w:bCs/>
              </w:rPr>
            </w:pPr>
            <w:r w:rsidRPr="00185A6C">
              <w:rPr>
                <w:noProof/>
                <w:sz w:val="32"/>
                <w:szCs w:val="28"/>
                <w:lang w:val="id-ID"/>
              </w:rPr>
              <w:drawing>
                <wp:inline distT="0" distB="0" distL="0" distR="0" wp14:anchorId="15C32FEA" wp14:editId="4C9E3526">
                  <wp:extent cx="2673960" cy="1711105"/>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90086" cy="1721425"/>
                          </a:xfrm>
                          <a:prstGeom prst="rect">
                            <a:avLst/>
                          </a:prstGeom>
                        </pic:spPr>
                      </pic:pic>
                    </a:graphicData>
                  </a:graphic>
                </wp:inline>
              </w:drawing>
            </w:r>
          </w:p>
        </w:tc>
      </w:tr>
      <w:tr w:rsidR="00987614" w14:paraId="0085C52C" w14:textId="77777777" w:rsidTr="00987614">
        <w:tc>
          <w:tcPr>
            <w:tcW w:w="4392" w:type="dxa"/>
          </w:tcPr>
          <w:p w14:paraId="62556162" w14:textId="05C27BA1" w:rsidR="00987614" w:rsidRDefault="00987614" w:rsidP="0098761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(b)</w:t>
            </w:r>
          </w:p>
        </w:tc>
      </w:tr>
    </w:tbl>
    <w:p w14:paraId="45AD9EFD" w14:textId="77777777" w:rsidR="00987614" w:rsidRDefault="00987614" w:rsidP="00306FB7">
      <w:pPr>
        <w:widowControl w:val="0"/>
        <w:autoSpaceDE w:val="0"/>
        <w:autoSpaceDN w:val="0"/>
        <w:adjustRightInd w:val="0"/>
        <w:spacing w:after="0" w:line="240" w:lineRule="auto"/>
        <w:jc w:val="both"/>
        <w:rPr>
          <w:rFonts w:ascii="Times New Roman" w:hAnsi="Times New Roman"/>
          <w:bCs/>
        </w:rPr>
      </w:pPr>
    </w:p>
    <w:p w14:paraId="2581BD62" w14:textId="56183FF7" w:rsidR="005C6ED6" w:rsidRDefault="005C6ED6" w:rsidP="005C6ED6">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 xml:space="preserve">Figure </w:t>
      </w:r>
      <w:r>
        <w:rPr>
          <w:rFonts w:ascii="Times New Roman" w:hAnsi="Times New Roman"/>
          <w:b/>
        </w:rPr>
        <w:t>6</w:t>
      </w:r>
      <w:r w:rsidRPr="00306FB7">
        <w:rPr>
          <w:rFonts w:ascii="Times New Roman" w:hAnsi="Times New Roman"/>
          <w:bCs/>
        </w:rPr>
        <w:t xml:space="preserve">. </w:t>
      </w:r>
      <w:r w:rsidRPr="005C6ED6">
        <w:rPr>
          <w:rFonts w:ascii="Times New Roman" w:hAnsi="Times New Roman"/>
          <w:bCs/>
        </w:rPr>
        <w:t>Sub-models of (a) Production capacity and (b) Change in Production Capacity</w:t>
      </w:r>
    </w:p>
    <w:p w14:paraId="45CA0B52" w14:textId="77777777" w:rsidR="005C6ED6" w:rsidRDefault="005C6ED6" w:rsidP="00306FB7">
      <w:pPr>
        <w:widowControl w:val="0"/>
        <w:autoSpaceDE w:val="0"/>
        <w:autoSpaceDN w:val="0"/>
        <w:adjustRightInd w:val="0"/>
        <w:spacing w:after="0" w:line="240" w:lineRule="auto"/>
        <w:jc w:val="both"/>
        <w:rPr>
          <w:rFonts w:ascii="Times New Roman" w:hAnsi="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273"/>
      </w:tblGrid>
      <w:tr w:rsidR="007167C3" w14:paraId="04332E33" w14:textId="7F141BCC" w:rsidTr="007167C3">
        <w:tc>
          <w:tcPr>
            <w:tcW w:w="4119" w:type="dxa"/>
          </w:tcPr>
          <w:p w14:paraId="07B34A39" w14:textId="6017A06E" w:rsidR="007167C3" w:rsidRDefault="007167C3" w:rsidP="00306FB7">
            <w:pPr>
              <w:widowControl w:val="0"/>
              <w:autoSpaceDE w:val="0"/>
              <w:autoSpaceDN w:val="0"/>
              <w:adjustRightInd w:val="0"/>
              <w:spacing w:after="0" w:line="240" w:lineRule="auto"/>
              <w:jc w:val="both"/>
              <w:rPr>
                <w:rFonts w:ascii="Times New Roman" w:hAnsi="Times New Roman"/>
                <w:bCs/>
              </w:rPr>
            </w:pPr>
            <w:r>
              <w:rPr>
                <w:noProof/>
              </w:rPr>
              <w:drawing>
                <wp:inline distT="0" distB="0" distL="0" distR="0" wp14:anchorId="05727415" wp14:editId="1BCEE6CB">
                  <wp:extent cx="2673350" cy="193269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11959" cy="1960612"/>
                          </a:xfrm>
                          <a:prstGeom prst="rect">
                            <a:avLst/>
                          </a:prstGeom>
                        </pic:spPr>
                      </pic:pic>
                    </a:graphicData>
                  </a:graphic>
                </wp:inline>
              </w:drawing>
            </w:r>
          </w:p>
        </w:tc>
        <w:tc>
          <w:tcPr>
            <w:tcW w:w="273" w:type="dxa"/>
          </w:tcPr>
          <w:p w14:paraId="417B6A3A" w14:textId="77777777" w:rsidR="007167C3" w:rsidRDefault="007167C3" w:rsidP="00306FB7">
            <w:pPr>
              <w:widowControl w:val="0"/>
              <w:autoSpaceDE w:val="0"/>
              <w:autoSpaceDN w:val="0"/>
              <w:adjustRightInd w:val="0"/>
              <w:spacing w:after="0" w:line="240" w:lineRule="auto"/>
              <w:jc w:val="both"/>
              <w:rPr>
                <w:noProof/>
              </w:rPr>
            </w:pPr>
          </w:p>
        </w:tc>
      </w:tr>
      <w:tr w:rsidR="007167C3" w14:paraId="5C3BDE54" w14:textId="36A71C7F" w:rsidTr="007167C3">
        <w:tc>
          <w:tcPr>
            <w:tcW w:w="4119" w:type="dxa"/>
          </w:tcPr>
          <w:p w14:paraId="3A800490" w14:textId="2F75159B" w:rsidR="007167C3" w:rsidRDefault="007167C3" w:rsidP="0098761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(a)</w:t>
            </w:r>
          </w:p>
        </w:tc>
        <w:tc>
          <w:tcPr>
            <w:tcW w:w="273" w:type="dxa"/>
          </w:tcPr>
          <w:p w14:paraId="43FCFD6B" w14:textId="77777777" w:rsidR="007167C3" w:rsidRDefault="007167C3" w:rsidP="00987614">
            <w:pPr>
              <w:widowControl w:val="0"/>
              <w:autoSpaceDE w:val="0"/>
              <w:autoSpaceDN w:val="0"/>
              <w:adjustRightInd w:val="0"/>
              <w:spacing w:after="0" w:line="240" w:lineRule="auto"/>
              <w:jc w:val="center"/>
              <w:rPr>
                <w:rFonts w:ascii="Times New Roman" w:hAnsi="Times New Roman"/>
                <w:bCs/>
              </w:rPr>
            </w:pPr>
          </w:p>
        </w:tc>
      </w:tr>
      <w:tr w:rsidR="007167C3" w14:paraId="7CE1D011" w14:textId="5B92BE12" w:rsidTr="007167C3">
        <w:tc>
          <w:tcPr>
            <w:tcW w:w="4119" w:type="dxa"/>
          </w:tcPr>
          <w:p w14:paraId="7FCD2A6F" w14:textId="50F4D5FF" w:rsidR="007167C3" w:rsidRDefault="007167C3" w:rsidP="00306FB7">
            <w:pPr>
              <w:widowControl w:val="0"/>
              <w:autoSpaceDE w:val="0"/>
              <w:autoSpaceDN w:val="0"/>
              <w:adjustRightInd w:val="0"/>
              <w:spacing w:after="0" w:line="240" w:lineRule="auto"/>
              <w:jc w:val="both"/>
              <w:rPr>
                <w:rFonts w:ascii="Times New Roman" w:hAnsi="Times New Roman"/>
                <w:bCs/>
              </w:rPr>
            </w:pPr>
            <w:r>
              <w:rPr>
                <w:noProof/>
                <w:lang w:val="id-ID"/>
              </w:rPr>
              <w:lastRenderedPageBreak/>
              <w:drawing>
                <wp:inline distT="0" distB="0" distL="0" distR="0" wp14:anchorId="5BC2834F" wp14:editId="5321A405">
                  <wp:extent cx="2655586" cy="1388324"/>
                  <wp:effectExtent l="0" t="0" r="0"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99578" cy="1411323"/>
                          </a:xfrm>
                          <a:prstGeom prst="rect">
                            <a:avLst/>
                          </a:prstGeom>
                        </pic:spPr>
                      </pic:pic>
                    </a:graphicData>
                  </a:graphic>
                </wp:inline>
              </w:drawing>
            </w:r>
          </w:p>
        </w:tc>
        <w:tc>
          <w:tcPr>
            <w:tcW w:w="273" w:type="dxa"/>
          </w:tcPr>
          <w:p w14:paraId="2792AE54" w14:textId="77777777" w:rsidR="007167C3" w:rsidRDefault="007167C3" w:rsidP="00306FB7">
            <w:pPr>
              <w:widowControl w:val="0"/>
              <w:autoSpaceDE w:val="0"/>
              <w:autoSpaceDN w:val="0"/>
              <w:adjustRightInd w:val="0"/>
              <w:spacing w:after="0" w:line="240" w:lineRule="auto"/>
              <w:jc w:val="both"/>
              <w:rPr>
                <w:noProof/>
                <w:lang w:val="id-ID"/>
              </w:rPr>
            </w:pPr>
          </w:p>
        </w:tc>
      </w:tr>
      <w:tr w:rsidR="007167C3" w14:paraId="33907989" w14:textId="413694AC" w:rsidTr="007167C3">
        <w:tc>
          <w:tcPr>
            <w:tcW w:w="4119" w:type="dxa"/>
          </w:tcPr>
          <w:p w14:paraId="7DF8242B" w14:textId="6F89C44B" w:rsidR="007167C3" w:rsidRDefault="007167C3" w:rsidP="00987614">
            <w:pPr>
              <w:widowControl w:val="0"/>
              <w:autoSpaceDE w:val="0"/>
              <w:autoSpaceDN w:val="0"/>
              <w:adjustRightInd w:val="0"/>
              <w:spacing w:after="0" w:line="240" w:lineRule="auto"/>
              <w:jc w:val="center"/>
              <w:rPr>
                <w:rFonts w:ascii="Times New Roman" w:hAnsi="Times New Roman"/>
                <w:bCs/>
              </w:rPr>
            </w:pPr>
            <w:r>
              <w:rPr>
                <w:rFonts w:ascii="Times New Roman" w:hAnsi="Times New Roman"/>
                <w:bCs/>
              </w:rPr>
              <w:t>(b)</w:t>
            </w:r>
          </w:p>
        </w:tc>
        <w:tc>
          <w:tcPr>
            <w:tcW w:w="273" w:type="dxa"/>
          </w:tcPr>
          <w:p w14:paraId="65F26140" w14:textId="77777777" w:rsidR="007167C3" w:rsidRDefault="007167C3" w:rsidP="00987614">
            <w:pPr>
              <w:widowControl w:val="0"/>
              <w:autoSpaceDE w:val="0"/>
              <w:autoSpaceDN w:val="0"/>
              <w:adjustRightInd w:val="0"/>
              <w:spacing w:after="0" w:line="240" w:lineRule="auto"/>
              <w:jc w:val="center"/>
              <w:rPr>
                <w:rFonts w:ascii="Times New Roman" w:hAnsi="Times New Roman"/>
                <w:bCs/>
              </w:rPr>
            </w:pPr>
          </w:p>
        </w:tc>
      </w:tr>
    </w:tbl>
    <w:p w14:paraId="5A3460E8" w14:textId="49AD60C9" w:rsidR="005C6ED6" w:rsidRDefault="005C6ED6" w:rsidP="00306FB7">
      <w:pPr>
        <w:widowControl w:val="0"/>
        <w:autoSpaceDE w:val="0"/>
        <w:autoSpaceDN w:val="0"/>
        <w:adjustRightInd w:val="0"/>
        <w:spacing w:after="0" w:line="240" w:lineRule="auto"/>
        <w:jc w:val="both"/>
        <w:rPr>
          <w:rFonts w:ascii="Times New Roman" w:hAnsi="Times New Roman"/>
          <w:bCs/>
        </w:rPr>
      </w:pPr>
    </w:p>
    <w:p w14:paraId="044E054C" w14:textId="77777777" w:rsidR="00E41E95" w:rsidRDefault="005C6ED6" w:rsidP="007167C3">
      <w:pPr>
        <w:widowControl w:val="0"/>
        <w:autoSpaceDE w:val="0"/>
        <w:autoSpaceDN w:val="0"/>
        <w:adjustRightInd w:val="0"/>
        <w:spacing w:after="0" w:line="240" w:lineRule="auto"/>
        <w:jc w:val="center"/>
        <w:rPr>
          <w:rFonts w:ascii="Times New Roman" w:hAnsi="Times New Roman"/>
          <w:bCs/>
        </w:rPr>
      </w:pPr>
      <w:r w:rsidRPr="00306FB7">
        <w:rPr>
          <w:rFonts w:ascii="Times New Roman" w:hAnsi="Times New Roman"/>
          <w:b/>
        </w:rPr>
        <w:t xml:space="preserve">Figure </w:t>
      </w:r>
      <w:r>
        <w:rPr>
          <w:rFonts w:ascii="Times New Roman" w:hAnsi="Times New Roman"/>
          <w:b/>
        </w:rPr>
        <w:t>7</w:t>
      </w:r>
      <w:r w:rsidRPr="00306FB7">
        <w:rPr>
          <w:rFonts w:ascii="Times New Roman" w:hAnsi="Times New Roman"/>
          <w:bCs/>
        </w:rPr>
        <w:t xml:space="preserve">. </w:t>
      </w:r>
      <w:r w:rsidRPr="005C6ED6">
        <w:rPr>
          <w:rFonts w:ascii="Times New Roman" w:hAnsi="Times New Roman"/>
          <w:bCs/>
        </w:rPr>
        <w:t>Verification of SFD model</w:t>
      </w:r>
      <w:r>
        <w:rPr>
          <w:rFonts w:ascii="Times New Roman" w:hAnsi="Times New Roman"/>
          <w:bCs/>
        </w:rPr>
        <w:t xml:space="preserve"> (a)</w:t>
      </w:r>
      <w:r w:rsidRPr="005C6ED6">
        <w:rPr>
          <w:rFonts w:ascii="Times New Roman" w:hAnsi="Times New Roman"/>
          <w:bCs/>
        </w:rPr>
        <w:t xml:space="preserve"> and</w:t>
      </w:r>
      <w:r>
        <w:rPr>
          <w:rFonts w:ascii="Times New Roman" w:hAnsi="Times New Roman"/>
          <w:bCs/>
        </w:rPr>
        <w:t xml:space="preserve"> </w:t>
      </w:r>
      <w:r w:rsidRPr="005C6ED6">
        <w:rPr>
          <w:rFonts w:ascii="Times New Roman" w:hAnsi="Times New Roman"/>
          <w:bCs/>
        </w:rPr>
        <w:t>Validation of SFD model</w:t>
      </w:r>
      <w:r>
        <w:rPr>
          <w:rFonts w:ascii="Times New Roman" w:hAnsi="Times New Roman"/>
          <w:bCs/>
        </w:rPr>
        <w:t xml:space="preserve"> (b)</w:t>
      </w:r>
    </w:p>
    <w:p w14:paraId="3A393C2B"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08A770C1"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1DBE7FA7"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54AB7897"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5662BCB2"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5488DB53"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047D8161"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6A4F6F16"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44F30860"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0954B3A3"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60F4DB07" w14:textId="77777777" w:rsidR="007167C3" w:rsidRDefault="007167C3" w:rsidP="007167C3">
      <w:pPr>
        <w:widowControl w:val="0"/>
        <w:autoSpaceDE w:val="0"/>
        <w:autoSpaceDN w:val="0"/>
        <w:adjustRightInd w:val="0"/>
        <w:spacing w:after="0" w:line="240" w:lineRule="auto"/>
        <w:jc w:val="center"/>
        <w:rPr>
          <w:rFonts w:ascii="Times New Roman" w:hAnsi="Times New Roman"/>
          <w:bCs/>
        </w:rPr>
      </w:pPr>
    </w:p>
    <w:p w14:paraId="217DEB52" w14:textId="31B90D09" w:rsidR="007167C3" w:rsidRPr="007167C3" w:rsidRDefault="007167C3" w:rsidP="007167C3">
      <w:pPr>
        <w:widowControl w:val="0"/>
        <w:autoSpaceDE w:val="0"/>
        <w:autoSpaceDN w:val="0"/>
        <w:adjustRightInd w:val="0"/>
        <w:spacing w:after="0" w:line="240" w:lineRule="auto"/>
        <w:jc w:val="center"/>
        <w:rPr>
          <w:rFonts w:ascii="Times New Roman" w:hAnsi="Times New Roman"/>
          <w:bCs/>
        </w:rPr>
        <w:sectPr w:rsidR="007167C3" w:rsidRPr="007167C3" w:rsidSect="007167C3">
          <w:type w:val="continuous"/>
          <w:pgSz w:w="11907" w:h="16840" w:code="9"/>
          <w:pgMar w:top="1701" w:right="1134" w:bottom="1701" w:left="1701" w:header="680" w:footer="680" w:gutter="0"/>
          <w:cols w:num="2" w:space="720"/>
          <w:docGrid w:linePitch="360"/>
        </w:sectPr>
      </w:pPr>
    </w:p>
    <w:p w14:paraId="0AE70ECD" w14:textId="77777777" w:rsidR="007167C3" w:rsidRDefault="007167C3" w:rsidP="007167C3">
      <w:pPr>
        <w:pStyle w:val="ListParagraph"/>
        <w:widowControl w:val="0"/>
        <w:autoSpaceDE w:val="0"/>
        <w:autoSpaceDN w:val="0"/>
        <w:adjustRightInd w:val="0"/>
        <w:spacing w:after="0" w:line="240" w:lineRule="auto"/>
        <w:ind w:left="284"/>
        <w:jc w:val="both"/>
        <w:rPr>
          <w:rFonts w:ascii="Times New Roman" w:hAnsi="Times New Roman"/>
          <w:b/>
          <w:bCs/>
          <w:spacing w:val="2"/>
          <w:szCs w:val="28"/>
        </w:rPr>
      </w:pPr>
    </w:p>
    <w:p w14:paraId="1A44C2BD" w14:textId="794FF140"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RESULT AND DISCUSSION</w:t>
      </w:r>
    </w:p>
    <w:p w14:paraId="2DF6714D" w14:textId="42EEAC3F" w:rsidR="00987614" w:rsidRDefault="00987614" w:rsidP="00987614">
      <w:pPr>
        <w:pStyle w:val="ListParagraph"/>
        <w:widowControl w:val="0"/>
        <w:numPr>
          <w:ilvl w:val="1"/>
          <w:numId w:val="12"/>
        </w:numPr>
        <w:autoSpaceDE w:val="0"/>
        <w:autoSpaceDN w:val="0"/>
        <w:adjustRightInd w:val="0"/>
        <w:spacing w:after="0" w:line="240" w:lineRule="auto"/>
        <w:ind w:left="426" w:hanging="426"/>
        <w:jc w:val="both"/>
        <w:rPr>
          <w:rFonts w:ascii="Times New Roman" w:hAnsi="Times New Roman"/>
          <w:bCs/>
        </w:rPr>
      </w:pPr>
      <w:r w:rsidRPr="00987614">
        <w:rPr>
          <w:rFonts w:ascii="Times New Roman" w:hAnsi="Times New Roman"/>
          <w:bCs/>
        </w:rPr>
        <w:t>Rough-Cut Capacity Planning Analysis</w:t>
      </w:r>
    </w:p>
    <w:p w14:paraId="1BBB422F" w14:textId="5DD0F4DF" w:rsidR="00987614" w:rsidRDefault="0074564A" w:rsidP="00987614">
      <w:pPr>
        <w:widowControl w:val="0"/>
        <w:autoSpaceDE w:val="0"/>
        <w:autoSpaceDN w:val="0"/>
        <w:adjustRightInd w:val="0"/>
        <w:spacing w:after="0" w:line="240" w:lineRule="auto"/>
        <w:jc w:val="both"/>
        <w:rPr>
          <w:rFonts w:ascii="Times New Roman" w:hAnsi="Times New Roman"/>
          <w:bCs/>
        </w:rPr>
      </w:pPr>
      <w:r w:rsidRPr="0074564A">
        <w:rPr>
          <w:rFonts w:ascii="Times New Roman" w:hAnsi="Times New Roman"/>
          <w:bCs/>
        </w:rPr>
        <w:t>In the preparation of the rough-cut capacity planning report, it was discovered that the availability of capacity at workstation V experienced a shortage of production time from July to. September 2022. To be able to meet capacity requirements, an alternative decision is proposed that can support the production process so that it can produce products on time through improving work instructions. Improved work instructions are based on the previous condition where the fifth workstation requires more additional time to complete the process. The additional time is used by them to be able to assemble products from previous workstation results. So that improvements are made through work instructions to get a more optimal time according to customer demand. In addition to changing work instructions, additional working hours were also made as an alternative decision to be able to meet customer demands. The reason for the additional working hours is because it is to meet medium-term capacity needs so that it is still possible to carry out procurement. Based on the calculation of the additional number of working hours and overtime costs, the difference was obtained, namely before the repair there were 367 hours of overtime with an overtime fee of Rp 13.579.000. After the improvement was carried out, it was obtained 112 hours of overtime with an overtime fee of Rp 4.144.000</w:t>
      </w:r>
      <w:r>
        <w:rPr>
          <w:rFonts w:ascii="Times New Roman" w:hAnsi="Times New Roman"/>
          <w:bCs/>
        </w:rPr>
        <w:t>.</w:t>
      </w:r>
    </w:p>
    <w:p w14:paraId="53AC34D4" w14:textId="77777777" w:rsidR="0074564A" w:rsidRPr="00987614" w:rsidRDefault="0074564A" w:rsidP="00987614">
      <w:pPr>
        <w:widowControl w:val="0"/>
        <w:autoSpaceDE w:val="0"/>
        <w:autoSpaceDN w:val="0"/>
        <w:adjustRightInd w:val="0"/>
        <w:spacing w:after="0" w:line="240" w:lineRule="auto"/>
        <w:jc w:val="both"/>
        <w:rPr>
          <w:rFonts w:ascii="Times New Roman" w:hAnsi="Times New Roman"/>
          <w:bCs/>
        </w:rPr>
      </w:pPr>
    </w:p>
    <w:p w14:paraId="4A4E8FC7" w14:textId="42B33BAA" w:rsidR="00987614" w:rsidRDefault="00987614" w:rsidP="00987614">
      <w:pPr>
        <w:pStyle w:val="ListParagraph"/>
        <w:widowControl w:val="0"/>
        <w:numPr>
          <w:ilvl w:val="1"/>
          <w:numId w:val="12"/>
        </w:numPr>
        <w:autoSpaceDE w:val="0"/>
        <w:autoSpaceDN w:val="0"/>
        <w:adjustRightInd w:val="0"/>
        <w:spacing w:after="0" w:line="240" w:lineRule="auto"/>
        <w:ind w:left="426" w:hanging="426"/>
        <w:jc w:val="both"/>
        <w:rPr>
          <w:rFonts w:ascii="Times New Roman" w:hAnsi="Times New Roman"/>
          <w:bCs/>
        </w:rPr>
      </w:pPr>
      <w:r>
        <w:rPr>
          <w:rFonts w:ascii="Times New Roman" w:hAnsi="Times New Roman"/>
          <w:bCs/>
        </w:rPr>
        <w:t>System Dynamics Analysis</w:t>
      </w:r>
    </w:p>
    <w:p w14:paraId="620BFD2C" w14:textId="6D22C1BA" w:rsidR="0074564A" w:rsidRDefault="0074564A" w:rsidP="0074564A">
      <w:pPr>
        <w:widowControl w:val="0"/>
        <w:autoSpaceDE w:val="0"/>
        <w:autoSpaceDN w:val="0"/>
        <w:adjustRightInd w:val="0"/>
        <w:spacing w:after="0" w:line="240" w:lineRule="auto"/>
        <w:jc w:val="both"/>
        <w:rPr>
          <w:rFonts w:ascii="Times New Roman" w:hAnsi="Times New Roman"/>
          <w:bCs/>
        </w:rPr>
      </w:pPr>
      <w:r w:rsidRPr="0074564A">
        <w:rPr>
          <w:rFonts w:ascii="Times New Roman" w:hAnsi="Times New Roman"/>
          <w:bCs/>
        </w:rPr>
        <w:t xml:space="preserve">The desired overtime provided by the company can be affected by the overtime available and </w:t>
      </w:r>
      <w:r w:rsidRPr="0074564A">
        <w:rPr>
          <w:rFonts w:ascii="Times New Roman" w:hAnsi="Times New Roman"/>
          <w:bCs/>
        </w:rPr>
        <w:t>worker available, the greater the overtime available and worker available, the greater the desired overtime for the company. Working days added will be affected by desired overtime, changed capacity time, and will affect workers changed. Worked changed is influenced by changed capacity time and affects the minimum number of workers. Meanwhile, the desired number of workers is influenced by the minimum number of workers and affects the hiring of workers and affects the firing of workers. Standard time affects the minimum number of workers and affects change capacity time. Change in capacity is affected by capacity addition delay, initial capacity, current capacity, and desired capacity, so changing in capacity will affect change capacity time and will have an impact on changing workers and hiring workers. The size of the order backlog is the difference between the variable shipment rate and the order rate. If the shipment rate is greater than the order rate, there will be no order backlog, or it can be stated that the order rate is fulfilled. If the shipment rate is lower than the order rate, an order backlog occurs, which means that the order rate has not been met. The number of backlog orders that occur can be used as a reference or consideration for the company in determining the total production capacity of the company which affects the total shipment rate. The more backlog orders make the company increase the amount of production capacity. Production capacity is affected by order rate and order backlog</w:t>
      </w:r>
      <w:r>
        <w:rPr>
          <w:rFonts w:ascii="Times New Roman" w:hAnsi="Times New Roman"/>
          <w:bCs/>
        </w:rPr>
        <w:t xml:space="preserve">. </w:t>
      </w:r>
      <w:r w:rsidRPr="0074564A">
        <w:rPr>
          <w:rFonts w:ascii="Times New Roman" w:hAnsi="Times New Roman"/>
          <w:bCs/>
        </w:rPr>
        <w:t xml:space="preserve">In SFD, the backlog is an integral of reducing the order rate and shipment rate. In addition to the order backlog, the level in the variable SFD is the current capacity with the variable change in capacity. The value of the current capacity is </w:t>
      </w:r>
      <w:r w:rsidRPr="0074564A">
        <w:rPr>
          <w:rFonts w:ascii="Times New Roman" w:hAnsi="Times New Roman"/>
          <w:bCs/>
        </w:rPr>
        <w:lastRenderedPageBreak/>
        <w:t>the integral of the variable change in capacity. Model formulation is done by providing units and formulas described in stock and flow diagrams derived from the relationships between variables, historical data, and constants used by the company. This formulation produces the output value after the simulation. For variables with stock/level type, model formulation is an integral result of the related variables and the time used for the simulation. The results obtained from this model, for the period July 2022 to December 2022, an additional 308 hours of working hours before repairs and 205 hours after repairs are needed. Figure 10 shows a stock and flow diagram</w:t>
      </w:r>
      <w:r>
        <w:rPr>
          <w:rFonts w:ascii="Times New Roman" w:hAnsi="Times New Roman"/>
          <w:bCs/>
        </w:rPr>
        <w:t>.</w:t>
      </w:r>
    </w:p>
    <w:p w14:paraId="2814E973" w14:textId="77777777" w:rsidR="0074564A" w:rsidRPr="0074564A" w:rsidRDefault="0074564A" w:rsidP="0074564A">
      <w:pPr>
        <w:widowControl w:val="0"/>
        <w:autoSpaceDE w:val="0"/>
        <w:autoSpaceDN w:val="0"/>
        <w:adjustRightInd w:val="0"/>
        <w:spacing w:after="0" w:line="240" w:lineRule="auto"/>
        <w:jc w:val="both"/>
        <w:rPr>
          <w:rFonts w:ascii="Times New Roman" w:hAnsi="Times New Roman"/>
          <w:bCs/>
        </w:rPr>
      </w:pPr>
    </w:p>
    <w:p w14:paraId="4FA32737" w14:textId="5B6480A7" w:rsidR="0074564A" w:rsidRDefault="0074564A" w:rsidP="00987614">
      <w:pPr>
        <w:pStyle w:val="ListParagraph"/>
        <w:widowControl w:val="0"/>
        <w:numPr>
          <w:ilvl w:val="1"/>
          <w:numId w:val="12"/>
        </w:numPr>
        <w:autoSpaceDE w:val="0"/>
        <w:autoSpaceDN w:val="0"/>
        <w:adjustRightInd w:val="0"/>
        <w:spacing w:after="0" w:line="240" w:lineRule="auto"/>
        <w:ind w:left="426" w:hanging="426"/>
        <w:jc w:val="both"/>
        <w:rPr>
          <w:rFonts w:ascii="Times New Roman" w:hAnsi="Times New Roman"/>
          <w:bCs/>
        </w:rPr>
      </w:pPr>
      <w:r>
        <w:rPr>
          <w:rFonts w:ascii="Times New Roman" w:hAnsi="Times New Roman"/>
          <w:bCs/>
        </w:rPr>
        <w:t>Comparative Analysis</w:t>
      </w:r>
    </w:p>
    <w:p w14:paraId="3E46F100" w14:textId="79617AC8" w:rsidR="0074564A" w:rsidRPr="0074564A" w:rsidRDefault="0074564A" w:rsidP="0074564A">
      <w:pPr>
        <w:widowControl w:val="0"/>
        <w:autoSpaceDE w:val="0"/>
        <w:autoSpaceDN w:val="0"/>
        <w:adjustRightInd w:val="0"/>
        <w:spacing w:after="0" w:line="240" w:lineRule="auto"/>
        <w:jc w:val="both"/>
        <w:rPr>
          <w:rFonts w:ascii="Times New Roman" w:hAnsi="Times New Roman"/>
          <w:bCs/>
        </w:rPr>
      </w:pPr>
      <w:r w:rsidRPr="0074564A">
        <w:rPr>
          <w:rFonts w:ascii="Times New Roman" w:hAnsi="Times New Roman"/>
          <w:bCs/>
        </w:rPr>
        <w:t>Comparative study results can be shown by comparing the results of RCCP calculations with the system dynamics model design. To be able to meet the demand for the period July to December 2022, an additional number of units in July, August and September is required of 796 pcs, 543 pcs and 126 pcs before improvement and an additional number of units in July and August of 476 pcs and 189 pcs after improvement. Based on the results of the system dynamics model design for the period August to. December 2022 requires an additional number of units before improvement of 117 pcs, 296 pcs, 151 pcs, 252 pcs, and 84 pcs. In addition of the number of units in August to December 2022 as many as 38 pcs, 70 pcs, 72 pcs, 90 pcs, and 87 pcs after improvement. The advantage of the simulation using the system dynamics model is that the addition of the number of units can be divided evenly each month so that there are no piles of production requests in certain months</w:t>
      </w:r>
      <w:r>
        <w:rPr>
          <w:rFonts w:ascii="Times New Roman" w:hAnsi="Times New Roman"/>
          <w:bCs/>
        </w:rPr>
        <w:t>.</w:t>
      </w:r>
    </w:p>
    <w:p w14:paraId="28A11FF2" w14:textId="083D5B7D"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5513A5D0" w14:textId="2071A473"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CONCLUSION </w:t>
      </w:r>
    </w:p>
    <w:p w14:paraId="3DE41583" w14:textId="341B6537" w:rsidR="0074564A" w:rsidRDefault="0074564A" w:rsidP="00E41E95">
      <w:pPr>
        <w:widowControl w:val="0"/>
        <w:autoSpaceDE w:val="0"/>
        <w:autoSpaceDN w:val="0"/>
        <w:adjustRightInd w:val="0"/>
        <w:spacing w:after="0" w:line="240" w:lineRule="auto"/>
        <w:jc w:val="both"/>
        <w:rPr>
          <w:rFonts w:ascii="Times New Roman" w:hAnsi="Times New Roman"/>
          <w:bCs/>
          <w:lang w:val="id-ID"/>
        </w:rPr>
      </w:pPr>
      <w:r w:rsidRPr="0074564A">
        <w:rPr>
          <w:rFonts w:ascii="Times New Roman" w:hAnsi="Times New Roman"/>
          <w:bCs/>
          <w:lang w:val="id-ID"/>
        </w:rPr>
        <w:t xml:space="preserve">Based on the previous explanation, it can be concluded that calculations using RCCP, and system dynamics have different results. The RCCP calculation results only focus on months that require additional working hours. This also occurs during simulations using system dynamics models, but there are differences in providing an overview of additional working hours and days, increasing the number of goods, required capacity, workforce requirements, number of working days, </w:t>
      </w:r>
      <w:r w:rsidRPr="0074564A">
        <w:rPr>
          <w:rFonts w:ascii="Times New Roman" w:hAnsi="Times New Roman"/>
          <w:bCs/>
          <w:lang w:val="id-ID"/>
        </w:rPr>
        <w:t>requests and deliveries, and others only by one work. In this case, system dynamics model analysis can be used as a company tool in anticipating possible occurrences and streamlining production time to increase production capacity.</w:t>
      </w:r>
    </w:p>
    <w:p w14:paraId="18CCCCD3" w14:textId="77777777" w:rsid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4E4D31F9" w14:textId="2A221F7A" w:rsidR="00E41E95" w:rsidRPr="00E41E95" w:rsidRDefault="00E41E95" w:rsidP="00E41E95">
      <w:pPr>
        <w:widowControl w:val="0"/>
        <w:autoSpaceDE w:val="0"/>
        <w:autoSpaceDN w:val="0"/>
        <w:adjustRightInd w:val="0"/>
        <w:spacing w:after="0" w:line="240" w:lineRule="auto"/>
        <w:rPr>
          <w:rFonts w:ascii="Times New Roman" w:hAnsi="Times New Roman"/>
          <w:b/>
          <w:bCs/>
          <w:spacing w:val="2"/>
          <w:szCs w:val="28"/>
        </w:rPr>
      </w:pPr>
      <w:r w:rsidRPr="00E41E95">
        <w:rPr>
          <w:rFonts w:ascii="Times New Roman" w:hAnsi="Times New Roman"/>
          <w:b/>
          <w:bCs/>
          <w:spacing w:val="2"/>
          <w:szCs w:val="28"/>
        </w:rPr>
        <w:t>REFERENCES</w:t>
      </w:r>
    </w:p>
    <w:sdt>
      <w:sdtPr>
        <w:rPr>
          <w:rFonts w:ascii="Times New Roman" w:hAnsi="Times New Roman"/>
          <w:b/>
          <w:bCs/>
        </w:rPr>
        <w:tag w:val="MENDELEY_BIBLIOGRAPHY"/>
        <w:id w:val="-729236558"/>
        <w:placeholder>
          <w:docPart w:val="DefaultPlaceholder_-1854013440"/>
        </w:placeholder>
      </w:sdtPr>
      <w:sdtContent>
        <w:p w14:paraId="5360850D" w14:textId="77777777" w:rsidR="007167C3" w:rsidRPr="007167C3" w:rsidRDefault="007167C3">
          <w:pPr>
            <w:autoSpaceDE w:val="0"/>
            <w:autoSpaceDN w:val="0"/>
            <w:ind w:hanging="480"/>
            <w:divId w:val="631179754"/>
            <w:rPr>
              <w:rFonts w:ascii="Times New Roman" w:hAnsi="Times New Roman"/>
              <w:sz w:val="24"/>
              <w:szCs w:val="24"/>
            </w:rPr>
          </w:pPr>
          <w:r w:rsidRPr="007167C3">
            <w:rPr>
              <w:rFonts w:ascii="Times New Roman" w:hAnsi="Times New Roman"/>
            </w:rPr>
            <w:t xml:space="preserve">Chandra Setiawan, I., </w:t>
          </w:r>
          <w:proofErr w:type="spellStart"/>
          <w:r w:rsidRPr="007167C3">
            <w:rPr>
              <w:rFonts w:ascii="Times New Roman" w:hAnsi="Times New Roman"/>
            </w:rPr>
            <w:t>Indarto</w:t>
          </w:r>
          <w:proofErr w:type="spellEnd"/>
          <w:r w:rsidRPr="007167C3">
            <w:rPr>
              <w:rFonts w:ascii="Times New Roman" w:hAnsi="Times New Roman"/>
            </w:rPr>
            <w:t xml:space="preserve">, &amp; </w:t>
          </w:r>
          <w:proofErr w:type="spellStart"/>
          <w:r w:rsidRPr="007167C3">
            <w:rPr>
              <w:rFonts w:ascii="Times New Roman" w:hAnsi="Times New Roman"/>
            </w:rPr>
            <w:t>Deendarlianto</w:t>
          </w:r>
          <w:proofErr w:type="spellEnd"/>
          <w:r w:rsidRPr="007167C3">
            <w:rPr>
              <w:rFonts w:ascii="Times New Roman" w:hAnsi="Times New Roman"/>
            </w:rPr>
            <w:t xml:space="preserve">. (2021). Quantitative analysis of automobile sector in Indonesian automotive roadmap for achieving national oil and CO2 emission reduction targets by 2030. </w:t>
          </w:r>
          <w:r w:rsidRPr="007167C3">
            <w:rPr>
              <w:rFonts w:ascii="Times New Roman" w:hAnsi="Times New Roman"/>
              <w:i/>
              <w:iCs/>
            </w:rPr>
            <w:t>Energy Policy</w:t>
          </w:r>
          <w:r w:rsidRPr="007167C3">
            <w:rPr>
              <w:rFonts w:ascii="Times New Roman" w:hAnsi="Times New Roman"/>
            </w:rPr>
            <w:t xml:space="preserve">, </w:t>
          </w:r>
          <w:r w:rsidRPr="007167C3">
            <w:rPr>
              <w:rFonts w:ascii="Times New Roman" w:hAnsi="Times New Roman"/>
              <w:i/>
              <w:iCs/>
            </w:rPr>
            <w:t>150</w:t>
          </w:r>
          <w:r w:rsidRPr="007167C3">
            <w:rPr>
              <w:rFonts w:ascii="Times New Roman" w:hAnsi="Times New Roman"/>
            </w:rPr>
            <w:t>, 112135. https://doi.org/10.1016/J.ENPOL.2021.112135</w:t>
          </w:r>
        </w:p>
        <w:p w14:paraId="38DD1D6A" w14:textId="77777777" w:rsidR="007167C3" w:rsidRPr="007167C3" w:rsidRDefault="007167C3">
          <w:pPr>
            <w:autoSpaceDE w:val="0"/>
            <w:autoSpaceDN w:val="0"/>
            <w:ind w:hanging="480"/>
            <w:divId w:val="1708020931"/>
            <w:rPr>
              <w:rFonts w:ascii="Times New Roman" w:hAnsi="Times New Roman"/>
            </w:rPr>
          </w:pPr>
          <w:r w:rsidRPr="007167C3">
            <w:rPr>
              <w:rFonts w:ascii="Times New Roman" w:hAnsi="Times New Roman"/>
            </w:rPr>
            <w:t xml:space="preserve">Cherkaoui, K., Pellerin, R., Baptiste, P., &amp; </w:t>
          </w:r>
          <w:proofErr w:type="spellStart"/>
          <w:r w:rsidRPr="007167C3">
            <w:rPr>
              <w:rFonts w:ascii="Times New Roman" w:hAnsi="Times New Roman"/>
            </w:rPr>
            <w:t>Haït</w:t>
          </w:r>
          <w:proofErr w:type="spellEnd"/>
          <w:r w:rsidRPr="007167C3">
            <w:rPr>
              <w:rFonts w:ascii="Times New Roman" w:hAnsi="Times New Roman"/>
            </w:rPr>
            <w:t xml:space="preserve">, A. (2015). A Time Driven RCCP Model with Two Levels of Planning and a Reactive Planning Approach for Tactical Project Planning. </w:t>
          </w:r>
          <w:r w:rsidRPr="007167C3">
            <w:rPr>
              <w:rFonts w:ascii="Times New Roman" w:hAnsi="Times New Roman"/>
              <w:i/>
              <w:iCs/>
            </w:rPr>
            <w:t>Procedia Computer Science</w:t>
          </w:r>
          <w:r w:rsidRPr="007167C3">
            <w:rPr>
              <w:rFonts w:ascii="Times New Roman" w:hAnsi="Times New Roman"/>
            </w:rPr>
            <w:t xml:space="preserve">, </w:t>
          </w:r>
          <w:r w:rsidRPr="007167C3">
            <w:rPr>
              <w:rFonts w:ascii="Times New Roman" w:hAnsi="Times New Roman"/>
              <w:i/>
              <w:iCs/>
            </w:rPr>
            <w:t>64</w:t>
          </w:r>
          <w:r w:rsidRPr="007167C3">
            <w:rPr>
              <w:rFonts w:ascii="Times New Roman" w:hAnsi="Times New Roman"/>
            </w:rPr>
            <w:t>, 257–264. https://doi.org/10.1016/J.PROCS.2015.08.488</w:t>
          </w:r>
        </w:p>
        <w:p w14:paraId="15BE2F3F" w14:textId="77777777" w:rsidR="007167C3" w:rsidRPr="007167C3" w:rsidRDefault="007167C3">
          <w:pPr>
            <w:autoSpaceDE w:val="0"/>
            <w:autoSpaceDN w:val="0"/>
            <w:ind w:hanging="480"/>
            <w:divId w:val="1279141548"/>
            <w:rPr>
              <w:rFonts w:ascii="Times New Roman" w:hAnsi="Times New Roman"/>
            </w:rPr>
          </w:pPr>
          <w:proofErr w:type="spellStart"/>
          <w:r w:rsidRPr="007167C3">
            <w:rPr>
              <w:rFonts w:ascii="Times New Roman" w:hAnsi="Times New Roman"/>
            </w:rPr>
            <w:t>Dallasega</w:t>
          </w:r>
          <w:proofErr w:type="spellEnd"/>
          <w:r w:rsidRPr="007167C3">
            <w:rPr>
              <w:rFonts w:ascii="Times New Roman" w:hAnsi="Times New Roman"/>
            </w:rPr>
            <w:t xml:space="preserve">, P., Rally, P., Rauch, E., &amp; Matt, D. T. (2016). Customer-oriented Production System for Supplier Companies in CTO. </w:t>
          </w:r>
          <w:r w:rsidRPr="007167C3">
            <w:rPr>
              <w:rFonts w:ascii="Times New Roman" w:hAnsi="Times New Roman"/>
              <w:i/>
              <w:iCs/>
            </w:rPr>
            <w:t>Procedia CIRP</w:t>
          </w:r>
          <w:r w:rsidRPr="007167C3">
            <w:rPr>
              <w:rFonts w:ascii="Times New Roman" w:hAnsi="Times New Roman"/>
            </w:rPr>
            <w:t xml:space="preserve">, </w:t>
          </w:r>
          <w:r w:rsidRPr="007167C3">
            <w:rPr>
              <w:rFonts w:ascii="Times New Roman" w:hAnsi="Times New Roman"/>
              <w:i/>
              <w:iCs/>
            </w:rPr>
            <w:t>57</w:t>
          </w:r>
          <w:r w:rsidRPr="007167C3">
            <w:rPr>
              <w:rFonts w:ascii="Times New Roman" w:hAnsi="Times New Roman"/>
            </w:rPr>
            <w:t>, 533–538. https://doi.org/10.1016/J.PROCIR.2016.11.092</w:t>
          </w:r>
        </w:p>
        <w:p w14:paraId="3C273F28" w14:textId="77777777" w:rsidR="007167C3" w:rsidRPr="007167C3" w:rsidRDefault="007167C3">
          <w:pPr>
            <w:autoSpaceDE w:val="0"/>
            <w:autoSpaceDN w:val="0"/>
            <w:ind w:hanging="480"/>
            <w:divId w:val="789013786"/>
            <w:rPr>
              <w:rFonts w:ascii="Times New Roman" w:hAnsi="Times New Roman"/>
            </w:rPr>
          </w:pPr>
          <w:r w:rsidRPr="007167C3">
            <w:rPr>
              <w:rFonts w:ascii="Times New Roman" w:hAnsi="Times New Roman"/>
            </w:rPr>
            <w:t xml:space="preserve">Georgiadis, P. (2013). An integrated System Dynamics model for strategic capacity planning in closed-loop recycling networks: A dynamic analysis for the paper industry. </w:t>
          </w:r>
          <w:r w:rsidRPr="007167C3">
            <w:rPr>
              <w:rFonts w:ascii="Times New Roman" w:hAnsi="Times New Roman"/>
              <w:i/>
              <w:iCs/>
            </w:rPr>
            <w:t>Simulation Modelling Practice and Theory</w:t>
          </w:r>
          <w:r w:rsidRPr="007167C3">
            <w:rPr>
              <w:rFonts w:ascii="Times New Roman" w:hAnsi="Times New Roman"/>
            </w:rPr>
            <w:t xml:space="preserve">, </w:t>
          </w:r>
          <w:r w:rsidRPr="007167C3">
            <w:rPr>
              <w:rFonts w:ascii="Times New Roman" w:hAnsi="Times New Roman"/>
              <w:i/>
              <w:iCs/>
            </w:rPr>
            <w:t>32</w:t>
          </w:r>
          <w:r w:rsidRPr="007167C3">
            <w:rPr>
              <w:rFonts w:ascii="Times New Roman" w:hAnsi="Times New Roman"/>
            </w:rPr>
            <w:t>, 116–137. https://doi.org/10.1016/J.SIMPAT.2012.11.009</w:t>
          </w:r>
        </w:p>
        <w:p w14:paraId="48AEAF02" w14:textId="77777777" w:rsidR="007167C3" w:rsidRPr="007167C3" w:rsidRDefault="007167C3">
          <w:pPr>
            <w:autoSpaceDE w:val="0"/>
            <w:autoSpaceDN w:val="0"/>
            <w:ind w:hanging="480"/>
            <w:divId w:val="801339036"/>
            <w:rPr>
              <w:rFonts w:ascii="Times New Roman" w:hAnsi="Times New Roman"/>
            </w:rPr>
          </w:pPr>
          <w:proofErr w:type="spellStart"/>
          <w:r w:rsidRPr="007167C3">
            <w:rPr>
              <w:rFonts w:ascii="Times New Roman" w:hAnsi="Times New Roman"/>
              <w:lang w:val="es-ES"/>
            </w:rPr>
            <w:t>Menezes</w:t>
          </w:r>
          <w:proofErr w:type="spellEnd"/>
          <w:r w:rsidRPr="007167C3">
            <w:rPr>
              <w:rFonts w:ascii="Times New Roman" w:hAnsi="Times New Roman"/>
              <w:lang w:val="es-ES"/>
            </w:rPr>
            <w:t xml:space="preserve">, M. B. C., Ruiz-Hernández, D., &amp; Verter, V. (2016). </w:t>
          </w:r>
          <w:r w:rsidRPr="007167C3">
            <w:rPr>
              <w:rFonts w:ascii="Times New Roman" w:hAnsi="Times New Roman"/>
            </w:rPr>
            <w:t xml:space="preserve">A rough-cut approach for evaluating location-routing decisions via approximation algorithms. </w:t>
          </w:r>
          <w:r w:rsidRPr="007167C3">
            <w:rPr>
              <w:rFonts w:ascii="Times New Roman" w:hAnsi="Times New Roman"/>
              <w:i/>
              <w:iCs/>
            </w:rPr>
            <w:t xml:space="preserve">Transportation Research Part B: </w:t>
          </w:r>
          <w:r w:rsidRPr="007167C3">
            <w:rPr>
              <w:rFonts w:ascii="Times New Roman" w:hAnsi="Times New Roman"/>
              <w:i/>
              <w:iCs/>
            </w:rPr>
            <w:lastRenderedPageBreak/>
            <w:t>Methodological</w:t>
          </w:r>
          <w:r w:rsidRPr="007167C3">
            <w:rPr>
              <w:rFonts w:ascii="Times New Roman" w:hAnsi="Times New Roman"/>
            </w:rPr>
            <w:t xml:space="preserve">, </w:t>
          </w:r>
          <w:r w:rsidRPr="007167C3">
            <w:rPr>
              <w:rFonts w:ascii="Times New Roman" w:hAnsi="Times New Roman"/>
              <w:i/>
              <w:iCs/>
            </w:rPr>
            <w:t>87</w:t>
          </w:r>
          <w:r w:rsidRPr="007167C3">
            <w:rPr>
              <w:rFonts w:ascii="Times New Roman" w:hAnsi="Times New Roman"/>
            </w:rPr>
            <w:t>, 89–106. https://doi.org/10.1016/J.TRB.2016.03.003</w:t>
          </w:r>
        </w:p>
        <w:p w14:paraId="707CB285" w14:textId="77777777" w:rsidR="007167C3" w:rsidRPr="007167C3" w:rsidRDefault="007167C3">
          <w:pPr>
            <w:autoSpaceDE w:val="0"/>
            <w:autoSpaceDN w:val="0"/>
            <w:ind w:hanging="480"/>
            <w:divId w:val="2066756400"/>
            <w:rPr>
              <w:rFonts w:ascii="Times New Roman" w:hAnsi="Times New Roman"/>
            </w:rPr>
          </w:pPr>
          <w:proofErr w:type="spellStart"/>
          <w:r w:rsidRPr="007167C3">
            <w:rPr>
              <w:rFonts w:ascii="Times New Roman" w:hAnsi="Times New Roman"/>
            </w:rPr>
            <w:t>Nurcahyo</w:t>
          </w:r>
          <w:proofErr w:type="spellEnd"/>
          <w:r w:rsidRPr="007167C3">
            <w:rPr>
              <w:rFonts w:ascii="Times New Roman" w:hAnsi="Times New Roman"/>
            </w:rPr>
            <w:t xml:space="preserve">, R., &amp; Wibowo, A. D. (2015). Manufacturing Capability, Manufacturing Strategy and Performance of Indonesia Automotive Component Manufacturer. </w:t>
          </w:r>
          <w:r w:rsidRPr="007167C3">
            <w:rPr>
              <w:rFonts w:ascii="Times New Roman" w:hAnsi="Times New Roman"/>
              <w:i/>
              <w:iCs/>
            </w:rPr>
            <w:t>Procedia CIRP</w:t>
          </w:r>
          <w:r w:rsidRPr="007167C3">
            <w:rPr>
              <w:rFonts w:ascii="Times New Roman" w:hAnsi="Times New Roman"/>
            </w:rPr>
            <w:t xml:space="preserve">, </w:t>
          </w:r>
          <w:r w:rsidRPr="007167C3">
            <w:rPr>
              <w:rFonts w:ascii="Times New Roman" w:hAnsi="Times New Roman"/>
              <w:i/>
              <w:iCs/>
            </w:rPr>
            <w:t>26</w:t>
          </w:r>
          <w:r w:rsidRPr="007167C3">
            <w:rPr>
              <w:rFonts w:ascii="Times New Roman" w:hAnsi="Times New Roman"/>
            </w:rPr>
            <w:t>, 653–657. https://doi.org/10.1016/J.PROCIR.2014.07.046</w:t>
          </w:r>
        </w:p>
        <w:p w14:paraId="7AD98D80" w14:textId="77777777" w:rsidR="007167C3" w:rsidRPr="007167C3" w:rsidRDefault="007167C3">
          <w:pPr>
            <w:autoSpaceDE w:val="0"/>
            <w:autoSpaceDN w:val="0"/>
            <w:ind w:hanging="480"/>
            <w:divId w:val="1323434767"/>
            <w:rPr>
              <w:rFonts w:ascii="Times New Roman" w:hAnsi="Times New Roman"/>
              <w:lang w:val="es-ES"/>
            </w:rPr>
          </w:pPr>
          <w:r w:rsidRPr="007167C3">
            <w:rPr>
              <w:rFonts w:ascii="Times New Roman" w:hAnsi="Times New Roman"/>
            </w:rPr>
            <w:t xml:space="preserve">Seong, B. (2020). Smoothing and forecasting mixed-frequency time series with vector exponential smoothing models. </w:t>
          </w:r>
          <w:proofErr w:type="spellStart"/>
          <w:r w:rsidRPr="007167C3">
            <w:rPr>
              <w:rFonts w:ascii="Times New Roman" w:hAnsi="Times New Roman"/>
              <w:i/>
              <w:iCs/>
              <w:lang w:val="es-ES"/>
            </w:rPr>
            <w:t>Economic</w:t>
          </w:r>
          <w:proofErr w:type="spellEnd"/>
          <w:r w:rsidRPr="007167C3">
            <w:rPr>
              <w:rFonts w:ascii="Times New Roman" w:hAnsi="Times New Roman"/>
              <w:i/>
              <w:iCs/>
              <w:lang w:val="es-ES"/>
            </w:rPr>
            <w:t xml:space="preserve"> </w:t>
          </w:r>
          <w:proofErr w:type="spellStart"/>
          <w:r w:rsidRPr="007167C3">
            <w:rPr>
              <w:rFonts w:ascii="Times New Roman" w:hAnsi="Times New Roman"/>
              <w:i/>
              <w:iCs/>
              <w:lang w:val="es-ES"/>
            </w:rPr>
            <w:t>Modelling</w:t>
          </w:r>
          <w:proofErr w:type="spellEnd"/>
          <w:r w:rsidRPr="007167C3">
            <w:rPr>
              <w:rFonts w:ascii="Times New Roman" w:hAnsi="Times New Roman"/>
              <w:lang w:val="es-ES"/>
            </w:rPr>
            <w:t xml:space="preserve">, </w:t>
          </w:r>
          <w:r w:rsidRPr="007167C3">
            <w:rPr>
              <w:rFonts w:ascii="Times New Roman" w:hAnsi="Times New Roman"/>
              <w:i/>
              <w:iCs/>
              <w:lang w:val="es-ES"/>
            </w:rPr>
            <w:t>91</w:t>
          </w:r>
          <w:r w:rsidRPr="007167C3">
            <w:rPr>
              <w:rFonts w:ascii="Times New Roman" w:hAnsi="Times New Roman"/>
              <w:lang w:val="es-ES"/>
            </w:rPr>
            <w:t>, 463–468. https://doi.org/10.1016/J.ECONMOD.2020.06.020</w:t>
          </w:r>
        </w:p>
        <w:p w14:paraId="07166B01" w14:textId="77777777" w:rsidR="007167C3" w:rsidRPr="007167C3" w:rsidRDefault="007167C3">
          <w:pPr>
            <w:autoSpaceDE w:val="0"/>
            <w:autoSpaceDN w:val="0"/>
            <w:ind w:hanging="480"/>
            <w:divId w:val="1406075552"/>
            <w:rPr>
              <w:rFonts w:ascii="Times New Roman" w:hAnsi="Times New Roman"/>
            </w:rPr>
          </w:pPr>
          <w:r w:rsidRPr="007167C3">
            <w:rPr>
              <w:rFonts w:ascii="Times New Roman" w:hAnsi="Times New Roman"/>
              <w:lang w:val="es-ES"/>
            </w:rPr>
            <w:t xml:space="preserve">Silva, M. H. de P. e., Costa, L. B. M., Paredes, F. J. G., </w:t>
          </w:r>
          <w:proofErr w:type="spellStart"/>
          <w:r w:rsidRPr="007167C3">
            <w:rPr>
              <w:rFonts w:ascii="Times New Roman" w:hAnsi="Times New Roman"/>
              <w:lang w:val="es-ES"/>
            </w:rPr>
            <w:t>Barretti</w:t>
          </w:r>
          <w:proofErr w:type="spellEnd"/>
          <w:r w:rsidRPr="007167C3">
            <w:rPr>
              <w:rFonts w:ascii="Times New Roman" w:hAnsi="Times New Roman"/>
              <w:lang w:val="es-ES"/>
            </w:rPr>
            <w:t xml:space="preserve">, J. W., &amp; Silva, D. A. L. (2022). </w:t>
          </w:r>
          <w:r w:rsidRPr="007167C3">
            <w:rPr>
              <w:rFonts w:ascii="Times New Roman" w:hAnsi="Times New Roman"/>
            </w:rPr>
            <w:t xml:space="preserve">The effect of demand forecasting choices on the circularity of production systems: a framework and case study. </w:t>
          </w:r>
          <w:r w:rsidRPr="007167C3">
            <w:rPr>
              <w:rFonts w:ascii="Times New Roman" w:hAnsi="Times New Roman"/>
              <w:i/>
              <w:iCs/>
            </w:rPr>
            <w:t>Resources, Conservation &amp; Recycling Advances</w:t>
          </w:r>
          <w:r w:rsidRPr="007167C3">
            <w:rPr>
              <w:rFonts w:ascii="Times New Roman" w:hAnsi="Times New Roman"/>
            </w:rPr>
            <w:t xml:space="preserve">, </w:t>
          </w:r>
          <w:r w:rsidRPr="007167C3">
            <w:rPr>
              <w:rFonts w:ascii="Times New Roman" w:hAnsi="Times New Roman"/>
              <w:i/>
              <w:iCs/>
            </w:rPr>
            <w:t>15</w:t>
          </w:r>
          <w:r w:rsidRPr="007167C3">
            <w:rPr>
              <w:rFonts w:ascii="Times New Roman" w:hAnsi="Times New Roman"/>
            </w:rPr>
            <w:t>, 200088. https://doi.org/10.1016/J.RCRADV.2022.200088</w:t>
          </w:r>
        </w:p>
        <w:p w14:paraId="0213B073" w14:textId="77777777" w:rsidR="007167C3" w:rsidRPr="007167C3" w:rsidRDefault="007167C3">
          <w:pPr>
            <w:autoSpaceDE w:val="0"/>
            <w:autoSpaceDN w:val="0"/>
            <w:ind w:hanging="480"/>
            <w:divId w:val="1316685142"/>
            <w:rPr>
              <w:rFonts w:ascii="Times New Roman" w:hAnsi="Times New Roman"/>
            </w:rPr>
          </w:pPr>
          <w:proofErr w:type="spellStart"/>
          <w:r w:rsidRPr="007167C3">
            <w:rPr>
              <w:rFonts w:ascii="Times New Roman" w:hAnsi="Times New Roman"/>
            </w:rPr>
            <w:t>Sudarto</w:t>
          </w:r>
          <w:proofErr w:type="spellEnd"/>
          <w:r w:rsidRPr="007167C3">
            <w:rPr>
              <w:rFonts w:ascii="Times New Roman" w:hAnsi="Times New Roman"/>
            </w:rPr>
            <w:t xml:space="preserve">, S., Takahashi, K., &amp; Morikawa, K. (2017). Efficient flexible long-term capacity planning for optimal sustainability dimensions performance of reverse logistics social responsibility: A system dynamics approach. </w:t>
          </w:r>
          <w:r w:rsidRPr="007167C3">
            <w:rPr>
              <w:rFonts w:ascii="Times New Roman" w:hAnsi="Times New Roman"/>
              <w:i/>
              <w:iCs/>
            </w:rPr>
            <w:t>International Journal of Production Economics</w:t>
          </w:r>
          <w:r w:rsidRPr="007167C3">
            <w:rPr>
              <w:rFonts w:ascii="Times New Roman" w:hAnsi="Times New Roman"/>
            </w:rPr>
            <w:t xml:space="preserve">, </w:t>
          </w:r>
          <w:r w:rsidRPr="007167C3">
            <w:rPr>
              <w:rFonts w:ascii="Times New Roman" w:hAnsi="Times New Roman"/>
              <w:i/>
              <w:iCs/>
            </w:rPr>
            <w:t>184</w:t>
          </w:r>
          <w:r w:rsidRPr="007167C3">
            <w:rPr>
              <w:rFonts w:ascii="Times New Roman" w:hAnsi="Times New Roman"/>
            </w:rPr>
            <w:t>, 179–192. https://doi.org/10.1016/J.IJPE.2016.12.013</w:t>
          </w:r>
        </w:p>
        <w:p w14:paraId="4864F043" w14:textId="77777777" w:rsidR="007167C3" w:rsidRPr="007167C3" w:rsidRDefault="007167C3">
          <w:pPr>
            <w:autoSpaceDE w:val="0"/>
            <w:autoSpaceDN w:val="0"/>
            <w:ind w:hanging="480"/>
            <w:divId w:val="862668975"/>
            <w:rPr>
              <w:rFonts w:ascii="Times New Roman" w:hAnsi="Times New Roman"/>
            </w:rPr>
          </w:pPr>
          <w:r w:rsidRPr="007167C3">
            <w:rPr>
              <w:rFonts w:ascii="Times New Roman" w:hAnsi="Times New Roman"/>
            </w:rPr>
            <w:t xml:space="preserve">Suryani, E., Chou, S. Y., Hartono, R., &amp; Chen, C. H. (2010). Demand scenario analysis and planned capacity expansion: A system dynamics framework. </w:t>
          </w:r>
          <w:r w:rsidRPr="007167C3">
            <w:rPr>
              <w:rFonts w:ascii="Times New Roman" w:hAnsi="Times New Roman"/>
              <w:i/>
              <w:iCs/>
            </w:rPr>
            <w:t>Simulation Modelling Practice and Theory</w:t>
          </w:r>
          <w:r w:rsidRPr="007167C3">
            <w:rPr>
              <w:rFonts w:ascii="Times New Roman" w:hAnsi="Times New Roman"/>
            </w:rPr>
            <w:t xml:space="preserve">, </w:t>
          </w:r>
          <w:r w:rsidRPr="007167C3">
            <w:rPr>
              <w:rFonts w:ascii="Times New Roman" w:hAnsi="Times New Roman"/>
              <w:i/>
              <w:iCs/>
            </w:rPr>
            <w:t>18</w:t>
          </w:r>
          <w:r w:rsidRPr="007167C3">
            <w:rPr>
              <w:rFonts w:ascii="Times New Roman" w:hAnsi="Times New Roman"/>
            </w:rPr>
            <w:t>(6), 732–751. https://doi.org/10.1016/J.SIMPAT.2010.01.013</w:t>
          </w:r>
        </w:p>
        <w:p w14:paraId="636214EE" w14:textId="77777777" w:rsidR="007167C3" w:rsidRPr="007167C3" w:rsidRDefault="007167C3">
          <w:pPr>
            <w:autoSpaceDE w:val="0"/>
            <w:autoSpaceDN w:val="0"/>
            <w:ind w:hanging="480"/>
            <w:divId w:val="249970173"/>
            <w:rPr>
              <w:rFonts w:ascii="Times New Roman" w:hAnsi="Times New Roman"/>
            </w:rPr>
          </w:pPr>
          <w:r w:rsidRPr="007167C3">
            <w:rPr>
              <w:rFonts w:ascii="Times New Roman" w:hAnsi="Times New Roman"/>
            </w:rPr>
            <w:t xml:space="preserve">Wen, D., Liu, L., Wang, Y., &amp; Zhang, Y. (2022). Forecasting crude oil market returns: Enhanced moving average technical indicators. </w:t>
          </w:r>
          <w:r w:rsidRPr="007167C3">
            <w:rPr>
              <w:rFonts w:ascii="Times New Roman" w:hAnsi="Times New Roman"/>
              <w:i/>
              <w:iCs/>
            </w:rPr>
            <w:t>Resources Policy</w:t>
          </w:r>
          <w:r w:rsidRPr="007167C3">
            <w:rPr>
              <w:rFonts w:ascii="Times New Roman" w:hAnsi="Times New Roman"/>
            </w:rPr>
            <w:t xml:space="preserve">, </w:t>
          </w:r>
          <w:r w:rsidRPr="007167C3">
            <w:rPr>
              <w:rFonts w:ascii="Times New Roman" w:hAnsi="Times New Roman"/>
              <w:i/>
              <w:iCs/>
            </w:rPr>
            <w:t>76</w:t>
          </w:r>
          <w:r w:rsidRPr="007167C3">
            <w:rPr>
              <w:rFonts w:ascii="Times New Roman" w:hAnsi="Times New Roman"/>
            </w:rPr>
            <w:t>, 102570. https://doi.org/10.1016/J.RESOURPOL.2022.102570</w:t>
          </w:r>
        </w:p>
        <w:p w14:paraId="241C692F" w14:textId="65EBC1AB" w:rsidR="00FB7284" w:rsidRPr="007167C3" w:rsidRDefault="00000000" w:rsidP="007167C3">
          <w:pPr>
            <w:widowControl w:val="0"/>
            <w:autoSpaceDE w:val="0"/>
            <w:autoSpaceDN w:val="0"/>
            <w:adjustRightInd w:val="0"/>
            <w:spacing w:after="0" w:line="240" w:lineRule="auto"/>
            <w:jc w:val="both"/>
            <w:rPr>
              <w:rFonts w:ascii="Times New Roman" w:hAnsi="Times New Roman"/>
              <w:b/>
              <w:bCs/>
            </w:rPr>
            <w:sectPr w:rsidR="00FB7284" w:rsidRPr="007167C3" w:rsidSect="003227BD">
              <w:type w:val="continuous"/>
              <w:pgSz w:w="11907" w:h="16840" w:code="9"/>
              <w:pgMar w:top="1701" w:right="1134" w:bottom="1701" w:left="1701" w:header="680" w:footer="680" w:gutter="0"/>
              <w:cols w:num="2" w:space="720"/>
              <w:docGrid w:linePitch="360"/>
            </w:sectPr>
          </w:pPr>
        </w:p>
      </w:sdtContent>
    </w:sdt>
    <w:p w14:paraId="73AD0D21" w14:textId="77777777" w:rsidR="00FE7E6A" w:rsidRDefault="00FE7E6A" w:rsidP="005B7666">
      <w:pPr>
        <w:widowControl w:val="0"/>
        <w:autoSpaceDE w:val="0"/>
        <w:autoSpaceDN w:val="0"/>
        <w:adjustRightInd w:val="0"/>
        <w:spacing w:after="0" w:line="240" w:lineRule="auto"/>
        <w:jc w:val="both"/>
        <w:rPr>
          <w:rFonts w:ascii="Times New Roman" w:hAnsi="Times New Roman"/>
          <w:bCs/>
        </w:rPr>
        <w:sectPr w:rsidR="00FE7E6A" w:rsidSect="003227BD">
          <w:type w:val="continuous"/>
          <w:pgSz w:w="11907" w:h="16840" w:code="9"/>
          <w:pgMar w:top="1701" w:right="1134" w:bottom="1701" w:left="1701" w:header="680" w:footer="680" w:gutter="0"/>
          <w:cols w:num="2" w:space="720"/>
          <w:docGrid w:linePitch="360"/>
        </w:sectPr>
      </w:pPr>
    </w:p>
    <w:p w14:paraId="73132777" w14:textId="77777777" w:rsidR="003227BD" w:rsidRDefault="003227BD" w:rsidP="005B7666">
      <w:pPr>
        <w:widowControl w:val="0"/>
        <w:autoSpaceDE w:val="0"/>
        <w:autoSpaceDN w:val="0"/>
        <w:adjustRightInd w:val="0"/>
        <w:spacing w:after="0" w:line="240" w:lineRule="auto"/>
        <w:jc w:val="both"/>
        <w:rPr>
          <w:rFonts w:ascii="Times New Roman" w:hAnsi="Times New Roman"/>
          <w:bCs/>
        </w:rPr>
        <w:sectPr w:rsidR="003227BD" w:rsidSect="00FE7E6A">
          <w:type w:val="continuous"/>
          <w:pgSz w:w="11907" w:h="16840" w:code="9"/>
          <w:pgMar w:top="1701" w:right="1134" w:bottom="1701" w:left="1701" w:header="680" w:footer="680" w:gutter="0"/>
          <w:cols w:space="720"/>
          <w:docGrid w:linePitch="360"/>
        </w:sectPr>
      </w:pPr>
    </w:p>
    <w:p w14:paraId="013CCC37" w14:textId="77777777" w:rsidR="003227BD" w:rsidRDefault="003227BD" w:rsidP="001E0619">
      <w:pPr>
        <w:widowControl w:val="0"/>
        <w:autoSpaceDE w:val="0"/>
        <w:autoSpaceDN w:val="0"/>
        <w:adjustRightInd w:val="0"/>
        <w:spacing w:after="0" w:line="240" w:lineRule="auto"/>
        <w:jc w:val="both"/>
        <w:rPr>
          <w:rFonts w:ascii="Times New Roman" w:hAnsi="Times New Roman"/>
          <w:bCs/>
        </w:rPr>
        <w:sectPr w:rsidR="003227BD" w:rsidSect="003227BD">
          <w:type w:val="continuous"/>
          <w:pgSz w:w="11907" w:h="16840" w:code="9"/>
          <w:pgMar w:top="1701" w:right="1134" w:bottom="1701" w:left="1701" w:header="680" w:footer="680" w:gutter="0"/>
          <w:cols w:num="2" w:space="720"/>
          <w:docGrid w:linePitch="360"/>
        </w:sectPr>
      </w:pPr>
    </w:p>
    <w:p w14:paraId="17076249" w14:textId="1072052A" w:rsidR="00142492" w:rsidRDefault="00142492" w:rsidP="007167C3">
      <w:pPr>
        <w:widowControl w:val="0"/>
        <w:autoSpaceDE w:val="0"/>
        <w:autoSpaceDN w:val="0"/>
        <w:adjustRightInd w:val="0"/>
        <w:spacing w:after="0" w:line="240" w:lineRule="auto"/>
        <w:jc w:val="both"/>
        <w:rPr>
          <w:rFonts w:ascii="Times New Roman" w:hAnsi="Times New Roman"/>
          <w:bCs/>
        </w:rPr>
      </w:pPr>
    </w:p>
    <w:sectPr w:rsidR="00142492"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F6BB" w14:textId="77777777" w:rsidR="00D20208" w:rsidRDefault="00D20208" w:rsidP="004B3C3F">
      <w:pPr>
        <w:spacing w:after="0" w:line="240" w:lineRule="auto"/>
      </w:pPr>
      <w:r>
        <w:separator/>
      </w:r>
    </w:p>
  </w:endnote>
  <w:endnote w:type="continuationSeparator" w:id="0">
    <w:p w14:paraId="27784D84" w14:textId="77777777" w:rsidR="00D20208" w:rsidRDefault="00D20208"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450B4"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6FFF9"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B78C" w14:textId="77777777" w:rsidR="00D20208" w:rsidRDefault="00D20208" w:rsidP="004B3C3F">
      <w:pPr>
        <w:spacing w:after="0" w:line="240" w:lineRule="auto"/>
      </w:pPr>
      <w:r>
        <w:separator/>
      </w:r>
    </w:p>
  </w:footnote>
  <w:footnote w:type="continuationSeparator" w:id="0">
    <w:p w14:paraId="2CF7C6B4" w14:textId="77777777" w:rsidR="00D20208" w:rsidRDefault="00D20208"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72790"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CB27B"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F0691"/>
    <w:multiLevelType w:val="multilevel"/>
    <w:tmpl w:val="4A481A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639764">
    <w:abstractNumId w:val="8"/>
  </w:num>
  <w:num w:numId="2" w16cid:durableId="1027218394">
    <w:abstractNumId w:val="2"/>
  </w:num>
  <w:num w:numId="3" w16cid:durableId="1157185698">
    <w:abstractNumId w:val="10"/>
  </w:num>
  <w:num w:numId="4" w16cid:durableId="1325622673">
    <w:abstractNumId w:val="5"/>
  </w:num>
  <w:num w:numId="5" w16cid:durableId="171602492">
    <w:abstractNumId w:val="0"/>
  </w:num>
  <w:num w:numId="6" w16cid:durableId="1793014531">
    <w:abstractNumId w:val="6"/>
  </w:num>
  <w:num w:numId="7" w16cid:durableId="1880244140">
    <w:abstractNumId w:val="1"/>
  </w:num>
  <w:num w:numId="8" w16cid:durableId="1182935277">
    <w:abstractNumId w:val="11"/>
  </w:num>
  <w:num w:numId="9" w16cid:durableId="1826389953">
    <w:abstractNumId w:val="9"/>
  </w:num>
  <w:num w:numId="10" w16cid:durableId="1933706733">
    <w:abstractNumId w:val="7"/>
  </w:num>
  <w:num w:numId="11" w16cid:durableId="657654494">
    <w:abstractNumId w:val="4"/>
  </w:num>
  <w:num w:numId="12" w16cid:durableId="121192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061F3"/>
    <w:rsid w:val="0001531E"/>
    <w:rsid w:val="0001710B"/>
    <w:rsid w:val="000216E3"/>
    <w:rsid w:val="00022ECC"/>
    <w:rsid w:val="000237AA"/>
    <w:rsid w:val="00023A58"/>
    <w:rsid w:val="00025975"/>
    <w:rsid w:val="00027202"/>
    <w:rsid w:val="00031BFF"/>
    <w:rsid w:val="00032953"/>
    <w:rsid w:val="000347BB"/>
    <w:rsid w:val="0003573C"/>
    <w:rsid w:val="00037A57"/>
    <w:rsid w:val="00040F96"/>
    <w:rsid w:val="00042049"/>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57DE"/>
    <w:rsid w:val="000D684F"/>
    <w:rsid w:val="000E0891"/>
    <w:rsid w:val="000E43D5"/>
    <w:rsid w:val="000E5E07"/>
    <w:rsid w:val="000F145E"/>
    <w:rsid w:val="000F2682"/>
    <w:rsid w:val="000F7B93"/>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5041A"/>
    <w:rsid w:val="0015398A"/>
    <w:rsid w:val="00153B0E"/>
    <w:rsid w:val="0015434A"/>
    <w:rsid w:val="00156403"/>
    <w:rsid w:val="0016058C"/>
    <w:rsid w:val="00160E21"/>
    <w:rsid w:val="0016109B"/>
    <w:rsid w:val="00161DF9"/>
    <w:rsid w:val="00163A4B"/>
    <w:rsid w:val="001665D2"/>
    <w:rsid w:val="00166E8E"/>
    <w:rsid w:val="00172811"/>
    <w:rsid w:val="0017519A"/>
    <w:rsid w:val="00180B99"/>
    <w:rsid w:val="001833FB"/>
    <w:rsid w:val="00183653"/>
    <w:rsid w:val="0018454C"/>
    <w:rsid w:val="00185232"/>
    <w:rsid w:val="00190C8E"/>
    <w:rsid w:val="00193F0C"/>
    <w:rsid w:val="00195F1F"/>
    <w:rsid w:val="001A18AE"/>
    <w:rsid w:val="001A71E3"/>
    <w:rsid w:val="001B0208"/>
    <w:rsid w:val="001B093F"/>
    <w:rsid w:val="001B6829"/>
    <w:rsid w:val="001C1E2F"/>
    <w:rsid w:val="001C25C4"/>
    <w:rsid w:val="001C48CC"/>
    <w:rsid w:val="001C5AED"/>
    <w:rsid w:val="001D0B2A"/>
    <w:rsid w:val="001D1040"/>
    <w:rsid w:val="001D3C1E"/>
    <w:rsid w:val="001E0619"/>
    <w:rsid w:val="001E441B"/>
    <w:rsid w:val="001E44FE"/>
    <w:rsid w:val="001E466D"/>
    <w:rsid w:val="001E4E77"/>
    <w:rsid w:val="001E6B77"/>
    <w:rsid w:val="001E7921"/>
    <w:rsid w:val="001F4089"/>
    <w:rsid w:val="001F556A"/>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DF7"/>
    <w:rsid w:val="002F4582"/>
    <w:rsid w:val="002F54AF"/>
    <w:rsid w:val="002F5C24"/>
    <w:rsid w:val="002F7CA7"/>
    <w:rsid w:val="003009FC"/>
    <w:rsid w:val="00304368"/>
    <w:rsid w:val="00304BE1"/>
    <w:rsid w:val="00306FB7"/>
    <w:rsid w:val="00307C89"/>
    <w:rsid w:val="00311C8D"/>
    <w:rsid w:val="00312749"/>
    <w:rsid w:val="00315E8F"/>
    <w:rsid w:val="003227BD"/>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C0C24"/>
    <w:rsid w:val="003C17FE"/>
    <w:rsid w:val="003C2D9A"/>
    <w:rsid w:val="003C33BD"/>
    <w:rsid w:val="003D39AD"/>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53C2"/>
    <w:rsid w:val="00505705"/>
    <w:rsid w:val="00505929"/>
    <w:rsid w:val="00506142"/>
    <w:rsid w:val="0051196A"/>
    <w:rsid w:val="0051620F"/>
    <w:rsid w:val="005226E4"/>
    <w:rsid w:val="00524653"/>
    <w:rsid w:val="00524BC4"/>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A2A49"/>
    <w:rsid w:val="005A3263"/>
    <w:rsid w:val="005A340C"/>
    <w:rsid w:val="005A37F6"/>
    <w:rsid w:val="005A3991"/>
    <w:rsid w:val="005A4BF9"/>
    <w:rsid w:val="005A532B"/>
    <w:rsid w:val="005B0DE3"/>
    <w:rsid w:val="005B15AD"/>
    <w:rsid w:val="005B46A1"/>
    <w:rsid w:val="005B5423"/>
    <w:rsid w:val="005B6460"/>
    <w:rsid w:val="005B7666"/>
    <w:rsid w:val="005C4B27"/>
    <w:rsid w:val="005C4EF1"/>
    <w:rsid w:val="005C6ED6"/>
    <w:rsid w:val="005C742A"/>
    <w:rsid w:val="005D1FD6"/>
    <w:rsid w:val="005D3479"/>
    <w:rsid w:val="005D50D4"/>
    <w:rsid w:val="005D54D8"/>
    <w:rsid w:val="005D6A23"/>
    <w:rsid w:val="005D6E53"/>
    <w:rsid w:val="005E2F5D"/>
    <w:rsid w:val="005E667F"/>
    <w:rsid w:val="005E6843"/>
    <w:rsid w:val="005F3676"/>
    <w:rsid w:val="00606939"/>
    <w:rsid w:val="006069FB"/>
    <w:rsid w:val="0061482E"/>
    <w:rsid w:val="006202A9"/>
    <w:rsid w:val="00621D32"/>
    <w:rsid w:val="006316D4"/>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D8A"/>
    <w:rsid w:val="006A5D0F"/>
    <w:rsid w:val="006B46CF"/>
    <w:rsid w:val="006B70CF"/>
    <w:rsid w:val="006B739E"/>
    <w:rsid w:val="006C193B"/>
    <w:rsid w:val="006C2A97"/>
    <w:rsid w:val="006C2CF5"/>
    <w:rsid w:val="006C468C"/>
    <w:rsid w:val="006C4856"/>
    <w:rsid w:val="006C5AA1"/>
    <w:rsid w:val="006C5F43"/>
    <w:rsid w:val="006C7BCC"/>
    <w:rsid w:val="006D3866"/>
    <w:rsid w:val="006D5AB4"/>
    <w:rsid w:val="006E2BB9"/>
    <w:rsid w:val="006E590F"/>
    <w:rsid w:val="006E6C75"/>
    <w:rsid w:val="006F09CA"/>
    <w:rsid w:val="006F0B0D"/>
    <w:rsid w:val="00700D06"/>
    <w:rsid w:val="00701E4C"/>
    <w:rsid w:val="00703305"/>
    <w:rsid w:val="007033C7"/>
    <w:rsid w:val="007052C7"/>
    <w:rsid w:val="007129BE"/>
    <w:rsid w:val="00713B7E"/>
    <w:rsid w:val="00715274"/>
    <w:rsid w:val="007167C3"/>
    <w:rsid w:val="00716D73"/>
    <w:rsid w:val="00721D3B"/>
    <w:rsid w:val="0072283A"/>
    <w:rsid w:val="00724D19"/>
    <w:rsid w:val="00724F42"/>
    <w:rsid w:val="007301E6"/>
    <w:rsid w:val="00730DA4"/>
    <w:rsid w:val="00733521"/>
    <w:rsid w:val="00744B11"/>
    <w:rsid w:val="0074564A"/>
    <w:rsid w:val="00745904"/>
    <w:rsid w:val="00745B01"/>
    <w:rsid w:val="00747762"/>
    <w:rsid w:val="00750639"/>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3B65"/>
    <w:rsid w:val="007F55E9"/>
    <w:rsid w:val="007F5A37"/>
    <w:rsid w:val="007F77E8"/>
    <w:rsid w:val="00800161"/>
    <w:rsid w:val="0080192C"/>
    <w:rsid w:val="008045CB"/>
    <w:rsid w:val="008054DD"/>
    <w:rsid w:val="008056D2"/>
    <w:rsid w:val="008063E5"/>
    <w:rsid w:val="008120EA"/>
    <w:rsid w:val="00813287"/>
    <w:rsid w:val="00815021"/>
    <w:rsid w:val="0081745C"/>
    <w:rsid w:val="00824556"/>
    <w:rsid w:val="00824D76"/>
    <w:rsid w:val="00830581"/>
    <w:rsid w:val="0083064A"/>
    <w:rsid w:val="00831411"/>
    <w:rsid w:val="0083664D"/>
    <w:rsid w:val="00836970"/>
    <w:rsid w:val="0084005B"/>
    <w:rsid w:val="00841D3C"/>
    <w:rsid w:val="00845C04"/>
    <w:rsid w:val="0085059D"/>
    <w:rsid w:val="00861F09"/>
    <w:rsid w:val="00865B88"/>
    <w:rsid w:val="00867764"/>
    <w:rsid w:val="0087089A"/>
    <w:rsid w:val="00873C6C"/>
    <w:rsid w:val="0087711E"/>
    <w:rsid w:val="00877402"/>
    <w:rsid w:val="00880729"/>
    <w:rsid w:val="00881974"/>
    <w:rsid w:val="008959E2"/>
    <w:rsid w:val="008971DC"/>
    <w:rsid w:val="008A1A80"/>
    <w:rsid w:val="008A5552"/>
    <w:rsid w:val="008B2F52"/>
    <w:rsid w:val="008B3217"/>
    <w:rsid w:val="008B34BA"/>
    <w:rsid w:val="008B71BF"/>
    <w:rsid w:val="008B7508"/>
    <w:rsid w:val="008C47A8"/>
    <w:rsid w:val="008C5455"/>
    <w:rsid w:val="008D1455"/>
    <w:rsid w:val="008D1D24"/>
    <w:rsid w:val="008D4E73"/>
    <w:rsid w:val="008D6F46"/>
    <w:rsid w:val="008E23CA"/>
    <w:rsid w:val="008E23D9"/>
    <w:rsid w:val="008E4040"/>
    <w:rsid w:val="008E524D"/>
    <w:rsid w:val="008E6B81"/>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206CC"/>
    <w:rsid w:val="00922AD0"/>
    <w:rsid w:val="009315F8"/>
    <w:rsid w:val="009344F6"/>
    <w:rsid w:val="009375A3"/>
    <w:rsid w:val="00943662"/>
    <w:rsid w:val="00944808"/>
    <w:rsid w:val="00944977"/>
    <w:rsid w:val="00946190"/>
    <w:rsid w:val="009502A9"/>
    <w:rsid w:val="0095038B"/>
    <w:rsid w:val="00950CDC"/>
    <w:rsid w:val="0095263E"/>
    <w:rsid w:val="0095462F"/>
    <w:rsid w:val="00956F7E"/>
    <w:rsid w:val="009570FF"/>
    <w:rsid w:val="00957607"/>
    <w:rsid w:val="009641D4"/>
    <w:rsid w:val="009726FA"/>
    <w:rsid w:val="00983670"/>
    <w:rsid w:val="00983AD6"/>
    <w:rsid w:val="00987614"/>
    <w:rsid w:val="0099189B"/>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50EA"/>
    <w:rsid w:val="00A0692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5BD0"/>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1B7E"/>
    <w:rsid w:val="00B51C0A"/>
    <w:rsid w:val="00B531B1"/>
    <w:rsid w:val="00B545C4"/>
    <w:rsid w:val="00B54A9C"/>
    <w:rsid w:val="00B579B8"/>
    <w:rsid w:val="00B60204"/>
    <w:rsid w:val="00B6323B"/>
    <w:rsid w:val="00B63342"/>
    <w:rsid w:val="00B64D3A"/>
    <w:rsid w:val="00B71B60"/>
    <w:rsid w:val="00B71CE8"/>
    <w:rsid w:val="00B753B5"/>
    <w:rsid w:val="00B762CA"/>
    <w:rsid w:val="00BA1C2B"/>
    <w:rsid w:val="00BA322F"/>
    <w:rsid w:val="00BB4556"/>
    <w:rsid w:val="00BB6648"/>
    <w:rsid w:val="00BC23DF"/>
    <w:rsid w:val="00BC399C"/>
    <w:rsid w:val="00BC48D0"/>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6519"/>
    <w:rsid w:val="00C4546D"/>
    <w:rsid w:val="00C46618"/>
    <w:rsid w:val="00C46CC6"/>
    <w:rsid w:val="00C54FE5"/>
    <w:rsid w:val="00C56A90"/>
    <w:rsid w:val="00C57AF9"/>
    <w:rsid w:val="00C61BD8"/>
    <w:rsid w:val="00C62B9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B7FBD"/>
    <w:rsid w:val="00CC4282"/>
    <w:rsid w:val="00CC5ECD"/>
    <w:rsid w:val="00CC67E9"/>
    <w:rsid w:val="00CD4A13"/>
    <w:rsid w:val="00CD5705"/>
    <w:rsid w:val="00CD659D"/>
    <w:rsid w:val="00CE0C43"/>
    <w:rsid w:val="00CE2E0A"/>
    <w:rsid w:val="00CE7BA0"/>
    <w:rsid w:val="00CE7DC2"/>
    <w:rsid w:val="00CF2901"/>
    <w:rsid w:val="00D043BA"/>
    <w:rsid w:val="00D07533"/>
    <w:rsid w:val="00D07D58"/>
    <w:rsid w:val="00D1160F"/>
    <w:rsid w:val="00D118E3"/>
    <w:rsid w:val="00D127F6"/>
    <w:rsid w:val="00D14F94"/>
    <w:rsid w:val="00D16D84"/>
    <w:rsid w:val="00D20208"/>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65E1"/>
    <w:rsid w:val="00DB2BC3"/>
    <w:rsid w:val="00DB2C6F"/>
    <w:rsid w:val="00DC0AC1"/>
    <w:rsid w:val="00DC3466"/>
    <w:rsid w:val="00DC35D6"/>
    <w:rsid w:val="00DC3A75"/>
    <w:rsid w:val="00DC43D9"/>
    <w:rsid w:val="00DC501E"/>
    <w:rsid w:val="00DC6376"/>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5366F"/>
    <w:rsid w:val="00E600C8"/>
    <w:rsid w:val="00E666D5"/>
    <w:rsid w:val="00E67B0A"/>
    <w:rsid w:val="00E75626"/>
    <w:rsid w:val="00E77105"/>
    <w:rsid w:val="00E77706"/>
    <w:rsid w:val="00E7797E"/>
    <w:rsid w:val="00E8630A"/>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C1383"/>
    <w:rsid w:val="00EC7CFB"/>
    <w:rsid w:val="00ED193C"/>
    <w:rsid w:val="00ED203D"/>
    <w:rsid w:val="00ED4817"/>
    <w:rsid w:val="00ED4DCF"/>
    <w:rsid w:val="00ED5186"/>
    <w:rsid w:val="00EE162F"/>
    <w:rsid w:val="00EE2465"/>
    <w:rsid w:val="00EE2CE9"/>
    <w:rsid w:val="00EE420C"/>
    <w:rsid w:val="00EE6055"/>
    <w:rsid w:val="00EF11C6"/>
    <w:rsid w:val="00EF5F30"/>
    <w:rsid w:val="00F0577A"/>
    <w:rsid w:val="00F077F9"/>
    <w:rsid w:val="00F14500"/>
    <w:rsid w:val="00F22651"/>
    <w:rsid w:val="00F2698A"/>
    <w:rsid w:val="00F32C74"/>
    <w:rsid w:val="00F339B8"/>
    <w:rsid w:val="00F40D7D"/>
    <w:rsid w:val="00F40E03"/>
    <w:rsid w:val="00F41885"/>
    <w:rsid w:val="00F43A97"/>
    <w:rsid w:val="00F43D96"/>
    <w:rsid w:val="00F447B4"/>
    <w:rsid w:val="00F450F9"/>
    <w:rsid w:val="00F45751"/>
    <w:rsid w:val="00F50AE5"/>
    <w:rsid w:val="00F54286"/>
    <w:rsid w:val="00F54C15"/>
    <w:rsid w:val="00F55CCD"/>
    <w:rsid w:val="00F60AA6"/>
    <w:rsid w:val="00F60E61"/>
    <w:rsid w:val="00F6194F"/>
    <w:rsid w:val="00F61C50"/>
    <w:rsid w:val="00F6397A"/>
    <w:rsid w:val="00F64711"/>
    <w:rsid w:val="00F64A4F"/>
    <w:rsid w:val="00F66A96"/>
    <w:rsid w:val="00F67598"/>
    <w:rsid w:val="00F72BE5"/>
    <w:rsid w:val="00F72CED"/>
    <w:rsid w:val="00F83A4A"/>
    <w:rsid w:val="00F86432"/>
    <w:rsid w:val="00F90085"/>
    <w:rsid w:val="00F9655B"/>
    <w:rsid w:val="00F979D0"/>
    <w:rsid w:val="00FA1A1E"/>
    <w:rsid w:val="00FA3ABC"/>
    <w:rsid w:val="00FA4D9D"/>
    <w:rsid w:val="00FA63D7"/>
    <w:rsid w:val="00FB2AAB"/>
    <w:rsid w:val="00FB36A4"/>
    <w:rsid w:val="00FB59B4"/>
    <w:rsid w:val="00FB5EBC"/>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1B198423-4081-409E-B2AA-CC30332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626">
      <w:bodyDiv w:val="1"/>
      <w:marLeft w:val="0"/>
      <w:marRight w:val="0"/>
      <w:marTop w:val="0"/>
      <w:marBottom w:val="0"/>
      <w:divBdr>
        <w:top w:val="none" w:sz="0" w:space="0" w:color="auto"/>
        <w:left w:val="none" w:sz="0" w:space="0" w:color="auto"/>
        <w:bottom w:val="none" w:sz="0" w:space="0" w:color="auto"/>
        <w:right w:val="none" w:sz="0" w:space="0" w:color="auto"/>
      </w:divBdr>
      <w:divsChild>
        <w:div w:id="973563434">
          <w:marLeft w:val="480"/>
          <w:marRight w:val="0"/>
          <w:marTop w:val="0"/>
          <w:marBottom w:val="0"/>
          <w:divBdr>
            <w:top w:val="none" w:sz="0" w:space="0" w:color="auto"/>
            <w:left w:val="none" w:sz="0" w:space="0" w:color="auto"/>
            <w:bottom w:val="none" w:sz="0" w:space="0" w:color="auto"/>
            <w:right w:val="none" w:sz="0" w:space="0" w:color="auto"/>
          </w:divBdr>
        </w:div>
        <w:div w:id="1995836319">
          <w:marLeft w:val="480"/>
          <w:marRight w:val="0"/>
          <w:marTop w:val="0"/>
          <w:marBottom w:val="0"/>
          <w:divBdr>
            <w:top w:val="none" w:sz="0" w:space="0" w:color="auto"/>
            <w:left w:val="none" w:sz="0" w:space="0" w:color="auto"/>
            <w:bottom w:val="none" w:sz="0" w:space="0" w:color="auto"/>
            <w:right w:val="none" w:sz="0" w:space="0" w:color="auto"/>
          </w:divBdr>
        </w:div>
        <w:div w:id="1451970125">
          <w:marLeft w:val="480"/>
          <w:marRight w:val="0"/>
          <w:marTop w:val="0"/>
          <w:marBottom w:val="0"/>
          <w:divBdr>
            <w:top w:val="none" w:sz="0" w:space="0" w:color="auto"/>
            <w:left w:val="none" w:sz="0" w:space="0" w:color="auto"/>
            <w:bottom w:val="none" w:sz="0" w:space="0" w:color="auto"/>
            <w:right w:val="none" w:sz="0" w:space="0" w:color="auto"/>
          </w:divBdr>
        </w:div>
        <w:div w:id="1834445083">
          <w:marLeft w:val="480"/>
          <w:marRight w:val="0"/>
          <w:marTop w:val="0"/>
          <w:marBottom w:val="0"/>
          <w:divBdr>
            <w:top w:val="none" w:sz="0" w:space="0" w:color="auto"/>
            <w:left w:val="none" w:sz="0" w:space="0" w:color="auto"/>
            <w:bottom w:val="none" w:sz="0" w:space="0" w:color="auto"/>
            <w:right w:val="none" w:sz="0" w:space="0" w:color="auto"/>
          </w:divBdr>
        </w:div>
        <w:div w:id="1478374924">
          <w:marLeft w:val="480"/>
          <w:marRight w:val="0"/>
          <w:marTop w:val="0"/>
          <w:marBottom w:val="0"/>
          <w:divBdr>
            <w:top w:val="none" w:sz="0" w:space="0" w:color="auto"/>
            <w:left w:val="none" w:sz="0" w:space="0" w:color="auto"/>
            <w:bottom w:val="none" w:sz="0" w:space="0" w:color="auto"/>
            <w:right w:val="none" w:sz="0" w:space="0" w:color="auto"/>
          </w:divBdr>
        </w:div>
        <w:div w:id="2119448124">
          <w:marLeft w:val="480"/>
          <w:marRight w:val="0"/>
          <w:marTop w:val="0"/>
          <w:marBottom w:val="0"/>
          <w:divBdr>
            <w:top w:val="none" w:sz="0" w:space="0" w:color="auto"/>
            <w:left w:val="none" w:sz="0" w:space="0" w:color="auto"/>
            <w:bottom w:val="none" w:sz="0" w:space="0" w:color="auto"/>
            <w:right w:val="none" w:sz="0" w:space="0" w:color="auto"/>
          </w:divBdr>
        </w:div>
        <w:div w:id="773986523">
          <w:marLeft w:val="480"/>
          <w:marRight w:val="0"/>
          <w:marTop w:val="0"/>
          <w:marBottom w:val="0"/>
          <w:divBdr>
            <w:top w:val="none" w:sz="0" w:space="0" w:color="auto"/>
            <w:left w:val="none" w:sz="0" w:space="0" w:color="auto"/>
            <w:bottom w:val="none" w:sz="0" w:space="0" w:color="auto"/>
            <w:right w:val="none" w:sz="0" w:space="0" w:color="auto"/>
          </w:divBdr>
        </w:div>
        <w:div w:id="404036506">
          <w:marLeft w:val="480"/>
          <w:marRight w:val="0"/>
          <w:marTop w:val="0"/>
          <w:marBottom w:val="0"/>
          <w:divBdr>
            <w:top w:val="none" w:sz="0" w:space="0" w:color="auto"/>
            <w:left w:val="none" w:sz="0" w:space="0" w:color="auto"/>
            <w:bottom w:val="none" w:sz="0" w:space="0" w:color="auto"/>
            <w:right w:val="none" w:sz="0" w:space="0" w:color="auto"/>
          </w:divBdr>
        </w:div>
        <w:div w:id="1829789922">
          <w:marLeft w:val="480"/>
          <w:marRight w:val="0"/>
          <w:marTop w:val="0"/>
          <w:marBottom w:val="0"/>
          <w:divBdr>
            <w:top w:val="none" w:sz="0" w:space="0" w:color="auto"/>
            <w:left w:val="none" w:sz="0" w:space="0" w:color="auto"/>
            <w:bottom w:val="none" w:sz="0" w:space="0" w:color="auto"/>
            <w:right w:val="none" w:sz="0" w:space="0" w:color="auto"/>
          </w:divBdr>
        </w:div>
        <w:div w:id="1886454227">
          <w:marLeft w:val="480"/>
          <w:marRight w:val="0"/>
          <w:marTop w:val="0"/>
          <w:marBottom w:val="0"/>
          <w:divBdr>
            <w:top w:val="none" w:sz="0" w:space="0" w:color="auto"/>
            <w:left w:val="none" w:sz="0" w:space="0" w:color="auto"/>
            <w:bottom w:val="none" w:sz="0" w:space="0" w:color="auto"/>
            <w:right w:val="none" w:sz="0" w:space="0" w:color="auto"/>
          </w:divBdr>
        </w:div>
      </w:divsChild>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479690430">
      <w:bodyDiv w:val="1"/>
      <w:marLeft w:val="0"/>
      <w:marRight w:val="0"/>
      <w:marTop w:val="0"/>
      <w:marBottom w:val="0"/>
      <w:divBdr>
        <w:top w:val="none" w:sz="0" w:space="0" w:color="auto"/>
        <w:left w:val="none" w:sz="0" w:space="0" w:color="auto"/>
        <w:bottom w:val="none" w:sz="0" w:space="0" w:color="auto"/>
        <w:right w:val="none" w:sz="0" w:space="0" w:color="auto"/>
      </w:divBdr>
      <w:divsChild>
        <w:div w:id="455295192">
          <w:marLeft w:val="480"/>
          <w:marRight w:val="0"/>
          <w:marTop w:val="0"/>
          <w:marBottom w:val="0"/>
          <w:divBdr>
            <w:top w:val="none" w:sz="0" w:space="0" w:color="auto"/>
            <w:left w:val="none" w:sz="0" w:space="0" w:color="auto"/>
            <w:bottom w:val="none" w:sz="0" w:space="0" w:color="auto"/>
            <w:right w:val="none" w:sz="0" w:space="0" w:color="auto"/>
          </w:divBdr>
        </w:div>
        <w:div w:id="1257714271">
          <w:marLeft w:val="480"/>
          <w:marRight w:val="0"/>
          <w:marTop w:val="0"/>
          <w:marBottom w:val="0"/>
          <w:divBdr>
            <w:top w:val="none" w:sz="0" w:space="0" w:color="auto"/>
            <w:left w:val="none" w:sz="0" w:space="0" w:color="auto"/>
            <w:bottom w:val="none" w:sz="0" w:space="0" w:color="auto"/>
            <w:right w:val="none" w:sz="0" w:space="0" w:color="auto"/>
          </w:divBdr>
        </w:div>
        <w:div w:id="162404640">
          <w:marLeft w:val="480"/>
          <w:marRight w:val="0"/>
          <w:marTop w:val="0"/>
          <w:marBottom w:val="0"/>
          <w:divBdr>
            <w:top w:val="none" w:sz="0" w:space="0" w:color="auto"/>
            <w:left w:val="none" w:sz="0" w:space="0" w:color="auto"/>
            <w:bottom w:val="none" w:sz="0" w:space="0" w:color="auto"/>
            <w:right w:val="none" w:sz="0" w:space="0" w:color="auto"/>
          </w:divBdr>
        </w:div>
        <w:div w:id="34351908">
          <w:marLeft w:val="480"/>
          <w:marRight w:val="0"/>
          <w:marTop w:val="0"/>
          <w:marBottom w:val="0"/>
          <w:divBdr>
            <w:top w:val="none" w:sz="0" w:space="0" w:color="auto"/>
            <w:left w:val="none" w:sz="0" w:space="0" w:color="auto"/>
            <w:bottom w:val="none" w:sz="0" w:space="0" w:color="auto"/>
            <w:right w:val="none" w:sz="0" w:space="0" w:color="auto"/>
          </w:divBdr>
        </w:div>
        <w:div w:id="330330681">
          <w:marLeft w:val="480"/>
          <w:marRight w:val="0"/>
          <w:marTop w:val="0"/>
          <w:marBottom w:val="0"/>
          <w:divBdr>
            <w:top w:val="none" w:sz="0" w:space="0" w:color="auto"/>
            <w:left w:val="none" w:sz="0" w:space="0" w:color="auto"/>
            <w:bottom w:val="none" w:sz="0" w:space="0" w:color="auto"/>
            <w:right w:val="none" w:sz="0" w:space="0" w:color="auto"/>
          </w:divBdr>
        </w:div>
        <w:div w:id="771171225">
          <w:marLeft w:val="480"/>
          <w:marRight w:val="0"/>
          <w:marTop w:val="0"/>
          <w:marBottom w:val="0"/>
          <w:divBdr>
            <w:top w:val="none" w:sz="0" w:space="0" w:color="auto"/>
            <w:left w:val="none" w:sz="0" w:space="0" w:color="auto"/>
            <w:bottom w:val="none" w:sz="0" w:space="0" w:color="auto"/>
            <w:right w:val="none" w:sz="0" w:space="0" w:color="auto"/>
          </w:divBdr>
        </w:div>
        <w:div w:id="919564026">
          <w:marLeft w:val="480"/>
          <w:marRight w:val="0"/>
          <w:marTop w:val="0"/>
          <w:marBottom w:val="0"/>
          <w:divBdr>
            <w:top w:val="none" w:sz="0" w:space="0" w:color="auto"/>
            <w:left w:val="none" w:sz="0" w:space="0" w:color="auto"/>
            <w:bottom w:val="none" w:sz="0" w:space="0" w:color="auto"/>
            <w:right w:val="none" w:sz="0" w:space="0" w:color="auto"/>
          </w:divBdr>
        </w:div>
        <w:div w:id="659115747">
          <w:marLeft w:val="480"/>
          <w:marRight w:val="0"/>
          <w:marTop w:val="0"/>
          <w:marBottom w:val="0"/>
          <w:divBdr>
            <w:top w:val="none" w:sz="0" w:space="0" w:color="auto"/>
            <w:left w:val="none" w:sz="0" w:space="0" w:color="auto"/>
            <w:bottom w:val="none" w:sz="0" w:space="0" w:color="auto"/>
            <w:right w:val="none" w:sz="0" w:space="0" w:color="auto"/>
          </w:divBdr>
        </w:div>
        <w:div w:id="2093820638">
          <w:marLeft w:val="480"/>
          <w:marRight w:val="0"/>
          <w:marTop w:val="0"/>
          <w:marBottom w:val="0"/>
          <w:divBdr>
            <w:top w:val="none" w:sz="0" w:space="0" w:color="auto"/>
            <w:left w:val="none" w:sz="0" w:space="0" w:color="auto"/>
            <w:bottom w:val="none" w:sz="0" w:space="0" w:color="auto"/>
            <w:right w:val="none" w:sz="0" w:space="0" w:color="auto"/>
          </w:divBdr>
        </w:div>
      </w:divsChild>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574631796">
      <w:bodyDiv w:val="1"/>
      <w:marLeft w:val="0"/>
      <w:marRight w:val="0"/>
      <w:marTop w:val="0"/>
      <w:marBottom w:val="0"/>
      <w:divBdr>
        <w:top w:val="none" w:sz="0" w:space="0" w:color="auto"/>
        <w:left w:val="none" w:sz="0" w:space="0" w:color="auto"/>
        <w:bottom w:val="none" w:sz="0" w:space="0" w:color="auto"/>
        <w:right w:val="none" w:sz="0" w:space="0" w:color="auto"/>
      </w:divBdr>
      <w:divsChild>
        <w:div w:id="631179754">
          <w:marLeft w:val="480"/>
          <w:marRight w:val="0"/>
          <w:marTop w:val="0"/>
          <w:marBottom w:val="0"/>
          <w:divBdr>
            <w:top w:val="none" w:sz="0" w:space="0" w:color="auto"/>
            <w:left w:val="none" w:sz="0" w:space="0" w:color="auto"/>
            <w:bottom w:val="none" w:sz="0" w:space="0" w:color="auto"/>
            <w:right w:val="none" w:sz="0" w:space="0" w:color="auto"/>
          </w:divBdr>
        </w:div>
        <w:div w:id="1708020931">
          <w:marLeft w:val="480"/>
          <w:marRight w:val="0"/>
          <w:marTop w:val="0"/>
          <w:marBottom w:val="0"/>
          <w:divBdr>
            <w:top w:val="none" w:sz="0" w:space="0" w:color="auto"/>
            <w:left w:val="none" w:sz="0" w:space="0" w:color="auto"/>
            <w:bottom w:val="none" w:sz="0" w:space="0" w:color="auto"/>
            <w:right w:val="none" w:sz="0" w:space="0" w:color="auto"/>
          </w:divBdr>
        </w:div>
        <w:div w:id="1279141548">
          <w:marLeft w:val="480"/>
          <w:marRight w:val="0"/>
          <w:marTop w:val="0"/>
          <w:marBottom w:val="0"/>
          <w:divBdr>
            <w:top w:val="none" w:sz="0" w:space="0" w:color="auto"/>
            <w:left w:val="none" w:sz="0" w:space="0" w:color="auto"/>
            <w:bottom w:val="none" w:sz="0" w:space="0" w:color="auto"/>
            <w:right w:val="none" w:sz="0" w:space="0" w:color="auto"/>
          </w:divBdr>
        </w:div>
        <w:div w:id="789013786">
          <w:marLeft w:val="480"/>
          <w:marRight w:val="0"/>
          <w:marTop w:val="0"/>
          <w:marBottom w:val="0"/>
          <w:divBdr>
            <w:top w:val="none" w:sz="0" w:space="0" w:color="auto"/>
            <w:left w:val="none" w:sz="0" w:space="0" w:color="auto"/>
            <w:bottom w:val="none" w:sz="0" w:space="0" w:color="auto"/>
            <w:right w:val="none" w:sz="0" w:space="0" w:color="auto"/>
          </w:divBdr>
        </w:div>
        <w:div w:id="801339036">
          <w:marLeft w:val="480"/>
          <w:marRight w:val="0"/>
          <w:marTop w:val="0"/>
          <w:marBottom w:val="0"/>
          <w:divBdr>
            <w:top w:val="none" w:sz="0" w:space="0" w:color="auto"/>
            <w:left w:val="none" w:sz="0" w:space="0" w:color="auto"/>
            <w:bottom w:val="none" w:sz="0" w:space="0" w:color="auto"/>
            <w:right w:val="none" w:sz="0" w:space="0" w:color="auto"/>
          </w:divBdr>
        </w:div>
        <w:div w:id="2066756400">
          <w:marLeft w:val="480"/>
          <w:marRight w:val="0"/>
          <w:marTop w:val="0"/>
          <w:marBottom w:val="0"/>
          <w:divBdr>
            <w:top w:val="none" w:sz="0" w:space="0" w:color="auto"/>
            <w:left w:val="none" w:sz="0" w:space="0" w:color="auto"/>
            <w:bottom w:val="none" w:sz="0" w:space="0" w:color="auto"/>
            <w:right w:val="none" w:sz="0" w:space="0" w:color="auto"/>
          </w:divBdr>
        </w:div>
        <w:div w:id="1323434767">
          <w:marLeft w:val="480"/>
          <w:marRight w:val="0"/>
          <w:marTop w:val="0"/>
          <w:marBottom w:val="0"/>
          <w:divBdr>
            <w:top w:val="none" w:sz="0" w:space="0" w:color="auto"/>
            <w:left w:val="none" w:sz="0" w:space="0" w:color="auto"/>
            <w:bottom w:val="none" w:sz="0" w:space="0" w:color="auto"/>
            <w:right w:val="none" w:sz="0" w:space="0" w:color="auto"/>
          </w:divBdr>
        </w:div>
        <w:div w:id="1406075552">
          <w:marLeft w:val="480"/>
          <w:marRight w:val="0"/>
          <w:marTop w:val="0"/>
          <w:marBottom w:val="0"/>
          <w:divBdr>
            <w:top w:val="none" w:sz="0" w:space="0" w:color="auto"/>
            <w:left w:val="none" w:sz="0" w:space="0" w:color="auto"/>
            <w:bottom w:val="none" w:sz="0" w:space="0" w:color="auto"/>
            <w:right w:val="none" w:sz="0" w:space="0" w:color="auto"/>
          </w:divBdr>
        </w:div>
        <w:div w:id="1316685142">
          <w:marLeft w:val="480"/>
          <w:marRight w:val="0"/>
          <w:marTop w:val="0"/>
          <w:marBottom w:val="0"/>
          <w:divBdr>
            <w:top w:val="none" w:sz="0" w:space="0" w:color="auto"/>
            <w:left w:val="none" w:sz="0" w:space="0" w:color="auto"/>
            <w:bottom w:val="none" w:sz="0" w:space="0" w:color="auto"/>
            <w:right w:val="none" w:sz="0" w:space="0" w:color="auto"/>
          </w:divBdr>
        </w:div>
        <w:div w:id="862668975">
          <w:marLeft w:val="480"/>
          <w:marRight w:val="0"/>
          <w:marTop w:val="0"/>
          <w:marBottom w:val="0"/>
          <w:divBdr>
            <w:top w:val="none" w:sz="0" w:space="0" w:color="auto"/>
            <w:left w:val="none" w:sz="0" w:space="0" w:color="auto"/>
            <w:bottom w:val="none" w:sz="0" w:space="0" w:color="auto"/>
            <w:right w:val="none" w:sz="0" w:space="0" w:color="auto"/>
          </w:divBdr>
        </w:div>
        <w:div w:id="249970173">
          <w:marLeft w:val="480"/>
          <w:marRight w:val="0"/>
          <w:marTop w:val="0"/>
          <w:marBottom w:val="0"/>
          <w:divBdr>
            <w:top w:val="none" w:sz="0" w:space="0" w:color="auto"/>
            <w:left w:val="none" w:sz="0" w:space="0" w:color="auto"/>
            <w:bottom w:val="none" w:sz="0" w:space="0" w:color="auto"/>
            <w:right w:val="none" w:sz="0" w:space="0" w:color="auto"/>
          </w:divBdr>
        </w:div>
      </w:divsChild>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635453098">
      <w:bodyDiv w:val="1"/>
      <w:marLeft w:val="0"/>
      <w:marRight w:val="0"/>
      <w:marTop w:val="0"/>
      <w:marBottom w:val="0"/>
      <w:divBdr>
        <w:top w:val="none" w:sz="0" w:space="0" w:color="auto"/>
        <w:left w:val="none" w:sz="0" w:space="0" w:color="auto"/>
        <w:bottom w:val="none" w:sz="0" w:space="0" w:color="auto"/>
        <w:right w:val="none" w:sz="0" w:space="0" w:color="auto"/>
      </w:divBdr>
      <w:divsChild>
        <w:div w:id="1594708321">
          <w:marLeft w:val="480"/>
          <w:marRight w:val="0"/>
          <w:marTop w:val="0"/>
          <w:marBottom w:val="0"/>
          <w:divBdr>
            <w:top w:val="none" w:sz="0" w:space="0" w:color="auto"/>
            <w:left w:val="none" w:sz="0" w:space="0" w:color="auto"/>
            <w:bottom w:val="none" w:sz="0" w:space="0" w:color="auto"/>
            <w:right w:val="none" w:sz="0" w:space="0" w:color="auto"/>
          </w:divBdr>
        </w:div>
        <w:div w:id="283317919">
          <w:marLeft w:val="480"/>
          <w:marRight w:val="0"/>
          <w:marTop w:val="0"/>
          <w:marBottom w:val="0"/>
          <w:divBdr>
            <w:top w:val="none" w:sz="0" w:space="0" w:color="auto"/>
            <w:left w:val="none" w:sz="0" w:space="0" w:color="auto"/>
            <w:bottom w:val="none" w:sz="0" w:space="0" w:color="auto"/>
            <w:right w:val="none" w:sz="0" w:space="0" w:color="auto"/>
          </w:divBdr>
        </w:div>
        <w:div w:id="1427190548">
          <w:marLeft w:val="480"/>
          <w:marRight w:val="0"/>
          <w:marTop w:val="0"/>
          <w:marBottom w:val="0"/>
          <w:divBdr>
            <w:top w:val="none" w:sz="0" w:space="0" w:color="auto"/>
            <w:left w:val="none" w:sz="0" w:space="0" w:color="auto"/>
            <w:bottom w:val="none" w:sz="0" w:space="0" w:color="auto"/>
            <w:right w:val="none" w:sz="0" w:space="0" w:color="auto"/>
          </w:divBdr>
        </w:div>
        <w:div w:id="243953425">
          <w:marLeft w:val="480"/>
          <w:marRight w:val="0"/>
          <w:marTop w:val="0"/>
          <w:marBottom w:val="0"/>
          <w:divBdr>
            <w:top w:val="none" w:sz="0" w:space="0" w:color="auto"/>
            <w:left w:val="none" w:sz="0" w:space="0" w:color="auto"/>
            <w:bottom w:val="none" w:sz="0" w:space="0" w:color="auto"/>
            <w:right w:val="none" w:sz="0" w:space="0" w:color="auto"/>
          </w:divBdr>
        </w:div>
        <w:div w:id="2055542755">
          <w:marLeft w:val="480"/>
          <w:marRight w:val="0"/>
          <w:marTop w:val="0"/>
          <w:marBottom w:val="0"/>
          <w:divBdr>
            <w:top w:val="none" w:sz="0" w:space="0" w:color="auto"/>
            <w:left w:val="none" w:sz="0" w:space="0" w:color="auto"/>
            <w:bottom w:val="none" w:sz="0" w:space="0" w:color="auto"/>
            <w:right w:val="none" w:sz="0" w:space="0" w:color="auto"/>
          </w:divBdr>
        </w:div>
        <w:div w:id="1695496908">
          <w:marLeft w:val="480"/>
          <w:marRight w:val="0"/>
          <w:marTop w:val="0"/>
          <w:marBottom w:val="0"/>
          <w:divBdr>
            <w:top w:val="none" w:sz="0" w:space="0" w:color="auto"/>
            <w:left w:val="none" w:sz="0" w:space="0" w:color="auto"/>
            <w:bottom w:val="none" w:sz="0" w:space="0" w:color="auto"/>
            <w:right w:val="none" w:sz="0" w:space="0" w:color="auto"/>
          </w:divBdr>
        </w:div>
        <w:div w:id="1302347156">
          <w:marLeft w:val="480"/>
          <w:marRight w:val="0"/>
          <w:marTop w:val="0"/>
          <w:marBottom w:val="0"/>
          <w:divBdr>
            <w:top w:val="none" w:sz="0" w:space="0" w:color="auto"/>
            <w:left w:val="none" w:sz="0" w:space="0" w:color="auto"/>
            <w:bottom w:val="none" w:sz="0" w:space="0" w:color="auto"/>
            <w:right w:val="none" w:sz="0" w:space="0" w:color="auto"/>
          </w:divBdr>
        </w:div>
        <w:div w:id="1825508501">
          <w:marLeft w:val="480"/>
          <w:marRight w:val="0"/>
          <w:marTop w:val="0"/>
          <w:marBottom w:val="0"/>
          <w:divBdr>
            <w:top w:val="none" w:sz="0" w:space="0" w:color="auto"/>
            <w:left w:val="none" w:sz="0" w:space="0" w:color="auto"/>
            <w:bottom w:val="none" w:sz="0" w:space="0" w:color="auto"/>
            <w:right w:val="none" w:sz="0" w:space="0" w:color="auto"/>
          </w:divBdr>
        </w:div>
        <w:div w:id="1045325707">
          <w:marLeft w:val="480"/>
          <w:marRight w:val="0"/>
          <w:marTop w:val="0"/>
          <w:marBottom w:val="0"/>
          <w:divBdr>
            <w:top w:val="none" w:sz="0" w:space="0" w:color="auto"/>
            <w:left w:val="none" w:sz="0" w:space="0" w:color="auto"/>
            <w:bottom w:val="none" w:sz="0" w:space="0" w:color="auto"/>
            <w:right w:val="none" w:sz="0" w:space="0" w:color="auto"/>
          </w:divBdr>
        </w:div>
        <w:div w:id="1838616528">
          <w:marLeft w:val="480"/>
          <w:marRight w:val="0"/>
          <w:marTop w:val="0"/>
          <w:marBottom w:val="0"/>
          <w:divBdr>
            <w:top w:val="none" w:sz="0" w:space="0" w:color="auto"/>
            <w:left w:val="none" w:sz="0" w:space="0" w:color="auto"/>
            <w:bottom w:val="none" w:sz="0" w:space="0" w:color="auto"/>
            <w:right w:val="none" w:sz="0" w:space="0" w:color="auto"/>
          </w:divBdr>
        </w:div>
      </w:divsChild>
    </w:div>
    <w:div w:id="677123746">
      <w:bodyDiv w:val="1"/>
      <w:marLeft w:val="0"/>
      <w:marRight w:val="0"/>
      <w:marTop w:val="0"/>
      <w:marBottom w:val="0"/>
      <w:divBdr>
        <w:top w:val="none" w:sz="0" w:space="0" w:color="auto"/>
        <w:left w:val="none" w:sz="0" w:space="0" w:color="auto"/>
        <w:bottom w:val="none" w:sz="0" w:space="0" w:color="auto"/>
        <w:right w:val="none" w:sz="0" w:space="0" w:color="auto"/>
      </w:divBdr>
      <w:divsChild>
        <w:div w:id="1219441975">
          <w:marLeft w:val="480"/>
          <w:marRight w:val="0"/>
          <w:marTop w:val="0"/>
          <w:marBottom w:val="0"/>
          <w:divBdr>
            <w:top w:val="none" w:sz="0" w:space="0" w:color="auto"/>
            <w:left w:val="none" w:sz="0" w:space="0" w:color="auto"/>
            <w:bottom w:val="none" w:sz="0" w:space="0" w:color="auto"/>
            <w:right w:val="none" w:sz="0" w:space="0" w:color="auto"/>
          </w:divBdr>
        </w:div>
      </w:divsChild>
    </w:div>
    <w:div w:id="696734024">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899098608">
      <w:bodyDiv w:val="1"/>
      <w:marLeft w:val="0"/>
      <w:marRight w:val="0"/>
      <w:marTop w:val="0"/>
      <w:marBottom w:val="0"/>
      <w:divBdr>
        <w:top w:val="none" w:sz="0" w:space="0" w:color="auto"/>
        <w:left w:val="none" w:sz="0" w:space="0" w:color="auto"/>
        <w:bottom w:val="none" w:sz="0" w:space="0" w:color="auto"/>
        <w:right w:val="none" w:sz="0" w:space="0" w:color="auto"/>
      </w:divBdr>
      <w:divsChild>
        <w:div w:id="1537307338">
          <w:marLeft w:val="480"/>
          <w:marRight w:val="0"/>
          <w:marTop w:val="0"/>
          <w:marBottom w:val="0"/>
          <w:divBdr>
            <w:top w:val="none" w:sz="0" w:space="0" w:color="auto"/>
            <w:left w:val="none" w:sz="0" w:space="0" w:color="auto"/>
            <w:bottom w:val="none" w:sz="0" w:space="0" w:color="auto"/>
            <w:right w:val="none" w:sz="0" w:space="0" w:color="auto"/>
          </w:divBdr>
        </w:div>
        <w:div w:id="1204948060">
          <w:marLeft w:val="480"/>
          <w:marRight w:val="0"/>
          <w:marTop w:val="0"/>
          <w:marBottom w:val="0"/>
          <w:divBdr>
            <w:top w:val="none" w:sz="0" w:space="0" w:color="auto"/>
            <w:left w:val="none" w:sz="0" w:space="0" w:color="auto"/>
            <w:bottom w:val="none" w:sz="0" w:space="0" w:color="auto"/>
            <w:right w:val="none" w:sz="0" w:space="0" w:color="auto"/>
          </w:divBdr>
        </w:div>
        <w:div w:id="749280369">
          <w:marLeft w:val="480"/>
          <w:marRight w:val="0"/>
          <w:marTop w:val="0"/>
          <w:marBottom w:val="0"/>
          <w:divBdr>
            <w:top w:val="none" w:sz="0" w:space="0" w:color="auto"/>
            <w:left w:val="none" w:sz="0" w:space="0" w:color="auto"/>
            <w:bottom w:val="none" w:sz="0" w:space="0" w:color="auto"/>
            <w:right w:val="none" w:sz="0" w:space="0" w:color="auto"/>
          </w:divBdr>
        </w:div>
      </w:divsChild>
    </w:div>
    <w:div w:id="910502635">
      <w:bodyDiv w:val="1"/>
      <w:marLeft w:val="0"/>
      <w:marRight w:val="0"/>
      <w:marTop w:val="0"/>
      <w:marBottom w:val="0"/>
      <w:divBdr>
        <w:top w:val="none" w:sz="0" w:space="0" w:color="auto"/>
        <w:left w:val="none" w:sz="0" w:space="0" w:color="auto"/>
        <w:bottom w:val="none" w:sz="0" w:space="0" w:color="auto"/>
        <w:right w:val="none" w:sz="0" w:space="0" w:color="auto"/>
      </w:divBdr>
      <w:divsChild>
        <w:div w:id="1251347983">
          <w:marLeft w:val="480"/>
          <w:marRight w:val="0"/>
          <w:marTop w:val="0"/>
          <w:marBottom w:val="0"/>
          <w:divBdr>
            <w:top w:val="none" w:sz="0" w:space="0" w:color="auto"/>
            <w:left w:val="none" w:sz="0" w:space="0" w:color="auto"/>
            <w:bottom w:val="none" w:sz="0" w:space="0" w:color="auto"/>
            <w:right w:val="none" w:sz="0" w:space="0" w:color="auto"/>
          </w:divBdr>
        </w:div>
        <w:div w:id="1872306020">
          <w:marLeft w:val="480"/>
          <w:marRight w:val="0"/>
          <w:marTop w:val="0"/>
          <w:marBottom w:val="0"/>
          <w:divBdr>
            <w:top w:val="none" w:sz="0" w:space="0" w:color="auto"/>
            <w:left w:val="none" w:sz="0" w:space="0" w:color="auto"/>
            <w:bottom w:val="none" w:sz="0" w:space="0" w:color="auto"/>
            <w:right w:val="none" w:sz="0" w:space="0" w:color="auto"/>
          </w:divBdr>
        </w:div>
        <w:div w:id="1287420629">
          <w:marLeft w:val="480"/>
          <w:marRight w:val="0"/>
          <w:marTop w:val="0"/>
          <w:marBottom w:val="0"/>
          <w:divBdr>
            <w:top w:val="none" w:sz="0" w:space="0" w:color="auto"/>
            <w:left w:val="none" w:sz="0" w:space="0" w:color="auto"/>
            <w:bottom w:val="none" w:sz="0" w:space="0" w:color="auto"/>
            <w:right w:val="none" w:sz="0" w:space="0" w:color="auto"/>
          </w:divBdr>
        </w:div>
        <w:div w:id="1778216352">
          <w:marLeft w:val="480"/>
          <w:marRight w:val="0"/>
          <w:marTop w:val="0"/>
          <w:marBottom w:val="0"/>
          <w:divBdr>
            <w:top w:val="none" w:sz="0" w:space="0" w:color="auto"/>
            <w:left w:val="none" w:sz="0" w:space="0" w:color="auto"/>
            <w:bottom w:val="none" w:sz="0" w:space="0" w:color="auto"/>
            <w:right w:val="none" w:sz="0" w:space="0" w:color="auto"/>
          </w:divBdr>
        </w:div>
        <w:div w:id="755327697">
          <w:marLeft w:val="480"/>
          <w:marRight w:val="0"/>
          <w:marTop w:val="0"/>
          <w:marBottom w:val="0"/>
          <w:divBdr>
            <w:top w:val="none" w:sz="0" w:space="0" w:color="auto"/>
            <w:left w:val="none" w:sz="0" w:space="0" w:color="auto"/>
            <w:bottom w:val="none" w:sz="0" w:space="0" w:color="auto"/>
            <w:right w:val="none" w:sz="0" w:space="0" w:color="auto"/>
          </w:divBdr>
        </w:div>
        <w:div w:id="290939223">
          <w:marLeft w:val="480"/>
          <w:marRight w:val="0"/>
          <w:marTop w:val="0"/>
          <w:marBottom w:val="0"/>
          <w:divBdr>
            <w:top w:val="none" w:sz="0" w:space="0" w:color="auto"/>
            <w:left w:val="none" w:sz="0" w:space="0" w:color="auto"/>
            <w:bottom w:val="none" w:sz="0" w:space="0" w:color="auto"/>
            <w:right w:val="none" w:sz="0" w:space="0" w:color="auto"/>
          </w:divBdr>
        </w:div>
        <w:div w:id="1938637815">
          <w:marLeft w:val="480"/>
          <w:marRight w:val="0"/>
          <w:marTop w:val="0"/>
          <w:marBottom w:val="0"/>
          <w:divBdr>
            <w:top w:val="none" w:sz="0" w:space="0" w:color="auto"/>
            <w:left w:val="none" w:sz="0" w:space="0" w:color="auto"/>
            <w:bottom w:val="none" w:sz="0" w:space="0" w:color="auto"/>
            <w:right w:val="none" w:sz="0" w:space="0" w:color="auto"/>
          </w:divBdr>
        </w:div>
        <w:div w:id="17005174">
          <w:marLeft w:val="480"/>
          <w:marRight w:val="0"/>
          <w:marTop w:val="0"/>
          <w:marBottom w:val="0"/>
          <w:divBdr>
            <w:top w:val="none" w:sz="0" w:space="0" w:color="auto"/>
            <w:left w:val="none" w:sz="0" w:space="0" w:color="auto"/>
            <w:bottom w:val="none" w:sz="0" w:space="0" w:color="auto"/>
            <w:right w:val="none" w:sz="0" w:space="0" w:color="auto"/>
          </w:divBdr>
        </w:div>
      </w:divsChild>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972951212">
      <w:bodyDiv w:val="1"/>
      <w:marLeft w:val="0"/>
      <w:marRight w:val="0"/>
      <w:marTop w:val="0"/>
      <w:marBottom w:val="0"/>
      <w:divBdr>
        <w:top w:val="none" w:sz="0" w:space="0" w:color="auto"/>
        <w:left w:val="none" w:sz="0" w:space="0" w:color="auto"/>
        <w:bottom w:val="none" w:sz="0" w:space="0" w:color="auto"/>
        <w:right w:val="none" w:sz="0" w:space="0" w:color="auto"/>
      </w:divBdr>
      <w:divsChild>
        <w:div w:id="1168329657">
          <w:marLeft w:val="480"/>
          <w:marRight w:val="0"/>
          <w:marTop w:val="0"/>
          <w:marBottom w:val="0"/>
          <w:divBdr>
            <w:top w:val="none" w:sz="0" w:space="0" w:color="auto"/>
            <w:left w:val="none" w:sz="0" w:space="0" w:color="auto"/>
            <w:bottom w:val="none" w:sz="0" w:space="0" w:color="auto"/>
            <w:right w:val="none" w:sz="0" w:space="0" w:color="auto"/>
          </w:divBdr>
        </w:div>
        <w:div w:id="538010427">
          <w:marLeft w:val="480"/>
          <w:marRight w:val="0"/>
          <w:marTop w:val="0"/>
          <w:marBottom w:val="0"/>
          <w:divBdr>
            <w:top w:val="none" w:sz="0" w:space="0" w:color="auto"/>
            <w:left w:val="none" w:sz="0" w:space="0" w:color="auto"/>
            <w:bottom w:val="none" w:sz="0" w:space="0" w:color="auto"/>
            <w:right w:val="none" w:sz="0" w:space="0" w:color="auto"/>
          </w:divBdr>
        </w:div>
        <w:div w:id="1971936949">
          <w:marLeft w:val="480"/>
          <w:marRight w:val="0"/>
          <w:marTop w:val="0"/>
          <w:marBottom w:val="0"/>
          <w:divBdr>
            <w:top w:val="none" w:sz="0" w:space="0" w:color="auto"/>
            <w:left w:val="none" w:sz="0" w:space="0" w:color="auto"/>
            <w:bottom w:val="none" w:sz="0" w:space="0" w:color="auto"/>
            <w:right w:val="none" w:sz="0" w:space="0" w:color="auto"/>
          </w:divBdr>
        </w:div>
        <w:div w:id="1957367237">
          <w:marLeft w:val="480"/>
          <w:marRight w:val="0"/>
          <w:marTop w:val="0"/>
          <w:marBottom w:val="0"/>
          <w:divBdr>
            <w:top w:val="none" w:sz="0" w:space="0" w:color="auto"/>
            <w:left w:val="none" w:sz="0" w:space="0" w:color="auto"/>
            <w:bottom w:val="none" w:sz="0" w:space="0" w:color="auto"/>
            <w:right w:val="none" w:sz="0" w:space="0" w:color="auto"/>
          </w:divBdr>
        </w:div>
        <w:div w:id="1394234105">
          <w:marLeft w:val="480"/>
          <w:marRight w:val="0"/>
          <w:marTop w:val="0"/>
          <w:marBottom w:val="0"/>
          <w:divBdr>
            <w:top w:val="none" w:sz="0" w:space="0" w:color="auto"/>
            <w:left w:val="none" w:sz="0" w:space="0" w:color="auto"/>
            <w:bottom w:val="none" w:sz="0" w:space="0" w:color="auto"/>
            <w:right w:val="none" w:sz="0" w:space="0" w:color="auto"/>
          </w:divBdr>
        </w:div>
      </w:divsChild>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259145439">
      <w:bodyDiv w:val="1"/>
      <w:marLeft w:val="0"/>
      <w:marRight w:val="0"/>
      <w:marTop w:val="0"/>
      <w:marBottom w:val="0"/>
      <w:divBdr>
        <w:top w:val="none" w:sz="0" w:space="0" w:color="auto"/>
        <w:left w:val="none" w:sz="0" w:space="0" w:color="auto"/>
        <w:bottom w:val="none" w:sz="0" w:space="0" w:color="auto"/>
        <w:right w:val="none" w:sz="0" w:space="0" w:color="auto"/>
      </w:divBdr>
      <w:divsChild>
        <w:div w:id="289214081">
          <w:marLeft w:val="480"/>
          <w:marRight w:val="0"/>
          <w:marTop w:val="0"/>
          <w:marBottom w:val="0"/>
          <w:divBdr>
            <w:top w:val="none" w:sz="0" w:space="0" w:color="auto"/>
            <w:left w:val="none" w:sz="0" w:space="0" w:color="auto"/>
            <w:bottom w:val="none" w:sz="0" w:space="0" w:color="auto"/>
            <w:right w:val="none" w:sz="0" w:space="0" w:color="auto"/>
          </w:divBdr>
        </w:div>
        <w:div w:id="1945455171">
          <w:marLeft w:val="480"/>
          <w:marRight w:val="0"/>
          <w:marTop w:val="0"/>
          <w:marBottom w:val="0"/>
          <w:divBdr>
            <w:top w:val="none" w:sz="0" w:space="0" w:color="auto"/>
            <w:left w:val="none" w:sz="0" w:space="0" w:color="auto"/>
            <w:bottom w:val="none" w:sz="0" w:space="0" w:color="auto"/>
            <w:right w:val="none" w:sz="0" w:space="0" w:color="auto"/>
          </w:divBdr>
        </w:div>
        <w:div w:id="316692318">
          <w:marLeft w:val="480"/>
          <w:marRight w:val="0"/>
          <w:marTop w:val="0"/>
          <w:marBottom w:val="0"/>
          <w:divBdr>
            <w:top w:val="none" w:sz="0" w:space="0" w:color="auto"/>
            <w:left w:val="none" w:sz="0" w:space="0" w:color="auto"/>
            <w:bottom w:val="none" w:sz="0" w:space="0" w:color="auto"/>
            <w:right w:val="none" w:sz="0" w:space="0" w:color="auto"/>
          </w:divBdr>
        </w:div>
        <w:div w:id="1088237610">
          <w:marLeft w:val="480"/>
          <w:marRight w:val="0"/>
          <w:marTop w:val="0"/>
          <w:marBottom w:val="0"/>
          <w:divBdr>
            <w:top w:val="none" w:sz="0" w:space="0" w:color="auto"/>
            <w:left w:val="none" w:sz="0" w:space="0" w:color="auto"/>
            <w:bottom w:val="none" w:sz="0" w:space="0" w:color="auto"/>
            <w:right w:val="none" w:sz="0" w:space="0" w:color="auto"/>
          </w:divBdr>
        </w:div>
        <w:div w:id="1277104408">
          <w:marLeft w:val="480"/>
          <w:marRight w:val="0"/>
          <w:marTop w:val="0"/>
          <w:marBottom w:val="0"/>
          <w:divBdr>
            <w:top w:val="none" w:sz="0" w:space="0" w:color="auto"/>
            <w:left w:val="none" w:sz="0" w:space="0" w:color="auto"/>
            <w:bottom w:val="none" w:sz="0" w:space="0" w:color="auto"/>
            <w:right w:val="none" w:sz="0" w:space="0" w:color="auto"/>
          </w:divBdr>
        </w:div>
        <w:div w:id="1066218922">
          <w:marLeft w:val="480"/>
          <w:marRight w:val="0"/>
          <w:marTop w:val="0"/>
          <w:marBottom w:val="0"/>
          <w:divBdr>
            <w:top w:val="none" w:sz="0" w:space="0" w:color="auto"/>
            <w:left w:val="none" w:sz="0" w:space="0" w:color="auto"/>
            <w:bottom w:val="none" w:sz="0" w:space="0" w:color="auto"/>
            <w:right w:val="none" w:sz="0" w:space="0" w:color="auto"/>
          </w:divBdr>
        </w:div>
      </w:divsChild>
    </w:div>
    <w:div w:id="1302536476">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495338370">
      <w:bodyDiv w:val="1"/>
      <w:marLeft w:val="0"/>
      <w:marRight w:val="0"/>
      <w:marTop w:val="0"/>
      <w:marBottom w:val="0"/>
      <w:divBdr>
        <w:top w:val="none" w:sz="0" w:space="0" w:color="auto"/>
        <w:left w:val="none" w:sz="0" w:space="0" w:color="auto"/>
        <w:bottom w:val="none" w:sz="0" w:space="0" w:color="auto"/>
        <w:right w:val="none" w:sz="0" w:space="0" w:color="auto"/>
      </w:divBdr>
      <w:divsChild>
        <w:div w:id="606623129">
          <w:marLeft w:val="480"/>
          <w:marRight w:val="0"/>
          <w:marTop w:val="0"/>
          <w:marBottom w:val="0"/>
          <w:divBdr>
            <w:top w:val="none" w:sz="0" w:space="0" w:color="auto"/>
            <w:left w:val="none" w:sz="0" w:space="0" w:color="auto"/>
            <w:bottom w:val="none" w:sz="0" w:space="0" w:color="auto"/>
            <w:right w:val="none" w:sz="0" w:space="0" w:color="auto"/>
          </w:divBdr>
        </w:div>
        <w:div w:id="1715931142">
          <w:marLeft w:val="480"/>
          <w:marRight w:val="0"/>
          <w:marTop w:val="0"/>
          <w:marBottom w:val="0"/>
          <w:divBdr>
            <w:top w:val="none" w:sz="0" w:space="0" w:color="auto"/>
            <w:left w:val="none" w:sz="0" w:space="0" w:color="auto"/>
            <w:bottom w:val="none" w:sz="0" w:space="0" w:color="auto"/>
            <w:right w:val="none" w:sz="0" w:space="0" w:color="auto"/>
          </w:divBdr>
        </w:div>
      </w:divsChild>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691755025">
      <w:bodyDiv w:val="1"/>
      <w:marLeft w:val="0"/>
      <w:marRight w:val="0"/>
      <w:marTop w:val="0"/>
      <w:marBottom w:val="0"/>
      <w:divBdr>
        <w:top w:val="none" w:sz="0" w:space="0" w:color="auto"/>
        <w:left w:val="none" w:sz="0" w:space="0" w:color="auto"/>
        <w:bottom w:val="none" w:sz="0" w:space="0" w:color="auto"/>
        <w:right w:val="none" w:sz="0" w:space="0" w:color="auto"/>
      </w:divBdr>
      <w:divsChild>
        <w:div w:id="1530798209">
          <w:marLeft w:val="480"/>
          <w:marRight w:val="0"/>
          <w:marTop w:val="0"/>
          <w:marBottom w:val="0"/>
          <w:divBdr>
            <w:top w:val="none" w:sz="0" w:space="0" w:color="auto"/>
            <w:left w:val="none" w:sz="0" w:space="0" w:color="auto"/>
            <w:bottom w:val="none" w:sz="0" w:space="0" w:color="auto"/>
            <w:right w:val="none" w:sz="0" w:space="0" w:color="auto"/>
          </w:divBdr>
        </w:div>
        <w:div w:id="2115441050">
          <w:marLeft w:val="480"/>
          <w:marRight w:val="0"/>
          <w:marTop w:val="0"/>
          <w:marBottom w:val="0"/>
          <w:divBdr>
            <w:top w:val="none" w:sz="0" w:space="0" w:color="auto"/>
            <w:left w:val="none" w:sz="0" w:space="0" w:color="auto"/>
            <w:bottom w:val="none" w:sz="0" w:space="0" w:color="auto"/>
            <w:right w:val="none" w:sz="0" w:space="0" w:color="auto"/>
          </w:divBdr>
        </w:div>
        <w:div w:id="1483080091">
          <w:marLeft w:val="480"/>
          <w:marRight w:val="0"/>
          <w:marTop w:val="0"/>
          <w:marBottom w:val="0"/>
          <w:divBdr>
            <w:top w:val="none" w:sz="0" w:space="0" w:color="auto"/>
            <w:left w:val="none" w:sz="0" w:space="0" w:color="auto"/>
            <w:bottom w:val="none" w:sz="0" w:space="0" w:color="auto"/>
            <w:right w:val="none" w:sz="0" w:space="0" w:color="auto"/>
          </w:divBdr>
        </w:div>
        <w:div w:id="566495162">
          <w:marLeft w:val="480"/>
          <w:marRight w:val="0"/>
          <w:marTop w:val="0"/>
          <w:marBottom w:val="0"/>
          <w:divBdr>
            <w:top w:val="none" w:sz="0" w:space="0" w:color="auto"/>
            <w:left w:val="none" w:sz="0" w:space="0" w:color="auto"/>
            <w:bottom w:val="none" w:sz="0" w:space="0" w:color="auto"/>
            <w:right w:val="none" w:sz="0" w:space="0" w:color="auto"/>
          </w:divBdr>
        </w:div>
        <w:div w:id="2016415554">
          <w:marLeft w:val="480"/>
          <w:marRight w:val="0"/>
          <w:marTop w:val="0"/>
          <w:marBottom w:val="0"/>
          <w:divBdr>
            <w:top w:val="none" w:sz="0" w:space="0" w:color="auto"/>
            <w:left w:val="none" w:sz="0" w:space="0" w:color="auto"/>
            <w:bottom w:val="none" w:sz="0" w:space="0" w:color="auto"/>
            <w:right w:val="none" w:sz="0" w:space="0" w:color="auto"/>
          </w:divBdr>
        </w:div>
        <w:div w:id="1397587036">
          <w:marLeft w:val="480"/>
          <w:marRight w:val="0"/>
          <w:marTop w:val="0"/>
          <w:marBottom w:val="0"/>
          <w:divBdr>
            <w:top w:val="none" w:sz="0" w:space="0" w:color="auto"/>
            <w:left w:val="none" w:sz="0" w:space="0" w:color="auto"/>
            <w:bottom w:val="none" w:sz="0" w:space="0" w:color="auto"/>
            <w:right w:val="none" w:sz="0" w:space="0" w:color="auto"/>
          </w:divBdr>
        </w:div>
        <w:div w:id="136799011">
          <w:marLeft w:val="480"/>
          <w:marRight w:val="0"/>
          <w:marTop w:val="0"/>
          <w:marBottom w:val="0"/>
          <w:divBdr>
            <w:top w:val="none" w:sz="0" w:space="0" w:color="auto"/>
            <w:left w:val="none" w:sz="0" w:space="0" w:color="auto"/>
            <w:bottom w:val="none" w:sz="0" w:space="0" w:color="auto"/>
            <w:right w:val="none" w:sz="0" w:space="0" w:color="auto"/>
          </w:divBdr>
        </w:div>
      </w:divsChild>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2EADF7F-B2A9-4C57-87CC-784631514806}"/>
      </w:docPartPr>
      <w:docPartBody>
        <w:p w:rsidR="00FB47EF" w:rsidRDefault="006D0B0B">
          <w:r w:rsidRPr="00ED25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0B"/>
    <w:rsid w:val="001732EE"/>
    <w:rsid w:val="00534FEF"/>
    <w:rsid w:val="006D0B0B"/>
    <w:rsid w:val="00FB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B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ED3838-FBB5-42AE-AE2E-5B9E4B6B2753}">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417797de-4c46-4dc3-849f-90b424a31960&quot;,&quot;properties&quot;:{&quot;noteIndex&quot;:0},&quot;isEdited&quot;:false,&quot;manualOverride&quot;:{&quot;isManuallyOverridden&quot;:false,&quot;citeprocText&quot;:&quot;(Nurcahyo &amp;#38; Wibowo, 2015)&quot;,&quot;manualOverrideText&quot;:&quot;&quot;},&quot;citationTag&quot;:&quot;MENDELEY_CITATION_v3_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&quot;,&quot;citationItems&quot;:[{&quot;id&quot;:&quot;94c2160e-1a73-3ccd-8d8e-2e8cd4d89926&quot;,&quot;itemData&quot;:{&quot;type&quot;:&quot;article-journal&quot;,&quot;id&quot;:&quot;94c2160e-1a73-3ccd-8d8e-2e8cd4d89926&quot;,&quot;title&quot;:&quot;Manufacturing Capability, Manufacturing Strategy and Performance of Indonesia Automotive Component Manufacturer&quot;,&quot;author&quot;:[{&quot;family&quot;:&quot;Nurcahyo&quot;,&quot;given&quot;:&quot;Rahmat&quot;,&quot;parse-names&quot;:false,&quot;dropping-particle&quot;:&quot;&quot;,&quot;non-dropping-particle&quot;:&quot;&quot;},{&quot;family&quot;:&quot;Wibowo&quot;,&quot;given&quot;:&quot;Alan Dwi&quot;,&quot;parse-names&quot;:false,&quot;dropping-particle&quot;:&quot;&quot;,&quot;non-dropping-particle&quot;:&quot;&quot;}],&quot;container-title&quot;:&quot;Procedia CIRP&quot;,&quot;container-title-short&quot;:&quot;Procedia CIRP&quot;,&quot;accessed&quot;:{&quot;date-parts&quot;:[[2023,10,22]]},&quot;DOI&quot;:&quot;10.1016/J.PROCIR.2014.07.046&quot;,&quot;ISSN&quot;:&quot;2212-8271&quot;,&quot;issued&quot;:{&quot;date-parts&quot;:[[2015,1,1]]},&quot;page&quot;:&quot;653-657&quot;,&quot;abstract&quot;:&quot;Automotive industry is believed to be the pioneer in pushing the growth of manufacturing industry in Indonesia. By implementing manufacturing strategy, the industry will get its performance improved. Automotive component manufacturer is an important part of automotive industry. This research discusses the relationship between influential variables with performance in Indonesia automotive component manufacturer namely manufacturing capability and manufacturing strategy. A model is developed and data are collected from automotive component manufacturers around Jakarta area. Data is processed using Structural Equation Modeling (SEM). The result shows that manufacturing capability significantly influences manufacturing strategy while manufacturing strategy also significantly influences performance of Indonesia automotive component manufacturer.&quot;,&quot;publisher&quot;:&quot;Elsevier&quot;,&quot;volume&quot;:&quot;26&quot;},&quot;isTemporary&quot;:false}]},{&quot;citationID&quot;:&quot;MENDELEY_CITATION_0a24e28a-2cc1-4fc5-9ca1-60fc8eb08132&quot;,&quot;properties&quot;:{&quot;noteIndex&quot;:0},&quot;isEdited&quot;:false,&quot;manualOverride&quot;:{&quot;isManuallyOverridden&quot;:false,&quot;citeprocText&quot;:&quot;(Chandra Setiawan et al., 2021)&quot;,&quot;manualOverrideText&quot;:&quot;&quot;},&quot;citationTag&quot;:&quot;MENDELEY_CITATION_v3_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&quot;,&quot;citationItems&quot;:[{&quot;id&quot;:&quot;6b24c5b9-1f05-32cd-b9f9-3b8f17871155&quot;,&quot;itemData&quot;:{&quot;type&quot;:&quot;article-journal&quot;,&quot;id&quot;:&quot;6b24c5b9-1f05-32cd-b9f9-3b8f17871155&quot;,&quot;title&quot;:&quot;Quantitative analysis of automobile sector in Indonesian automotive roadmap for achieving national oil and CO2 emission reduction targets by 2030&quot;,&quot;author&quot;:[{&quot;family&quot;:&quot;Chandra Setiawan&quot;,&quot;given&quot;:&quot;Indra&quot;,&quot;parse-names&quot;:false,&quot;dropping-particle&quot;:&quot;&quot;,&quot;non-dropping-particle&quot;:&quot;&quot;},{&quot;family&quot;:&quot;Indarto&quot;,&quot;given&quot;:&quot;&quot;,&quot;parse-names&quot;:false,&quot;dropping-particle&quot;:&quot;&quot;,&quot;non-dropping-particle&quot;:&quot;&quot;},{&quot;family&quot;:&quot;Deendarlianto&quot;,&quot;given&quot;:&quot;&quot;,&quot;parse-names&quot;:false,&quot;dropping-particle&quot;:&quot;&quot;,&quot;non-dropping-particle&quot;:&quot;&quot;}],&quot;container-title&quot;:&quot;Energy Policy&quot;,&quot;container-title-short&quot;:&quot;Energy Policy&quot;,&quot;accessed&quot;:{&quot;date-parts&quot;:[[2023,10,22]]},&quot;DOI&quot;:&quot;10.1016/J.ENPOL.2021.112135&quot;,&quot;ISSN&quot;:&quot;0301-4215&quot;,&quot;issued&quot;:{&quot;date-parts&quot;:[[2021,3,1]]},&quot;page&quot;:&quot;112135&quot;,&quot;abstract&quot;:&quot;The dominance of private vehicles in the Indonesian transport modal mix has led to an enormous energy demand from oil and transport-related externalities. In 2018, to increase the sustainability of the automotive industry, the Indonesian government established an industrial roadmap with strong links to the national energy policy and CO2 emission reduction targets. The present manuscript proposes a model that could enable a quantitative projection of oil demand, CO2 emissions and assess the impact of proposed policy initiatives under the Activity, Mode Share, Intensity, and Fuel Choice (ASIF) framework. The results showed that improvements in vehicle fuel economy and the adoption of alternative fuels―such as bioethanol, biodiesel, and electricity―could reduce oil and CO2 emissions by up to 30.8% and 33.2%, respectively, as compared to the business as usual (BAU) case by 2030. The most significant contribution was derived by adopting policies related to biofuel blending: bioethanol (E−10) and biodiesel (B-50) reduced oil emissions by up to 5.44% and 10.30%, respectively. The electrified vehicle policy and improvements related to the new vehicle fuel economy contributed a combined 10.38% reduction. Meanwhile, the mandatory use of CNG made a contribution of only 0.98%. The end-of-life vehicle (ELV) retirement policy was also evaluated, with the results showing that it could contribute up to 3.49%. The findings suggest that the roadmap should be restructured to include a specific biofuel blend ratio mandate and new vehicle fuel economy targets. Additionally, a step-by-step implementation timeline needs to be established to enable a sufficient transition period during which the industry sector can adjust.&quot;,&quot;publisher&quot;:&quot;Elsevier&quot;,&quot;volume&quot;:&quot;150&quot;},&quot;isTemporary&quot;:false}]},{&quot;citationID&quot;:&quot;MENDELEY_CITATION_32274280-50c3-487a-a148-fdd9cbed3518&quot;,&quot;properties&quot;:{&quot;noteIndex&quot;:0},&quot;isEdited&quot;:false,&quot;manualOverride&quot;:{&quot;isManuallyOverridden&quot;:false,&quot;citeprocText&quot;:&quot;(Dallasega et al., 2016)&quot;,&quot;manualOverrideText&quot;:&quot;&quot;},&quot;citationTag&quot;:&quot;MENDELEY_CITATION_v3_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&quot;,&quot;citationItems&quot;:[{&quot;id&quot;:&quot;2e486b0b-666e-3411-8566-c589dd50a7a4&quot;,&quot;itemData&quot;:{&quot;type&quot;:&quot;article-journal&quot;,&quot;id&quot;:&quot;2e486b0b-666e-3411-8566-c589dd50a7a4&quot;,&quot;title&quot;:&quot;Customer-oriented Production System for Supplier Companies in CTO&quot;,&quot;author&quot;:[{&quot;family&quot;:&quot;Dallasega&quot;,&quot;given&quot;:&quot;Patrick&quot;,&quot;parse-names&quot;:false,&quot;dropping-particle&quot;:&quot;&quot;,&quot;non-dropping-particle&quot;:&quot;&quot;},{&quot;family&quot;:&quot;Rally&quot;,&quot;given&quot;:&quot;Peter&quot;,&quot;parse-names&quot;:false,&quot;dropping-particle&quot;:&quot;&quot;,&quot;non-dropping-particle&quot;:&quot;&quot;},{&quot;family&quot;:&quot;Rauch&quot;,&quot;given&quot;:&quot;Erwin&quot;,&quot;parse-names&quot;:false,&quot;dropping-particle&quot;:&quot;&quot;,&quot;non-dropping-particle&quot;:&quot;&quot;},{&quot;family&quot;:&quot;Matt&quot;,&quot;given&quot;:&quot;Dominik T.&quot;,&quot;parse-names&quot;:false,&quot;dropping-particle&quot;:&quot;&quot;,&quot;non-dropping-particle&quot;:&quot;&quot;}],&quot;container-title&quot;:&quot;Procedia CIRP&quot;,&quot;container-title-short&quot;:&quot;Procedia CIRP&quot;,&quot;accessed&quot;:{&quot;date-parts&quot;:[[2023,10,22]]},&quot;DOI&quot;:&quot;10.1016/J.PROCIR.2016.11.092&quot;,&quot;ISSN&quot;:&quot;2212-8271&quot;,&quot;issued&quot;:{&quot;date-parts&quot;:[[2016,1,1]]},&quot;page&quot;:&quot;533-538&quot;,&quot;abstract&quot;:&quot;Configure-to-Order (CTO) is one of the common market interaction strategies for suppliers. In CTO, the customer configures the product where bill of materials, drawings and working plans are elaborated automatically. Traditionally, the Order Penetration Point (OPP) is set too early which induces high costs of stock and long delivery times. For assuring short delivery times and low levels of stock, the supply chain should be triggered according to the customer demand. The paper presents an applied research project performed by a German medium-sized windows and doors production company, where a new customer oriented production system was developed and implemented. The main objective of the holistic production system is to allow a Just-in-Time (JIT) production of windows and doors with short operating costs. It is based on the CONstant Work In Progress (CONWIP) approach needed for assuring short delivery times. More in detail, it presents an approach for medium and short-term production planning needed for triggering JIT the first and second-tier supply chain. As a result, the paper presents design guidelines for production systems with short delivery times in the CTO-market interaction strategy.&quot;,&quot;publisher&quot;:&quot;Elsevier&quot;,&quot;volume&quot;:&quot;57&quot;},&quot;isTemporary&quot;:false}]},{&quot;citationID&quot;:&quot;MENDELEY_CITATION_5ef634a9-cf75-4047-9c0a-8275b4d71a0a&quot;,&quot;properties&quot;:{&quot;noteIndex&quot;:0},&quot;isEdited&quot;:false,&quot;manualOverride&quot;:{&quot;isManuallyOverridden&quot;:false,&quot;citeprocText&quot;:&quot;(Seong, 2020; Wen et al., 2022)&quot;,&quot;manualOverrideText&quot;:&quot;&quot;},&quot;citationTag&quot;:&quot;MENDELEY_CITATION_v3_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&quot;,&quot;citationItems&quot;:[{&quot;id&quot;:&quot;255b5687-9128-3a8c-ba06-f392c861d27b&quot;,&quot;itemData&quot;:{&quot;type&quot;:&quot;article-journal&quot;,&quot;id&quot;:&quot;255b5687-9128-3a8c-ba06-f392c861d27b&quot;,&quot;title&quot;:&quot;Forecasting crude oil market returns: Enhanced moving average technical indicators&quot;,&quot;author&quot;:[{&quot;family&quot;:&quot;Wen&quot;,&quot;given&quot;:&quot;Danyan&quot;,&quot;parse-names&quot;:false,&quot;dropping-particle&quot;:&quot;&quot;,&quot;non-dropping-particle&quot;:&quot;&quot;},{&quot;family&quot;:&quot;Liu&quot;,&quot;given&quot;:&quot;Li&quot;,&quot;parse-names&quot;:false,&quot;dropping-particle&quot;:&quot;&quot;,&quot;non-dropping-particle&quot;:&quot;&quot;},{&quot;family&quot;:&quot;Wang&quot;,&quot;given&quot;:&quot;Yudong&quot;,&quot;parse-names&quot;:false,&quot;dropping-particle&quot;:&quot;&quot;,&quot;non-dropping-particle&quot;:&quot;&quot;},{&quot;family&quot;:&quot;Zhang&quot;,&quot;given&quot;:&quot;Yaojie&quot;,&quot;parse-names&quot;:false,&quot;dropping-particle&quot;:&quot;&quot;,&quot;non-dropping-particle&quot;:&quot;&quot;}],&quot;container-title&quot;:&quot;Resources Policy&quot;,&quot;accessed&quot;:{&quot;date-parts&quot;:[[2023,10,22]]},&quot;DOI&quot;:&quot;10.1016/J.RESOURPOL.2022.102570&quot;,&quot;ISSN&quot;:&quot;0301-4207&quot;,&quot;issued&quot;:{&quot;date-parts&quot;:[[2022,6,1]]},&quot;page&quot;:&quot;102570&quot;,&quot;abstract&quot;:&quot;Technical indicators are widely employed by practitioners, but they receive less attention in the literature of energy market forecasting. In this paper, we propose two enhanced moving average (MA) technical indicators—one that incorporates daily trading information (MA-D) and one that is the normalized form in which the MA is divided by price (MA-P) to predict monthly crude oil futures returns. Using univariate and multiple predictive models to predict monthly crude oil futures returns, we find that the enhanced MAs consistently outperform the general MAs, as well as macroeconomic variables. Notably, the out-of-sample values across five multiple predictive models for MA-Ps are relatively higher indicating their strong forecasting performances. Further analysis reveals that the prior 20 trading days have the most valuable forecasting information, even over longer predictive horizons. Our findings hold after a large set of extension and robustness analyses.&quot;,&quot;publisher&quot;:&quot;Pergamon&quot;,&quot;volume&quot;:&quot;76&quot;,&quot;container-title-short&quot;:&quot;&quot;},&quot;isTemporary&quot;:false},{&quot;id&quot;:&quot;5055826f-1198-3154-b817-902485146603&quot;,&quot;itemData&quot;:{&quot;type&quot;:&quot;article-journal&quot;,&quot;id&quot;:&quot;5055826f-1198-3154-b817-902485146603&quot;,&quot;title&quot;:&quot;Smoothing and forecasting mixed-frequency time series with vector exponential smoothing models&quot;,&quot;author&quot;:[{&quot;family&quot;:&quot;Seong&quot;,&quot;given&quot;:&quot;Byeongchan&quot;,&quot;parse-names&quot;:false,&quot;dropping-particle&quot;:&quot;&quot;,&quot;non-dropping-particle&quot;:&quot;&quot;}],&quot;container-title&quot;:&quot;Economic Modelling&quot;,&quot;container-title-short&quot;:&quot;Econ Model&quot;,&quot;accessed&quot;:{&quot;date-parts&quot;:[[2023,10,22]]},&quot;DOI&quot;:&quot;10.1016/J.ECONMOD.2020.06.020&quot;,&quot;ISSN&quot;:&quot;0264-9993&quot;,&quot;issued&quot;:{&quot;date-parts&quot;:[[2020,9,1]]},&quot;page&quot;:&quot;463-468&quot;,&quot;abstract&quot;:&quot;The analysis of mixed-frequency (MF) time series has been limited mainly to the vector autoregressive integrated moving average (ARIMA) framework, even though the exponential smoothing (ETS) method—a competing model to ARIMA—has made considerable progress in recent years. The ETS method provides a useful multivariate time series specification for estimating missing observations of low-frequency variable(s) and constructing forecasts of future values. Hence, this study proposes the vector ETS (VETS) method as a suitable alternative to ARIMA for smoothing and forecasting MF time series. To illustrate the superiority of the VETS method, we obtain high-frequency smoothed estimates of low-frequency variables and forecasts of MF vector time series using US data on four monthly coincident indicators and quarterly real gross domestic product. Furthermore, the method's forecast accuracy is investigated through a Monte Carlo simulation. The results show that the proposed method is suitable for short and medium-term forecasting.&quot;,&quot;publisher&quot;:&quot;North-Holland&quot;,&quot;volume&quot;:&quot;91&quot;},&quot;isTemporary&quot;:false}]},{&quot;citationID&quot;:&quot;MENDELEY_CITATION_52faf285-ff05-4c52-ba6b-442c642927d9&quot;,&quot;properties&quot;:{&quot;noteIndex&quot;:0},&quot;isEdited&quot;:false,&quot;manualOverride&quot;:{&quot;isManuallyOverridden&quot;:false,&quot;citeprocText&quot;:&quot;(Menezes et al., 2016)&quot;,&quot;manualOverrideText&quot;:&quot;&quot;},&quot;citationTag&quot;:&quot;MENDELEY_CITATION_v3_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&quot;,&quot;citationItems&quot;:[{&quot;id&quot;:&quot;c842c478-bde3-3535-8b5b-9667a8797452&quot;,&quot;itemData&quot;:{&quot;type&quot;:&quot;article-journal&quot;,&quot;id&quot;:&quot;c842c478-bde3-3535-8b5b-9667a8797452&quot;,&quot;title&quot;:&quot;A rough-cut approach for evaluating location-routing decisions via approximation algorithms&quot;,&quot;author&quot;:[{&quot;family&quot;:&quot;Menezes&quot;,&quot;given&quot;:&quot;Mozart B.C.&quot;,&quot;parse-names&quot;:false,&quot;dropping-particle&quot;:&quot;&quot;,&quot;non-dropping-particle&quot;:&quot;&quot;},{&quot;family&quot;:&quot;Ruiz-Hernández&quot;,&quot;given&quot;:&quot;Diego&quot;,&quot;parse-names&quot;:false,&quot;dropping-particle&quot;:&quot;&quot;,&quot;non-dropping-particle&quot;:&quot;&quot;},{&quot;family&quot;:&quot;Verter&quot;,&quot;given&quot;:&quot;Vedat&quot;,&quot;parse-names&quot;:false,&quot;dropping-particle&quot;:&quot;&quot;,&quot;non-dropping-particle&quot;:&quot;&quot;}],&quot;container-title&quot;:&quot;Transportation Research Part B: Methodological&quot;,&quot;accessed&quot;:{&quot;date-parts&quot;:[[2023,10,22]]},&quot;DOI&quot;:&quot;10.1016/J.TRB.2016.03.003&quot;,&quot;ISSN&quot;:&quot;0191-2615&quot;,&quot;issued&quot;:{&quot;date-parts&quot;:[[2016,5,1]]},&quot;page&quot;:&quot;89-106&quot;,&quot;abstract&quot;:&quot;The first step in most location-routing projects involves bringing the primary stakeholders on board and securing funding for implementation of the required changes. To this end, practitioners often need a good feasible solution together with a lower bound on the cost of any solution to the problem at hand, rather than exact solutions based on detailed and accurate parameter estimates. In this article, we present a simple methodology for assessing the quality of the current distribution network as well as for identifying opportunities for improvement. We incorporate the potential use of different transportation technologies at different layers of the network. We demonstrate the versatility of the proposed rough-cut approach by means of two real life implementations: (i) redesigning the supply network of the Casino Group, a supermarket chain in southeast France, and (ii) redesigning the household material recycling network of the city of Calgary, in Canada.&quot;,&quot;publisher&quot;:&quot;Pergamon&quot;,&quot;volume&quot;:&quot;87&quot;,&quot;container-title-short&quot;:&quot;&quot;},&quot;isTemporary&quot;:false}]},{&quot;citationID&quot;:&quot;MENDELEY_CITATION_4654c688-d5be-4ef4-9bf4-6dc89a1170a3&quot;,&quot;properties&quot;:{&quot;noteIndex&quot;:0},&quot;isEdited&quot;:false,&quot;manualOverride&quot;:{&quot;isManuallyOverridden&quot;:false,&quot;citeprocText&quot;:&quot;(Cherkaoui et al., 2015)&quot;,&quot;manualOverrideText&quot;:&quot;&quot;},&quot;citationTag&quot;:&quot;MENDELEY_CITATION_v3_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&quot;,&quot;citationItems&quot;:[{&quot;id&quot;:&quot;7d96e724-4c4b-3691-9470-e7b4e4c575ba&quot;,&quot;itemData&quot;:{&quot;type&quot;:&quot;article-journal&quot;,&quot;id&quot;:&quot;7d96e724-4c4b-3691-9470-e7b4e4c575ba&quot;,&quot;title&quot;:&quot;A Time Driven RCCP Model with Two Levels of Planning and a Reactive Planning Approach for Tactical Project Planning&quot;,&quot;author&quot;:[{&quot;family&quot;:&quot;Cherkaoui&quot;,&quot;given&quot;:&quot;Kaouthar&quot;,&quot;parse-names&quot;:false,&quot;dropping-particle&quot;:&quot;&quot;,&quot;non-dropping-particle&quot;:&quot;&quot;},{&quot;family&quot;:&quot;Pellerin&quot;,&quot;given&quot;:&quot;Robert&quot;,&quot;parse-names&quot;:false,&quot;dropping-particle&quot;:&quot;&quot;,&quot;non-dropping-particle&quot;:&quot;&quot;},{&quot;family&quot;:&quot;Baptiste&quot;,&quot;given&quot;:&quot;Pierre&quot;,&quot;parse-names&quot;:false,&quot;dropping-particle&quot;:&quot;&quot;,&quot;non-dropping-particle&quot;:&quot;&quot;},{&quot;family&quot;:&quot;Haït&quot;,&quot;given&quot;:&quot;Alain&quot;,&quot;parse-names&quot;:false,&quot;dropping-particle&quot;:&quot;&quot;,&quot;non-dropping-particle&quot;:&quot;&quot;}],&quot;container-title&quot;:&quot;Procedia Computer Science&quot;,&quot;container-title-short&quot;:&quot;Procedia Comput Sci&quot;,&quot;accessed&quot;:{&quot;date-parts&quot;:[[2023,10,22]]},&quot;DOI&quot;:&quot;10.1016/J.PROCS.2015.08.488&quot;,&quot;ISSN&quot;:&quot;1877-0509&quot;,&quot;issued&quot;:{&quot;date-parts&quot;:[[2015,1,1]]},&quot;page&quot;:&quot;257-264&quot;,&quot;abstract&quot;:&quot;This paper proposes a mixed-integer linear programming (MILP) time driven RCCP model that handles different planning levels by varying the length of the time periods. The model is based on the continuous time representation of work packages' start and end events and the discrete time representation of resource constraints. The model considers shorter period lengths at the beginning of the planning horizon to produce a detailed plan, while further periods cover a larger span. The proposed model is compared to a RCCP model with fixed period lengths. Both models were tested on medium-sized project instances. The computational results proved that the proposed model performs considerably better in terms of computational times. A reactive planning approach is also proposed to analyze the performance and robustness of both models. The results analysis showed that reducing resource capacities of aggregated periods by a percentage of 20% allowed us to obtain comparable results for the two models.&quot;,&quot;publisher&quot;:&quot;Elsevier&quot;,&quot;volume&quot;:&quot;64&quot;},&quot;isTemporary&quot;:false}]},{&quot;citationID&quot;:&quot;MENDELEY_CITATION_bc6eee09-24f9-438e-9094-870be296ec5a&quot;,&quot;properties&quot;:{&quot;noteIndex&quot;:0},&quot;isEdited&quot;:false,&quot;manualOverride&quot;:{&quot;isManuallyOverridden&quot;:false,&quot;citeprocText&quot;:&quot;(Georgiadis, 2013)&quot;,&quot;manualOverrideText&quot;:&quot;&quot;},&quot;citationTag&quot;:&quot;MENDELEY_CITATION_v3_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&quot;,&quot;citationItems&quot;:[{&quot;id&quot;:&quot;6c6217b7-bc8d-3990-9985-c5c2e1ab8a97&quot;,&quot;itemData&quot;:{&quot;type&quot;:&quot;article-journal&quot;,&quot;id&quot;:&quot;6c6217b7-bc8d-3990-9985-c5c2e1ab8a97&quot;,&quot;title&quot;:&quot;An integrated System Dynamics model for strategic capacity planning in closed-loop recycling networks: A dynamic analysis for the paper industry&quot;,&quot;author&quot;:[{&quot;family&quot;:&quot;Georgiadis&quot;,&quot;given&quot;:&quot;Patroklos&quot;,&quot;parse-names&quot;:false,&quot;dropping-particle&quot;:&quot;&quot;,&quot;non-dropping-particle&quot;:&quot;&quot;}],&quot;container-title&quot;:&quot;Simulation Modelling Practice and Theory&quot;,&quot;container-title-short&quot;:&quot;Simul Model Pract Theory&quot;,&quot;accessed&quot;:{&quot;date-parts&quot;:[[2023,6,20]]},&quot;DOI&quot;:&quot;10.1016/J.SIMPAT.2012.11.009&quot;,&quot;ISSN&quot;:&quot;1569-190X&quot;,&quot;issued&quot;:{&quot;date-parts&quot;:[[2013,3,1]]},&quot;page&quot;:&quot;116-137&quot;,&quot;abstract&quot;:&quot;Recycling activities have demonstrated a remarkable increase over the last decade due to the economic and environmental dimensions of sustainability. In particular, capacity planning in production facilities has become a strategic issue of key importance affecting the profitability of the recycling industry. By integrating the simulation discipline and the feedback control theory into a dynamic consideration of recycling networks, this paper proposes a System Dynamics (SD) model for strategic capacity planning in the recycling industry. The decision-making process is based on a balanced tradeoff between profit and capacity utilization for a single producer with closed-loop recycling activities. The SD model captures physical stocks and flows apparent in real-world recycling networks and includes the feedback mechanisms which regulate these flows. When used as an \&quot;experimental tool\&quot;, the model tests alternative capacity planning policies and demonstrates policy suggestions for the forward and reverse channels, which maximize profitability over a strategic planning horizon. This experimentation is illustrated by using data from a paper producer with recycling activities, as a real-world test case. Extensive simulation runs, investigate the efficiency of a wide range capacity acquisition decisions, using total company profit as the measure of performance. Although such an analysis may differ from one recycling network to another, it has been kept as generic as possible to facilitate its applicability to a wide-spectrum of real-world local, regional or global networks. © 2012 Elsevier B.V. All rights reserved.&quot;,&quot;publisher&quot;:&quot;Elsevier&quot;,&quot;volume&quot;:&quot;32&quot;},&quot;isTemporary&quot;:false}]},{&quot;citationID&quot;:&quot;MENDELEY_CITATION_eb167fd1-f9e8-4e33-9b30-4ea6ba33327c&quot;,&quot;properties&quot;:{&quot;noteIndex&quot;:0},&quot;isEdited&quot;:false,&quot;manualOverride&quot;:{&quot;isManuallyOverridden&quot;:false,&quot;citeprocText&quot;:&quot;(Suryani et al., 2010)&quot;,&quot;manualOverrideText&quot;:&quot;&quot;},&quot;citationTag&quot;:&quot;MENDELEY_CITATION_v3_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&quot;,&quot;citationItems&quot;:[{&quot;id&quot;:&quot;11fb8c6b-be5c-3e4c-9841-37a2e78d216e&quot;,&quot;itemData&quot;:{&quot;type&quot;:&quot;article-journal&quot;,&quot;id&quot;:&quot;11fb8c6b-be5c-3e4c-9841-37a2e78d216e&quot;,&quot;title&quot;:&quot;Demand scenario analysis and planned capacity expansion: A system dynamics framework&quot;,&quot;author&quot;:[{&quot;family&quot;:&quot;Suryani&quot;,&quot;given&quot;:&quot;Erma&quot;,&quot;parse-names&quot;:false,&quot;dropping-particle&quot;:&quot;&quot;,&quot;non-dropping-particle&quot;:&quot;&quot;},{&quot;family&quot;:&quot;Chou&quot;,&quot;given&quot;:&quot;Shuo Yan&quot;,&quot;parse-names&quot;:false,&quot;dropping-particle&quot;:&quot;&quot;,&quot;non-dropping-particle&quot;:&quot;&quot;},{&quot;family&quot;:&quot;Hartono&quot;,&quot;given&quot;:&quot;Rudi&quot;,&quot;parse-names&quot;:false,&quot;dropping-particle&quot;:&quot;&quot;,&quot;non-dropping-particle&quot;:&quot;&quot;},{&quot;family&quot;:&quot;Chen&quot;,&quot;given&quot;:&quot;Chih Hsien&quot;,&quot;parse-names&quot;:false,&quot;dropping-particle&quot;:&quot;&quot;,&quot;non-dropping-particle&quot;:&quot;&quot;}],&quot;container-title&quot;:&quot;Simulation Modelling Practice and Theory&quot;,&quot;container-title-short&quot;:&quot;Simul Model Pract Theory&quot;,&quot;accessed&quot;:{&quot;date-parts&quot;:[[2023,10,22]]},&quot;DOI&quot;:&quot;10.1016/J.SIMPAT.2010.01.013&quot;,&quot;ISSN&quot;:&quot;1569-190X&quot;,&quot;issued&quot;:{&quot;date-parts&quot;:[[2010,6,1]]},&quot;page&quot;:&quot;732-751&quot;,&quot;abstract&quot;:&quot;This paper establishes an approach to develop models for forecasting demand and evaluating policy scenarios related to planned capacity expansion for meeting optimistic and pessimistic future demand projections. A system dynamics framework is used to model and to generate scenarios because of their capability of representing physical and information flows, which will enable us to understand the nonlinear dynamics behavior in uncertain conditions. These models can provide important inputs such as construction growth, GDP growth, and investment growth to specific business decisions such as planned capacity expansion policies that will improve the system performance. © 2010 Elsevier B.V. All rights reserved.&quot;,&quot;publisher&quot;:&quot;Elsevier&quot;,&quot;issue&quot;:&quot;6&quot;,&quot;volume&quot;:&quot;18&quot;},&quot;isTemporary&quot;:false}]},{&quot;citationID&quot;:&quot;MENDELEY_CITATION_777a0da5-220a-459f-9db9-714371852e18&quot;,&quot;properties&quot;:{&quot;noteIndex&quot;:0},&quot;isEdited&quot;:false,&quot;manualOverride&quot;:{&quot;isManuallyOverridden&quot;:false,&quot;citeprocText&quot;:&quot;(Sudarto et al., 2017)&quot;,&quot;manualOverrideText&quot;:&quot;&quot;},&quot;citationTag&quot;:&quot;MENDELEY_CITATION_v3_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&quot;,&quot;citationItems&quot;:[{&quot;id&quot;:&quot;004274c4-e33a-3fa3-af20-fcbe38d98026&quot;,&quot;itemData&quot;:{&quot;type&quot;:&quot;article-journal&quot;,&quot;id&quot;:&quot;004274c4-e33a-3fa3-af20-fcbe38d98026&quot;,&quot;title&quot;:&quot;Efficient flexible long-term capacity planning for optimal sustainability dimensions performance of reverse logistics social responsibility: A system dynamics approach&quot;,&quot;author&quot;:[{&quot;family&quot;:&quot;Sudarto&quot;,&quot;given&quot;:&quot;Sumarsono&quot;,&quot;parse-names&quot;:false,&quot;dropping-particle&quot;:&quot;&quot;,&quot;non-dropping-particle&quot;:&quot;&quot;},{&quot;family&quot;:&quot;Takahashi&quot;,&quot;given&quot;:&quot;Katsuhiko&quot;,&quot;parse-names&quot;:false,&quot;dropping-particle&quot;:&quot;&quot;,&quot;non-dropping-particle&quot;:&quot;&quot;},{&quot;family&quot;:&quot;Morikawa&quot;,&quot;given&quot;:&quot;Katsumi&quot;,&quot;parse-names&quot;:false,&quot;dropping-particle&quot;:&quot;&quot;,&quot;non-dropping-particle&quot;:&quot;&quot;}],&quot;container-title&quot;:&quot;International Journal of Production Economics&quot;,&quot;container-title-short&quot;:&quot;Int J Prod Econ&quot;,&quot;accessed&quot;:{&quot;date-parts&quot;:[[2023,10,22]]},&quot;DOI&quot;:&quot;10.1016/J.IJPE.2016.12.013&quot;,&quot;ISSN&quot;:&quot;0925-5273&quot;,&quot;issued&quot;:{&quot;date-parts&quot;:[[2017,2,1]]},&quot;page&quot;:&quot;179-192&quot;,&quot;abstract&quot;:&quot;Product lifecycle uncertainties in Closed-Loop Supply Chains (CLSCs) are costly and frequently unavoidable. So the aim of this paper is to develop efficient flexible long-term capacity planning policy for CLSCs that considers social responsibility or a supply chain with Reverse Logistics Social Responsibility (RLSR). This aim is to answer an important research question on how to tackle the lifecycle with its inherited uncertainty to achieve optimal sustainability dimensions performance. Here, a single-product System Dynamics (SD) model of the supply chain with RLSR is used. This SD model considers interrelated sustainability dimensions and adopts the product lifecycle with its inherited uncertainties, such as the length of the product lifecycle, pattern of the product lifecycle, and residence index. Finally, a mathematical model of the developed policy is constructed and a simplified non-linear multi-objective algorithm is proposed to solve this mathematical model. In addition, Taguchi Design is used to minimize the number of simulations needed in the numerical experiment. The findings of this study show that the developed policy could be used to tackle the lifecycle with its inherited uncertainty to optimize the sustainability dimensions performance. These findings have some limitations, however. The findings underscore this paper's contribution to the relatively limited but important academic knowledge on capacity planning development for research on social responsibility issues in CLSCs. In practice, the results will give managers a better understanding of how to tackle product lifecycle uncertainties in RLSR and will therefore lead to better capacity planning to achieve optimal sustainability dimensions performance.&quot;,&quot;publisher&quot;:&quot;Elsevier&quot;,&quot;volume&quot;:&quot;184&quot;},&quot;isTemporary&quot;:false}]},{&quot;citationID&quot;:&quot;MENDELEY_CITATION_623efa29-e808-43d4-8e58-f1a242a99686&quot;,&quot;properties&quot;:{&quot;noteIndex&quot;:0},&quot;isEdited&quot;:false,&quot;manualOverride&quot;:{&quot;isManuallyOverridden&quot;:false,&quot;citeprocText&quot;:&quot;(Cherkaoui et al., 2015)&quot;,&quot;manualOverrideText&quot;:&quot;&quot;},&quot;citationTag&quot;:&quot;MENDELEY_CITATION_v3_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&quot;,&quot;citationItems&quot;:[{&quot;id&quot;:&quot;7d96e724-4c4b-3691-9470-e7b4e4c575ba&quot;,&quot;itemData&quot;:{&quot;type&quot;:&quot;article-journal&quot;,&quot;id&quot;:&quot;7d96e724-4c4b-3691-9470-e7b4e4c575ba&quot;,&quot;title&quot;:&quot;A Time Driven RCCP Model with Two Levels of Planning and a Reactive Planning Approach for Tactical Project Planning&quot;,&quot;author&quot;:[{&quot;family&quot;:&quot;Cherkaoui&quot;,&quot;given&quot;:&quot;Kaouthar&quot;,&quot;parse-names&quot;:false,&quot;dropping-particle&quot;:&quot;&quot;,&quot;non-dropping-particle&quot;:&quot;&quot;},{&quot;family&quot;:&quot;Pellerin&quot;,&quot;given&quot;:&quot;Robert&quot;,&quot;parse-names&quot;:false,&quot;dropping-particle&quot;:&quot;&quot;,&quot;non-dropping-particle&quot;:&quot;&quot;},{&quot;family&quot;:&quot;Baptiste&quot;,&quot;given&quot;:&quot;Pierre&quot;,&quot;parse-names&quot;:false,&quot;dropping-particle&quot;:&quot;&quot;,&quot;non-dropping-particle&quot;:&quot;&quot;},{&quot;family&quot;:&quot;Haït&quot;,&quot;given&quot;:&quot;Alain&quot;,&quot;parse-names&quot;:false,&quot;dropping-particle&quot;:&quot;&quot;,&quot;non-dropping-particle&quot;:&quot;&quot;}],&quot;container-title&quot;:&quot;Procedia Computer Science&quot;,&quot;container-title-short&quot;:&quot;Procedia Comput Sci&quot;,&quot;accessed&quot;:{&quot;date-parts&quot;:[[2023,10,22]]},&quot;DOI&quot;:&quot;10.1016/J.PROCS.2015.08.488&quot;,&quot;ISSN&quot;:&quot;1877-0509&quot;,&quot;issued&quot;:{&quot;date-parts&quot;:[[2015,1,1]]},&quot;page&quot;:&quot;257-264&quot;,&quot;abstract&quot;:&quot;This paper proposes a mixed-integer linear programming (MILP) time driven RCCP model that handles different planning levels by varying the length of the time periods. The model is based on the continuous time representation of work packages' start and end events and the discrete time representation of resource constraints. The model considers shorter period lengths at the beginning of the planning horizon to produce a detailed plan, while further periods cover a larger span. The proposed model is compared to a RCCP model with fixed period lengths. Both models were tested on medium-sized project instances. The computational results proved that the proposed model performs considerably better in terms of computational times. A reactive planning approach is also proposed to analyze the performance and robustness of both models. The results analysis showed that reducing resource capacities of aggregated periods by a percentage of 20% allowed us to obtain comparable results for the two models.&quot;,&quot;publisher&quot;:&quot;Elsevier&quot;,&quot;volume&quot;:&quot;64&quot;},&quot;isTemporary&quot;:false}]},{&quot;citationID&quot;:&quot;MENDELEY_CITATION_855fb63a-99b9-43a3-97f8-4ee73f423f95&quot;,&quot;properties&quot;:{&quot;noteIndex&quot;:0},&quot;isEdited&quot;:false,&quot;manualOverride&quot;:{&quot;isManuallyOverridden&quot;:false,&quot;citeprocText&quot;:&quot;(Silva et al., 2022)&quot;,&quot;manualOverrideText&quot;:&quot;&quot;},&quot;citationTag&quot;:&quot;MENDELEY_CITATION_v3_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&quot;,&quot;citationItems&quot;:[{&quot;id&quot;:&quot;8a729743-1d17-3ab1-a841-4f3982b49b8c&quot;,&quot;itemData&quot;:{&quot;type&quot;:&quot;article-journal&quot;,&quot;id&quot;:&quot;8a729743-1d17-3ab1-a841-4f3982b49b8c&quot;,&quot;title&quot;:&quot;The effect of demand forecasting choices on the circularity of production systems: a framework and case study&quot;,&quot;author&quot;:[{&quot;family&quot;:&quot;Silva&quot;,&quot;given&quot;:&quot;Marina Hernandes de P.e.&quot;,&quot;parse-names&quot;:false,&quot;dropping-particle&quot;:&quot;&quot;,&quot;non-dropping-particle&quot;:&quot;&quot;},{&quot;family&quot;:&quot;Costa&quot;,&quot;given&quot;:&quot;Luana Bonome Message&quot;,&quot;parse-names&quot;:false,&quot;dropping-particle&quot;:&quot;&quot;,&quot;non-dropping-particle&quot;:&quot;&quot;},{&quot;family&quot;:&quot;Paredes&quot;,&quot;given&quot;:&quot;Fernando José Gómez&quot;,&quot;parse-names&quot;:false,&quot;dropping-particle&quot;:&quot;&quot;,&quot;non-dropping-particle&quot;:&quot;&quot;},{&quot;family&quot;:&quot;Barretti&quot;,&quot;given&quot;:&quot;Jayson Wilson&quot;,&quot;parse-names&quot;:false,&quot;dropping-particle&quot;:&quot;&quot;,&quot;non-dropping-particle&quot;:&quot;&quot;},{&quot;family&quot;:&quot;Silva&quot;,&quot;given&quot;:&quot;Diogo A.Lopes&quot;,&quot;parse-names&quot;:false,&quot;dropping-particle&quot;:&quot;&quot;,&quot;non-dropping-particle&quot;:&quot;&quot;}],&quot;container-title&quot;:&quot;Resources, Conservation &amp; Recycling Advances&quot;,&quot;accessed&quot;:{&quot;date-parts&quot;:[[2023,6,20]]},&quot;DOI&quot;:&quot;10.1016/J.RCRADV.2022.200088&quot;,&quot;ISSN&quot;:&quot;2667-3789&quot;,&quot;issued&quot;:{&quot;date-parts&quot;:[[2022,11,1]]},&quot;page&quot;:&quot;200088&quot;,&quot;abstract&quot;:&quot;Designing Circular Economy systems needs previous decisions that depend on Planning and Operation decisions. One of these decisions relates to the forecasting demand method, because it scales the needs of the production flow and the necessary resources. This study investigates how the selection of forecasting methods affects the circularity of production systems and shows a case study of particleboard manufacturers. Scenarios with different parameters were tested. Results showed an increase in the Material Flow Analysis (MFA) indicators between the methods Linear Regression initiation (HW-LR) vs. Extended Additive Holt-Winters (EAWH) and variations in the MCI when restrictions on supply capacity are added in terms of recycled raw material use. Also, a positive correlation was found between the error rate in demand forecasting and MCI. These results highlight the relevance of choosing the forecast method due to its impact on production planning activities and environmental performance toward a more circular production system.&quot;,&quot;publisher&quot;:&quot;Elsevier&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23792</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B. HANDOKO PURWOJATMIKO</cp:lastModifiedBy>
  <cp:revision>25</cp:revision>
  <cp:lastPrinted>2021-02-27T09:36:00Z</cp:lastPrinted>
  <dcterms:created xsi:type="dcterms:W3CDTF">2020-08-25T09:20:00Z</dcterms:created>
  <dcterms:modified xsi:type="dcterms:W3CDTF">2023-10-22T15:32:00Z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