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5B6E50" w14:textId="759416C9" w:rsidR="009B32A1" w:rsidRPr="00B03EC7" w:rsidRDefault="00B03EC7" w:rsidP="00B03EC7">
      <w:pPr>
        <w:spacing w:after="0" w:line="240" w:lineRule="auto"/>
        <w:jc w:val="center"/>
        <w:rPr>
          <w:rFonts w:ascii="Times New Roman" w:hAnsi="Times New Roman" w:cs="Times New Roman"/>
          <w:b/>
          <w:i w:val="0"/>
          <w:sz w:val="28"/>
        </w:rPr>
      </w:pPr>
      <w:bookmarkStart w:id="0" w:name="_Hlk67660862"/>
      <w:r w:rsidRPr="00B03EC7">
        <w:rPr>
          <w:rFonts w:ascii="Times New Roman" w:hAnsi="Times New Roman" w:cs="Times New Roman"/>
          <w:b/>
          <w:i w:val="0"/>
          <w:sz w:val="28"/>
        </w:rPr>
        <w:t>Stock Valuation Analysis in Making Investment Decisions Covid-19 Pandemic</w:t>
      </w:r>
      <w:r>
        <w:rPr>
          <w:rFonts w:ascii="Times New Roman" w:hAnsi="Times New Roman" w:cs="Times New Roman"/>
          <w:b/>
          <w:i w:val="0"/>
          <w:sz w:val="28"/>
        </w:rPr>
        <w:t xml:space="preserve"> </w:t>
      </w:r>
      <w:bookmarkEnd w:id="0"/>
    </w:p>
    <w:p w14:paraId="5D03DF90" w14:textId="7BA4C1B5" w:rsidR="009B32A1" w:rsidRDefault="009D2044" w:rsidP="00022086">
      <w:pPr>
        <w:spacing w:after="0" w:line="240" w:lineRule="auto"/>
        <w:jc w:val="center"/>
        <w:rPr>
          <w:rFonts w:ascii="Times New Roman" w:hAnsi="Times New Roman" w:cs="Times New Roman"/>
          <w:b/>
          <w:i w:val="0"/>
        </w:rPr>
      </w:pPr>
      <w:r>
        <w:rPr>
          <w:rFonts w:ascii="Times New Roman" w:hAnsi="Times New Roman" w:cs="Times New Roman"/>
          <w:b/>
          <w:i w:val="0"/>
        </w:rPr>
        <w:t xml:space="preserve">Aditya </w:t>
      </w:r>
      <w:proofErr w:type="spellStart"/>
      <w:r>
        <w:rPr>
          <w:rFonts w:ascii="Times New Roman" w:hAnsi="Times New Roman" w:cs="Times New Roman"/>
          <w:b/>
          <w:i w:val="0"/>
        </w:rPr>
        <w:t>Hermawan</w:t>
      </w:r>
      <w:proofErr w:type="spellEnd"/>
    </w:p>
    <w:p w14:paraId="7AA8243A" w14:textId="77777777" w:rsidR="00022086" w:rsidRPr="00022086" w:rsidRDefault="00022086" w:rsidP="00022086">
      <w:pPr>
        <w:spacing w:after="0" w:line="240" w:lineRule="auto"/>
        <w:jc w:val="center"/>
        <w:rPr>
          <w:rFonts w:ascii="Times New Roman" w:hAnsi="Times New Roman" w:cs="Times New Roman"/>
          <w:i w:val="0"/>
          <w:iCs w:val="0"/>
          <w:sz w:val="24"/>
          <w:szCs w:val="24"/>
          <w:vertAlign w:val="superscript"/>
        </w:rPr>
      </w:pPr>
    </w:p>
    <w:p w14:paraId="374DC5AE" w14:textId="55A2D24F" w:rsidR="009B32A1" w:rsidRPr="009D2044" w:rsidRDefault="00B03EC7" w:rsidP="00B03EC7">
      <w:pPr>
        <w:spacing w:after="0" w:line="240" w:lineRule="auto"/>
        <w:jc w:val="both"/>
        <w:rPr>
          <w:rFonts w:ascii="Times New Roman" w:hAnsi="Times New Roman" w:cs="Times New Roman"/>
          <w:b/>
          <w:bCs/>
          <w:sz w:val="18"/>
          <w:szCs w:val="18"/>
        </w:rPr>
      </w:pPr>
      <w:r w:rsidRPr="00022086">
        <w:rPr>
          <w:rFonts w:ascii="Times New Roman" w:hAnsi="Times New Roman" w:cs="Times New Roman"/>
          <w:b/>
          <w:bCs/>
          <w:sz w:val="18"/>
          <w:szCs w:val="18"/>
        </w:rPr>
        <w:t>Hermawanadityaap99@gmail.com,</w:t>
      </w:r>
      <w:r w:rsidR="00F7416F" w:rsidRPr="00022086">
        <w:rPr>
          <w:rFonts w:ascii="Times New Roman" w:hAnsi="Times New Roman" w:cs="Times New Roman"/>
          <w:b/>
          <w:bCs/>
          <w:sz w:val="18"/>
          <w:szCs w:val="18"/>
        </w:rPr>
        <w:t xml:space="preserve"> </w:t>
      </w:r>
      <w:r w:rsidR="00F7416F">
        <w:rPr>
          <w:rFonts w:ascii="Times New Roman" w:hAnsi="Times New Roman" w:cs="Times New Roman"/>
          <w:b/>
          <w:bCs/>
          <w:sz w:val="18"/>
          <w:szCs w:val="18"/>
        </w:rPr>
        <w:t xml:space="preserve">Finance </w:t>
      </w:r>
      <w:r>
        <w:rPr>
          <w:rFonts w:ascii="Times New Roman" w:hAnsi="Times New Roman" w:cs="Times New Roman"/>
          <w:b/>
          <w:bCs/>
          <w:sz w:val="18"/>
          <w:szCs w:val="18"/>
        </w:rPr>
        <w:t>Management</w:t>
      </w:r>
      <w:r w:rsidR="00674992">
        <w:rPr>
          <w:rFonts w:ascii="Times New Roman" w:hAnsi="Times New Roman" w:cs="Times New Roman"/>
          <w:b/>
          <w:bCs/>
          <w:sz w:val="18"/>
          <w:szCs w:val="18"/>
        </w:rPr>
        <w:t xml:space="preserve">, </w:t>
      </w:r>
      <w:r w:rsidR="00022086">
        <w:rPr>
          <w:rFonts w:ascii="Times New Roman" w:hAnsi="Times New Roman" w:cs="Times New Roman"/>
          <w:b/>
          <w:bCs/>
          <w:sz w:val="18"/>
          <w:szCs w:val="18"/>
        </w:rPr>
        <w:t xml:space="preserve">Universitas </w:t>
      </w:r>
      <w:proofErr w:type="spellStart"/>
      <w:r>
        <w:rPr>
          <w:rFonts w:ascii="Times New Roman" w:hAnsi="Times New Roman" w:cs="Times New Roman"/>
          <w:b/>
          <w:bCs/>
          <w:sz w:val="18"/>
          <w:szCs w:val="18"/>
        </w:rPr>
        <w:t>Mercu</w:t>
      </w:r>
      <w:proofErr w:type="spellEnd"/>
      <w:r>
        <w:rPr>
          <w:rFonts w:ascii="Times New Roman" w:hAnsi="Times New Roman" w:cs="Times New Roman"/>
          <w:b/>
          <w:bCs/>
          <w:sz w:val="18"/>
          <w:szCs w:val="18"/>
        </w:rPr>
        <w:t xml:space="preserve"> </w:t>
      </w:r>
      <w:proofErr w:type="spellStart"/>
      <w:r>
        <w:rPr>
          <w:rFonts w:ascii="Times New Roman" w:hAnsi="Times New Roman" w:cs="Times New Roman"/>
          <w:b/>
          <w:bCs/>
          <w:sz w:val="18"/>
          <w:szCs w:val="18"/>
        </w:rPr>
        <w:t>Buana</w:t>
      </w:r>
      <w:bookmarkStart w:id="1" w:name="_Hlk67663373"/>
      <w:proofErr w:type="spellEnd"/>
      <w:r>
        <w:rPr>
          <w:rFonts w:ascii="Times New Roman" w:hAnsi="Times New Roman" w:cs="Times New Roman"/>
          <w:b/>
          <w:bCs/>
          <w:sz w:val="18"/>
          <w:szCs w:val="18"/>
        </w:rPr>
        <w:t xml:space="preserve">, Indonesian </w:t>
      </w:r>
      <w:r w:rsidR="009B32A1" w:rsidRPr="00674992">
        <w:rPr>
          <w:rFonts w:ascii="Times New Roman" w:hAnsi="Times New Roman" w:cs="Times New Roman"/>
          <w:color w:val="FF0000"/>
          <w:sz w:val="18"/>
          <w:szCs w:val="18"/>
        </w:rPr>
        <w:t xml:space="preserve"> </w:t>
      </w:r>
      <w:bookmarkEnd w:id="1"/>
    </w:p>
    <w:p w14:paraId="3DA57908" w14:textId="77777777" w:rsidR="009B32A1" w:rsidRPr="00CA11CB" w:rsidRDefault="009B32A1" w:rsidP="009B32A1">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2587"/>
        <w:gridCol w:w="6480"/>
      </w:tblGrid>
      <w:tr w:rsidR="009B32A1" w:rsidRPr="003B13AE" w14:paraId="22085ECB" w14:textId="77777777" w:rsidTr="009D2044">
        <w:trPr>
          <w:trHeight w:val="3589"/>
        </w:trPr>
        <w:tc>
          <w:tcPr>
            <w:tcW w:w="2547" w:type="dxa"/>
            <w:tcBorders>
              <w:top w:val="single" w:sz="8" w:space="0" w:color="auto"/>
              <w:bottom w:val="single" w:sz="8" w:space="0" w:color="auto"/>
            </w:tcBorders>
            <w:shd w:val="clear" w:color="auto" w:fill="auto"/>
          </w:tcPr>
          <w:p w14:paraId="1020F310" w14:textId="77777777" w:rsidR="009B32A1" w:rsidRPr="00FD5BDB" w:rsidRDefault="009B32A1" w:rsidP="001745FA">
            <w:pPr>
              <w:spacing w:after="0" w:line="240" w:lineRule="auto"/>
              <w:jc w:val="both"/>
              <w:rPr>
                <w:rFonts w:ascii="Times New Roman" w:hAnsi="Times New Roman" w:cs="Times New Roman"/>
                <w:b/>
                <w:i w:val="0"/>
                <w:sz w:val="18"/>
                <w:szCs w:val="18"/>
              </w:rPr>
            </w:pPr>
          </w:p>
          <w:p w14:paraId="5B196768" w14:textId="77777777" w:rsidR="009B32A1" w:rsidRPr="00FD5BDB" w:rsidRDefault="009B32A1" w:rsidP="001745FA">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 xml:space="preserve">Article </w:t>
            </w:r>
            <w:proofErr w:type="spellStart"/>
            <w:r w:rsidRPr="00FD5BDB">
              <w:rPr>
                <w:rFonts w:ascii="Times New Roman" w:hAnsi="Times New Roman" w:cs="Times New Roman"/>
                <w:b/>
                <w:i w:val="0"/>
              </w:rPr>
              <w:t>Info</w:t>
            </w:r>
            <w:r w:rsidR="00B152B3">
              <w:rPr>
                <w:rFonts w:ascii="Times New Roman" w:hAnsi="Times New Roman" w:cs="Times New Roman"/>
                <w:b/>
                <w:i w:val="0"/>
              </w:rPr>
              <w:t>rmatin</w:t>
            </w:r>
            <w:proofErr w:type="spellEnd"/>
            <w:r w:rsidRPr="00FD5BDB">
              <w:rPr>
                <w:rFonts w:ascii="Times New Roman" w:hAnsi="Times New Roman" w:cs="Times New Roman"/>
                <w:b/>
                <w:i w:val="0"/>
              </w:rPr>
              <w:t>:</w:t>
            </w:r>
          </w:p>
          <w:p w14:paraId="78A0DC44" w14:textId="77777777" w:rsidR="009B32A1" w:rsidRPr="00FD5BDB" w:rsidRDefault="009B32A1" w:rsidP="001745FA">
            <w:pPr>
              <w:pBdr>
                <w:bottom w:val="single" w:sz="8" w:space="1" w:color="auto"/>
              </w:pBdr>
              <w:spacing w:after="0" w:line="240" w:lineRule="auto"/>
              <w:ind w:right="170"/>
              <w:jc w:val="both"/>
              <w:rPr>
                <w:rFonts w:ascii="Times New Roman" w:hAnsi="Times New Roman" w:cs="Times New Roman"/>
                <w:b/>
                <w:i w:val="0"/>
                <w:sz w:val="18"/>
                <w:szCs w:val="18"/>
              </w:rPr>
            </w:pPr>
          </w:p>
          <w:p w14:paraId="4E2F1496" w14:textId="77777777" w:rsidR="009B32A1" w:rsidRPr="00FD5BDB" w:rsidRDefault="009B32A1" w:rsidP="001745FA">
            <w:pPr>
              <w:spacing w:after="0" w:line="240" w:lineRule="auto"/>
              <w:ind w:right="170"/>
              <w:jc w:val="both"/>
              <w:rPr>
                <w:rFonts w:ascii="Times New Roman" w:hAnsi="Times New Roman" w:cs="Times New Roman"/>
                <w:b/>
                <w:i w:val="0"/>
                <w:sz w:val="18"/>
                <w:szCs w:val="18"/>
              </w:rPr>
            </w:pPr>
          </w:p>
          <w:p w14:paraId="7F35B04E" w14:textId="655873A0" w:rsidR="009B32A1" w:rsidRPr="00FD5BDB" w:rsidRDefault="009B32A1" w:rsidP="001745FA">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Keywords: </w:t>
            </w:r>
          </w:p>
          <w:p w14:paraId="49B99D2B" w14:textId="0D58A2AF" w:rsidR="009B32A1" w:rsidRPr="00FD5BDB" w:rsidRDefault="00F7416F" w:rsidP="001745FA">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Price to Book Value (PBV)</w:t>
            </w:r>
          </w:p>
          <w:p w14:paraId="70CF45C6" w14:textId="6C77AE4B" w:rsidR="00D50408" w:rsidRDefault="00F7416F" w:rsidP="001745FA">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Dividend Discounted Model (DDM)</w:t>
            </w:r>
          </w:p>
          <w:p w14:paraId="536D9ABC" w14:textId="365780FB" w:rsidR="00F7416F" w:rsidRDefault="00F7416F" w:rsidP="001745FA">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 xml:space="preserve">Stock </w:t>
            </w:r>
            <w:r w:rsidR="00022086">
              <w:rPr>
                <w:rFonts w:ascii="Times New Roman" w:hAnsi="Times New Roman" w:cs="Times New Roman"/>
                <w:b/>
                <w:bCs/>
                <w:sz w:val="14"/>
                <w:szCs w:val="14"/>
              </w:rPr>
              <w:t>Valuation</w:t>
            </w:r>
          </w:p>
          <w:p w14:paraId="55FBFCDE" w14:textId="59F00B41" w:rsidR="00022086" w:rsidRDefault="00022086" w:rsidP="001745FA">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Investment Decisions</w:t>
            </w:r>
          </w:p>
          <w:p w14:paraId="4FCEA5F8"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p>
          <w:p w14:paraId="45C20292"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14:paraId="3EE96EF6" w14:textId="58D6FA1F" w:rsidR="009B32A1" w:rsidRPr="00FD5BDB" w:rsidRDefault="009B32A1" w:rsidP="001745FA">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Received</w:t>
            </w:r>
            <w:r w:rsidRPr="00FD5BDB">
              <w:rPr>
                <w:rFonts w:ascii="Times New Roman" w:hAnsi="Times New Roman" w:cs="Times New Roman"/>
                <w:i w:val="0"/>
                <w:sz w:val="14"/>
                <w:szCs w:val="14"/>
              </w:rPr>
              <w:tab/>
              <w:t>: January 2, 20</w:t>
            </w:r>
            <w:r w:rsidR="00D50408">
              <w:rPr>
                <w:rFonts w:ascii="Times New Roman" w:hAnsi="Times New Roman" w:cs="Times New Roman"/>
                <w:i w:val="0"/>
                <w:sz w:val="14"/>
                <w:szCs w:val="14"/>
              </w:rPr>
              <w:t>2</w:t>
            </w:r>
            <w:r w:rsidR="00022086">
              <w:rPr>
                <w:rFonts w:ascii="Times New Roman" w:hAnsi="Times New Roman" w:cs="Times New Roman"/>
                <w:i w:val="0"/>
                <w:sz w:val="14"/>
                <w:szCs w:val="14"/>
              </w:rPr>
              <w:t>2</w:t>
            </w:r>
          </w:p>
          <w:p w14:paraId="1C5297A1" w14:textId="44BFC3F0" w:rsidR="009B32A1" w:rsidRPr="00FD5BDB" w:rsidRDefault="009B32A1" w:rsidP="001745FA">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Revised </w:t>
            </w:r>
            <w:r w:rsidRPr="00FD5BDB">
              <w:rPr>
                <w:rFonts w:ascii="Times New Roman" w:hAnsi="Times New Roman" w:cs="Times New Roman"/>
                <w:i w:val="0"/>
                <w:sz w:val="14"/>
                <w:szCs w:val="14"/>
              </w:rPr>
              <w:tab/>
              <w:t xml:space="preserve">: </w:t>
            </w:r>
            <w:r w:rsidR="00022086" w:rsidRPr="00FD5BDB">
              <w:rPr>
                <w:rFonts w:ascii="Times New Roman" w:hAnsi="Times New Roman" w:cs="Times New Roman"/>
                <w:i w:val="0"/>
                <w:sz w:val="14"/>
                <w:szCs w:val="14"/>
              </w:rPr>
              <w:t xml:space="preserve">January </w:t>
            </w:r>
            <w:r w:rsidR="00022086">
              <w:rPr>
                <w:rFonts w:ascii="Times New Roman" w:hAnsi="Times New Roman" w:cs="Times New Roman"/>
                <w:i w:val="0"/>
                <w:sz w:val="14"/>
                <w:szCs w:val="14"/>
              </w:rPr>
              <w:t>8</w:t>
            </w:r>
            <w:r w:rsidR="00022086" w:rsidRPr="00FD5BDB">
              <w:rPr>
                <w:rFonts w:ascii="Times New Roman" w:hAnsi="Times New Roman" w:cs="Times New Roman"/>
                <w:i w:val="0"/>
                <w:sz w:val="14"/>
                <w:szCs w:val="14"/>
              </w:rPr>
              <w:t>, 20</w:t>
            </w:r>
            <w:r w:rsidR="00022086">
              <w:rPr>
                <w:rFonts w:ascii="Times New Roman" w:hAnsi="Times New Roman" w:cs="Times New Roman"/>
                <w:i w:val="0"/>
                <w:sz w:val="14"/>
                <w:szCs w:val="14"/>
              </w:rPr>
              <w:t>22</w:t>
            </w:r>
          </w:p>
          <w:p w14:paraId="1AE1E9DC" w14:textId="77777777" w:rsidR="00022086" w:rsidRPr="00FD5BDB" w:rsidRDefault="009B32A1" w:rsidP="00022086">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Accepted </w:t>
            </w:r>
            <w:r w:rsidRPr="00FD5BDB">
              <w:rPr>
                <w:rFonts w:ascii="Times New Roman" w:hAnsi="Times New Roman" w:cs="Times New Roman"/>
                <w:i w:val="0"/>
                <w:sz w:val="14"/>
                <w:szCs w:val="14"/>
              </w:rPr>
              <w:tab/>
              <w:t xml:space="preserve">: </w:t>
            </w:r>
            <w:r w:rsidR="00022086" w:rsidRPr="00FD5BDB">
              <w:rPr>
                <w:rFonts w:ascii="Times New Roman" w:hAnsi="Times New Roman" w:cs="Times New Roman"/>
                <w:i w:val="0"/>
                <w:sz w:val="14"/>
                <w:szCs w:val="14"/>
              </w:rPr>
              <w:t xml:space="preserve">January </w:t>
            </w:r>
            <w:r w:rsidR="00022086">
              <w:rPr>
                <w:rFonts w:ascii="Times New Roman" w:hAnsi="Times New Roman" w:cs="Times New Roman"/>
                <w:i w:val="0"/>
                <w:sz w:val="14"/>
                <w:szCs w:val="14"/>
              </w:rPr>
              <w:t>8</w:t>
            </w:r>
            <w:r w:rsidR="00022086" w:rsidRPr="00FD5BDB">
              <w:rPr>
                <w:rFonts w:ascii="Times New Roman" w:hAnsi="Times New Roman" w:cs="Times New Roman"/>
                <w:i w:val="0"/>
                <w:sz w:val="14"/>
                <w:szCs w:val="14"/>
              </w:rPr>
              <w:t>, 20</w:t>
            </w:r>
            <w:r w:rsidR="00022086">
              <w:rPr>
                <w:rFonts w:ascii="Times New Roman" w:hAnsi="Times New Roman" w:cs="Times New Roman"/>
                <w:i w:val="0"/>
                <w:sz w:val="14"/>
                <w:szCs w:val="14"/>
              </w:rPr>
              <w:t>22</w:t>
            </w:r>
          </w:p>
          <w:p w14:paraId="50F28BFA" w14:textId="67D558A3" w:rsidR="009B32A1" w:rsidRPr="00FD5BDB" w:rsidRDefault="009B32A1" w:rsidP="001745FA">
            <w:pPr>
              <w:pBdr>
                <w:bottom w:val="single" w:sz="8" w:space="1" w:color="auto"/>
              </w:pBdr>
              <w:spacing w:after="0" w:line="240" w:lineRule="auto"/>
              <w:ind w:right="170"/>
              <w:jc w:val="both"/>
              <w:rPr>
                <w:rFonts w:ascii="Times New Roman" w:hAnsi="Times New Roman" w:cs="Times New Roman"/>
                <w:b/>
                <w:i w:val="0"/>
                <w:sz w:val="14"/>
                <w:szCs w:val="14"/>
              </w:rPr>
            </w:pPr>
          </w:p>
          <w:p w14:paraId="03F0CB3E"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p>
          <w:p w14:paraId="47B1BFB2"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Doi:</w:t>
            </w:r>
          </w:p>
          <w:p w14:paraId="0913F605" w14:textId="4B6805A5" w:rsidR="009B32A1" w:rsidRPr="00FD5BDB" w:rsidRDefault="009B32A1" w:rsidP="001745FA">
            <w:pPr>
              <w:spacing w:after="0" w:line="240" w:lineRule="auto"/>
              <w:ind w:right="170"/>
              <w:jc w:val="both"/>
              <w:rPr>
                <w:rFonts w:ascii="Times New Roman" w:hAnsi="Times New Roman" w:cs="Times New Roman"/>
                <w:b/>
                <w:i w:val="0"/>
                <w:sz w:val="18"/>
                <w:szCs w:val="18"/>
              </w:rPr>
            </w:pPr>
            <w:r w:rsidRPr="00FD5BDB">
              <w:rPr>
                <w:rFonts w:ascii="Times New Roman" w:hAnsi="Times New Roman" w:cs="Times New Roman"/>
                <w:bCs/>
                <w:i w:val="0"/>
                <w:sz w:val="14"/>
                <w:szCs w:val="14"/>
              </w:rPr>
              <w:t>http://doi.org/1</w:t>
            </w:r>
            <w:r w:rsidR="00D50408">
              <w:rPr>
                <w:rFonts w:ascii="Times New Roman" w:hAnsi="Times New Roman" w:cs="Times New Roman"/>
                <w:bCs/>
                <w:i w:val="0"/>
                <w:sz w:val="14"/>
                <w:szCs w:val="14"/>
              </w:rPr>
              <w:t>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22441</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profita</w:t>
            </w:r>
            <w:r w:rsidRPr="00FD5BDB">
              <w:rPr>
                <w:rFonts w:ascii="Times New Roman" w:hAnsi="Times New Roman" w:cs="Times New Roman"/>
                <w:bCs/>
                <w:i w:val="0"/>
                <w:sz w:val="14"/>
                <w:szCs w:val="14"/>
              </w:rPr>
              <w:t>.20</w:t>
            </w:r>
            <w:r w:rsidR="00D50408">
              <w:rPr>
                <w:rFonts w:ascii="Times New Roman" w:hAnsi="Times New Roman" w:cs="Times New Roman"/>
                <w:bCs/>
                <w:i w:val="0"/>
                <w:sz w:val="14"/>
                <w:szCs w:val="14"/>
              </w:rPr>
              <w:t>20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v</w:t>
            </w:r>
            <w:r w:rsidR="006D1435">
              <w:rPr>
                <w:rFonts w:ascii="Times New Roman" w:hAnsi="Times New Roman" w:cs="Times New Roman"/>
                <w:bCs/>
                <w:i w:val="0"/>
                <w:sz w:val="14"/>
                <w:szCs w:val="14"/>
              </w:rPr>
              <w:t>6</w:t>
            </w:r>
          </w:p>
          <w:p w14:paraId="5DD1D5F0" w14:textId="77777777" w:rsidR="009B32A1" w:rsidRPr="00FD5BDB" w:rsidRDefault="009B32A1" w:rsidP="001745FA">
            <w:pPr>
              <w:spacing w:after="0" w:line="240" w:lineRule="auto"/>
              <w:jc w:val="both"/>
              <w:rPr>
                <w:rFonts w:ascii="Times New Roman" w:hAnsi="Times New Roman" w:cs="Times New Roman"/>
                <w:b/>
                <w:i w:val="0"/>
                <w:sz w:val="18"/>
                <w:szCs w:val="18"/>
              </w:rPr>
            </w:pPr>
          </w:p>
        </w:tc>
        <w:tc>
          <w:tcPr>
            <w:tcW w:w="6520" w:type="dxa"/>
            <w:tcBorders>
              <w:top w:val="single" w:sz="8" w:space="0" w:color="auto"/>
              <w:bottom w:val="single" w:sz="8" w:space="0" w:color="auto"/>
            </w:tcBorders>
            <w:shd w:val="clear" w:color="auto" w:fill="auto"/>
          </w:tcPr>
          <w:p w14:paraId="560933E6" w14:textId="77777777" w:rsidR="009B32A1" w:rsidRPr="00FD5BDB" w:rsidRDefault="009B32A1" w:rsidP="001745FA">
            <w:pPr>
              <w:spacing w:after="0" w:line="240" w:lineRule="auto"/>
              <w:jc w:val="both"/>
              <w:rPr>
                <w:rFonts w:ascii="Times New Roman" w:hAnsi="Times New Roman" w:cs="Times New Roman"/>
                <w:b/>
                <w:i w:val="0"/>
                <w:sz w:val="18"/>
                <w:szCs w:val="18"/>
              </w:rPr>
            </w:pPr>
          </w:p>
          <w:p w14:paraId="3A18E4FB" w14:textId="256907C9" w:rsidR="009B32A1" w:rsidRPr="00FD5BDB" w:rsidRDefault="009B32A1" w:rsidP="001745FA">
            <w:pPr>
              <w:spacing w:after="0" w:line="240" w:lineRule="auto"/>
              <w:ind w:left="170"/>
              <w:jc w:val="both"/>
              <w:rPr>
                <w:rFonts w:ascii="Times New Roman" w:hAnsi="Times New Roman" w:cs="Times New Roman"/>
                <w:b/>
                <w:i w:val="0"/>
              </w:rPr>
            </w:pPr>
            <w:r w:rsidRPr="00FD5BDB">
              <w:rPr>
                <w:rFonts w:ascii="Times New Roman" w:hAnsi="Times New Roman" w:cs="Times New Roman"/>
                <w:b/>
                <w:bCs/>
                <w:lang w:val="en"/>
              </w:rPr>
              <w:t>Abstract</w:t>
            </w:r>
            <w:r w:rsidR="00F778DE">
              <w:rPr>
                <w:rFonts w:ascii="Times New Roman" w:hAnsi="Times New Roman" w:cs="Times New Roman"/>
                <w:b/>
                <w:bCs/>
                <w:lang w:val="en"/>
              </w:rPr>
              <w:t xml:space="preserve"> </w:t>
            </w:r>
            <w:r w:rsidR="00B152B3">
              <w:rPr>
                <w:rFonts w:ascii="Times New Roman" w:hAnsi="Times New Roman" w:cs="Times New Roman"/>
                <w:b/>
                <w:bCs/>
                <w:lang w:val="en"/>
              </w:rPr>
              <w:t xml:space="preserve">in </w:t>
            </w:r>
            <w:r w:rsidR="00F778DE">
              <w:rPr>
                <w:rFonts w:ascii="Times New Roman" w:hAnsi="Times New Roman" w:cs="Times New Roman"/>
                <w:b/>
                <w:bCs/>
                <w:lang w:val="en"/>
              </w:rPr>
              <w:t>English</w:t>
            </w:r>
            <w:r w:rsidRPr="00FD5BDB">
              <w:rPr>
                <w:rFonts w:ascii="Times New Roman" w:hAnsi="Times New Roman" w:cs="Times New Roman"/>
                <w:b/>
                <w:bCs/>
                <w:lang w:val="en"/>
              </w:rPr>
              <w:t xml:space="preserve"> </w:t>
            </w:r>
          </w:p>
          <w:p w14:paraId="681556A2" w14:textId="77777777" w:rsidR="009B32A1" w:rsidRPr="00FD5BDB" w:rsidRDefault="009B32A1" w:rsidP="001745FA">
            <w:pPr>
              <w:pBdr>
                <w:bottom w:val="single" w:sz="8" w:space="1" w:color="auto"/>
              </w:pBdr>
              <w:spacing w:after="0" w:line="240" w:lineRule="auto"/>
              <w:ind w:left="170"/>
              <w:jc w:val="both"/>
              <w:rPr>
                <w:rFonts w:ascii="Times New Roman" w:hAnsi="Times New Roman" w:cs="Times New Roman"/>
                <w:b/>
                <w:i w:val="0"/>
                <w:sz w:val="18"/>
                <w:szCs w:val="18"/>
              </w:rPr>
            </w:pPr>
          </w:p>
          <w:p w14:paraId="15A982CF" w14:textId="77777777" w:rsidR="009B32A1" w:rsidRPr="00FD5BDB" w:rsidRDefault="009B32A1" w:rsidP="001745FA">
            <w:pPr>
              <w:spacing w:after="0" w:line="240" w:lineRule="auto"/>
              <w:ind w:left="170"/>
              <w:jc w:val="both"/>
              <w:rPr>
                <w:rFonts w:ascii="Times New Roman" w:hAnsi="Times New Roman" w:cs="Times New Roman"/>
                <w:b/>
                <w:i w:val="0"/>
                <w:sz w:val="18"/>
                <w:szCs w:val="18"/>
              </w:rPr>
            </w:pPr>
          </w:p>
          <w:p w14:paraId="1E5AF226" w14:textId="228C4F94" w:rsidR="009B32A1" w:rsidRPr="00F7416F" w:rsidRDefault="00F7416F" w:rsidP="00F7416F">
            <w:pPr>
              <w:spacing w:line="240" w:lineRule="auto"/>
              <w:jc w:val="both"/>
              <w:rPr>
                <w:rFonts w:ascii="Times New Roman" w:hAnsi="Times New Roman" w:cs="Times New Roman"/>
                <w:i w:val="0"/>
              </w:rPr>
            </w:pPr>
            <w:r w:rsidRPr="00F7416F">
              <w:rPr>
                <w:rFonts w:ascii="Times New Roman" w:hAnsi="Times New Roman" w:cs="Times New Roman"/>
              </w:rPr>
              <w:t>This study aims to determine which stock valuation model is the most appropriate and to find the intrinsic value of the stock prices of companies affected by the COVID-19 pandemic, one way to calculate the intrinsic value of shares is using fundamental analysis with the Price to Book Value (PBV) and Dividend Discount methods. Models (DDM). The sample for this study was 28 companies from 11 sectoral indices affected by the covid-19 pandemic in the third quarter of 2021. The sampling technique in this study used purposive sampling. The data used is secondary data. The analysis tool uses SPSS 25 software. The results of the research on making investment decisions are the most appropriate to buy stocks that are undervalued (cheap). An accurate stock valuation model is the Dividend Discounted Model (DDM) based on Paired samples T-Test.</w:t>
            </w:r>
          </w:p>
        </w:tc>
      </w:tr>
    </w:tbl>
    <w:p w14:paraId="12C2B966" w14:textId="23BE7C49" w:rsidR="007C4184" w:rsidRPr="004B19FC" w:rsidRDefault="00702BF8" w:rsidP="004D6955">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INTRODUCTION</w:t>
      </w:r>
      <w:r w:rsidR="004B19FC">
        <w:rPr>
          <w:rFonts w:ascii="Times New Roman" w:hAnsi="Times New Roman" w:cs="Times New Roman"/>
          <w:b/>
          <w:i w:val="0"/>
          <w:sz w:val="24"/>
          <w:szCs w:val="24"/>
        </w:rPr>
        <w:t xml:space="preserve"> </w:t>
      </w:r>
    </w:p>
    <w:p w14:paraId="534F30DB" w14:textId="7A83CBDF" w:rsidR="00BD6105" w:rsidRPr="00BD6105" w:rsidRDefault="00F7416F" w:rsidP="00F95848">
      <w:pPr>
        <w:pStyle w:val="BodyText"/>
        <w:spacing w:after="0" w:line="240" w:lineRule="auto"/>
        <w:ind w:firstLine="720"/>
        <w:jc w:val="both"/>
        <w:rPr>
          <w:rFonts w:ascii="Times New Roman" w:hAnsi="Times New Roman" w:cs="Times New Roman"/>
          <w:i w:val="0"/>
          <w:iCs w:val="0"/>
          <w:sz w:val="24"/>
          <w:szCs w:val="24"/>
        </w:rPr>
      </w:pPr>
      <w:r w:rsidRPr="00F7416F">
        <w:rPr>
          <w:rFonts w:ascii="Times New Roman" w:hAnsi="Times New Roman" w:cs="Times New Roman"/>
          <w:i w:val="0"/>
          <w:iCs w:val="0"/>
          <w:sz w:val="24"/>
          <w:szCs w:val="24"/>
        </w:rPr>
        <w:t xml:space="preserve">The Covid-19 pandemic has not yet ended, although some countries have gradually recovered, but the Covid-19 pandemic is still threatening. This makes the impact of the Indonesian economy unstable as a result of the policy of implementing PPKM made by the government so that we have to reduce mobility outside the home. Although various efforts have been made, the uncertainty of when the pandemic will end creates various problems, not only in the health sector but also in the economic field. </w:t>
      </w:r>
    </w:p>
    <w:p w14:paraId="7EE40DFA" w14:textId="77777777" w:rsidR="009D2044" w:rsidRPr="009D2044" w:rsidRDefault="009D2044" w:rsidP="00F95848">
      <w:pPr>
        <w:pStyle w:val="BodyText"/>
        <w:spacing w:after="0" w:line="240" w:lineRule="auto"/>
        <w:ind w:firstLine="720"/>
        <w:jc w:val="both"/>
        <w:rPr>
          <w:rFonts w:ascii="Times New Roman" w:hAnsi="Times New Roman" w:cs="Times New Roman"/>
          <w:i w:val="0"/>
          <w:iCs w:val="0"/>
          <w:sz w:val="24"/>
          <w:szCs w:val="24"/>
        </w:rPr>
      </w:pPr>
      <w:r w:rsidRPr="009D2044">
        <w:rPr>
          <w:rFonts w:ascii="Times New Roman" w:hAnsi="Times New Roman" w:cs="Times New Roman"/>
          <w:i w:val="0"/>
          <w:iCs w:val="0"/>
          <w:sz w:val="24"/>
          <w:szCs w:val="24"/>
        </w:rPr>
        <w:t>The existence of the Capital Market in Indonesia has a very large role for national development. The existence of a capital market can help investors to invest, and there are speculators who have an impact on the prospects brought by companies in Indonesia.</w:t>
      </w:r>
    </w:p>
    <w:p w14:paraId="0DF91E6B" w14:textId="77777777" w:rsidR="009D2044" w:rsidRPr="009D2044" w:rsidRDefault="009D2044" w:rsidP="00F95848">
      <w:pPr>
        <w:pStyle w:val="BodyText"/>
        <w:spacing w:after="0" w:line="240" w:lineRule="auto"/>
        <w:jc w:val="both"/>
        <w:rPr>
          <w:rFonts w:ascii="Times New Roman" w:hAnsi="Times New Roman" w:cs="Times New Roman"/>
          <w:i w:val="0"/>
          <w:iCs w:val="0"/>
          <w:sz w:val="24"/>
          <w:szCs w:val="24"/>
        </w:rPr>
      </w:pPr>
      <w:r w:rsidRPr="009D2044">
        <w:rPr>
          <w:rFonts w:ascii="Times New Roman" w:hAnsi="Times New Roman" w:cs="Times New Roman"/>
          <w:i w:val="0"/>
          <w:iCs w:val="0"/>
          <w:sz w:val="24"/>
          <w:szCs w:val="24"/>
        </w:rPr>
        <w:t>Fluctuations in the capital market can affect people's behavior in investing because analyzing the capital market is not just looking at numbers, but also looking at the behavioral financial or economic aspects of investment actors or investors.</w:t>
      </w:r>
    </w:p>
    <w:p w14:paraId="2012213F" w14:textId="4254A3AC" w:rsidR="00BD6105" w:rsidRPr="00BD6105" w:rsidRDefault="009D2044" w:rsidP="00F95848">
      <w:pPr>
        <w:pStyle w:val="BodyText"/>
        <w:spacing w:after="0" w:line="240" w:lineRule="auto"/>
        <w:jc w:val="both"/>
        <w:rPr>
          <w:rFonts w:ascii="Times New Roman" w:hAnsi="Times New Roman" w:cs="Times New Roman"/>
          <w:i w:val="0"/>
          <w:iCs w:val="0"/>
          <w:sz w:val="24"/>
          <w:szCs w:val="24"/>
        </w:rPr>
      </w:pPr>
      <w:r w:rsidRPr="009D2044">
        <w:rPr>
          <w:rFonts w:ascii="Times New Roman" w:hAnsi="Times New Roman" w:cs="Times New Roman"/>
          <w:i w:val="0"/>
          <w:iCs w:val="0"/>
          <w:sz w:val="24"/>
          <w:szCs w:val="24"/>
        </w:rPr>
        <w:t xml:space="preserve">Several sectors affected by the COVID-19 pandemic have had both positive and negative impacts. Such as the Property, Real Estate, and Building Construction sectors, which had a negative impact with a loss of 33.56%. Other sectors are Hospitality, Tourism, and Restaurant which recorded a loss of Rp. 70 Trillion for Tourism, Rp. 30 Trillion for Hospitality, and Rp. 40 Trillion for Restaurants the period 31 March 2020 (Chang, </w:t>
      </w:r>
      <w:proofErr w:type="spellStart"/>
      <w:r w:rsidRPr="009D2044">
        <w:rPr>
          <w:rFonts w:ascii="Times New Roman" w:hAnsi="Times New Roman" w:cs="Times New Roman"/>
          <w:i w:val="0"/>
          <w:iCs w:val="0"/>
          <w:sz w:val="24"/>
          <w:szCs w:val="24"/>
        </w:rPr>
        <w:t>Mcaleer</w:t>
      </w:r>
      <w:proofErr w:type="spellEnd"/>
      <w:r w:rsidRPr="009D2044">
        <w:rPr>
          <w:rFonts w:ascii="Times New Roman" w:hAnsi="Times New Roman" w:cs="Times New Roman"/>
          <w:i w:val="0"/>
          <w:iCs w:val="0"/>
          <w:sz w:val="24"/>
          <w:szCs w:val="24"/>
        </w:rPr>
        <w:t xml:space="preserve">, &amp; Wong, 2020; </w:t>
      </w:r>
      <w:proofErr w:type="spellStart"/>
      <w:r w:rsidRPr="009D2044">
        <w:rPr>
          <w:rFonts w:ascii="Times New Roman" w:hAnsi="Times New Roman" w:cs="Times New Roman"/>
          <w:i w:val="0"/>
          <w:iCs w:val="0"/>
          <w:sz w:val="24"/>
          <w:szCs w:val="24"/>
        </w:rPr>
        <w:t>Nurhaliza</w:t>
      </w:r>
      <w:proofErr w:type="spellEnd"/>
      <w:r w:rsidRPr="009D2044">
        <w:rPr>
          <w:rFonts w:ascii="Times New Roman" w:hAnsi="Times New Roman" w:cs="Times New Roman"/>
          <w:i w:val="0"/>
          <w:iCs w:val="0"/>
          <w:sz w:val="24"/>
          <w:szCs w:val="24"/>
        </w:rPr>
        <w:t>, 2020</w:t>
      </w:r>
      <w:proofErr w:type="gramStart"/>
      <w:r w:rsidRPr="009D2044">
        <w:rPr>
          <w:rFonts w:ascii="Times New Roman" w:hAnsi="Times New Roman" w:cs="Times New Roman"/>
          <w:i w:val="0"/>
          <w:iCs w:val="0"/>
          <w:sz w:val="24"/>
          <w:szCs w:val="24"/>
        </w:rPr>
        <w:t>).</w:t>
      </w:r>
      <w:r w:rsidR="00BD6105">
        <w:rPr>
          <w:rFonts w:ascii="Times New Roman" w:hAnsi="Times New Roman" w:cs="Times New Roman"/>
          <w:i w:val="0"/>
          <w:iCs w:val="0"/>
          <w:sz w:val="24"/>
          <w:szCs w:val="24"/>
        </w:rPr>
        <w:t>.</w:t>
      </w:r>
      <w:proofErr w:type="gramEnd"/>
      <w:r w:rsidR="00BD6105" w:rsidRPr="00BD6105">
        <w:rPr>
          <w:rFonts w:ascii="Times New Roman" w:hAnsi="Times New Roman" w:cs="Times New Roman"/>
          <w:i w:val="0"/>
          <w:iCs w:val="0"/>
          <w:sz w:val="24"/>
          <w:szCs w:val="24"/>
        </w:rPr>
        <w:t xml:space="preserve"> </w:t>
      </w:r>
    </w:p>
    <w:p w14:paraId="37E7EB8D" w14:textId="15EE2BFE" w:rsidR="009D2044" w:rsidRDefault="009D2044" w:rsidP="00F95848">
      <w:pPr>
        <w:spacing w:after="0" w:line="240" w:lineRule="auto"/>
        <w:ind w:firstLine="720"/>
        <w:jc w:val="both"/>
        <w:rPr>
          <w:rFonts w:ascii="Times New Roman" w:hAnsi="Times New Roman" w:cs="Times New Roman"/>
          <w:i w:val="0"/>
          <w:color w:val="000000" w:themeColor="text1"/>
          <w:sz w:val="24"/>
          <w:lang w:val="id-ID"/>
        </w:rPr>
      </w:pPr>
      <w:r w:rsidRPr="009D2044">
        <w:rPr>
          <w:rFonts w:ascii="Times New Roman" w:hAnsi="Times New Roman" w:cs="Times New Roman"/>
          <w:i w:val="0"/>
          <w:color w:val="000000" w:themeColor="text1"/>
          <w:sz w:val="24"/>
          <w:lang w:val="id-ID"/>
        </w:rPr>
        <w:t>Looking at IDX data, it was noted that the sharpest decline was in the Mining sector, which fell 18.42%, and the Trade, Services and Investment sector by 20.88%. This is due to the increasingly high rate of spread of the Covid-19 virus, which requires the Indonesian Government to enforce the PPKM policy which makes the impact of the Indonesian economy worse.</w:t>
      </w:r>
    </w:p>
    <w:p w14:paraId="29E82A0C" w14:textId="77777777" w:rsidR="00DD76A3" w:rsidRDefault="009D2044" w:rsidP="00F95848">
      <w:pPr>
        <w:spacing w:after="0" w:line="240" w:lineRule="auto"/>
        <w:ind w:firstLine="720"/>
        <w:jc w:val="both"/>
        <w:rPr>
          <w:rFonts w:ascii="Times New Roman" w:hAnsi="Times New Roman" w:cs="Times New Roman"/>
          <w:i w:val="0"/>
          <w:color w:val="000000" w:themeColor="text1"/>
          <w:sz w:val="24"/>
          <w:lang w:val="id-ID"/>
        </w:rPr>
      </w:pPr>
      <w:r w:rsidRPr="009D2044">
        <w:rPr>
          <w:rFonts w:ascii="Times New Roman" w:hAnsi="Times New Roman" w:cs="Times New Roman"/>
          <w:i w:val="0"/>
          <w:color w:val="000000" w:themeColor="text1"/>
          <w:sz w:val="24"/>
          <w:lang w:val="id-ID"/>
        </w:rPr>
        <w:t xml:space="preserve">In addition, from several sectors that had the sharpest and most positive increase, such as the Chemical sub-sector, which received high demand for the need for petrochemical products such as masks and Personal Protective Equipment (PPE) which were very much needed during the Covid-19 pandemic (Aldin,2020). </w:t>
      </w:r>
    </w:p>
    <w:p w14:paraId="0BFA92F6" w14:textId="43799223" w:rsidR="009D2044" w:rsidRPr="009D2044" w:rsidRDefault="009D2044" w:rsidP="00F95848">
      <w:pPr>
        <w:spacing w:before="40" w:after="40" w:line="240" w:lineRule="auto"/>
        <w:ind w:right="-20" w:firstLine="720"/>
        <w:jc w:val="both"/>
        <w:rPr>
          <w:rFonts w:ascii="Times New Roman" w:hAnsi="Times New Roman" w:cs="Times New Roman"/>
          <w:i w:val="0"/>
          <w:color w:val="000000" w:themeColor="text1"/>
          <w:sz w:val="24"/>
          <w:lang w:val="id-ID"/>
        </w:rPr>
      </w:pPr>
      <w:r w:rsidRPr="009D2044">
        <w:rPr>
          <w:rFonts w:ascii="Times New Roman" w:hAnsi="Times New Roman" w:cs="Times New Roman"/>
          <w:i w:val="0"/>
          <w:color w:val="000000" w:themeColor="text1"/>
          <w:sz w:val="24"/>
          <w:lang w:val="id-ID"/>
        </w:rPr>
        <w:lastRenderedPageBreak/>
        <w:t>In addition, there are also pharmaceutical sub-sectors, such as PT Industri Jamu and Pharmaceutical Sido Muncul Tbk (SIDO) and PT Kimia Farma Tbk (KAEF) which experienced increased sales during the pandemic.</w:t>
      </w:r>
    </w:p>
    <w:p w14:paraId="26E49932" w14:textId="77777777" w:rsidR="009D2044" w:rsidRPr="009D2044" w:rsidRDefault="009D2044" w:rsidP="00F95848">
      <w:pPr>
        <w:spacing w:before="40" w:after="40" w:line="240" w:lineRule="auto"/>
        <w:ind w:right="-20" w:firstLine="720"/>
        <w:jc w:val="both"/>
        <w:rPr>
          <w:rFonts w:ascii="Times New Roman" w:hAnsi="Times New Roman" w:cs="Times New Roman"/>
          <w:i w:val="0"/>
          <w:color w:val="000000" w:themeColor="text1"/>
          <w:sz w:val="24"/>
          <w:lang w:val="id-ID"/>
        </w:rPr>
      </w:pPr>
      <w:r w:rsidRPr="009D2044">
        <w:rPr>
          <w:rFonts w:ascii="Times New Roman" w:hAnsi="Times New Roman" w:cs="Times New Roman"/>
          <w:i w:val="0"/>
          <w:color w:val="000000" w:themeColor="text1"/>
          <w:sz w:val="24"/>
          <w:lang w:val="id-ID"/>
        </w:rPr>
        <w:t>According to the company's financial report quoted from the Indonesia Stock Exchange, it can be seen that throughout 2020 sales from the herbal and supplement segment supported the company's revenue by 68.45%, followed by the food and beverage segment at 27.06% and the pharmaceutical segment which contributed 4. 49% of total turnover (Böni &amp; Zimmermann, 2020; Supriyatna &amp; Djailani, 2020).</w:t>
      </w:r>
    </w:p>
    <w:p w14:paraId="1D177516" w14:textId="77777777" w:rsidR="009D2044" w:rsidRPr="009D2044" w:rsidRDefault="009D2044" w:rsidP="00F95848">
      <w:pPr>
        <w:spacing w:before="40" w:after="40" w:line="240" w:lineRule="auto"/>
        <w:ind w:right="-20" w:firstLine="720"/>
        <w:jc w:val="both"/>
        <w:rPr>
          <w:rFonts w:ascii="Times New Roman" w:hAnsi="Times New Roman" w:cs="Times New Roman"/>
          <w:i w:val="0"/>
          <w:color w:val="000000" w:themeColor="text1"/>
          <w:sz w:val="24"/>
          <w:lang w:val="id-ID"/>
        </w:rPr>
      </w:pPr>
      <w:r w:rsidRPr="009D2044">
        <w:rPr>
          <w:rFonts w:ascii="Times New Roman" w:hAnsi="Times New Roman" w:cs="Times New Roman"/>
          <w:i w:val="0"/>
          <w:color w:val="000000" w:themeColor="text1"/>
          <w:sz w:val="24"/>
          <w:lang w:val="id-ID"/>
        </w:rPr>
        <w:t>The Technology sector also experienced a significant increase during this pandemic because the Covid-19 caused almost all community activities to be carried out based on technology, ranging from shopping, offices, and education. Investors during the pandemic also see opportunities in the technology sector to see a shift from investment commodities to technology investments (Nugraha, 2021).</w:t>
      </w:r>
    </w:p>
    <w:p w14:paraId="27F38FC1" w14:textId="77777777" w:rsidR="009D2044" w:rsidRPr="009D2044" w:rsidRDefault="009D2044" w:rsidP="00F95848">
      <w:pPr>
        <w:spacing w:before="40" w:after="40" w:line="240" w:lineRule="auto"/>
        <w:ind w:right="-20" w:firstLine="720"/>
        <w:jc w:val="both"/>
        <w:rPr>
          <w:rFonts w:ascii="Times New Roman" w:hAnsi="Times New Roman" w:cs="Times New Roman"/>
          <w:i w:val="0"/>
          <w:color w:val="000000" w:themeColor="text1"/>
          <w:sz w:val="24"/>
          <w:lang w:val="id-ID"/>
        </w:rPr>
      </w:pPr>
      <w:r w:rsidRPr="009D2044">
        <w:rPr>
          <w:rFonts w:ascii="Times New Roman" w:hAnsi="Times New Roman" w:cs="Times New Roman"/>
          <w:i w:val="0"/>
          <w:color w:val="000000" w:themeColor="text1"/>
          <w:sz w:val="24"/>
          <w:lang w:val="id-ID"/>
        </w:rPr>
        <w:t>Based on IDX data as of October 4, 2021, the Technology sector index, which has 26 issuers, rose 736% throughout 2021. Shares of PT DCI Indonesia Tbk. (DCII) led the price increase by 10,829% to Rp. 45,900 per share, PT. Telefast Indonesia Tbk (TFAS) skyrocketed by 2.733% to Rp. 5,100 per share, and shares of PT Kioson Komersial Indonesia Tbk. (KIOS) followed because it skyrocketed 592% to Rp. 1,090 per share (CNBC Indonesia, 2021)</w:t>
      </w:r>
    </w:p>
    <w:p w14:paraId="45DEB2E2" w14:textId="77777777" w:rsidR="009D2044" w:rsidRPr="009D2044" w:rsidRDefault="009D2044" w:rsidP="00F95848">
      <w:pPr>
        <w:spacing w:before="40" w:after="40" w:line="240" w:lineRule="auto"/>
        <w:ind w:right="-20" w:firstLine="720"/>
        <w:jc w:val="both"/>
        <w:rPr>
          <w:rFonts w:ascii="Times New Roman" w:hAnsi="Times New Roman" w:cs="Times New Roman"/>
          <w:i w:val="0"/>
          <w:color w:val="000000" w:themeColor="text1"/>
          <w:sz w:val="24"/>
          <w:lang w:val="id-ID"/>
        </w:rPr>
      </w:pPr>
      <w:r w:rsidRPr="009D2044">
        <w:rPr>
          <w:rFonts w:ascii="Times New Roman" w:hAnsi="Times New Roman" w:cs="Times New Roman"/>
          <w:i w:val="0"/>
          <w:color w:val="000000" w:themeColor="text1"/>
          <w:sz w:val="24"/>
          <w:lang w:val="id-ID"/>
        </w:rPr>
        <w:t>The existence of Covid-19 has had a negative impact and a positive impact on companies and the national economy. As an illustration of the performance of the Sectoral Index throughout the third quarter of 2021, it is shown in the form of a table as follows</w:t>
      </w:r>
      <w:r w:rsidRPr="009D2044">
        <w:rPr>
          <w:rFonts w:ascii="Times New Roman" w:hAnsi="Times New Roman" w:cs="Times New Roman"/>
          <w:i w:val="0"/>
          <w:color w:val="000000" w:themeColor="text1"/>
          <w:sz w:val="24"/>
        </w:rPr>
        <w:t xml:space="preserve"> </w:t>
      </w:r>
      <w:r w:rsidRPr="009D2044">
        <w:rPr>
          <w:rFonts w:ascii="Times New Roman" w:hAnsi="Times New Roman" w:cs="Times New Roman"/>
          <w:i w:val="0"/>
          <w:color w:val="000000" w:themeColor="text1"/>
          <w:sz w:val="24"/>
          <w:lang w:val="id-ID"/>
        </w:rPr>
        <w:t>:</w:t>
      </w:r>
    </w:p>
    <w:tbl>
      <w:tblPr>
        <w:tblStyle w:val="TableGrid"/>
        <w:tblW w:w="0" w:type="auto"/>
        <w:jc w:val="center"/>
        <w:tblLook w:val="04A0" w:firstRow="1" w:lastRow="0" w:firstColumn="1" w:lastColumn="0" w:noHBand="0" w:noVBand="1"/>
      </w:tblPr>
      <w:tblGrid>
        <w:gridCol w:w="1901"/>
        <w:gridCol w:w="2144"/>
      </w:tblGrid>
      <w:tr w:rsidR="00DD76A3" w14:paraId="01C7D25E" w14:textId="77777777" w:rsidTr="00DD76A3">
        <w:trPr>
          <w:trHeight w:val="266"/>
          <w:jc w:val="center"/>
        </w:trPr>
        <w:tc>
          <w:tcPr>
            <w:tcW w:w="1901" w:type="dxa"/>
          </w:tcPr>
          <w:p w14:paraId="3167C350" w14:textId="77777777" w:rsidR="00DD76A3" w:rsidRPr="00DD76A3" w:rsidRDefault="00DD76A3" w:rsidP="00DD76A3">
            <w:pPr>
              <w:spacing w:after="0" w:line="240" w:lineRule="auto"/>
              <w:jc w:val="center"/>
              <w:rPr>
                <w:rFonts w:ascii="Times New Roman" w:hAnsi="Times New Roman" w:cs="Times New Roman"/>
                <w:i w:val="0"/>
                <w:sz w:val="24"/>
              </w:rPr>
            </w:pPr>
            <w:r w:rsidRPr="00DD76A3">
              <w:rPr>
                <w:rFonts w:ascii="Times New Roman" w:hAnsi="Times New Roman" w:cs="Times New Roman"/>
                <w:i w:val="0"/>
                <w:sz w:val="24"/>
              </w:rPr>
              <w:t>Sectoral Index</w:t>
            </w:r>
          </w:p>
        </w:tc>
        <w:tc>
          <w:tcPr>
            <w:tcW w:w="2144" w:type="dxa"/>
          </w:tcPr>
          <w:p w14:paraId="74BC95B2" w14:textId="77777777" w:rsidR="00DD76A3" w:rsidRPr="00DD76A3" w:rsidRDefault="00DD76A3" w:rsidP="00DD76A3">
            <w:pPr>
              <w:spacing w:after="0" w:line="240" w:lineRule="auto"/>
              <w:jc w:val="center"/>
              <w:rPr>
                <w:rFonts w:ascii="Times New Roman" w:hAnsi="Times New Roman" w:cs="Times New Roman"/>
                <w:i w:val="0"/>
                <w:sz w:val="24"/>
              </w:rPr>
            </w:pPr>
            <w:r w:rsidRPr="00DD76A3">
              <w:rPr>
                <w:rFonts w:ascii="Times New Roman" w:hAnsi="Times New Roman" w:cs="Times New Roman"/>
                <w:i w:val="0"/>
                <w:sz w:val="24"/>
              </w:rPr>
              <w:t>2021 Third Quarter Performance</w:t>
            </w:r>
          </w:p>
        </w:tc>
      </w:tr>
      <w:tr w:rsidR="00DD76A3" w14:paraId="420CFDFF" w14:textId="77777777" w:rsidTr="00DD76A3">
        <w:trPr>
          <w:trHeight w:val="255"/>
          <w:jc w:val="center"/>
        </w:trPr>
        <w:tc>
          <w:tcPr>
            <w:tcW w:w="1901" w:type="dxa"/>
          </w:tcPr>
          <w:p w14:paraId="69DE07A2" w14:textId="77777777" w:rsidR="00DD76A3" w:rsidRPr="00DD76A3" w:rsidRDefault="00DD76A3" w:rsidP="00DD76A3">
            <w:pPr>
              <w:spacing w:after="0" w:line="240" w:lineRule="auto"/>
              <w:jc w:val="center"/>
              <w:rPr>
                <w:rFonts w:ascii="Times New Roman" w:hAnsi="Times New Roman" w:cs="Times New Roman"/>
                <w:i w:val="0"/>
                <w:sz w:val="24"/>
              </w:rPr>
            </w:pPr>
            <w:r w:rsidRPr="00DD76A3">
              <w:rPr>
                <w:rFonts w:ascii="Times New Roman" w:hAnsi="Times New Roman" w:cs="Times New Roman"/>
                <w:i w:val="0"/>
                <w:sz w:val="24"/>
              </w:rPr>
              <w:t>IDX Energy</w:t>
            </w:r>
          </w:p>
        </w:tc>
        <w:tc>
          <w:tcPr>
            <w:tcW w:w="2144" w:type="dxa"/>
          </w:tcPr>
          <w:p w14:paraId="05D7C77F" w14:textId="77777777" w:rsidR="00DD76A3" w:rsidRPr="00DD76A3" w:rsidRDefault="00DD76A3" w:rsidP="00DD76A3">
            <w:pPr>
              <w:spacing w:after="0" w:line="240" w:lineRule="auto"/>
              <w:jc w:val="center"/>
              <w:rPr>
                <w:rFonts w:ascii="Times New Roman" w:hAnsi="Times New Roman" w:cs="Times New Roman"/>
                <w:i w:val="0"/>
                <w:sz w:val="24"/>
              </w:rPr>
            </w:pPr>
            <w:r w:rsidRPr="00DD76A3">
              <w:rPr>
                <w:rFonts w:ascii="Times New Roman" w:hAnsi="Times New Roman" w:cs="Times New Roman"/>
                <w:i w:val="0"/>
                <w:sz w:val="24"/>
              </w:rPr>
              <w:t>38,35%</w:t>
            </w:r>
          </w:p>
        </w:tc>
      </w:tr>
      <w:tr w:rsidR="00DD76A3" w14:paraId="21B7FD5A" w14:textId="77777777" w:rsidTr="00DD76A3">
        <w:trPr>
          <w:trHeight w:val="266"/>
          <w:jc w:val="center"/>
        </w:trPr>
        <w:tc>
          <w:tcPr>
            <w:tcW w:w="1901" w:type="dxa"/>
          </w:tcPr>
          <w:p w14:paraId="0778F595" w14:textId="77777777" w:rsidR="00DD76A3" w:rsidRPr="00DD76A3" w:rsidRDefault="00DD76A3" w:rsidP="00DD76A3">
            <w:pPr>
              <w:spacing w:after="0" w:line="240" w:lineRule="auto"/>
              <w:jc w:val="center"/>
              <w:rPr>
                <w:rFonts w:ascii="Times New Roman" w:hAnsi="Times New Roman" w:cs="Times New Roman"/>
                <w:i w:val="0"/>
                <w:sz w:val="24"/>
              </w:rPr>
            </w:pPr>
            <w:r w:rsidRPr="00DD76A3">
              <w:rPr>
                <w:rFonts w:ascii="Times New Roman" w:hAnsi="Times New Roman" w:cs="Times New Roman"/>
                <w:i w:val="0"/>
                <w:sz w:val="24"/>
              </w:rPr>
              <w:t>IDX Trans</w:t>
            </w:r>
          </w:p>
        </w:tc>
        <w:tc>
          <w:tcPr>
            <w:tcW w:w="2144" w:type="dxa"/>
          </w:tcPr>
          <w:p w14:paraId="467215B8" w14:textId="77777777" w:rsidR="00DD76A3" w:rsidRPr="00DD76A3" w:rsidRDefault="00DD76A3" w:rsidP="00DD76A3">
            <w:pPr>
              <w:spacing w:after="0" w:line="240" w:lineRule="auto"/>
              <w:jc w:val="center"/>
              <w:rPr>
                <w:rFonts w:ascii="Times New Roman" w:hAnsi="Times New Roman" w:cs="Times New Roman"/>
                <w:i w:val="0"/>
                <w:sz w:val="24"/>
              </w:rPr>
            </w:pPr>
            <w:r w:rsidRPr="00DD76A3">
              <w:rPr>
                <w:rFonts w:ascii="Times New Roman" w:hAnsi="Times New Roman" w:cs="Times New Roman"/>
                <w:i w:val="0"/>
                <w:sz w:val="24"/>
              </w:rPr>
              <w:t>22,05%</w:t>
            </w:r>
          </w:p>
        </w:tc>
      </w:tr>
      <w:tr w:rsidR="00DD76A3" w14:paraId="75B6EBD0" w14:textId="77777777" w:rsidTr="00DD76A3">
        <w:trPr>
          <w:trHeight w:val="255"/>
          <w:jc w:val="center"/>
        </w:trPr>
        <w:tc>
          <w:tcPr>
            <w:tcW w:w="1901" w:type="dxa"/>
          </w:tcPr>
          <w:p w14:paraId="2A7F2071" w14:textId="77777777" w:rsidR="00DD76A3" w:rsidRPr="00DD76A3" w:rsidRDefault="00DD76A3" w:rsidP="00DD76A3">
            <w:pPr>
              <w:spacing w:after="0" w:line="240" w:lineRule="auto"/>
              <w:jc w:val="center"/>
              <w:rPr>
                <w:rFonts w:ascii="Times New Roman" w:hAnsi="Times New Roman" w:cs="Times New Roman"/>
                <w:i w:val="0"/>
                <w:sz w:val="24"/>
              </w:rPr>
            </w:pPr>
            <w:r w:rsidRPr="00DD76A3">
              <w:rPr>
                <w:rFonts w:ascii="Times New Roman" w:hAnsi="Times New Roman" w:cs="Times New Roman"/>
                <w:i w:val="0"/>
                <w:sz w:val="24"/>
              </w:rPr>
              <w:t xml:space="preserve">IDX </w:t>
            </w:r>
            <w:proofErr w:type="spellStart"/>
            <w:r w:rsidRPr="00DD76A3">
              <w:rPr>
                <w:rFonts w:ascii="Times New Roman" w:hAnsi="Times New Roman" w:cs="Times New Roman"/>
                <w:i w:val="0"/>
                <w:sz w:val="24"/>
              </w:rPr>
              <w:t>NonCYC</w:t>
            </w:r>
            <w:proofErr w:type="spellEnd"/>
          </w:p>
        </w:tc>
        <w:tc>
          <w:tcPr>
            <w:tcW w:w="2144" w:type="dxa"/>
          </w:tcPr>
          <w:p w14:paraId="6A0C521C" w14:textId="77777777" w:rsidR="00DD76A3" w:rsidRPr="00DD76A3" w:rsidRDefault="00DD76A3" w:rsidP="00DD76A3">
            <w:pPr>
              <w:spacing w:after="0" w:line="240" w:lineRule="auto"/>
              <w:jc w:val="center"/>
              <w:rPr>
                <w:rFonts w:ascii="Times New Roman" w:hAnsi="Times New Roman" w:cs="Times New Roman"/>
                <w:i w:val="0"/>
                <w:sz w:val="24"/>
              </w:rPr>
            </w:pPr>
            <w:r w:rsidRPr="00DD76A3">
              <w:rPr>
                <w:rFonts w:ascii="Times New Roman" w:hAnsi="Times New Roman" w:cs="Times New Roman"/>
                <w:i w:val="0"/>
                <w:sz w:val="24"/>
              </w:rPr>
              <w:t>14,09%</w:t>
            </w:r>
          </w:p>
        </w:tc>
      </w:tr>
      <w:tr w:rsidR="00DD76A3" w14:paraId="422CCC89" w14:textId="77777777" w:rsidTr="00DD76A3">
        <w:trPr>
          <w:trHeight w:val="266"/>
          <w:jc w:val="center"/>
        </w:trPr>
        <w:tc>
          <w:tcPr>
            <w:tcW w:w="1901" w:type="dxa"/>
          </w:tcPr>
          <w:p w14:paraId="05817D22" w14:textId="77777777" w:rsidR="00DD76A3" w:rsidRPr="00DD76A3" w:rsidRDefault="00DD76A3" w:rsidP="00DD76A3">
            <w:pPr>
              <w:spacing w:after="0" w:line="240" w:lineRule="auto"/>
              <w:jc w:val="center"/>
              <w:rPr>
                <w:rFonts w:ascii="Times New Roman" w:hAnsi="Times New Roman" w:cs="Times New Roman"/>
                <w:i w:val="0"/>
                <w:sz w:val="24"/>
              </w:rPr>
            </w:pPr>
            <w:r w:rsidRPr="00DD76A3">
              <w:rPr>
                <w:rFonts w:ascii="Times New Roman" w:hAnsi="Times New Roman" w:cs="Times New Roman"/>
                <w:i w:val="0"/>
                <w:sz w:val="24"/>
              </w:rPr>
              <w:t>IDX CYCLIC</w:t>
            </w:r>
          </w:p>
        </w:tc>
        <w:tc>
          <w:tcPr>
            <w:tcW w:w="2144" w:type="dxa"/>
          </w:tcPr>
          <w:p w14:paraId="53AA2A7C" w14:textId="77777777" w:rsidR="00DD76A3" w:rsidRPr="00DD76A3" w:rsidRDefault="00DD76A3" w:rsidP="00DD76A3">
            <w:pPr>
              <w:spacing w:after="0" w:line="240" w:lineRule="auto"/>
              <w:jc w:val="center"/>
              <w:rPr>
                <w:rFonts w:ascii="Times New Roman" w:hAnsi="Times New Roman" w:cs="Times New Roman"/>
                <w:i w:val="0"/>
                <w:sz w:val="24"/>
              </w:rPr>
            </w:pPr>
            <w:r w:rsidRPr="00DD76A3">
              <w:rPr>
                <w:rFonts w:ascii="Times New Roman" w:hAnsi="Times New Roman" w:cs="Times New Roman"/>
                <w:i w:val="0"/>
                <w:sz w:val="24"/>
              </w:rPr>
              <w:t>(6,08%)</w:t>
            </w:r>
          </w:p>
        </w:tc>
      </w:tr>
      <w:tr w:rsidR="00DD76A3" w14:paraId="3B56A2DB" w14:textId="77777777" w:rsidTr="00DD76A3">
        <w:trPr>
          <w:trHeight w:val="266"/>
          <w:jc w:val="center"/>
        </w:trPr>
        <w:tc>
          <w:tcPr>
            <w:tcW w:w="1901" w:type="dxa"/>
          </w:tcPr>
          <w:p w14:paraId="4BAF766A" w14:textId="77777777" w:rsidR="00DD76A3" w:rsidRPr="00DD76A3" w:rsidRDefault="00DD76A3" w:rsidP="00DD76A3">
            <w:pPr>
              <w:spacing w:after="0" w:line="240" w:lineRule="auto"/>
              <w:jc w:val="center"/>
              <w:rPr>
                <w:rFonts w:ascii="Times New Roman" w:hAnsi="Times New Roman" w:cs="Times New Roman"/>
                <w:i w:val="0"/>
                <w:sz w:val="24"/>
              </w:rPr>
            </w:pPr>
            <w:r w:rsidRPr="00DD76A3">
              <w:rPr>
                <w:rFonts w:ascii="Times New Roman" w:hAnsi="Times New Roman" w:cs="Times New Roman"/>
                <w:i w:val="0"/>
                <w:sz w:val="24"/>
              </w:rPr>
              <w:t>IDX Finance</w:t>
            </w:r>
          </w:p>
        </w:tc>
        <w:tc>
          <w:tcPr>
            <w:tcW w:w="2144" w:type="dxa"/>
          </w:tcPr>
          <w:p w14:paraId="255EA7C3" w14:textId="77777777" w:rsidR="00DD76A3" w:rsidRPr="00DD76A3" w:rsidRDefault="00DD76A3" w:rsidP="00DD76A3">
            <w:pPr>
              <w:spacing w:after="0" w:line="240" w:lineRule="auto"/>
              <w:jc w:val="center"/>
              <w:rPr>
                <w:rFonts w:ascii="Times New Roman" w:hAnsi="Times New Roman" w:cs="Times New Roman"/>
                <w:i w:val="0"/>
                <w:sz w:val="24"/>
              </w:rPr>
            </w:pPr>
            <w:r w:rsidRPr="00DD76A3">
              <w:rPr>
                <w:rFonts w:ascii="Times New Roman" w:hAnsi="Times New Roman" w:cs="Times New Roman"/>
                <w:i w:val="0"/>
                <w:sz w:val="24"/>
              </w:rPr>
              <w:t>7,28%</w:t>
            </w:r>
          </w:p>
        </w:tc>
      </w:tr>
      <w:tr w:rsidR="00DD76A3" w14:paraId="24C0B769" w14:textId="77777777" w:rsidTr="00DD76A3">
        <w:trPr>
          <w:trHeight w:val="255"/>
          <w:jc w:val="center"/>
        </w:trPr>
        <w:tc>
          <w:tcPr>
            <w:tcW w:w="1901" w:type="dxa"/>
          </w:tcPr>
          <w:p w14:paraId="05B27C2F" w14:textId="77777777" w:rsidR="00DD76A3" w:rsidRPr="00DD76A3" w:rsidRDefault="00DD76A3" w:rsidP="00DD76A3">
            <w:pPr>
              <w:spacing w:after="0" w:line="240" w:lineRule="auto"/>
              <w:jc w:val="center"/>
              <w:rPr>
                <w:rFonts w:ascii="Times New Roman" w:hAnsi="Times New Roman" w:cs="Times New Roman"/>
                <w:i w:val="0"/>
                <w:sz w:val="24"/>
              </w:rPr>
            </w:pPr>
            <w:r w:rsidRPr="00DD76A3">
              <w:rPr>
                <w:rFonts w:ascii="Times New Roman" w:hAnsi="Times New Roman" w:cs="Times New Roman"/>
                <w:i w:val="0"/>
                <w:sz w:val="24"/>
              </w:rPr>
              <w:t xml:space="preserve">IDX </w:t>
            </w:r>
            <w:proofErr w:type="spellStart"/>
            <w:r w:rsidRPr="00DD76A3">
              <w:rPr>
                <w:rFonts w:ascii="Times New Roman" w:hAnsi="Times New Roman" w:cs="Times New Roman"/>
                <w:i w:val="0"/>
                <w:sz w:val="24"/>
              </w:rPr>
              <w:t>Propert</w:t>
            </w:r>
            <w:proofErr w:type="spellEnd"/>
          </w:p>
        </w:tc>
        <w:tc>
          <w:tcPr>
            <w:tcW w:w="2144" w:type="dxa"/>
          </w:tcPr>
          <w:p w14:paraId="2B52DBA3" w14:textId="77777777" w:rsidR="00DD76A3" w:rsidRPr="00DD76A3" w:rsidRDefault="00DD76A3" w:rsidP="00DD76A3">
            <w:pPr>
              <w:spacing w:after="0" w:line="240" w:lineRule="auto"/>
              <w:jc w:val="center"/>
              <w:rPr>
                <w:rFonts w:ascii="Times New Roman" w:hAnsi="Times New Roman" w:cs="Times New Roman"/>
                <w:i w:val="0"/>
                <w:sz w:val="24"/>
              </w:rPr>
            </w:pPr>
            <w:r w:rsidRPr="00DD76A3">
              <w:rPr>
                <w:rFonts w:ascii="Times New Roman" w:hAnsi="Times New Roman" w:cs="Times New Roman"/>
                <w:i w:val="0"/>
                <w:sz w:val="24"/>
              </w:rPr>
              <w:t>4,23%</w:t>
            </w:r>
          </w:p>
        </w:tc>
      </w:tr>
      <w:tr w:rsidR="00DD76A3" w14:paraId="05CA36F2" w14:textId="77777777" w:rsidTr="00DD76A3">
        <w:trPr>
          <w:trHeight w:val="266"/>
          <w:jc w:val="center"/>
        </w:trPr>
        <w:tc>
          <w:tcPr>
            <w:tcW w:w="1901" w:type="dxa"/>
          </w:tcPr>
          <w:p w14:paraId="1048FDA8" w14:textId="77777777" w:rsidR="00DD76A3" w:rsidRPr="00DD76A3" w:rsidRDefault="00DD76A3" w:rsidP="00DD76A3">
            <w:pPr>
              <w:spacing w:after="0" w:line="240" w:lineRule="auto"/>
              <w:jc w:val="center"/>
              <w:rPr>
                <w:rFonts w:ascii="Times New Roman" w:hAnsi="Times New Roman" w:cs="Times New Roman"/>
                <w:i w:val="0"/>
                <w:sz w:val="24"/>
              </w:rPr>
            </w:pPr>
            <w:r w:rsidRPr="00DD76A3">
              <w:rPr>
                <w:rFonts w:ascii="Times New Roman" w:hAnsi="Times New Roman" w:cs="Times New Roman"/>
                <w:i w:val="0"/>
                <w:sz w:val="24"/>
              </w:rPr>
              <w:t>IDX Health</w:t>
            </w:r>
          </w:p>
        </w:tc>
        <w:tc>
          <w:tcPr>
            <w:tcW w:w="2144" w:type="dxa"/>
          </w:tcPr>
          <w:p w14:paraId="5B37C695" w14:textId="77777777" w:rsidR="00DD76A3" w:rsidRPr="00DD76A3" w:rsidRDefault="00DD76A3" w:rsidP="00DD76A3">
            <w:pPr>
              <w:spacing w:after="0" w:line="240" w:lineRule="auto"/>
              <w:jc w:val="center"/>
              <w:rPr>
                <w:rFonts w:ascii="Times New Roman" w:hAnsi="Times New Roman" w:cs="Times New Roman"/>
                <w:i w:val="0"/>
                <w:sz w:val="24"/>
              </w:rPr>
            </w:pPr>
            <w:r w:rsidRPr="00DD76A3">
              <w:rPr>
                <w:rFonts w:ascii="Times New Roman" w:hAnsi="Times New Roman" w:cs="Times New Roman"/>
                <w:i w:val="0"/>
                <w:sz w:val="24"/>
              </w:rPr>
              <w:t>(0,64)</w:t>
            </w:r>
          </w:p>
        </w:tc>
      </w:tr>
      <w:tr w:rsidR="00DD76A3" w14:paraId="29B25071" w14:textId="77777777" w:rsidTr="00DD76A3">
        <w:trPr>
          <w:trHeight w:val="266"/>
          <w:jc w:val="center"/>
        </w:trPr>
        <w:tc>
          <w:tcPr>
            <w:tcW w:w="1901" w:type="dxa"/>
          </w:tcPr>
          <w:p w14:paraId="39AA9C36" w14:textId="77777777" w:rsidR="00DD76A3" w:rsidRPr="00DD76A3" w:rsidRDefault="00DD76A3" w:rsidP="00DD76A3">
            <w:pPr>
              <w:spacing w:after="0" w:line="240" w:lineRule="auto"/>
              <w:jc w:val="center"/>
              <w:rPr>
                <w:rFonts w:ascii="Times New Roman" w:hAnsi="Times New Roman" w:cs="Times New Roman"/>
                <w:i w:val="0"/>
                <w:sz w:val="24"/>
              </w:rPr>
            </w:pPr>
            <w:r w:rsidRPr="00DD76A3">
              <w:rPr>
                <w:rFonts w:ascii="Times New Roman" w:hAnsi="Times New Roman" w:cs="Times New Roman"/>
                <w:i w:val="0"/>
                <w:sz w:val="24"/>
              </w:rPr>
              <w:t>IDX Techno</w:t>
            </w:r>
          </w:p>
        </w:tc>
        <w:tc>
          <w:tcPr>
            <w:tcW w:w="2144" w:type="dxa"/>
          </w:tcPr>
          <w:p w14:paraId="6137833B" w14:textId="77777777" w:rsidR="00DD76A3" w:rsidRPr="00DD76A3" w:rsidRDefault="00DD76A3" w:rsidP="00DD76A3">
            <w:pPr>
              <w:spacing w:after="0" w:line="240" w:lineRule="auto"/>
              <w:jc w:val="center"/>
              <w:rPr>
                <w:rFonts w:ascii="Times New Roman" w:hAnsi="Times New Roman" w:cs="Times New Roman"/>
                <w:i w:val="0"/>
                <w:sz w:val="24"/>
              </w:rPr>
            </w:pPr>
            <w:r w:rsidRPr="00DD76A3">
              <w:rPr>
                <w:rFonts w:ascii="Times New Roman" w:hAnsi="Times New Roman" w:cs="Times New Roman"/>
                <w:i w:val="0"/>
                <w:sz w:val="24"/>
              </w:rPr>
              <w:t>(12,5%)</w:t>
            </w:r>
          </w:p>
        </w:tc>
      </w:tr>
      <w:tr w:rsidR="00DD76A3" w14:paraId="304F7B12" w14:textId="77777777" w:rsidTr="00DD76A3">
        <w:trPr>
          <w:trHeight w:val="255"/>
          <w:jc w:val="center"/>
        </w:trPr>
        <w:tc>
          <w:tcPr>
            <w:tcW w:w="1901" w:type="dxa"/>
          </w:tcPr>
          <w:p w14:paraId="38C4C901" w14:textId="77777777" w:rsidR="00DD76A3" w:rsidRPr="00DD76A3" w:rsidRDefault="00DD76A3" w:rsidP="00DD76A3">
            <w:pPr>
              <w:spacing w:after="0" w:line="240" w:lineRule="auto"/>
              <w:jc w:val="center"/>
              <w:rPr>
                <w:rFonts w:ascii="Times New Roman" w:hAnsi="Times New Roman" w:cs="Times New Roman"/>
                <w:i w:val="0"/>
                <w:sz w:val="24"/>
              </w:rPr>
            </w:pPr>
            <w:r w:rsidRPr="00DD76A3">
              <w:rPr>
                <w:rFonts w:ascii="Times New Roman" w:hAnsi="Times New Roman" w:cs="Times New Roman"/>
                <w:i w:val="0"/>
                <w:sz w:val="24"/>
              </w:rPr>
              <w:t xml:space="preserve">IDX Basic </w:t>
            </w:r>
          </w:p>
        </w:tc>
        <w:tc>
          <w:tcPr>
            <w:tcW w:w="2144" w:type="dxa"/>
          </w:tcPr>
          <w:p w14:paraId="70600FEA" w14:textId="77777777" w:rsidR="00DD76A3" w:rsidRPr="00DD76A3" w:rsidRDefault="00DD76A3" w:rsidP="00DD76A3">
            <w:pPr>
              <w:spacing w:after="0" w:line="240" w:lineRule="auto"/>
              <w:jc w:val="center"/>
              <w:rPr>
                <w:rFonts w:ascii="Times New Roman" w:hAnsi="Times New Roman" w:cs="Times New Roman"/>
                <w:i w:val="0"/>
                <w:sz w:val="24"/>
              </w:rPr>
            </w:pPr>
            <w:r w:rsidRPr="00DD76A3">
              <w:rPr>
                <w:rFonts w:ascii="Times New Roman" w:hAnsi="Times New Roman" w:cs="Times New Roman"/>
                <w:i w:val="0"/>
                <w:sz w:val="24"/>
              </w:rPr>
              <w:t>(3,66%)</w:t>
            </w:r>
          </w:p>
        </w:tc>
      </w:tr>
      <w:tr w:rsidR="00DD76A3" w14:paraId="436F31CF" w14:textId="77777777" w:rsidTr="00DD76A3">
        <w:trPr>
          <w:trHeight w:val="266"/>
          <w:jc w:val="center"/>
        </w:trPr>
        <w:tc>
          <w:tcPr>
            <w:tcW w:w="1901" w:type="dxa"/>
          </w:tcPr>
          <w:p w14:paraId="74312D24" w14:textId="77777777" w:rsidR="00DD76A3" w:rsidRPr="00DD76A3" w:rsidRDefault="00DD76A3" w:rsidP="00DD76A3">
            <w:pPr>
              <w:spacing w:after="0" w:line="240" w:lineRule="auto"/>
              <w:jc w:val="center"/>
              <w:rPr>
                <w:rFonts w:ascii="Times New Roman" w:hAnsi="Times New Roman" w:cs="Times New Roman"/>
                <w:i w:val="0"/>
                <w:sz w:val="24"/>
              </w:rPr>
            </w:pPr>
            <w:r w:rsidRPr="00DD76A3">
              <w:rPr>
                <w:rFonts w:ascii="Times New Roman" w:hAnsi="Times New Roman" w:cs="Times New Roman"/>
                <w:i w:val="0"/>
                <w:sz w:val="24"/>
              </w:rPr>
              <w:t>IDX Infra</w:t>
            </w:r>
          </w:p>
        </w:tc>
        <w:tc>
          <w:tcPr>
            <w:tcW w:w="2144" w:type="dxa"/>
          </w:tcPr>
          <w:p w14:paraId="1D9DA27C" w14:textId="77777777" w:rsidR="00DD76A3" w:rsidRPr="00DD76A3" w:rsidRDefault="00DD76A3" w:rsidP="00DD76A3">
            <w:pPr>
              <w:spacing w:after="0" w:line="240" w:lineRule="auto"/>
              <w:jc w:val="center"/>
              <w:rPr>
                <w:rFonts w:ascii="Times New Roman" w:hAnsi="Times New Roman" w:cs="Times New Roman"/>
                <w:i w:val="0"/>
                <w:sz w:val="24"/>
              </w:rPr>
            </w:pPr>
            <w:r w:rsidRPr="00DD76A3">
              <w:rPr>
                <w:rFonts w:ascii="Times New Roman" w:hAnsi="Times New Roman" w:cs="Times New Roman"/>
                <w:i w:val="0"/>
                <w:sz w:val="24"/>
              </w:rPr>
              <w:t>9,56%</w:t>
            </w:r>
          </w:p>
        </w:tc>
      </w:tr>
      <w:tr w:rsidR="00DD76A3" w14:paraId="57938195" w14:textId="77777777" w:rsidTr="00DD76A3">
        <w:trPr>
          <w:trHeight w:val="255"/>
          <w:jc w:val="center"/>
        </w:trPr>
        <w:tc>
          <w:tcPr>
            <w:tcW w:w="1901" w:type="dxa"/>
          </w:tcPr>
          <w:p w14:paraId="1BD6A5F9" w14:textId="77777777" w:rsidR="00DD76A3" w:rsidRPr="00DD76A3" w:rsidRDefault="00DD76A3" w:rsidP="00DD76A3">
            <w:pPr>
              <w:spacing w:after="0" w:line="240" w:lineRule="auto"/>
              <w:jc w:val="center"/>
              <w:rPr>
                <w:rFonts w:ascii="Times New Roman" w:hAnsi="Times New Roman" w:cs="Times New Roman"/>
                <w:i w:val="0"/>
                <w:sz w:val="24"/>
              </w:rPr>
            </w:pPr>
            <w:r w:rsidRPr="00DD76A3">
              <w:rPr>
                <w:rFonts w:ascii="Times New Roman" w:hAnsi="Times New Roman" w:cs="Times New Roman"/>
                <w:i w:val="0"/>
                <w:sz w:val="24"/>
              </w:rPr>
              <w:t xml:space="preserve">IDX </w:t>
            </w:r>
            <w:proofErr w:type="spellStart"/>
            <w:r w:rsidRPr="00DD76A3">
              <w:rPr>
                <w:rFonts w:ascii="Times New Roman" w:hAnsi="Times New Roman" w:cs="Times New Roman"/>
                <w:i w:val="0"/>
                <w:sz w:val="24"/>
              </w:rPr>
              <w:t>Indust</w:t>
            </w:r>
            <w:proofErr w:type="spellEnd"/>
          </w:p>
        </w:tc>
        <w:tc>
          <w:tcPr>
            <w:tcW w:w="2144" w:type="dxa"/>
          </w:tcPr>
          <w:p w14:paraId="14A9F7C8" w14:textId="77777777" w:rsidR="00DD76A3" w:rsidRPr="00DD76A3" w:rsidRDefault="00DD76A3" w:rsidP="00DD76A3">
            <w:pPr>
              <w:spacing w:after="0" w:line="240" w:lineRule="auto"/>
              <w:jc w:val="center"/>
              <w:rPr>
                <w:rFonts w:ascii="Times New Roman" w:hAnsi="Times New Roman" w:cs="Times New Roman"/>
                <w:i w:val="0"/>
                <w:sz w:val="24"/>
              </w:rPr>
            </w:pPr>
            <w:r w:rsidRPr="00DD76A3">
              <w:rPr>
                <w:rFonts w:ascii="Times New Roman" w:hAnsi="Times New Roman" w:cs="Times New Roman"/>
                <w:i w:val="0"/>
                <w:sz w:val="24"/>
              </w:rPr>
              <w:t>11,97%</w:t>
            </w:r>
          </w:p>
        </w:tc>
      </w:tr>
    </w:tbl>
    <w:p w14:paraId="2D069C14" w14:textId="77777777" w:rsidR="00DD76A3" w:rsidRPr="00DD76A3" w:rsidRDefault="00DD76A3" w:rsidP="006D1435">
      <w:pPr>
        <w:spacing w:after="0"/>
        <w:ind w:firstLine="2127"/>
        <w:jc w:val="both"/>
        <w:rPr>
          <w:rFonts w:ascii="Times New Roman" w:hAnsi="Times New Roman" w:cs="Times New Roman"/>
          <w:i w:val="0"/>
          <w:color w:val="000000" w:themeColor="text1"/>
          <w:sz w:val="24"/>
        </w:rPr>
      </w:pPr>
      <w:proofErr w:type="gramStart"/>
      <w:r w:rsidRPr="00DD76A3">
        <w:rPr>
          <w:rFonts w:ascii="Times New Roman" w:hAnsi="Times New Roman" w:cs="Times New Roman"/>
          <w:i w:val="0"/>
          <w:color w:val="000000" w:themeColor="text1"/>
          <w:sz w:val="24"/>
        </w:rPr>
        <w:t>Source :</w:t>
      </w:r>
      <w:proofErr w:type="gramEnd"/>
      <w:r w:rsidRPr="00DD76A3">
        <w:rPr>
          <w:rFonts w:ascii="Times New Roman" w:hAnsi="Times New Roman" w:cs="Times New Roman"/>
          <w:i w:val="0"/>
          <w:color w:val="000000" w:themeColor="text1"/>
          <w:sz w:val="24"/>
        </w:rPr>
        <w:t xml:space="preserve"> IDX (2021)</w:t>
      </w:r>
    </w:p>
    <w:p w14:paraId="513FAFF8" w14:textId="77777777" w:rsidR="00F95848" w:rsidRDefault="00DD76A3" w:rsidP="00F95848">
      <w:pPr>
        <w:spacing w:after="0" w:line="240" w:lineRule="auto"/>
        <w:ind w:right="-20" w:firstLine="720"/>
        <w:jc w:val="both"/>
        <w:rPr>
          <w:rFonts w:ascii="Times New Roman" w:hAnsi="Times New Roman" w:cs="Times New Roman"/>
          <w:i w:val="0"/>
          <w:color w:val="000000" w:themeColor="text1"/>
          <w:sz w:val="24"/>
          <w:lang w:val="id-ID"/>
        </w:rPr>
      </w:pPr>
      <w:r w:rsidRPr="00DD76A3">
        <w:rPr>
          <w:rFonts w:ascii="Times New Roman" w:hAnsi="Times New Roman" w:cs="Times New Roman"/>
          <w:i w:val="0"/>
          <w:color w:val="000000" w:themeColor="text1"/>
          <w:sz w:val="24"/>
          <w:lang w:val="id-ID"/>
        </w:rPr>
        <w:t xml:space="preserve">Based on this table, it can be seen that the sectoral IDX Index has now been classified in the latest so that investors can easily perform accurate and detailed analysis. Of the 11 sectors affected by the COVID-19 pandemic, they slowly started to bounce back even though several performance sectors in the third quarter experienced strengthening and weakening due to the easing of the PPKM whose cases began to slope, with the hope that the economic recovery sentiment will recover quickly and national economic conditions will improve. From the energy sector, which at the beginning of the COVID-19 pandemic experienced poor performance, is now slowly starting to improve which makes this sector improve due to the strengthening of commodities such as coal which globally began to increase drastically, followed by the transportation sector which at the beginning of the COVID-19 pandemic 19 decreased due to the lack of community mobility, now since the easing of this PPKM sectoral has started to rise and community mobility has increased again. </w:t>
      </w:r>
    </w:p>
    <w:p w14:paraId="719E749E" w14:textId="6F48A71B" w:rsidR="00DD76A3" w:rsidRPr="00DD76A3" w:rsidRDefault="00DD76A3" w:rsidP="00F95848">
      <w:pPr>
        <w:spacing w:after="0" w:line="240" w:lineRule="auto"/>
        <w:ind w:right="-20" w:firstLine="720"/>
        <w:jc w:val="both"/>
        <w:rPr>
          <w:rFonts w:ascii="Times New Roman" w:hAnsi="Times New Roman" w:cs="Times New Roman"/>
          <w:i w:val="0"/>
          <w:color w:val="000000" w:themeColor="text1"/>
          <w:sz w:val="24"/>
          <w:lang w:val="id-ID"/>
        </w:rPr>
      </w:pPr>
      <w:r w:rsidRPr="00DD76A3">
        <w:rPr>
          <w:rFonts w:ascii="Times New Roman" w:hAnsi="Times New Roman" w:cs="Times New Roman"/>
          <w:i w:val="0"/>
          <w:color w:val="000000" w:themeColor="text1"/>
          <w:sz w:val="24"/>
          <w:lang w:val="id-ID"/>
        </w:rPr>
        <w:lastRenderedPageBreak/>
        <w:t>Then there is the financial sector, from the beginning of the COVID-19 pandemic, which has experienced positive performance, this is due to the existence of OJK's policy on digital banking which has made mini-bank stock prices begin to fall and the health sector since the beginning of the pandemic has experienced a strengthening and positive performance even though in this quarter it experienced positive performance. a slight weakening due to the condition of this pandemic starting to improve but this sector will also continue to improve.</w:t>
      </w:r>
    </w:p>
    <w:p w14:paraId="66ECCAEE" w14:textId="77777777" w:rsidR="00DD76A3" w:rsidRPr="00DD76A3" w:rsidRDefault="00DD76A3" w:rsidP="00F95848">
      <w:pPr>
        <w:spacing w:after="40" w:line="240" w:lineRule="auto"/>
        <w:ind w:right="-20" w:firstLine="720"/>
        <w:jc w:val="both"/>
        <w:rPr>
          <w:rFonts w:ascii="Times New Roman" w:hAnsi="Times New Roman" w:cs="Times New Roman"/>
          <w:i w:val="0"/>
          <w:color w:val="000000" w:themeColor="text1"/>
          <w:sz w:val="24"/>
          <w:lang w:val="id-ID"/>
        </w:rPr>
      </w:pPr>
      <w:r w:rsidRPr="00DD76A3">
        <w:rPr>
          <w:rFonts w:ascii="Times New Roman" w:hAnsi="Times New Roman" w:cs="Times New Roman"/>
          <w:i w:val="0"/>
          <w:color w:val="000000" w:themeColor="text1"/>
          <w:sz w:val="24"/>
          <w:lang w:val="id-ID"/>
        </w:rPr>
        <w:t>Seeing this phenomenon, investors must be observant and careful in viewing every capital market instrument that is used as an investment. With the Covid-19 pandemic, it can affect investment decisions in Indonesia because investors react sensitively to information provided by the market so that investors are careful in making investment decisions (Nugraha, 2021).</w:t>
      </w:r>
    </w:p>
    <w:p w14:paraId="2531FE47" w14:textId="77777777" w:rsidR="00DD76A3" w:rsidRPr="00DD76A3" w:rsidRDefault="00DD76A3" w:rsidP="00F95848">
      <w:pPr>
        <w:spacing w:after="0" w:line="240" w:lineRule="auto"/>
        <w:ind w:right="-20" w:firstLine="720"/>
        <w:jc w:val="both"/>
        <w:rPr>
          <w:rFonts w:ascii="Times New Roman" w:hAnsi="Times New Roman" w:cs="Times New Roman"/>
          <w:i w:val="0"/>
          <w:color w:val="000000" w:themeColor="text1"/>
          <w:sz w:val="24"/>
          <w:lang w:val="id-ID"/>
        </w:rPr>
      </w:pPr>
      <w:r w:rsidRPr="00DD76A3">
        <w:rPr>
          <w:rFonts w:ascii="Times New Roman" w:hAnsi="Times New Roman" w:cs="Times New Roman"/>
          <w:i w:val="0"/>
          <w:color w:val="000000" w:themeColor="text1"/>
          <w:sz w:val="24"/>
          <w:lang w:val="id-ID"/>
        </w:rPr>
        <w:t>In addition, investors have also taken into account the weakening and strengthening in several sectoral index sectors. Investment has a weakness, namely the risk of loss. In stocks, this risk is very high but behind it also stocks have very high profits. This type of stock investment has the opportunity to earn hundreds of percent of profits in a matter of months by being balanced with the same percentage of losses if the investment is not managed properly, especially during the Covid-19 pandemic.</w:t>
      </w:r>
    </w:p>
    <w:p w14:paraId="09F4C044" w14:textId="77777777" w:rsidR="00DD76A3" w:rsidRPr="00DD76A3" w:rsidRDefault="00DD76A3" w:rsidP="00F95848">
      <w:pPr>
        <w:spacing w:after="0" w:line="240" w:lineRule="auto"/>
        <w:ind w:right="-20" w:firstLine="720"/>
        <w:jc w:val="both"/>
        <w:rPr>
          <w:rFonts w:ascii="Times New Roman" w:hAnsi="Times New Roman" w:cs="Times New Roman"/>
          <w:i w:val="0"/>
          <w:color w:val="000000" w:themeColor="text1"/>
          <w:sz w:val="24"/>
          <w:lang w:val="id-ID"/>
        </w:rPr>
      </w:pPr>
      <w:r w:rsidRPr="00DD76A3">
        <w:rPr>
          <w:rFonts w:ascii="Times New Roman" w:hAnsi="Times New Roman" w:cs="Times New Roman"/>
          <w:i w:val="0"/>
          <w:color w:val="000000" w:themeColor="text1"/>
          <w:sz w:val="24"/>
          <w:lang w:val="id-ID"/>
        </w:rPr>
        <w:t>The risk experienced by investors in investing in stocks is not knowing the direction of the movement of a stock. Stocks have fluctuating movements. If an investor invests in this type of investment, the stock price can be the same, decrease or even increase in the future. The decline in stock prices is highly avoided by investors because it will result in losses. The amount of losses received by potential investors is proportional to the profits to be obtained by investors.</w:t>
      </w:r>
    </w:p>
    <w:p w14:paraId="0D809559" w14:textId="77777777" w:rsidR="00DD76A3" w:rsidRPr="00DD76A3" w:rsidRDefault="00DD76A3" w:rsidP="00F95848">
      <w:pPr>
        <w:spacing w:after="0" w:line="240" w:lineRule="auto"/>
        <w:ind w:right="-20" w:firstLine="720"/>
        <w:jc w:val="both"/>
        <w:rPr>
          <w:rFonts w:ascii="Times New Roman" w:hAnsi="Times New Roman" w:cs="Times New Roman"/>
          <w:i w:val="0"/>
          <w:color w:val="000000" w:themeColor="text1"/>
          <w:sz w:val="24"/>
          <w:lang w:val="id-ID"/>
        </w:rPr>
      </w:pPr>
      <w:r w:rsidRPr="00DD76A3">
        <w:rPr>
          <w:rFonts w:ascii="Times New Roman" w:hAnsi="Times New Roman" w:cs="Times New Roman"/>
          <w:i w:val="0"/>
          <w:color w:val="000000" w:themeColor="text1"/>
          <w:sz w:val="24"/>
          <w:lang w:val="id-ID"/>
        </w:rPr>
        <w:t>One way to prevent the risk of loss from stocks is to conduct stock valuations, also known as stock valuations. Careful assessment or valuation of shares will minimize the risk of incorrectly choosing shares. Stock price assessments often experience conditions where the stock price value does not match the market price value. This condition is said to be overvalued when the stock valuation results are lower than the market price and if the opposite occurs, it is called undervalued (Suryanto, 2016). Shares are not eligible to be purchased if the calculation result of the share valuation value is lower than the market value. Conversely, if the stock valuation shows a higher number than the market price, it means that the stock is sufficient to buy.</w:t>
      </w:r>
    </w:p>
    <w:p w14:paraId="0F3FCC78" w14:textId="77777777" w:rsidR="00DD76A3" w:rsidRDefault="00DD76A3" w:rsidP="00F95848">
      <w:pPr>
        <w:spacing w:after="0" w:line="240" w:lineRule="auto"/>
        <w:ind w:right="-20" w:firstLine="720"/>
        <w:jc w:val="both"/>
        <w:rPr>
          <w:rFonts w:ascii="Times New Roman" w:hAnsi="Times New Roman" w:cs="Times New Roman"/>
          <w:i w:val="0"/>
          <w:color w:val="000000" w:themeColor="text1"/>
          <w:sz w:val="24"/>
          <w:lang w:val="id-ID"/>
        </w:rPr>
      </w:pPr>
      <w:r w:rsidRPr="00DD76A3">
        <w:rPr>
          <w:rFonts w:ascii="Times New Roman" w:hAnsi="Times New Roman" w:cs="Times New Roman"/>
          <w:i w:val="0"/>
          <w:color w:val="000000" w:themeColor="text1"/>
          <w:sz w:val="24"/>
          <w:lang w:val="id-ID"/>
        </w:rPr>
        <w:t xml:space="preserve">Fundamental analysis can be used for stock valuation. Fundamental analysis can be done using the company's financial data to calculate the intrinsic value of the stock. For fundamental analysis, there are two approaches to calculating stock values, namely the Present Value Approach and the Price Earning Ratio (PER) approach (Natalia, E.R, &amp; Yulita, 2019). </w:t>
      </w:r>
    </w:p>
    <w:p w14:paraId="18EE23FE" w14:textId="624514E7" w:rsidR="00DD76A3" w:rsidRPr="00DD76A3" w:rsidRDefault="00DD76A3" w:rsidP="00F95848">
      <w:pPr>
        <w:spacing w:after="0" w:line="240" w:lineRule="auto"/>
        <w:ind w:right="-20" w:firstLine="720"/>
        <w:jc w:val="both"/>
        <w:rPr>
          <w:rFonts w:ascii="Times New Roman" w:hAnsi="Times New Roman" w:cs="Times New Roman"/>
          <w:i w:val="0"/>
          <w:color w:val="000000" w:themeColor="text1"/>
          <w:sz w:val="24"/>
          <w:lang w:val="id-ID"/>
        </w:rPr>
      </w:pPr>
      <w:r w:rsidRPr="00DD76A3">
        <w:rPr>
          <w:rFonts w:ascii="Times New Roman" w:hAnsi="Times New Roman" w:cs="Times New Roman"/>
          <w:i w:val="0"/>
          <w:color w:val="000000" w:themeColor="text1"/>
          <w:sz w:val="24"/>
          <w:lang w:val="id-ID"/>
        </w:rPr>
        <w:t>One model that uses the dividend component to determine stock value (present value approach) is the Dividend Discounted Model (DDM), which is used to determine stock price estimates by discounting all dividend flows that will be received in the future (Tandelilin, 2017).</w:t>
      </w:r>
    </w:p>
    <w:p w14:paraId="402D8C02" w14:textId="324DF691" w:rsidR="00DD76A3" w:rsidRDefault="00DD76A3" w:rsidP="00F95848">
      <w:pPr>
        <w:spacing w:after="0" w:line="240" w:lineRule="auto"/>
        <w:ind w:right="-20" w:firstLine="720"/>
        <w:jc w:val="both"/>
        <w:rPr>
          <w:rFonts w:ascii="Times New Roman" w:hAnsi="Times New Roman" w:cs="Times New Roman"/>
          <w:i w:val="0"/>
          <w:color w:val="000000" w:themeColor="text1"/>
          <w:sz w:val="24"/>
          <w:lang w:val="id-ID"/>
        </w:rPr>
      </w:pPr>
      <w:r w:rsidRPr="00DD76A3">
        <w:rPr>
          <w:rFonts w:ascii="Times New Roman" w:hAnsi="Times New Roman" w:cs="Times New Roman"/>
          <w:i w:val="0"/>
          <w:color w:val="000000" w:themeColor="text1"/>
          <w:sz w:val="24"/>
          <w:lang w:val="id-ID"/>
        </w:rPr>
        <w:t>Based on the theory, the DDM approach is better than the PER approach. Besides DDM, there is another stock valuation method, namely Price to Book Value (PBV). PBV is an approach used to value a stock by looking at the relationship between market price and book value per share (Tandelilin, 2017; Zeren &amp; Hizarci, 2020).</w:t>
      </w:r>
    </w:p>
    <w:p w14:paraId="4CE735B3" w14:textId="2D3E0AB5" w:rsidR="007450B1" w:rsidRPr="00DD76A3" w:rsidRDefault="00DD76A3" w:rsidP="00F95848">
      <w:pPr>
        <w:spacing w:after="40" w:line="240" w:lineRule="auto"/>
        <w:ind w:right="-20" w:firstLine="720"/>
        <w:jc w:val="both"/>
        <w:rPr>
          <w:rFonts w:ascii="Times New Roman" w:hAnsi="Times New Roman" w:cs="Times New Roman"/>
          <w:i w:val="0"/>
          <w:color w:val="000000" w:themeColor="text1"/>
          <w:sz w:val="24"/>
          <w:lang w:val="id-ID"/>
        </w:rPr>
      </w:pPr>
      <w:r w:rsidRPr="00DD76A3">
        <w:rPr>
          <w:rFonts w:ascii="Times New Roman" w:hAnsi="Times New Roman" w:cs="Times New Roman"/>
          <w:i w:val="0"/>
          <w:color w:val="000000" w:themeColor="text1"/>
          <w:sz w:val="24"/>
          <w:lang w:val="id-ID"/>
        </w:rPr>
        <w:t>Based on this, with the phenomenon described above and previous studies, the researcher will analyze stock valuations in making investment decisions during the COVID-19 pandemic (a case study on sectoral indexes affected by the COVID-19 pandemic in the third quarter of the year 2021).</w:t>
      </w:r>
    </w:p>
    <w:p w14:paraId="65DDE0E6" w14:textId="77777777" w:rsidR="00F95848" w:rsidRDefault="00F95848" w:rsidP="004D6955">
      <w:pPr>
        <w:spacing w:after="0" w:line="240" w:lineRule="auto"/>
        <w:jc w:val="both"/>
        <w:rPr>
          <w:rFonts w:ascii="Times New Roman" w:hAnsi="Times New Roman" w:cs="Times New Roman"/>
          <w:b/>
          <w:i w:val="0"/>
          <w:sz w:val="24"/>
          <w:szCs w:val="24"/>
        </w:rPr>
      </w:pPr>
    </w:p>
    <w:p w14:paraId="7F4F67BA" w14:textId="77777777" w:rsidR="00F95848" w:rsidRDefault="00F95848" w:rsidP="004D6955">
      <w:pPr>
        <w:spacing w:after="0" w:line="240" w:lineRule="auto"/>
        <w:jc w:val="both"/>
        <w:rPr>
          <w:rFonts w:ascii="Times New Roman" w:hAnsi="Times New Roman" w:cs="Times New Roman"/>
          <w:b/>
          <w:i w:val="0"/>
          <w:sz w:val="24"/>
          <w:szCs w:val="24"/>
        </w:rPr>
      </w:pPr>
    </w:p>
    <w:p w14:paraId="5D03E6F9" w14:textId="2B052454" w:rsidR="004D6955" w:rsidRPr="00E65F33" w:rsidRDefault="006A50CF" w:rsidP="004D6955">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rPr>
        <w:lastRenderedPageBreak/>
        <w:t xml:space="preserve">LITERATURE REVIEW </w:t>
      </w:r>
    </w:p>
    <w:p w14:paraId="200C1690" w14:textId="77777777" w:rsidR="00DD76A3" w:rsidRPr="00DD76A3" w:rsidRDefault="00DD76A3" w:rsidP="00DD76A3">
      <w:pPr>
        <w:spacing w:before="40" w:after="0"/>
        <w:ind w:right="225"/>
        <w:jc w:val="both"/>
        <w:rPr>
          <w:rFonts w:ascii="Times New Roman" w:hAnsi="Times New Roman" w:cs="Times New Roman"/>
          <w:b/>
          <w:i w:val="0"/>
          <w:color w:val="000000" w:themeColor="text1"/>
          <w:sz w:val="24"/>
        </w:rPr>
      </w:pPr>
      <w:proofErr w:type="spellStart"/>
      <w:r w:rsidRPr="00DD76A3">
        <w:rPr>
          <w:rFonts w:ascii="Times New Roman" w:hAnsi="Times New Roman" w:cs="Times New Roman"/>
          <w:b/>
          <w:i w:val="0"/>
          <w:color w:val="000000" w:themeColor="text1"/>
          <w:sz w:val="24"/>
        </w:rPr>
        <w:t>Therory</w:t>
      </w:r>
      <w:proofErr w:type="spellEnd"/>
      <w:r w:rsidRPr="00DD76A3">
        <w:rPr>
          <w:rFonts w:ascii="Times New Roman" w:hAnsi="Times New Roman" w:cs="Times New Roman"/>
          <w:b/>
          <w:i w:val="0"/>
          <w:color w:val="000000" w:themeColor="text1"/>
          <w:sz w:val="24"/>
        </w:rPr>
        <w:t xml:space="preserve"> Signaling</w:t>
      </w:r>
    </w:p>
    <w:p w14:paraId="0ACA4F75" w14:textId="77777777" w:rsidR="00DD76A3" w:rsidRPr="00DD76A3" w:rsidRDefault="00DD76A3" w:rsidP="00F95848">
      <w:pPr>
        <w:spacing w:before="40" w:after="0" w:line="240" w:lineRule="auto"/>
        <w:ind w:right="70" w:firstLine="720"/>
        <w:jc w:val="both"/>
        <w:rPr>
          <w:rFonts w:ascii="Times New Roman" w:hAnsi="Times New Roman" w:cs="Times New Roman"/>
          <w:i w:val="0"/>
          <w:color w:val="000000" w:themeColor="text1"/>
          <w:sz w:val="24"/>
        </w:rPr>
      </w:pPr>
      <w:proofErr w:type="spellStart"/>
      <w:r w:rsidRPr="00DD76A3">
        <w:rPr>
          <w:rFonts w:ascii="Times New Roman" w:hAnsi="Times New Roman" w:cs="Times New Roman"/>
          <w:i w:val="0"/>
          <w:color w:val="000000" w:themeColor="text1"/>
          <w:sz w:val="24"/>
        </w:rPr>
        <w:t>Jogiyanto</w:t>
      </w:r>
      <w:proofErr w:type="spellEnd"/>
      <w:r w:rsidRPr="00DD76A3">
        <w:rPr>
          <w:rFonts w:ascii="Times New Roman" w:hAnsi="Times New Roman" w:cs="Times New Roman"/>
          <w:i w:val="0"/>
          <w:color w:val="000000" w:themeColor="text1"/>
          <w:sz w:val="24"/>
        </w:rPr>
        <w:t xml:space="preserve"> (2018), the signaling theory states that good quality companies will intentionally give signals to the market. The market reaction is known by changes in stock prices when the information is announced and all market participants have received the information. Market participants interpret and analyze this information as a good signal (good news) or a bad signal (bad news). Thus investors can distinguish between good and bad quality companies. Information published as an announcement will provide a signal for investors in making investment decisions.</w:t>
      </w:r>
    </w:p>
    <w:p w14:paraId="0E56F760" w14:textId="77777777" w:rsidR="00DD76A3" w:rsidRPr="00DD76A3" w:rsidRDefault="00DD76A3" w:rsidP="00DD76A3">
      <w:pPr>
        <w:spacing w:before="40" w:after="0" w:line="240" w:lineRule="auto"/>
        <w:ind w:right="225"/>
        <w:jc w:val="both"/>
        <w:rPr>
          <w:rFonts w:ascii="Times New Roman" w:hAnsi="Times New Roman" w:cs="Times New Roman"/>
          <w:b/>
          <w:i w:val="0"/>
          <w:color w:val="000000" w:themeColor="text1"/>
          <w:sz w:val="24"/>
        </w:rPr>
      </w:pPr>
      <w:r w:rsidRPr="00DD76A3">
        <w:rPr>
          <w:rFonts w:ascii="Times New Roman" w:hAnsi="Times New Roman" w:cs="Times New Roman"/>
          <w:b/>
          <w:i w:val="0"/>
          <w:color w:val="000000" w:themeColor="text1"/>
          <w:sz w:val="24"/>
        </w:rPr>
        <w:t>Investment</w:t>
      </w:r>
    </w:p>
    <w:p w14:paraId="395CD65F" w14:textId="77777777" w:rsidR="00DD76A3" w:rsidRPr="00DD76A3" w:rsidRDefault="00DD76A3" w:rsidP="00F95848">
      <w:pPr>
        <w:spacing w:before="40" w:after="0" w:line="240" w:lineRule="auto"/>
        <w:ind w:right="70" w:firstLine="720"/>
        <w:jc w:val="both"/>
        <w:rPr>
          <w:rFonts w:ascii="Times New Roman" w:hAnsi="Times New Roman" w:cs="Times New Roman"/>
          <w:i w:val="0"/>
          <w:color w:val="000000" w:themeColor="text1"/>
          <w:sz w:val="24"/>
        </w:rPr>
      </w:pPr>
      <w:proofErr w:type="spellStart"/>
      <w:r w:rsidRPr="00DD76A3">
        <w:rPr>
          <w:rFonts w:ascii="Times New Roman" w:hAnsi="Times New Roman" w:cs="Times New Roman"/>
          <w:i w:val="0"/>
          <w:color w:val="000000" w:themeColor="text1"/>
          <w:sz w:val="24"/>
        </w:rPr>
        <w:t>Kasmir</w:t>
      </w:r>
      <w:proofErr w:type="spellEnd"/>
      <w:r w:rsidRPr="00DD76A3">
        <w:rPr>
          <w:rFonts w:ascii="Times New Roman" w:hAnsi="Times New Roman" w:cs="Times New Roman"/>
          <w:i w:val="0"/>
          <w:color w:val="000000" w:themeColor="text1"/>
          <w:sz w:val="24"/>
        </w:rPr>
        <w:t xml:space="preserve"> (2017), investment is investment in an activity that has a relatively long period of time in various business midwives. Investment that is invested in a narrow sense is in the form of certain projects, both physical and non-physical, such as projects for the construction of factories, roads, bridges, building construction and research and development projects.</w:t>
      </w:r>
    </w:p>
    <w:p w14:paraId="3998D2B4" w14:textId="77777777" w:rsidR="00DD76A3" w:rsidRPr="00DD76A3" w:rsidRDefault="00DD76A3" w:rsidP="00F95848">
      <w:pPr>
        <w:spacing w:before="40" w:after="0" w:line="240" w:lineRule="auto"/>
        <w:ind w:right="225"/>
        <w:jc w:val="both"/>
        <w:rPr>
          <w:rFonts w:ascii="Times New Roman" w:hAnsi="Times New Roman" w:cs="Times New Roman"/>
          <w:b/>
          <w:i w:val="0"/>
          <w:color w:val="000000" w:themeColor="text1"/>
          <w:sz w:val="24"/>
        </w:rPr>
      </w:pPr>
      <w:r w:rsidRPr="00DD76A3">
        <w:rPr>
          <w:rFonts w:ascii="Times New Roman" w:hAnsi="Times New Roman" w:cs="Times New Roman"/>
          <w:b/>
          <w:i w:val="0"/>
          <w:color w:val="000000" w:themeColor="text1"/>
          <w:sz w:val="24"/>
        </w:rPr>
        <w:t>Stock</w:t>
      </w:r>
    </w:p>
    <w:p w14:paraId="36D81537" w14:textId="4C4AC862" w:rsidR="00DD76A3" w:rsidRPr="00DD76A3" w:rsidRDefault="00DD76A3" w:rsidP="00F95848">
      <w:pPr>
        <w:spacing w:after="0" w:line="240" w:lineRule="auto"/>
        <w:ind w:right="70" w:firstLine="720"/>
        <w:jc w:val="both"/>
        <w:rPr>
          <w:rFonts w:ascii="Times New Roman" w:hAnsi="Times New Roman" w:cs="Times New Roman"/>
          <w:i w:val="0"/>
          <w:color w:val="000000" w:themeColor="text1"/>
          <w:sz w:val="24"/>
        </w:rPr>
      </w:pPr>
      <w:proofErr w:type="spellStart"/>
      <w:r w:rsidRPr="00DD76A3">
        <w:rPr>
          <w:rFonts w:ascii="Times New Roman" w:hAnsi="Times New Roman" w:cs="Times New Roman"/>
          <w:i w:val="0"/>
          <w:color w:val="000000" w:themeColor="text1"/>
          <w:sz w:val="24"/>
        </w:rPr>
        <w:t>Kasmir</w:t>
      </w:r>
      <w:proofErr w:type="spellEnd"/>
      <w:r w:rsidRPr="00DD76A3">
        <w:rPr>
          <w:rFonts w:ascii="Times New Roman" w:hAnsi="Times New Roman" w:cs="Times New Roman"/>
          <w:i w:val="0"/>
          <w:color w:val="000000" w:themeColor="text1"/>
          <w:sz w:val="24"/>
        </w:rPr>
        <w:t xml:space="preserve"> (2017), Shares are</w:t>
      </w:r>
      <w:r w:rsidR="00F95848">
        <w:rPr>
          <w:rFonts w:ascii="Times New Roman" w:hAnsi="Times New Roman" w:cs="Times New Roman"/>
          <w:i w:val="0"/>
          <w:color w:val="000000" w:themeColor="text1"/>
          <w:sz w:val="24"/>
        </w:rPr>
        <w:t xml:space="preserve"> securities that are </w:t>
      </w:r>
      <w:proofErr w:type="spellStart"/>
      <w:proofErr w:type="gramStart"/>
      <w:r w:rsidR="00F95848" w:rsidRPr="006D1435">
        <w:rPr>
          <w:rFonts w:ascii="Times New Roman" w:hAnsi="Times New Roman" w:cs="Times New Roman"/>
          <w:i w:val="0"/>
          <w:color w:val="000000" w:themeColor="text1"/>
          <w:sz w:val="24"/>
        </w:rPr>
        <w:t>ownership.</w:t>
      </w:r>
      <w:r w:rsidRPr="006D1435">
        <w:rPr>
          <w:rFonts w:ascii="Times New Roman" w:hAnsi="Times New Roman" w:cs="Times New Roman"/>
          <w:i w:val="0"/>
          <w:color w:val="000000" w:themeColor="text1"/>
          <w:sz w:val="24"/>
        </w:rPr>
        <w:t>This</w:t>
      </w:r>
      <w:proofErr w:type="spellEnd"/>
      <w:proofErr w:type="gramEnd"/>
      <w:r w:rsidRPr="00DD76A3">
        <w:rPr>
          <w:rFonts w:ascii="Times New Roman" w:hAnsi="Times New Roman" w:cs="Times New Roman"/>
          <w:i w:val="0"/>
          <w:color w:val="000000" w:themeColor="text1"/>
          <w:sz w:val="24"/>
        </w:rPr>
        <w:t xml:space="preserve"> means that the shareholder is the owner of the company, the larger the shares he has, the greater his power in the company.</w:t>
      </w:r>
    </w:p>
    <w:p w14:paraId="1AB29FF2" w14:textId="77777777" w:rsidR="00DD76A3" w:rsidRPr="00DD76A3" w:rsidRDefault="00DD76A3" w:rsidP="00DD76A3">
      <w:pPr>
        <w:spacing w:before="40" w:after="0" w:line="240" w:lineRule="auto"/>
        <w:ind w:right="225"/>
        <w:jc w:val="both"/>
        <w:rPr>
          <w:rFonts w:ascii="Times New Roman" w:hAnsi="Times New Roman" w:cs="Times New Roman"/>
          <w:b/>
          <w:i w:val="0"/>
          <w:color w:val="000000" w:themeColor="text1"/>
          <w:sz w:val="24"/>
        </w:rPr>
      </w:pPr>
      <w:r w:rsidRPr="00DD76A3">
        <w:rPr>
          <w:rFonts w:ascii="Times New Roman" w:hAnsi="Times New Roman" w:cs="Times New Roman"/>
          <w:b/>
          <w:i w:val="0"/>
          <w:color w:val="000000" w:themeColor="text1"/>
          <w:sz w:val="24"/>
        </w:rPr>
        <w:t>Stock Valuation</w:t>
      </w:r>
    </w:p>
    <w:p w14:paraId="51AECCE5" w14:textId="77777777" w:rsidR="00DD76A3" w:rsidRPr="00DD76A3" w:rsidRDefault="00DD76A3" w:rsidP="00F95848">
      <w:pPr>
        <w:spacing w:before="40" w:after="0" w:line="240" w:lineRule="auto"/>
        <w:ind w:right="70" w:firstLine="720"/>
        <w:jc w:val="both"/>
        <w:rPr>
          <w:rFonts w:ascii="Times New Roman" w:hAnsi="Times New Roman" w:cs="Times New Roman"/>
          <w:i w:val="0"/>
          <w:color w:val="000000" w:themeColor="text1"/>
          <w:sz w:val="24"/>
        </w:rPr>
      </w:pPr>
      <w:proofErr w:type="spellStart"/>
      <w:r w:rsidRPr="00DD76A3">
        <w:rPr>
          <w:rFonts w:ascii="Times New Roman" w:hAnsi="Times New Roman" w:cs="Times New Roman"/>
          <w:i w:val="0"/>
          <w:color w:val="000000" w:themeColor="text1"/>
          <w:sz w:val="24"/>
        </w:rPr>
        <w:t>Tandellin</w:t>
      </w:r>
      <w:proofErr w:type="spellEnd"/>
      <w:r w:rsidRPr="00DD76A3">
        <w:rPr>
          <w:rFonts w:ascii="Times New Roman" w:hAnsi="Times New Roman" w:cs="Times New Roman"/>
          <w:i w:val="0"/>
          <w:color w:val="000000" w:themeColor="text1"/>
          <w:sz w:val="24"/>
        </w:rPr>
        <w:t xml:space="preserve"> (2017), Stock Valuation is a series of ways to change several economic variables or companies that are estimated to be forecasts about stock prices that are useful as a method for finding stock values that are a measure of investing in securities. Analysis in stock valuation consists of two of the most common techniques in stocks, namely technical and fundamental analysis. Technical analysis is an analytical method that predicts by looking at historical data on stock movements in making short-term investment decisions. Meanwhile, fundamental analysis is an analytical method that focuses on the company's financial performance such as financial statements.</w:t>
      </w:r>
    </w:p>
    <w:p w14:paraId="39F7600F" w14:textId="77777777" w:rsidR="00DD76A3" w:rsidRPr="00DD76A3" w:rsidRDefault="00DD76A3" w:rsidP="00F95848">
      <w:pPr>
        <w:spacing w:before="40" w:after="0" w:line="240" w:lineRule="auto"/>
        <w:ind w:right="70"/>
        <w:jc w:val="both"/>
        <w:rPr>
          <w:rFonts w:ascii="Times New Roman" w:hAnsi="Times New Roman" w:cs="Times New Roman"/>
          <w:i w:val="0"/>
          <w:color w:val="000000" w:themeColor="text1"/>
          <w:sz w:val="24"/>
          <w:lang w:val="id-ID"/>
        </w:rPr>
      </w:pPr>
      <w:r w:rsidRPr="00DD76A3">
        <w:rPr>
          <w:rFonts w:ascii="Times New Roman" w:hAnsi="Times New Roman" w:cs="Times New Roman"/>
          <w:i w:val="0"/>
          <w:color w:val="000000" w:themeColor="text1"/>
          <w:sz w:val="24"/>
          <w:lang w:val="id-ID"/>
        </w:rPr>
        <w:t>The stock valuation model consists of three types of values, namely book value, market value, and intrinsic value. Book value is the value based on the books of the issuer company. The market price is the share value represented by the stock price in the capital market. Intrinsic value is the actual or expected value of the stock. Stock valuation aims to produce a comparison of the intrinsic value with the market price of a stock.</w:t>
      </w:r>
    </w:p>
    <w:p w14:paraId="622CE462" w14:textId="77777777" w:rsidR="00DD76A3" w:rsidRPr="00DD76A3" w:rsidRDefault="00DD76A3" w:rsidP="00DD76A3">
      <w:pPr>
        <w:spacing w:after="40" w:line="240" w:lineRule="auto"/>
        <w:ind w:right="225"/>
        <w:jc w:val="both"/>
        <w:rPr>
          <w:rFonts w:ascii="Times New Roman" w:hAnsi="Times New Roman" w:cs="Times New Roman"/>
          <w:b/>
          <w:i w:val="0"/>
          <w:color w:val="000000" w:themeColor="text1"/>
          <w:sz w:val="24"/>
        </w:rPr>
      </w:pPr>
      <w:r w:rsidRPr="00DD76A3">
        <w:rPr>
          <w:rFonts w:ascii="Times New Roman" w:hAnsi="Times New Roman" w:cs="Times New Roman"/>
          <w:b/>
          <w:i w:val="0"/>
          <w:color w:val="000000" w:themeColor="text1"/>
          <w:sz w:val="24"/>
        </w:rPr>
        <w:t>PBV (Price Book Value)</w:t>
      </w:r>
    </w:p>
    <w:p w14:paraId="6F4261A2" w14:textId="77777777" w:rsidR="00DD76A3" w:rsidRPr="00DD76A3" w:rsidRDefault="00DD76A3" w:rsidP="00F95848">
      <w:pPr>
        <w:spacing w:after="40" w:line="240" w:lineRule="auto"/>
        <w:ind w:right="70" w:firstLine="720"/>
        <w:jc w:val="both"/>
        <w:rPr>
          <w:rFonts w:ascii="Times New Roman" w:hAnsi="Times New Roman" w:cs="Times New Roman"/>
          <w:i w:val="0"/>
          <w:color w:val="000000" w:themeColor="text1"/>
          <w:sz w:val="24"/>
          <w:lang w:val="id-ID"/>
        </w:rPr>
      </w:pPr>
      <w:r w:rsidRPr="00DD76A3">
        <w:rPr>
          <w:rFonts w:ascii="Times New Roman" w:hAnsi="Times New Roman" w:cs="Times New Roman"/>
          <w:i w:val="0"/>
          <w:color w:val="000000" w:themeColor="text1"/>
          <w:sz w:val="24"/>
          <w:lang w:val="id-ID"/>
        </w:rPr>
        <w:t>Price book value (PBV) is a stock valuation method based on book value. Book value is the value of equity divided by the number of shares outstanding or the value of equity per share. A high PBV reflects a high share price compared to the book value per share. The higher the share price, the more successful the company is at creating shareholder value. (Nugraha E. S and Sulasmiyati S, 2017).</w:t>
      </w:r>
    </w:p>
    <w:p w14:paraId="60A8827B" w14:textId="77777777" w:rsidR="00DD76A3" w:rsidRPr="00DD76A3" w:rsidRDefault="00DD76A3" w:rsidP="00F95848">
      <w:pPr>
        <w:spacing w:after="40" w:line="240" w:lineRule="auto"/>
        <w:ind w:right="70"/>
        <w:jc w:val="both"/>
        <w:rPr>
          <w:rFonts w:ascii="Times New Roman" w:hAnsi="Times New Roman" w:cs="Times New Roman"/>
          <w:i w:val="0"/>
          <w:color w:val="000000" w:themeColor="text1"/>
          <w:sz w:val="24"/>
          <w:lang w:val="id-ID"/>
        </w:rPr>
      </w:pPr>
      <w:r w:rsidRPr="00DD76A3">
        <w:rPr>
          <w:rFonts w:ascii="Times New Roman" w:hAnsi="Times New Roman" w:cs="Times New Roman"/>
          <w:i w:val="0"/>
          <w:color w:val="000000" w:themeColor="text1"/>
          <w:sz w:val="24"/>
          <w:lang w:val="id-ID"/>
        </w:rPr>
        <w:t>The following is the PBV approach as follows</w:t>
      </w:r>
      <w:r w:rsidRPr="00DD76A3">
        <w:rPr>
          <w:rFonts w:ascii="Times New Roman" w:hAnsi="Times New Roman" w:cs="Times New Roman"/>
          <w:i w:val="0"/>
          <w:color w:val="000000" w:themeColor="text1"/>
          <w:sz w:val="24"/>
        </w:rPr>
        <w:t xml:space="preserve"> </w:t>
      </w:r>
      <w:r w:rsidRPr="00DD76A3">
        <w:rPr>
          <w:rFonts w:ascii="Times New Roman" w:hAnsi="Times New Roman" w:cs="Times New Roman"/>
          <w:i w:val="0"/>
          <w:color w:val="000000" w:themeColor="text1"/>
          <w:sz w:val="24"/>
          <w:lang w:val="id-ID"/>
        </w:rPr>
        <w:t>:</w:t>
      </w:r>
    </w:p>
    <w:p w14:paraId="0B943AA6" w14:textId="77777777" w:rsidR="00F95848" w:rsidRDefault="00F95848" w:rsidP="00DD76A3">
      <w:pPr>
        <w:spacing w:before="40" w:after="40"/>
        <w:ind w:right="225" w:firstLine="720"/>
        <w:jc w:val="center"/>
        <w:rPr>
          <w:rFonts w:ascii="Times New Roman" w:hAnsi="Times New Roman" w:cs="Times New Roman"/>
          <w:color w:val="000000" w:themeColor="text1"/>
          <w:lang w:val="id-ID"/>
        </w:rPr>
      </w:pPr>
    </w:p>
    <w:p w14:paraId="3BA281A0" w14:textId="6FC2D210" w:rsidR="00DD76A3" w:rsidRPr="00EC2D53" w:rsidRDefault="00DD76A3" w:rsidP="00DD76A3">
      <w:pPr>
        <w:spacing w:before="40" w:after="40"/>
        <w:ind w:right="225" w:firstLine="720"/>
        <w:jc w:val="center"/>
        <w:rPr>
          <w:rFonts w:ascii="Times New Roman" w:hAnsi="Times New Roman" w:cs="Times New Roman"/>
          <w:color w:val="000000" w:themeColor="text1"/>
          <w:lang w:val="id-ID"/>
        </w:rPr>
      </w:pPr>
      <w:r w:rsidRPr="00EC2D53">
        <w:rPr>
          <w:rFonts w:ascii="Times New Roman" w:hAnsi="Times New Roman" w:cs="Times New Roman"/>
          <w:noProof/>
          <w:lang w:bidi="ar-SA"/>
        </w:rPr>
        <w:drawing>
          <wp:inline distT="0" distB="0" distL="0" distR="0" wp14:anchorId="2C4A6171" wp14:editId="3C88E85E">
            <wp:extent cx="2609850" cy="600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09850" cy="600075"/>
                    </a:xfrm>
                    <a:prstGeom prst="rect">
                      <a:avLst/>
                    </a:prstGeom>
                  </pic:spPr>
                </pic:pic>
              </a:graphicData>
            </a:graphic>
          </wp:inline>
        </w:drawing>
      </w:r>
    </w:p>
    <w:p w14:paraId="38134BE1" w14:textId="77777777" w:rsidR="00F95848" w:rsidRDefault="00F95848" w:rsidP="00DD76A3">
      <w:pPr>
        <w:spacing w:before="40" w:after="40" w:line="240" w:lineRule="auto"/>
        <w:ind w:right="225"/>
        <w:jc w:val="both"/>
        <w:rPr>
          <w:rFonts w:ascii="Times New Roman" w:hAnsi="Times New Roman" w:cs="Times New Roman"/>
          <w:b/>
          <w:i w:val="0"/>
          <w:color w:val="000000" w:themeColor="text1"/>
          <w:sz w:val="24"/>
          <w:szCs w:val="24"/>
        </w:rPr>
      </w:pPr>
    </w:p>
    <w:p w14:paraId="21BA309B" w14:textId="77777777" w:rsidR="00F95848" w:rsidRDefault="00F95848" w:rsidP="00DD76A3">
      <w:pPr>
        <w:spacing w:before="40" w:after="40" w:line="240" w:lineRule="auto"/>
        <w:ind w:right="225"/>
        <w:jc w:val="both"/>
        <w:rPr>
          <w:rFonts w:ascii="Times New Roman" w:hAnsi="Times New Roman" w:cs="Times New Roman"/>
          <w:b/>
          <w:i w:val="0"/>
          <w:color w:val="000000" w:themeColor="text1"/>
          <w:sz w:val="24"/>
          <w:szCs w:val="24"/>
        </w:rPr>
      </w:pPr>
    </w:p>
    <w:p w14:paraId="592F26D5" w14:textId="77777777" w:rsidR="00F95848" w:rsidRDefault="00F95848" w:rsidP="00DD76A3">
      <w:pPr>
        <w:spacing w:before="40" w:after="40" w:line="240" w:lineRule="auto"/>
        <w:ind w:right="225"/>
        <w:jc w:val="both"/>
        <w:rPr>
          <w:rFonts w:ascii="Times New Roman" w:hAnsi="Times New Roman" w:cs="Times New Roman"/>
          <w:b/>
          <w:i w:val="0"/>
          <w:color w:val="000000" w:themeColor="text1"/>
          <w:sz w:val="24"/>
          <w:szCs w:val="24"/>
        </w:rPr>
      </w:pPr>
    </w:p>
    <w:p w14:paraId="6453A1E7" w14:textId="531B4B93" w:rsidR="00DD76A3" w:rsidRPr="00DD76A3" w:rsidRDefault="00DD76A3" w:rsidP="00DD76A3">
      <w:pPr>
        <w:spacing w:before="40" w:after="40" w:line="240" w:lineRule="auto"/>
        <w:ind w:right="225"/>
        <w:jc w:val="both"/>
        <w:rPr>
          <w:rFonts w:ascii="Times New Roman" w:hAnsi="Times New Roman" w:cs="Times New Roman"/>
          <w:b/>
          <w:i w:val="0"/>
          <w:color w:val="000000" w:themeColor="text1"/>
          <w:sz w:val="24"/>
          <w:szCs w:val="24"/>
        </w:rPr>
      </w:pPr>
      <w:r w:rsidRPr="00DD76A3">
        <w:rPr>
          <w:rFonts w:ascii="Times New Roman" w:hAnsi="Times New Roman" w:cs="Times New Roman"/>
          <w:b/>
          <w:i w:val="0"/>
          <w:color w:val="000000" w:themeColor="text1"/>
          <w:sz w:val="24"/>
          <w:szCs w:val="24"/>
        </w:rPr>
        <w:lastRenderedPageBreak/>
        <w:t>DDM (Dividend Discounted Model)</w:t>
      </w:r>
    </w:p>
    <w:p w14:paraId="7776FF65" w14:textId="77777777" w:rsidR="00DD76A3" w:rsidRPr="00DD76A3" w:rsidRDefault="00DD76A3" w:rsidP="00F95848">
      <w:pPr>
        <w:spacing w:before="40" w:after="40" w:line="240" w:lineRule="auto"/>
        <w:ind w:right="-20" w:firstLine="720"/>
        <w:jc w:val="both"/>
        <w:rPr>
          <w:rFonts w:ascii="Times New Roman" w:hAnsi="Times New Roman" w:cs="Times New Roman"/>
          <w:i w:val="0"/>
          <w:color w:val="000000" w:themeColor="text1"/>
          <w:sz w:val="24"/>
          <w:szCs w:val="24"/>
          <w:lang w:val="id-ID"/>
        </w:rPr>
      </w:pPr>
      <w:r w:rsidRPr="00DD76A3">
        <w:rPr>
          <w:rFonts w:ascii="Times New Roman" w:hAnsi="Times New Roman" w:cs="Times New Roman"/>
          <w:i w:val="0"/>
          <w:color w:val="000000" w:themeColor="text1"/>
          <w:sz w:val="24"/>
          <w:szCs w:val="24"/>
          <w:lang w:val="id-ID"/>
        </w:rPr>
        <w:t>The DDM (Dividend Discounted Model) approach is an approach contained in fundamental analysis or company analysis which is carried out by linking the expected cash flow from dividends paid by the company on the shares owned.</w:t>
      </w:r>
    </w:p>
    <w:p w14:paraId="2B30B5C9" w14:textId="77777777" w:rsidR="00DD76A3" w:rsidRPr="00DD76A3" w:rsidRDefault="00DD76A3" w:rsidP="00F95848">
      <w:pPr>
        <w:spacing w:before="40" w:after="40" w:line="240" w:lineRule="auto"/>
        <w:ind w:right="-20"/>
        <w:jc w:val="both"/>
        <w:rPr>
          <w:rFonts w:ascii="Times New Roman" w:hAnsi="Times New Roman" w:cs="Times New Roman"/>
          <w:i w:val="0"/>
          <w:color w:val="000000" w:themeColor="text1"/>
          <w:sz w:val="24"/>
          <w:szCs w:val="24"/>
          <w:lang w:val="id-ID"/>
        </w:rPr>
      </w:pPr>
      <w:r w:rsidRPr="00DD76A3">
        <w:rPr>
          <w:rFonts w:ascii="Times New Roman" w:hAnsi="Times New Roman" w:cs="Times New Roman"/>
          <w:i w:val="0"/>
          <w:color w:val="000000" w:themeColor="text1"/>
          <w:sz w:val="24"/>
          <w:szCs w:val="24"/>
          <w:lang w:val="id-ID"/>
        </w:rPr>
        <w:t>The present value approach uses the Dividend Discounted Model (DDM) method in which all expected future cash flows are discounted at a discount rate equal to the return expected by investors (Tandelilin, 2017).</w:t>
      </w:r>
    </w:p>
    <w:p w14:paraId="06BAAFAC" w14:textId="77777777" w:rsidR="00DD76A3" w:rsidRPr="00DD76A3" w:rsidRDefault="00DD76A3" w:rsidP="00F95848">
      <w:pPr>
        <w:spacing w:before="40" w:after="40" w:line="240" w:lineRule="auto"/>
        <w:ind w:right="-20"/>
        <w:jc w:val="both"/>
        <w:rPr>
          <w:rFonts w:ascii="Times New Roman" w:hAnsi="Times New Roman" w:cs="Times New Roman"/>
          <w:i w:val="0"/>
          <w:color w:val="000000" w:themeColor="text1"/>
          <w:sz w:val="24"/>
          <w:szCs w:val="24"/>
          <w:lang w:val="id-ID"/>
        </w:rPr>
      </w:pPr>
      <w:r w:rsidRPr="00DD76A3">
        <w:rPr>
          <w:rFonts w:ascii="Times New Roman" w:hAnsi="Times New Roman" w:cs="Times New Roman"/>
          <w:i w:val="0"/>
          <w:color w:val="000000" w:themeColor="text1"/>
          <w:sz w:val="24"/>
          <w:szCs w:val="24"/>
          <w:lang w:val="id-ID"/>
        </w:rPr>
        <w:t>The following is the formula for the DDM approach as follows</w:t>
      </w:r>
      <w:r w:rsidRPr="00DD76A3">
        <w:rPr>
          <w:rFonts w:ascii="Times New Roman" w:hAnsi="Times New Roman" w:cs="Times New Roman"/>
          <w:i w:val="0"/>
          <w:color w:val="000000" w:themeColor="text1"/>
          <w:sz w:val="24"/>
          <w:szCs w:val="24"/>
        </w:rPr>
        <w:t xml:space="preserve"> </w:t>
      </w:r>
      <w:r w:rsidRPr="00DD76A3">
        <w:rPr>
          <w:rFonts w:ascii="Times New Roman" w:hAnsi="Times New Roman" w:cs="Times New Roman"/>
          <w:i w:val="0"/>
          <w:color w:val="000000" w:themeColor="text1"/>
          <w:sz w:val="24"/>
          <w:szCs w:val="24"/>
          <w:lang w:val="id-ID"/>
        </w:rPr>
        <w:t>:</w:t>
      </w:r>
    </w:p>
    <w:p w14:paraId="42F2102F" w14:textId="77777777" w:rsidR="00DD76A3" w:rsidRPr="00DD76A3" w:rsidRDefault="00DD76A3" w:rsidP="00DD76A3">
      <w:pPr>
        <w:spacing w:before="40" w:after="40" w:line="240" w:lineRule="auto"/>
        <w:ind w:right="225"/>
        <w:jc w:val="center"/>
        <w:rPr>
          <w:rFonts w:ascii="Times New Roman" w:hAnsi="Times New Roman" w:cs="Times New Roman"/>
          <w:i w:val="0"/>
          <w:color w:val="000000" w:themeColor="text1"/>
          <w:sz w:val="24"/>
          <w:szCs w:val="24"/>
          <w:lang w:val="id-ID"/>
        </w:rPr>
      </w:pPr>
      <w:r w:rsidRPr="00DD76A3">
        <w:rPr>
          <w:rFonts w:ascii="Times New Roman" w:hAnsi="Times New Roman" w:cs="Times New Roman"/>
          <w:i w:val="0"/>
          <w:noProof/>
          <w:sz w:val="24"/>
          <w:szCs w:val="24"/>
          <w:lang w:bidi="ar-SA"/>
        </w:rPr>
        <w:drawing>
          <wp:inline distT="0" distB="0" distL="0" distR="0" wp14:anchorId="6B474074" wp14:editId="278087F8">
            <wp:extent cx="1219200" cy="619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19200" cy="619125"/>
                    </a:xfrm>
                    <a:prstGeom prst="rect">
                      <a:avLst/>
                    </a:prstGeom>
                  </pic:spPr>
                </pic:pic>
              </a:graphicData>
            </a:graphic>
          </wp:inline>
        </w:drawing>
      </w:r>
    </w:p>
    <w:p w14:paraId="5B63A57A" w14:textId="77777777" w:rsidR="00DD76A3" w:rsidRPr="00DD76A3" w:rsidRDefault="00DD76A3" w:rsidP="00DD76A3">
      <w:pPr>
        <w:spacing w:before="40" w:after="40" w:line="240" w:lineRule="auto"/>
        <w:ind w:right="225"/>
        <w:jc w:val="both"/>
        <w:rPr>
          <w:rFonts w:ascii="Times New Roman" w:hAnsi="Times New Roman" w:cs="Times New Roman"/>
          <w:b/>
          <w:i w:val="0"/>
          <w:color w:val="000000" w:themeColor="text1"/>
          <w:sz w:val="24"/>
          <w:szCs w:val="24"/>
        </w:rPr>
      </w:pPr>
      <w:proofErr w:type="gramStart"/>
      <w:r w:rsidRPr="00DD76A3">
        <w:rPr>
          <w:rFonts w:ascii="Times New Roman" w:hAnsi="Times New Roman" w:cs="Times New Roman"/>
          <w:b/>
          <w:i w:val="0"/>
          <w:color w:val="000000" w:themeColor="text1"/>
          <w:sz w:val="24"/>
          <w:szCs w:val="24"/>
        </w:rPr>
        <w:t>Notes :</w:t>
      </w:r>
      <w:proofErr w:type="gramEnd"/>
    </w:p>
    <w:p w14:paraId="18D02153" w14:textId="77777777" w:rsidR="00DD76A3" w:rsidRPr="00DD76A3" w:rsidRDefault="00DD76A3" w:rsidP="00DD76A3">
      <w:pPr>
        <w:spacing w:before="40" w:after="40" w:line="240" w:lineRule="auto"/>
        <w:ind w:right="225"/>
        <w:jc w:val="both"/>
        <w:rPr>
          <w:rFonts w:ascii="Times New Roman" w:hAnsi="Times New Roman" w:cs="Times New Roman"/>
          <w:i w:val="0"/>
          <w:color w:val="000000" w:themeColor="text1"/>
          <w:sz w:val="24"/>
          <w:szCs w:val="24"/>
        </w:rPr>
      </w:pPr>
      <w:r w:rsidRPr="00DD76A3">
        <w:rPr>
          <w:rFonts w:ascii="Times New Roman" w:hAnsi="Times New Roman" w:cs="Times New Roman"/>
          <w:i w:val="0"/>
          <w:color w:val="000000" w:themeColor="text1"/>
          <w:sz w:val="24"/>
          <w:szCs w:val="24"/>
        </w:rPr>
        <w:t>P̂</w:t>
      </w:r>
      <w:r w:rsidRPr="00DD76A3">
        <w:rPr>
          <w:rFonts w:ascii="Times New Roman" w:hAnsi="Times New Roman" w:cs="Times New Roman"/>
          <w:i w:val="0"/>
          <w:color w:val="000000" w:themeColor="text1"/>
          <w:sz w:val="24"/>
          <w:szCs w:val="24"/>
          <w:vertAlign w:val="subscript"/>
        </w:rPr>
        <w:t>0</w:t>
      </w:r>
      <w:r w:rsidRPr="00DD76A3">
        <w:rPr>
          <w:rFonts w:ascii="Times New Roman" w:hAnsi="Times New Roman" w:cs="Times New Roman"/>
          <w:i w:val="0"/>
          <w:color w:val="000000" w:themeColor="text1"/>
          <w:sz w:val="24"/>
          <w:szCs w:val="24"/>
        </w:rPr>
        <w:t xml:space="preserve"> = Intrinsic value of shares with DDM</w:t>
      </w:r>
    </w:p>
    <w:p w14:paraId="039B2521" w14:textId="77777777" w:rsidR="00DD76A3" w:rsidRPr="00DD76A3" w:rsidRDefault="00DD76A3" w:rsidP="00DD76A3">
      <w:pPr>
        <w:spacing w:before="40" w:after="40" w:line="240" w:lineRule="auto"/>
        <w:ind w:right="225"/>
        <w:jc w:val="both"/>
        <w:rPr>
          <w:rFonts w:ascii="Times New Roman" w:hAnsi="Times New Roman" w:cs="Times New Roman"/>
          <w:i w:val="0"/>
          <w:color w:val="000000" w:themeColor="text1"/>
          <w:sz w:val="24"/>
          <w:szCs w:val="24"/>
        </w:rPr>
      </w:pPr>
      <w:r w:rsidRPr="00DD76A3">
        <w:rPr>
          <w:rFonts w:ascii="Times New Roman" w:hAnsi="Times New Roman" w:cs="Times New Roman"/>
          <w:i w:val="0"/>
          <w:color w:val="000000" w:themeColor="text1"/>
          <w:sz w:val="24"/>
          <w:szCs w:val="24"/>
        </w:rPr>
        <w:t>D1 = Dividend that will be received constantly during the period of payment of dividends in the future</w:t>
      </w:r>
    </w:p>
    <w:p w14:paraId="71EC0A66" w14:textId="77777777" w:rsidR="00DD76A3" w:rsidRPr="00DD76A3" w:rsidRDefault="00DD76A3" w:rsidP="00DD76A3">
      <w:pPr>
        <w:spacing w:before="40" w:after="40" w:line="240" w:lineRule="auto"/>
        <w:ind w:right="225"/>
        <w:jc w:val="both"/>
        <w:rPr>
          <w:rFonts w:ascii="Times New Roman" w:hAnsi="Times New Roman" w:cs="Times New Roman"/>
          <w:i w:val="0"/>
          <w:color w:val="000000" w:themeColor="text1"/>
          <w:sz w:val="24"/>
          <w:szCs w:val="24"/>
        </w:rPr>
      </w:pPr>
      <w:r w:rsidRPr="00DD76A3">
        <w:rPr>
          <w:rFonts w:ascii="Times New Roman" w:hAnsi="Times New Roman" w:cs="Times New Roman"/>
          <w:i w:val="0"/>
          <w:color w:val="000000" w:themeColor="text1"/>
          <w:sz w:val="24"/>
          <w:szCs w:val="24"/>
        </w:rPr>
        <w:t>k = The level of return expected by investors</w:t>
      </w:r>
    </w:p>
    <w:p w14:paraId="504872FC" w14:textId="088C914E" w:rsidR="00DD76A3" w:rsidRPr="00DD76A3" w:rsidRDefault="00DD76A3" w:rsidP="00DD76A3">
      <w:pPr>
        <w:spacing w:before="40" w:after="40" w:line="240" w:lineRule="auto"/>
        <w:ind w:right="225"/>
        <w:jc w:val="both"/>
        <w:rPr>
          <w:rFonts w:ascii="Times New Roman" w:hAnsi="Times New Roman" w:cs="Times New Roman"/>
          <w:i w:val="0"/>
          <w:color w:val="000000" w:themeColor="text1"/>
          <w:sz w:val="24"/>
          <w:szCs w:val="24"/>
        </w:rPr>
      </w:pPr>
      <w:r w:rsidRPr="00DD76A3">
        <w:rPr>
          <w:rFonts w:ascii="Times New Roman" w:hAnsi="Times New Roman" w:cs="Times New Roman"/>
          <w:i w:val="0"/>
          <w:color w:val="000000" w:themeColor="text1"/>
          <w:sz w:val="24"/>
          <w:szCs w:val="24"/>
        </w:rPr>
        <w:t>g = Expected di</w:t>
      </w:r>
      <w:r>
        <w:rPr>
          <w:rFonts w:ascii="Times New Roman" w:hAnsi="Times New Roman" w:cs="Times New Roman"/>
          <w:i w:val="0"/>
          <w:color w:val="000000" w:themeColor="text1"/>
          <w:sz w:val="24"/>
          <w:szCs w:val="24"/>
        </w:rPr>
        <w:t>vidend growth rate of the stock</w:t>
      </w:r>
    </w:p>
    <w:p w14:paraId="06701327" w14:textId="77777777" w:rsidR="00DD76A3" w:rsidRPr="00DD76A3" w:rsidRDefault="00DD76A3" w:rsidP="00DD76A3">
      <w:pPr>
        <w:spacing w:before="40" w:after="40" w:line="240" w:lineRule="auto"/>
        <w:ind w:right="225"/>
        <w:jc w:val="both"/>
        <w:rPr>
          <w:rFonts w:ascii="Times New Roman" w:hAnsi="Times New Roman" w:cs="Times New Roman"/>
          <w:b/>
          <w:i w:val="0"/>
          <w:color w:val="000000" w:themeColor="text1"/>
          <w:sz w:val="24"/>
          <w:szCs w:val="24"/>
          <w:lang w:val="id-ID"/>
        </w:rPr>
      </w:pPr>
      <w:r w:rsidRPr="00DD76A3">
        <w:rPr>
          <w:rFonts w:ascii="Times New Roman" w:hAnsi="Times New Roman" w:cs="Times New Roman"/>
          <w:b/>
          <w:i w:val="0"/>
          <w:color w:val="000000" w:themeColor="text1"/>
          <w:sz w:val="24"/>
          <w:szCs w:val="24"/>
          <w:lang w:val="id-ID"/>
        </w:rPr>
        <w:t>Investment Decision</w:t>
      </w:r>
    </w:p>
    <w:p w14:paraId="149B7E56" w14:textId="77777777" w:rsidR="00DD76A3" w:rsidRPr="00DD76A3" w:rsidRDefault="00DD76A3" w:rsidP="00F95848">
      <w:pPr>
        <w:spacing w:before="40" w:after="40" w:line="240" w:lineRule="auto"/>
        <w:ind w:right="-20" w:firstLine="720"/>
        <w:jc w:val="both"/>
        <w:rPr>
          <w:rFonts w:ascii="Times New Roman" w:hAnsi="Times New Roman" w:cs="Times New Roman"/>
          <w:i w:val="0"/>
          <w:color w:val="000000" w:themeColor="text1"/>
          <w:sz w:val="24"/>
          <w:szCs w:val="24"/>
          <w:lang w:val="id-ID"/>
        </w:rPr>
      </w:pPr>
      <w:r w:rsidRPr="00DD76A3">
        <w:rPr>
          <w:rFonts w:ascii="Times New Roman" w:hAnsi="Times New Roman" w:cs="Times New Roman"/>
          <w:i w:val="0"/>
          <w:color w:val="000000" w:themeColor="text1"/>
          <w:sz w:val="24"/>
          <w:szCs w:val="24"/>
          <w:lang w:val="id-ID"/>
        </w:rPr>
        <w:t>Sunariyah (2012) in making investment decisions, especially stocks, an investor is recommended to first know the intrinsic value of a stock and then compare it with the market price.</w:t>
      </w:r>
    </w:p>
    <w:p w14:paraId="485C3E50" w14:textId="77777777" w:rsidR="00DD76A3" w:rsidRDefault="00DD76A3" w:rsidP="00492AC9">
      <w:pPr>
        <w:pStyle w:val="BodyText"/>
        <w:spacing w:after="0" w:line="240" w:lineRule="auto"/>
        <w:ind w:firstLine="720"/>
        <w:jc w:val="both"/>
        <w:rPr>
          <w:rFonts w:ascii="Times New Roman" w:hAnsi="Times New Roman" w:cs="Times New Roman"/>
          <w:i w:val="0"/>
          <w:iCs w:val="0"/>
          <w:color w:val="FF0000"/>
          <w:sz w:val="24"/>
          <w:szCs w:val="24"/>
        </w:rPr>
      </w:pPr>
    </w:p>
    <w:p w14:paraId="24F02EAE" w14:textId="27FB26B9" w:rsidR="007450B1" w:rsidRPr="002106D9" w:rsidRDefault="00FB0B31" w:rsidP="007450B1">
      <w:pPr>
        <w:spacing w:after="0" w:line="240" w:lineRule="auto"/>
        <w:jc w:val="both"/>
        <w:rPr>
          <w:rFonts w:ascii="Times New Roman" w:hAnsi="Times New Roman" w:cs="Times New Roman"/>
          <w:b/>
          <w:i w:val="0"/>
          <w:sz w:val="24"/>
          <w:szCs w:val="24"/>
        </w:rPr>
      </w:pPr>
      <w:r w:rsidRPr="00FB0B31">
        <w:rPr>
          <w:rFonts w:ascii="Times New Roman" w:hAnsi="Times New Roman" w:cs="Times New Roman"/>
          <w:b/>
          <w:i w:val="0"/>
          <w:sz w:val="24"/>
          <w:szCs w:val="24"/>
          <w:lang w:val="id-ID"/>
        </w:rPr>
        <w:t>METHOD</w:t>
      </w:r>
      <w:r w:rsidR="007450B1">
        <w:rPr>
          <w:rFonts w:ascii="Times New Roman" w:hAnsi="Times New Roman" w:cs="Times New Roman"/>
          <w:b/>
          <w:i w:val="0"/>
          <w:sz w:val="24"/>
          <w:szCs w:val="24"/>
        </w:rPr>
        <w:t xml:space="preserve"> </w:t>
      </w:r>
    </w:p>
    <w:p w14:paraId="7103FAFA" w14:textId="56565DCA" w:rsidR="00FB1EEC" w:rsidRPr="00FB1EEC" w:rsidRDefault="006D1435" w:rsidP="00FB1EEC">
      <w:pPr>
        <w:pStyle w:val="Default"/>
        <w:numPr>
          <w:ilvl w:val="0"/>
          <w:numId w:val="1"/>
        </w:numPr>
        <w:jc w:val="both"/>
        <w:rPr>
          <w:rFonts w:ascii="Times New Roman" w:hAnsi="Times New Roman" w:cs="Times New Roman"/>
          <w:b/>
          <w:bCs/>
          <w:lang w:val="id"/>
        </w:rPr>
      </w:pPr>
      <w:r w:rsidRPr="00FB1EEC">
        <w:rPr>
          <w:rFonts w:ascii="Times New Roman" w:hAnsi="Times New Roman" w:cs="Times New Roman"/>
          <w:b/>
          <w:bCs/>
          <w:lang w:val="id"/>
        </w:rPr>
        <w:t xml:space="preserve">Types </w:t>
      </w:r>
      <w:r>
        <w:rPr>
          <w:rFonts w:ascii="Times New Roman" w:hAnsi="Times New Roman" w:cs="Times New Roman"/>
          <w:b/>
          <w:bCs/>
        </w:rPr>
        <w:t>o</w:t>
      </w:r>
      <w:r w:rsidRPr="00FB1EEC">
        <w:rPr>
          <w:rFonts w:ascii="Times New Roman" w:hAnsi="Times New Roman" w:cs="Times New Roman"/>
          <w:b/>
          <w:bCs/>
          <w:lang w:val="id"/>
        </w:rPr>
        <w:t>f Research</w:t>
      </w:r>
    </w:p>
    <w:p w14:paraId="40C039E3" w14:textId="77777777" w:rsidR="00FB1EEC" w:rsidRPr="00FB1EEC" w:rsidRDefault="00FB1EEC" w:rsidP="00FB1EEC">
      <w:pPr>
        <w:pStyle w:val="Default"/>
        <w:jc w:val="both"/>
        <w:rPr>
          <w:rFonts w:ascii="Times New Roman" w:hAnsi="Times New Roman" w:cs="Times New Roman"/>
          <w:lang w:val="id"/>
        </w:rPr>
      </w:pPr>
      <w:r w:rsidRPr="00FB1EEC">
        <w:rPr>
          <w:rFonts w:ascii="Times New Roman" w:hAnsi="Times New Roman" w:cs="Times New Roman"/>
          <w:lang w:val="id"/>
        </w:rPr>
        <w:t>Based on the type of data, this research is categorized as quantitative research, namely research that uses numbers. In accordance with its form, quantitative data can be processed using statistical calculations. Based on the research design, this study uses a quantitative descriptive approach, namely research conducted to determine the value of a variable (Sugiyono, 2017).</w:t>
      </w:r>
    </w:p>
    <w:p w14:paraId="2979970D" w14:textId="538359D4" w:rsidR="00FB1EEC" w:rsidRPr="00FB1EEC" w:rsidRDefault="006D1435" w:rsidP="00FB1EEC">
      <w:pPr>
        <w:pStyle w:val="Default"/>
        <w:numPr>
          <w:ilvl w:val="0"/>
          <w:numId w:val="1"/>
        </w:numPr>
        <w:jc w:val="both"/>
        <w:rPr>
          <w:rFonts w:ascii="Times New Roman" w:hAnsi="Times New Roman" w:cs="Times New Roman"/>
          <w:b/>
          <w:bCs/>
          <w:lang w:val="id"/>
        </w:rPr>
      </w:pPr>
      <w:r w:rsidRPr="00FB1EEC">
        <w:rPr>
          <w:rFonts w:ascii="Times New Roman" w:hAnsi="Times New Roman" w:cs="Times New Roman"/>
          <w:b/>
          <w:bCs/>
          <w:lang w:val="id"/>
        </w:rPr>
        <w:t xml:space="preserve">Research Population </w:t>
      </w:r>
      <w:r>
        <w:rPr>
          <w:rFonts w:ascii="Times New Roman" w:hAnsi="Times New Roman" w:cs="Times New Roman"/>
          <w:b/>
          <w:bCs/>
        </w:rPr>
        <w:t>a</w:t>
      </w:r>
      <w:r w:rsidRPr="00FB1EEC">
        <w:rPr>
          <w:rFonts w:ascii="Times New Roman" w:hAnsi="Times New Roman" w:cs="Times New Roman"/>
          <w:b/>
          <w:bCs/>
          <w:lang w:val="id"/>
        </w:rPr>
        <w:t>nd Sample</w:t>
      </w:r>
    </w:p>
    <w:p w14:paraId="38A4A28B" w14:textId="77777777" w:rsidR="00FB1EEC" w:rsidRPr="00FB1EEC" w:rsidRDefault="00FB1EEC" w:rsidP="00FB1EEC">
      <w:pPr>
        <w:pStyle w:val="Default"/>
        <w:jc w:val="both"/>
        <w:rPr>
          <w:rFonts w:ascii="Times New Roman" w:hAnsi="Times New Roman" w:cs="Times New Roman"/>
          <w:lang w:val="id"/>
        </w:rPr>
      </w:pPr>
      <w:r w:rsidRPr="00FB1EEC">
        <w:rPr>
          <w:rFonts w:ascii="Times New Roman" w:hAnsi="Times New Roman" w:cs="Times New Roman"/>
          <w:lang w:val="id"/>
        </w:rPr>
        <w:t>Sugiyono (2017), Population is a generalization area consisting of objects/subjects that have certain qualities and characteristics set by researchers to be studied and then drawn conclusions. The population in this study are companies listed on the IDX Sectoral Index for the 2021 period. Meanwhile, the sample is part of the number and characteristics possessed by the population. Sampling in this study using purposive sampling method. The sampling method is purposively based on certain considerations made by the researcher himself or intentionally in accordance with the required sample requirements, based on previously known characteristics or populations. The targets in this study are companies listed on the IDX Sectoral Index for the 2021 period.</w:t>
      </w:r>
    </w:p>
    <w:p w14:paraId="1EFC79A7" w14:textId="77777777" w:rsidR="00FB1EEC" w:rsidRPr="00FB1EEC" w:rsidRDefault="00FB1EEC" w:rsidP="00FB1EEC">
      <w:pPr>
        <w:pStyle w:val="Default"/>
        <w:jc w:val="both"/>
        <w:rPr>
          <w:rFonts w:ascii="Times New Roman" w:hAnsi="Times New Roman" w:cs="Times New Roman"/>
          <w:lang w:val="id"/>
        </w:rPr>
      </w:pPr>
      <w:r w:rsidRPr="00FB1EEC">
        <w:rPr>
          <w:rFonts w:ascii="Times New Roman" w:hAnsi="Times New Roman" w:cs="Times New Roman"/>
          <w:lang w:val="id"/>
        </w:rPr>
        <w:t>The criteria used for sampling by researchers are as follows</w:t>
      </w:r>
      <w:r w:rsidRPr="00FB1EEC">
        <w:rPr>
          <w:rFonts w:ascii="Times New Roman" w:hAnsi="Times New Roman" w:cs="Times New Roman"/>
        </w:rPr>
        <w:t xml:space="preserve"> </w:t>
      </w:r>
      <w:r w:rsidRPr="00FB1EEC">
        <w:rPr>
          <w:rFonts w:ascii="Times New Roman" w:hAnsi="Times New Roman" w:cs="Times New Roman"/>
          <w:lang w:val="id"/>
        </w:rPr>
        <w:t>:</w:t>
      </w:r>
    </w:p>
    <w:p w14:paraId="56D3B643" w14:textId="1AF9BD63" w:rsidR="00FB1EEC" w:rsidRPr="00FB1EEC" w:rsidRDefault="00FB1EEC" w:rsidP="006D1435">
      <w:pPr>
        <w:pStyle w:val="Default"/>
        <w:ind w:left="284" w:hanging="284"/>
        <w:jc w:val="both"/>
        <w:rPr>
          <w:rFonts w:ascii="Times New Roman" w:hAnsi="Times New Roman" w:cs="Times New Roman"/>
          <w:lang w:val="id"/>
        </w:rPr>
      </w:pPr>
      <w:r w:rsidRPr="00FB1EEC">
        <w:rPr>
          <w:rFonts w:ascii="Times New Roman" w:hAnsi="Times New Roman" w:cs="Times New Roman"/>
          <w:lang w:val="id"/>
        </w:rPr>
        <w:t xml:space="preserve">1. </w:t>
      </w:r>
      <w:r w:rsidR="006D1435">
        <w:rPr>
          <w:rFonts w:ascii="Times New Roman" w:hAnsi="Times New Roman" w:cs="Times New Roman"/>
          <w:lang w:val="id"/>
        </w:rPr>
        <w:tab/>
      </w:r>
      <w:r w:rsidRPr="00FB1EEC">
        <w:rPr>
          <w:rFonts w:ascii="Times New Roman" w:hAnsi="Times New Roman" w:cs="Times New Roman"/>
          <w:lang w:val="id"/>
        </w:rPr>
        <w:t>Companies listed on the IDX Sectoral Index for the third quarter of 2021.</w:t>
      </w:r>
    </w:p>
    <w:p w14:paraId="130403D5" w14:textId="018D0B5E" w:rsidR="00FB1EEC" w:rsidRPr="00FB1EEC" w:rsidRDefault="00FB1EEC" w:rsidP="006D1435">
      <w:pPr>
        <w:pStyle w:val="Default"/>
        <w:ind w:left="284" w:hanging="284"/>
        <w:jc w:val="both"/>
        <w:rPr>
          <w:rFonts w:ascii="Times New Roman" w:hAnsi="Times New Roman" w:cs="Times New Roman"/>
          <w:lang w:val="id"/>
        </w:rPr>
      </w:pPr>
      <w:r w:rsidRPr="00FB1EEC">
        <w:rPr>
          <w:rFonts w:ascii="Times New Roman" w:hAnsi="Times New Roman" w:cs="Times New Roman"/>
          <w:lang w:val="id"/>
        </w:rPr>
        <w:t xml:space="preserve">2. </w:t>
      </w:r>
      <w:r w:rsidR="006D1435">
        <w:rPr>
          <w:rFonts w:ascii="Times New Roman" w:hAnsi="Times New Roman" w:cs="Times New Roman"/>
          <w:lang w:val="id"/>
        </w:rPr>
        <w:tab/>
      </w:r>
      <w:r w:rsidRPr="00FB1EEC">
        <w:rPr>
          <w:rFonts w:ascii="Times New Roman" w:hAnsi="Times New Roman" w:cs="Times New Roman"/>
          <w:lang w:val="id"/>
        </w:rPr>
        <w:t>Companies in the IDX Sectoral Index affected by the Covid-19 pandemic for the third quarter of 2021.</w:t>
      </w:r>
    </w:p>
    <w:p w14:paraId="1C13AD8A" w14:textId="79E34732" w:rsidR="00FB1EEC" w:rsidRPr="00FB1EEC" w:rsidRDefault="00FB1EEC" w:rsidP="006D1435">
      <w:pPr>
        <w:pStyle w:val="Default"/>
        <w:ind w:left="284" w:hanging="284"/>
        <w:jc w:val="both"/>
        <w:rPr>
          <w:rFonts w:ascii="Times New Roman" w:hAnsi="Times New Roman" w:cs="Times New Roman"/>
          <w:lang w:val="id"/>
        </w:rPr>
      </w:pPr>
      <w:r w:rsidRPr="00FB1EEC">
        <w:rPr>
          <w:rFonts w:ascii="Times New Roman" w:hAnsi="Times New Roman" w:cs="Times New Roman"/>
          <w:lang w:val="id"/>
        </w:rPr>
        <w:t xml:space="preserve">3. </w:t>
      </w:r>
      <w:r w:rsidR="006D1435">
        <w:rPr>
          <w:rFonts w:ascii="Times New Roman" w:hAnsi="Times New Roman" w:cs="Times New Roman"/>
          <w:lang w:val="id"/>
        </w:rPr>
        <w:tab/>
      </w:r>
      <w:r w:rsidRPr="00FB1EEC">
        <w:rPr>
          <w:rFonts w:ascii="Times New Roman" w:hAnsi="Times New Roman" w:cs="Times New Roman"/>
          <w:lang w:val="id"/>
        </w:rPr>
        <w:t>Companies in the IDX Sectoral Index affected by the Covid-19 pandemic that publish full stock prices, financial reports, and dividends during the third quarter of 2021.</w:t>
      </w:r>
    </w:p>
    <w:p w14:paraId="3A81D46C" w14:textId="77777777" w:rsidR="00FB1EEC" w:rsidRDefault="00FB1EEC" w:rsidP="00FB1EEC">
      <w:pPr>
        <w:pStyle w:val="Default"/>
        <w:numPr>
          <w:ilvl w:val="0"/>
          <w:numId w:val="1"/>
        </w:numPr>
        <w:jc w:val="both"/>
        <w:rPr>
          <w:rFonts w:ascii="Times New Roman" w:hAnsi="Times New Roman" w:cs="Times New Roman"/>
          <w:b/>
          <w:bCs/>
          <w:lang w:val="id"/>
        </w:rPr>
      </w:pPr>
    </w:p>
    <w:p w14:paraId="45388889" w14:textId="77777777" w:rsidR="00FB1EEC" w:rsidRDefault="00FB1EEC" w:rsidP="00FB1EEC">
      <w:pPr>
        <w:pStyle w:val="Default"/>
        <w:numPr>
          <w:ilvl w:val="0"/>
          <w:numId w:val="1"/>
        </w:numPr>
        <w:jc w:val="both"/>
        <w:rPr>
          <w:rFonts w:ascii="Times New Roman" w:hAnsi="Times New Roman" w:cs="Times New Roman"/>
          <w:b/>
          <w:bCs/>
          <w:lang w:val="id"/>
        </w:rPr>
      </w:pPr>
    </w:p>
    <w:p w14:paraId="39F55296" w14:textId="3670B346" w:rsidR="00FB1EEC" w:rsidRPr="00FB1EEC" w:rsidRDefault="006D1435" w:rsidP="00FB1EEC">
      <w:pPr>
        <w:pStyle w:val="Default"/>
        <w:numPr>
          <w:ilvl w:val="0"/>
          <w:numId w:val="1"/>
        </w:numPr>
        <w:jc w:val="both"/>
        <w:rPr>
          <w:rFonts w:ascii="Times New Roman" w:hAnsi="Times New Roman" w:cs="Times New Roman"/>
          <w:b/>
          <w:bCs/>
          <w:lang w:val="id"/>
        </w:rPr>
      </w:pPr>
      <w:r w:rsidRPr="00FB1EEC">
        <w:rPr>
          <w:rFonts w:ascii="Times New Roman" w:hAnsi="Times New Roman" w:cs="Times New Roman"/>
          <w:b/>
          <w:bCs/>
          <w:lang w:val="id"/>
        </w:rPr>
        <w:lastRenderedPageBreak/>
        <w:t xml:space="preserve">Method </w:t>
      </w:r>
      <w:r>
        <w:rPr>
          <w:rFonts w:ascii="Times New Roman" w:hAnsi="Times New Roman" w:cs="Times New Roman"/>
          <w:b/>
          <w:bCs/>
        </w:rPr>
        <w:t>o</w:t>
      </w:r>
      <w:r w:rsidRPr="00FB1EEC">
        <w:rPr>
          <w:rFonts w:ascii="Times New Roman" w:hAnsi="Times New Roman" w:cs="Times New Roman"/>
          <w:b/>
          <w:bCs/>
          <w:lang w:val="id"/>
        </w:rPr>
        <w:t>f Collecting Data</w:t>
      </w:r>
    </w:p>
    <w:p w14:paraId="136E1AF6" w14:textId="77777777" w:rsidR="00FB1EEC" w:rsidRPr="00FB1EEC" w:rsidRDefault="00FB1EEC" w:rsidP="00FB1EEC">
      <w:pPr>
        <w:pStyle w:val="Default"/>
        <w:jc w:val="both"/>
        <w:rPr>
          <w:rFonts w:ascii="Times New Roman" w:hAnsi="Times New Roman" w:cs="Times New Roman"/>
          <w:lang w:val="id"/>
        </w:rPr>
      </w:pPr>
      <w:r w:rsidRPr="00FB1EEC">
        <w:rPr>
          <w:rFonts w:ascii="Times New Roman" w:hAnsi="Times New Roman" w:cs="Times New Roman"/>
          <w:lang w:val="id"/>
        </w:rPr>
        <w:t>Sugiyono (2017) The data collection method is the most strategic step in research because the main purpose of research is to obtain data. The data collection method used to obtain data, information or materials in reviewing this research is a literature study, namely by studying, reviewing, researching, and examining data related to research on the www.idx.co..id site for research use. The data used in this research is secondary data.</w:t>
      </w:r>
    </w:p>
    <w:p w14:paraId="020D1A60" w14:textId="1C9A63E4" w:rsidR="00FB1EEC" w:rsidRDefault="00FB1EEC" w:rsidP="00FB1EEC">
      <w:pPr>
        <w:pStyle w:val="Default"/>
        <w:jc w:val="both"/>
        <w:rPr>
          <w:rFonts w:ascii="Times New Roman" w:hAnsi="Times New Roman" w:cs="Times New Roman"/>
          <w:lang w:val="id"/>
        </w:rPr>
      </w:pPr>
      <w:r w:rsidRPr="00FB1EEC">
        <w:rPr>
          <w:rFonts w:ascii="Times New Roman" w:hAnsi="Times New Roman" w:cs="Times New Roman"/>
          <w:lang w:val="id"/>
        </w:rPr>
        <w:t>Sources of data used include: Data on companies incorporated in the IDX Sectoral Index obtained from statistical data published by the Indonesia Stock Exchange, Stock price data, ratios, financial reports, and IDX Sectoral Index obtained from statistical data published by the Exchange. Indonesian Effect.</w:t>
      </w:r>
    </w:p>
    <w:p w14:paraId="69F6E509" w14:textId="77777777" w:rsidR="006D1435" w:rsidRPr="00FB1EEC" w:rsidRDefault="006D1435" w:rsidP="00FB1EEC">
      <w:pPr>
        <w:pStyle w:val="Default"/>
        <w:jc w:val="both"/>
        <w:rPr>
          <w:rFonts w:ascii="Times New Roman" w:hAnsi="Times New Roman" w:cs="Times New Roman"/>
          <w:lang w:val="id"/>
        </w:rPr>
      </w:pPr>
    </w:p>
    <w:p w14:paraId="2986547E" w14:textId="130BAFF0" w:rsidR="00FB1EEC" w:rsidRPr="00FB1EEC" w:rsidRDefault="00FB1EEC" w:rsidP="00FB1EEC">
      <w:pPr>
        <w:spacing w:after="0" w:line="240" w:lineRule="auto"/>
        <w:jc w:val="both"/>
        <w:rPr>
          <w:rFonts w:ascii="Times New Roman" w:hAnsi="Times New Roman" w:cs="Times New Roman"/>
          <w:b/>
          <w:i w:val="0"/>
          <w:sz w:val="24"/>
        </w:rPr>
      </w:pPr>
      <w:r w:rsidRPr="00FB1EEC">
        <w:rPr>
          <w:rFonts w:ascii="Times New Roman" w:hAnsi="Times New Roman" w:cs="Times New Roman"/>
          <w:b/>
          <w:i w:val="0"/>
          <w:sz w:val="24"/>
        </w:rPr>
        <w:t>DATA ANALYSIS METHOD</w:t>
      </w:r>
    </w:p>
    <w:p w14:paraId="3F7CB8A6" w14:textId="3AA6BBFB" w:rsidR="00FB1EEC" w:rsidRPr="00FB1EEC" w:rsidRDefault="00FB1EEC" w:rsidP="00FB1EEC">
      <w:pPr>
        <w:spacing w:after="0" w:line="240" w:lineRule="auto"/>
        <w:jc w:val="both"/>
        <w:rPr>
          <w:rFonts w:ascii="Times New Roman" w:hAnsi="Times New Roman" w:cs="Times New Roman"/>
          <w:i w:val="0"/>
          <w:sz w:val="24"/>
        </w:rPr>
      </w:pPr>
      <w:proofErr w:type="spellStart"/>
      <w:r w:rsidRPr="00FB1EEC">
        <w:rPr>
          <w:rFonts w:ascii="Times New Roman" w:hAnsi="Times New Roman" w:cs="Times New Roman"/>
          <w:i w:val="0"/>
          <w:sz w:val="24"/>
        </w:rPr>
        <w:t>Sugiyono</w:t>
      </w:r>
      <w:proofErr w:type="spellEnd"/>
      <w:r w:rsidRPr="00FB1EEC">
        <w:rPr>
          <w:rFonts w:ascii="Times New Roman" w:hAnsi="Times New Roman" w:cs="Times New Roman"/>
          <w:i w:val="0"/>
          <w:sz w:val="24"/>
        </w:rPr>
        <w:t xml:space="preserve"> (2017) the data analysis method is a way of processing the data that has been collected so that it can then provide an interpretation. The results of data processing are then used to answer the problems that have been formulated.</w:t>
      </w:r>
    </w:p>
    <w:p w14:paraId="2EC48BDA" w14:textId="77777777" w:rsidR="00FB1EEC" w:rsidRPr="00FB1EEC" w:rsidRDefault="00FB1EEC" w:rsidP="00FB1EEC">
      <w:pPr>
        <w:spacing w:after="0" w:line="240" w:lineRule="auto"/>
        <w:jc w:val="both"/>
        <w:rPr>
          <w:rFonts w:ascii="Times New Roman" w:hAnsi="Times New Roman" w:cs="Times New Roman"/>
          <w:i w:val="0"/>
          <w:sz w:val="24"/>
        </w:rPr>
      </w:pPr>
      <w:r w:rsidRPr="00FB1EEC">
        <w:rPr>
          <w:rFonts w:ascii="Times New Roman" w:hAnsi="Times New Roman" w:cs="Times New Roman"/>
          <w:i w:val="0"/>
          <w:sz w:val="24"/>
        </w:rPr>
        <w:t xml:space="preserve">The method of data analysis in this study was carried out in several steps, as </w:t>
      </w:r>
      <w:proofErr w:type="gramStart"/>
      <w:r w:rsidRPr="00FB1EEC">
        <w:rPr>
          <w:rFonts w:ascii="Times New Roman" w:hAnsi="Times New Roman" w:cs="Times New Roman"/>
          <w:i w:val="0"/>
          <w:sz w:val="24"/>
        </w:rPr>
        <w:t>follows :</w:t>
      </w:r>
      <w:proofErr w:type="gramEnd"/>
    </w:p>
    <w:p w14:paraId="4535F1FA" w14:textId="4425CB22" w:rsidR="00FB1EEC" w:rsidRPr="00FB1EEC" w:rsidRDefault="00FB1EEC" w:rsidP="00FB1EEC">
      <w:pPr>
        <w:pStyle w:val="ListParagraph"/>
        <w:widowControl w:val="0"/>
        <w:numPr>
          <w:ilvl w:val="0"/>
          <w:numId w:val="5"/>
        </w:numPr>
        <w:suppressAutoHyphens w:val="0"/>
        <w:autoSpaceDE w:val="0"/>
        <w:autoSpaceDN w:val="0"/>
        <w:spacing w:after="0" w:line="240" w:lineRule="auto"/>
        <w:jc w:val="both"/>
        <w:rPr>
          <w:rFonts w:ascii="Times New Roman" w:hAnsi="Times New Roman" w:cs="Times New Roman"/>
          <w:b/>
          <w:i w:val="0"/>
          <w:sz w:val="24"/>
        </w:rPr>
      </w:pPr>
      <w:r w:rsidRPr="00FB1EEC">
        <w:rPr>
          <w:rFonts w:ascii="Times New Roman" w:hAnsi="Times New Roman" w:cs="Times New Roman"/>
          <w:b/>
          <w:i w:val="0"/>
          <w:sz w:val="24"/>
        </w:rPr>
        <w:t xml:space="preserve">Price to Book Value </w:t>
      </w:r>
      <w:r>
        <w:rPr>
          <w:rFonts w:ascii="Times New Roman" w:hAnsi="Times New Roman" w:cs="Times New Roman"/>
          <w:b/>
          <w:i w:val="0"/>
          <w:sz w:val="24"/>
        </w:rPr>
        <w:t>(PBV)</w:t>
      </w:r>
    </w:p>
    <w:p w14:paraId="4190DE1C" w14:textId="77777777" w:rsidR="00FB1EEC" w:rsidRPr="00FB1EEC" w:rsidRDefault="00FB1EEC" w:rsidP="00FB1EEC">
      <w:pPr>
        <w:pStyle w:val="ListParagraph"/>
        <w:widowControl w:val="0"/>
        <w:numPr>
          <w:ilvl w:val="0"/>
          <w:numId w:val="6"/>
        </w:numPr>
        <w:suppressAutoHyphens w:val="0"/>
        <w:autoSpaceDE w:val="0"/>
        <w:autoSpaceDN w:val="0"/>
        <w:spacing w:after="0" w:line="240" w:lineRule="auto"/>
        <w:jc w:val="both"/>
        <w:rPr>
          <w:rFonts w:ascii="Times New Roman" w:hAnsi="Times New Roman" w:cs="Times New Roman"/>
          <w:i w:val="0"/>
          <w:sz w:val="24"/>
        </w:rPr>
      </w:pPr>
      <w:r w:rsidRPr="00FB1EEC">
        <w:rPr>
          <w:rFonts w:ascii="Times New Roman" w:hAnsi="Times New Roman" w:cs="Times New Roman"/>
          <w:i w:val="0"/>
          <w:sz w:val="24"/>
        </w:rPr>
        <w:t>Calculating Book Value per Share (</w:t>
      </w:r>
      <w:proofErr w:type="spellStart"/>
      <w:r w:rsidRPr="00FB1EEC">
        <w:rPr>
          <w:rFonts w:ascii="Times New Roman" w:hAnsi="Times New Roman" w:cs="Times New Roman"/>
          <w:i w:val="0"/>
          <w:sz w:val="24"/>
        </w:rPr>
        <w:t>Tambunan</w:t>
      </w:r>
      <w:proofErr w:type="spellEnd"/>
      <w:r w:rsidRPr="00FB1EEC">
        <w:rPr>
          <w:rFonts w:ascii="Times New Roman" w:hAnsi="Times New Roman" w:cs="Times New Roman"/>
          <w:i w:val="0"/>
          <w:sz w:val="24"/>
        </w:rPr>
        <w:t>, 2007)</w:t>
      </w:r>
    </w:p>
    <w:p w14:paraId="6DA5AD4A" w14:textId="77777777" w:rsidR="00FB1EEC" w:rsidRPr="00FB1EEC" w:rsidRDefault="00FB1EEC" w:rsidP="00FB1EEC">
      <w:pPr>
        <w:spacing w:after="0" w:line="240" w:lineRule="auto"/>
        <w:jc w:val="center"/>
        <w:rPr>
          <w:rFonts w:ascii="Times New Roman" w:hAnsi="Times New Roman" w:cs="Times New Roman"/>
          <w:i w:val="0"/>
          <w:sz w:val="24"/>
        </w:rPr>
      </w:pPr>
      <w:r w:rsidRPr="00FB1EEC">
        <w:rPr>
          <w:rFonts w:ascii="Times New Roman" w:hAnsi="Times New Roman" w:cs="Times New Roman"/>
          <w:i w:val="0"/>
          <w:noProof/>
          <w:sz w:val="24"/>
          <w:lang w:bidi="ar-SA"/>
        </w:rPr>
        <w:drawing>
          <wp:inline distT="0" distB="0" distL="0" distR="0" wp14:anchorId="4E86C46C" wp14:editId="232A31B0">
            <wp:extent cx="3638550" cy="409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38550" cy="409575"/>
                    </a:xfrm>
                    <a:prstGeom prst="rect">
                      <a:avLst/>
                    </a:prstGeom>
                  </pic:spPr>
                </pic:pic>
              </a:graphicData>
            </a:graphic>
          </wp:inline>
        </w:drawing>
      </w:r>
    </w:p>
    <w:p w14:paraId="07F5D6EA" w14:textId="77777777" w:rsidR="00FB1EEC" w:rsidRPr="00FB1EEC" w:rsidRDefault="00FB1EEC" w:rsidP="00FB1EEC">
      <w:pPr>
        <w:pStyle w:val="ListParagraph"/>
        <w:numPr>
          <w:ilvl w:val="0"/>
          <w:numId w:val="6"/>
        </w:numPr>
        <w:suppressAutoHyphens w:val="0"/>
        <w:spacing w:before="100" w:beforeAutospacing="1" w:after="0" w:line="240" w:lineRule="auto"/>
        <w:contextualSpacing/>
        <w:jc w:val="both"/>
        <w:rPr>
          <w:rFonts w:ascii="Times New Roman" w:hAnsi="Times New Roman" w:cs="Times New Roman"/>
          <w:i w:val="0"/>
          <w:sz w:val="22"/>
        </w:rPr>
      </w:pPr>
      <w:r w:rsidRPr="00FB1EEC">
        <w:rPr>
          <w:rFonts w:ascii="Times New Roman" w:hAnsi="Times New Roman" w:cs="Times New Roman"/>
          <w:i w:val="0"/>
          <w:sz w:val="24"/>
        </w:rPr>
        <w:t>Calculating Price Book Value Ratio (</w:t>
      </w:r>
      <w:proofErr w:type="spellStart"/>
      <w:r w:rsidRPr="00FB1EEC">
        <w:rPr>
          <w:rFonts w:ascii="Times New Roman" w:hAnsi="Times New Roman" w:cs="Times New Roman"/>
          <w:i w:val="0"/>
          <w:sz w:val="24"/>
        </w:rPr>
        <w:t>Tandelilin</w:t>
      </w:r>
      <w:proofErr w:type="spellEnd"/>
      <w:r w:rsidRPr="00FB1EEC">
        <w:rPr>
          <w:rFonts w:ascii="Times New Roman" w:hAnsi="Times New Roman" w:cs="Times New Roman"/>
          <w:i w:val="0"/>
          <w:sz w:val="24"/>
        </w:rPr>
        <w:t>, 2017)</w:t>
      </w:r>
    </w:p>
    <w:p w14:paraId="7D427930" w14:textId="77777777" w:rsidR="00FB1EEC" w:rsidRPr="00FB1EEC" w:rsidRDefault="00FB1EEC" w:rsidP="00FB1EEC">
      <w:pPr>
        <w:pStyle w:val="ListParagraph"/>
        <w:spacing w:after="0" w:line="240" w:lineRule="auto"/>
        <w:ind w:left="1080"/>
        <w:jc w:val="center"/>
        <w:rPr>
          <w:rFonts w:ascii="Times New Roman" w:hAnsi="Times New Roman" w:cs="Times New Roman"/>
          <w:i w:val="0"/>
          <w:sz w:val="22"/>
        </w:rPr>
      </w:pPr>
      <w:r w:rsidRPr="00FB1EEC">
        <w:rPr>
          <w:rFonts w:ascii="Times New Roman" w:hAnsi="Times New Roman" w:cs="Times New Roman"/>
          <w:i w:val="0"/>
          <w:noProof/>
          <w:sz w:val="24"/>
          <w:lang w:bidi="ar-SA"/>
        </w:rPr>
        <w:drawing>
          <wp:inline distT="0" distB="0" distL="0" distR="0" wp14:anchorId="24C0E73C" wp14:editId="1773A86A">
            <wp:extent cx="2581275" cy="561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81275" cy="561975"/>
                    </a:xfrm>
                    <a:prstGeom prst="rect">
                      <a:avLst/>
                    </a:prstGeom>
                  </pic:spPr>
                </pic:pic>
              </a:graphicData>
            </a:graphic>
          </wp:inline>
        </w:drawing>
      </w:r>
    </w:p>
    <w:p w14:paraId="7A3030C0" w14:textId="77777777" w:rsidR="00FB1EEC" w:rsidRPr="00FB1EEC" w:rsidRDefault="00FB1EEC" w:rsidP="00FB1EEC">
      <w:pPr>
        <w:pStyle w:val="ListParagraph"/>
        <w:widowControl w:val="0"/>
        <w:numPr>
          <w:ilvl w:val="0"/>
          <w:numId w:val="6"/>
        </w:numPr>
        <w:suppressAutoHyphens w:val="0"/>
        <w:autoSpaceDE w:val="0"/>
        <w:autoSpaceDN w:val="0"/>
        <w:spacing w:after="0" w:line="240" w:lineRule="auto"/>
        <w:rPr>
          <w:rFonts w:ascii="Times New Roman" w:hAnsi="Times New Roman" w:cs="Times New Roman"/>
          <w:i w:val="0"/>
          <w:sz w:val="24"/>
        </w:rPr>
      </w:pPr>
      <w:r w:rsidRPr="00FB1EEC">
        <w:rPr>
          <w:rFonts w:ascii="Times New Roman" w:hAnsi="Times New Roman" w:cs="Times New Roman"/>
          <w:i w:val="0"/>
          <w:sz w:val="24"/>
        </w:rPr>
        <w:t>Calculating intrinsic value is sought by converting it into Rupiah (</w:t>
      </w:r>
      <w:proofErr w:type="spellStart"/>
      <w:r w:rsidRPr="00FB1EEC">
        <w:rPr>
          <w:rFonts w:ascii="Times New Roman" w:hAnsi="Times New Roman" w:cs="Times New Roman"/>
          <w:i w:val="0"/>
          <w:sz w:val="24"/>
        </w:rPr>
        <w:t>Tambunan</w:t>
      </w:r>
      <w:proofErr w:type="spellEnd"/>
      <w:r w:rsidRPr="00FB1EEC">
        <w:rPr>
          <w:rFonts w:ascii="Times New Roman" w:hAnsi="Times New Roman" w:cs="Times New Roman"/>
          <w:i w:val="0"/>
          <w:sz w:val="24"/>
        </w:rPr>
        <w:t>, 2007)</w:t>
      </w:r>
    </w:p>
    <w:p w14:paraId="01AD8EB3" w14:textId="3D8E2E65" w:rsidR="00FB1EEC" w:rsidRDefault="00FB1EEC" w:rsidP="00FB1EEC">
      <w:pPr>
        <w:pStyle w:val="ListParagraph"/>
        <w:spacing w:after="0" w:line="240" w:lineRule="auto"/>
        <w:ind w:left="1080"/>
        <w:rPr>
          <w:rFonts w:ascii="Times New Roman" w:hAnsi="Times New Roman" w:cs="Times New Roman"/>
          <w:i w:val="0"/>
          <w:sz w:val="24"/>
        </w:rPr>
      </w:pPr>
      <w:r w:rsidRPr="00FB1EEC">
        <w:rPr>
          <w:rFonts w:ascii="Times New Roman" w:hAnsi="Times New Roman" w:cs="Times New Roman"/>
          <w:i w:val="0"/>
          <w:noProof/>
          <w:sz w:val="24"/>
          <w:lang w:bidi="ar-SA"/>
        </w:rPr>
        <w:drawing>
          <wp:inline distT="0" distB="0" distL="0" distR="0" wp14:anchorId="4B10A626" wp14:editId="58C2F01F">
            <wp:extent cx="4905375" cy="359410"/>
            <wp:effectExtent l="0" t="0" r="952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05375" cy="359410"/>
                    </a:xfrm>
                    <a:prstGeom prst="rect">
                      <a:avLst/>
                    </a:prstGeom>
                  </pic:spPr>
                </pic:pic>
              </a:graphicData>
            </a:graphic>
          </wp:inline>
        </w:drawing>
      </w:r>
    </w:p>
    <w:p w14:paraId="1296A20D" w14:textId="77777777" w:rsidR="00FB1EEC" w:rsidRPr="00FB1EEC" w:rsidRDefault="00FB1EEC" w:rsidP="00FB1EEC">
      <w:pPr>
        <w:pStyle w:val="ListParagraph"/>
        <w:spacing w:after="0" w:line="240" w:lineRule="auto"/>
        <w:ind w:left="1080"/>
        <w:rPr>
          <w:rFonts w:ascii="Times New Roman" w:hAnsi="Times New Roman" w:cs="Times New Roman"/>
          <w:i w:val="0"/>
          <w:sz w:val="24"/>
        </w:rPr>
      </w:pPr>
    </w:p>
    <w:p w14:paraId="7A481BD3" w14:textId="475E1ACD" w:rsidR="00FB1EEC" w:rsidRPr="00FB1EEC" w:rsidRDefault="00FB1EEC" w:rsidP="00FB1EEC">
      <w:pPr>
        <w:pStyle w:val="ListParagraph"/>
        <w:widowControl w:val="0"/>
        <w:numPr>
          <w:ilvl w:val="0"/>
          <w:numId w:val="5"/>
        </w:numPr>
        <w:suppressAutoHyphens w:val="0"/>
        <w:autoSpaceDE w:val="0"/>
        <w:autoSpaceDN w:val="0"/>
        <w:spacing w:after="0" w:line="240" w:lineRule="auto"/>
        <w:rPr>
          <w:rFonts w:ascii="Times New Roman" w:hAnsi="Times New Roman" w:cs="Times New Roman"/>
          <w:b/>
          <w:i w:val="0"/>
          <w:sz w:val="24"/>
        </w:rPr>
      </w:pPr>
      <w:r w:rsidRPr="00FB1EEC">
        <w:rPr>
          <w:rFonts w:ascii="Times New Roman" w:hAnsi="Times New Roman" w:cs="Times New Roman"/>
          <w:b/>
          <w:i w:val="0"/>
          <w:sz w:val="24"/>
        </w:rPr>
        <w:t xml:space="preserve">Dividend </w:t>
      </w:r>
      <w:proofErr w:type="spellStart"/>
      <w:r w:rsidRPr="00FB1EEC">
        <w:rPr>
          <w:rFonts w:ascii="Times New Roman" w:hAnsi="Times New Roman" w:cs="Times New Roman"/>
          <w:b/>
          <w:i w:val="0"/>
          <w:sz w:val="24"/>
        </w:rPr>
        <w:t>Disocunted</w:t>
      </w:r>
      <w:proofErr w:type="spellEnd"/>
      <w:r w:rsidRPr="00FB1EEC">
        <w:rPr>
          <w:rFonts w:ascii="Times New Roman" w:hAnsi="Times New Roman" w:cs="Times New Roman"/>
          <w:b/>
          <w:i w:val="0"/>
          <w:sz w:val="24"/>
        </w:rPr>
        <w:t xml:space="preserve"> Model (DDM)</w:t>
      </w:r>
    </w:p>
    <w:p w14:paraId="3B6073B4" w14:textId="77777777" w:rsidR="00FB1EEC" w:rsidRPr="00FB1EEC" w:rsidRDefault="00FB1EEC" w:rsidP="00FB1EEC">
      <w:pPr>
        <w:pStyle w:val="ListParagraph"/>
        <w:widowControl w:val="0"/>
        <w:numPr>
          <w:ilvl w:val="0"/>
          <w:numId w:val="7"/>
        </w:numPr>
        <w:suppressAutoHyphens w:val="0"/>
        <w:autoSpaceDE w:val="0"/>
        <w:autoSpaceDN w:val="0"/>
        <w:spacing w:after="0" w:line="240" w:lineRule="auto"/>
        <w:rPr>
          <w:rFonts w:ascii="Times New Roman" w:hAnsi="Times New Roman" w:cs="Times New Roman"/>
          <w:i w:val="0"/>
          <w:sz w:val="24"/>
        </w:rPr>
      </w:pPr>
      <w:r w:rsidRPr="00FB1EEC">
        <w:rPr>
          <w:rFonts w:ascii="Times New Roman" w:hAnsi="Times New Roman" w:cs="Times New Roman"/>
          <w:i w:val="0"/>
          <w:sz w:val="24"/>
        </w:rPr>
        <w:t>Calculating Dividend Growth Rate (g)</w:t>
      </w:r>
    </w:p>
    <w:p w14:paraId="7E438924" w14:textId="77777777" w:rsidR="00FB1EEC" w:rsidRPr="00FB1EEC" w:rsidRDefault="00FB1EEC" w:rsidP="00FB1EEC">
      <w:pPr>
        <w:pStyle w:val="ListParagraph"/>
        <w:spacing w:after="0" w:line="240" w:lineRule="auto"/>
        <w:ind w:left="1080"/>
        <w:jc w:val="center"/>
        <w:rPr>
          <w:rFonts w:ascii="Times New Roman" w:hAnsi="Times New Roman" w:cs="Times New Roman"/>
          <w:i w:val="0"/>
          <w:sz w:val="24"/>
        </w:rPr>
      </w:pPr>
      <w:r w:rsidRPr="00FB1EEC">
        <w:rPr>
          <w:rFonts w:ascii="Times New Roman" w:hAnsi="Times New Roman" w:cs="Times New Roman"/>
          <w:i w:val="0"/>
          <w:noProof/>
          <w:sz w:val="24"/>
          <w:lang w:bidi="ar-SA"/>
        </w:rPr>
        <w:drawing>
          <wp:inline distT="0" distB="0" distL="0" distR="0" wp14:anchorId="4982B9D1" wp14:editId="371F57A0">
            <wp:extent cx="2533650" cy="1295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33650" cy="1295400"/>
                    </a:xfrm>
                    <a:prstGeom prst="rect">
                      <a:avLst/>
                    </a:prstGeom>
                  </pic:spPr>
                </pic:pic>
              </a:graphicData>
            </a:graphic>
          </wp:inline>
        </w:drawing>
      </w:r>
    </w:p>
    <w:p w14:paraId="7FF13897" w14:textId="77777777" w:rsidR="00FB1EEC" w:rsidRPr="00FB1EEC" w:rsidRDefault="00FB1EEC" w:rsidP="00FB1EEC">
      <w:pPr>
        <w:pStyle w:val="ListParagraph"/>
        <w:spacing w:after="0" w:line="240" w:lineRule="auto"/>
        <w:ind w:left="1080"/>
        <w:rPr>
          <w:rFonts w:ascii="Times New Roman" w:hAnsi="Times New Roman" w:cs="Times New Roman"/>
          <w:i w:val="0"/>
          <w:sz w:val="24"/>
        </w:rPr>
      </w:pPr>
      <w:proofErr w:type="gramStart"/>
      <w:r w:rsidRPr="00FB1EEC">
        <w:rPr>
          <w:rFonts w:ascii="Times New Roman" w:hAnsi="Times New Roman" w:cs="Times New Roman"/>
          <w:i w:val="0"/>
          <w:sz w:val="24"/>
        </w:rPr>
        <w:t>Note :</w:t>
      </w:r>
      <w:proofErr w:type="gramEnd"/>
    </w:p>
    <w:p w14:paraId="6414E546" w14:textId="77777777" w:rsidR="00FB1EEC" w:rsidRPr="00FB1EEC" w:rsidRDefault="00FB1EEC" w:rsidP="00FB1EEC">
      <w:pPr>
        <w:pStyle w:val="ListParagraph"/>
        <w:spacing w:after="0" w:line="240" w:lineRule="auto"/>
        <w:ind w:left="1080"/>
        <w:rPr>
          <w:rFonts w:ascii="Times New Roman" w:hAnsi="Times New Roman" w:cs="Times New Roman"/>
          <w:i w:val="0"/>
          <w:sz w:val="24"/>
        </w:rPr>
      </w:pPr>
      <w:r w:rsidRPr="00FB1EEC">
        <w:rPr>
          <w:rFonts w:ascii="Times New Roman" w:hAnsi="Times New Roman" w:cs="Times New Roman"/>
          <w:i w:val="0"/>
          <w:sz w:val="24"/>
        </w:rPr>
        <w:t>g = Dividend growth rate</w:t>
      </w:r>
    </w:p>
    <w:p w14:paraId="10ACA857" w14:textId="77777777" w:rsidR="00FB1EEC" w:rsidRPr="00FB1EEC" w:rsidRDefault="00FB1EEC" w:rsidP="00FB1EEC">
      <w:pPr>
        <w:pStyle w:val="ListParagraph"/>
        <w:spacing w:after="0" w:line="240" w:lineRule="auto"/>
        <w:ind w:left="1080"/>
        <w:rPr>
          <w:rFonts w:ascii="Times New Roman" w:hAnsi="Times New Roman" w:cs="Times New Roman"/>
          <w:i w:val="0"/>
          <w:sz w:val="24"/>
        </w:rPr>
      </w:pPr>
      <w:r w:rsidRPr="00FB1EEC">
        <w:rPr>
          <w:rFonts w:ascii="Times New Roman" w:hAnsi="Times New Roman" w:cs="Times New Roman"/>
          <w:i w:val="0"/>
          <w:sz w:val="24"/>
        </w:rPr>
        <w:t>ROE = Net profit on own capital</w:t>
      </w:r>
    </w:p>
    <w:p w14:paraId="4AC2D963" w14:textId="77777777" w:rsidR="00FB1EEC" w:rsidRPr="00FB1EEC" w:rsidRDefault="00FB1EEC" w:rsidP="00FB1EEC">
      <w:pPr>
        <w:pStyle w:val="ListParagraph"/>
        <w:spacing w:after="0" w:line="240" w:lineRule="auto"/>
        <w:ind w:left="1080"/>
        <w:rPr>
          <w:rFonts w:ascii="Times New Roman" w:hAnsi="Times New Roman" w:cs="Times New Roman"/>
          <w:i w:val="0"/>
          <w:sz w:val="24"/>
        </w:rPr>
      </w:pPr>
      <w:r w:rsidRPr="00FB1EEC">
        <w:rPr>
          <w:rFonts w:ascii="Times New Roman" w:hAnsi="Times New Roman" w:cs="Times New Roman"/>
          <w:i w:val="0"/>
          <w:sz w:val="24"/>
        </w:rPr>
        <w:t>DPS = Dividend distributed per share</w:t>
      </w:r>
    </w:p>
    <w:p w14:paraId="0476E3BC" w14:textId="5218B7BF" w:rsidR="00FB1EEC" w:rsidRDefault="00FB1EEC" w:rsidP="00FB1EEC">
      <w:pPr>
        <w:pStyle w:val="ListParagraph"/>
        <w:spacing w:after="0" w:line="240" w:lineRule="auto"/>
        <w:ind w:left="1080"/>
        <w:rPr>
          <w:rFonts w:ascii="Times New Roman" w:hAnsi="Times New Roman" w:cs="Times New Roman"/>
          <w:i w:val="0"/>
          <w:sz w:val="24"/>
        </w:rPr>
      </w:pPr>
      <w:r w:rsidRPr="00FB1EEC">
        <w:rPr>
          <w:rFonts w:ascii="Times New Roman" w:hAnsi="Times New Roman" w:cs="Times New Roman"/>
          <w:i w:val="0"/>
          <w:sz w:val="24"/>
        </w:rPr>
        <w:t>EPS = Earnings earned per share</w:t>
      </w:r>
    </w:p>
    <w:p w14:paraId="10E3FBA8" w14:textId="7ADBA29A" w:rsidR="00FB1EEC" w:rsidRDefault="00FB1EEC" w:rsidP="00FB1EEC">
      <w:pPr>
        <w:pStyle w:val="ListParagraph"/>
        <w:spacing w:after="0" w:line="240" w:lineRule="auto"/>
        <w:ind w:left="1080"/>
        <w:rPr>
          <w:rFonts w:ascii="Times New Roman" w:hAnsi="Times New Roman" w:cs="Times New Roman"/>
          <w:i w:val="0"/>
          <w:sz w:val="24"/>
        </w:rPr>
      </w:pPr>
    </w:p>
    <w:p w14:paraId="56F9FA6F" w14:textId="6A022569" w:rsidR="00FB1EEC" w:rsidRDefault="00FB1EEC" w:rsidP="00FB1EEC">
      <w:pPr>
        <w:pStyle w:val="ListParagraph"/>
        <w:spacing w:after="0" w:line="240" w:lineRule="auto"/>
        <w:ind w:left="1080"/>
        <w:rPr>
          <w:rFonts w:ascii="Times New Roman" w:hAnsi="Times New Roman" w:cs="Times New Roman"/>
          <w:i w:val="0"/>
          <w:sz w:val="24"/>
        </w:rPr>
      </w:pPr>
    </w:p>
    <w:p w14:paraId="6F621E82" w14:textId="18BBB769" w:rsidR="00FB1EEC" w:rsidRDefault="00FB1EEC" w:rsidP="00FB1EEC">
      <w:pPr>
        <w:pStyle w:val="ListParagraph"/>
        <w:spacing w:after="0" w:line="240" w:lineRule="auto"/>
        <w:ind w:left="1080"/>
        <w:rPr>
          <w:rFonts w:ascii="Times New Roman" w:hAnsi="Times New Roman" w:cs="Times New Roman"/>
          <w:i w:val="0"/>
          <w:sz w:val="24"/>
        </w:rPr>
      </w:pPr>
    </w:p>
    <w:p w14:paraId="7477FF4C" w14:textId="77777777" w:rsidR="00FB1EEC" w:rsidRPr="00FB1EEC" w:rsidRDefault="00FB1EEC" w:rsidP="00FB1EEC">
      <w:pPr>
        <w:pStyle w:val="ListParagraph"/>
        <w:spacing w:after="0" w:line="240" w:lineRule="auto"/>
        <w:ind w:left="1080"/>
        <w:rPr>
          <w:rFonts w:ascii="Times New Roman" w:hAnsi="Times New Roman" w:cs="Times New Roman"/>
          <w:i w:val="0"/>
          <w:sz w:val="24"/>
        </w:rPr>
      </w:pPr>
    </w:p>
    <w:p w14:paraId="600B63F5" w14:textId="77777777" w:rsidR="00FB1EEC" w:rsidRPr="00FB1EEC" w:rsidRDefault="00FB1EEC" w:rsidP="00FB1EEC">
      <w:pPr>
        <w:pStyle w:val="ListParagraph"/>
        <w:widowControl w:val="0"/>
        <w:numPr>
          <w:ilvl w:val="0"/>
          <w:numId w:val="7"/>
        </w:numPr>
        <w:suppressAutoHyphens w:val="0"/>
        <w:autoSpaceDE w:val="0"/>
        <w:autoSpaceDN w:val="0"/>
        <w:spacing w:after="0" w:line="240" w:lineRule="auto"/>
        <w:rPr>
          <w:rFonts w:ascii="Times New Roman" w:hAnsi="Times New Roman" w:cs="Times New Roman"/>
          <w:i w:val="0"/>
          <w:sz w:val="24"/>
        </w:rPr>
      </w:pPr>
      <w:r w:rsidRPr="00FB1EEC">
        <w:rPr>
          <w:rFonts w:ascii="Times New Roman" w:hAnsi="Times New Roman" w:cs="Times New Roman"/>
          <w:i w:val="0"/>
          <w:sz w:val="24"/>
        </w:rPr>
        <w:t>Determining the Estimated Expected Dividend in the Future (</w:t>
      </w:r>
      <w:proofErr w:type="spellStart"/>
      <w:r w:rsidRPr="00FB1EEC">
        <w:rPr>
          <w:rFonts w:ascii="Times New Roman" w:hAnsi="Times New Roman" w:cs="Times New Roman"/>
          <w:i w:val="0"/>
          <w:sz w:val="24"/>
        </w:rPr>
        <w:t>Tambunan</w:t>
      </w:r>
      <w:proofErr w:type="spellEnd"/>
      <w:r w:rsidRPr="00FB1EEC">
        <w:rPr>
          <w:rFonts w:ascii="Times New Roman" w:hAnsi="Times New Roman" w:cs="Times New Roman"/>
          <w:i w:val="0"/>
          <w:sz w:val="24"/>
        </w:rPr>
        <w:t>, 2007)</w:t>
      </w:r>
    </w:p>
    <w:p w14:paraId="3006A4D7" w14:textId="77777777" w:rsidR="00FB1EEC" w:rsidRPr="00FB1EEC" w:rsidRDefault="00FB1EEC" w:rsidP="00FB1EEC">
      <w:pPr>
        <w:pStyle w:val="ListParagraph"/>
        <w:spacing w:after="0" w:line="240" w:lineRule="auto"/>
        <w:ind w:left="1080"/>
        <w:jc w:val="center"/>
        <w:rPr>
          <w:rFonts w:ascii="Times New Roman" w:hAnsi="Times New Roman" w:cs="Times New Roman"/>
          <w:i w:val="0"/>
          <w:sz w:val="24"/>
        </w:rPr>
      </w:pPr>
      <w:r w:rsidRPr="00FB1EEC">
        <w:rPr>
          <w:rFonts w:ascii="Times New Roman" w:hAnsi="Times New Roman" w:cs="Times New Roman"/>
          <w:i w:val="0"/>
          <w:noProof/>
          <w:sz w:val="24"/>
          <w:lang w:bidi="ar-SA"/>
        </w:rPr>
        <w:drawing>
          <wp:inline distT="0" distB="0" distL="0" distR="0" wp14:anchorId="487160A7" wp14:editId="4095C41B">
            <wp:extent cx="1200150" cy="3333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00150" cy="333375"/>
                    </a:xfrm>
                    <a:prstGeom prst="rect">
                      <a:avLst/>
                    </a:prstGeom>
                  </pic:spPr>
                </pic:pic>
              </a:graphicData>
            </a:graphic>
          </wp:inline>
        </w:drawing>
      </w:r>
    </w:p>
    <w:p w14:paraId="09EEA918" w14:textId="77777777" w:rsidR="00FB1EEC" w:rsidRPr="00FB1EEC" w:rsidRDefault="00FB1EEC" w:rsidP="00FB1EEC">
      <w:pPr>
        <w:pStyle w:val="ListParagraph"/>
        <w:spacing w:after="0" w:line="240" w:lineRule="auto"/>
        <w:ind w:left="1080"/>
        <w:jc w:val="both"/>
        <w:rPr>
          <w:rFonts w:ascii="Times New Roman" w:hAnsi="Times New Roman" w:cs="Times New Roman"/>
          <w:i w:val="0"/>
          <w:sz w:val="24"/>
        </w:rPr>
      </w:pPr>
      <w:proofErr w:type="gramStart"/>
      <w:r w:rsidRPr="00FB1EEC">
        <w:rPr>
          <w:rFonts w:ascii="Times New Roman" w:hAnsi="Times New Roman" w:cs="Times New Roman"/>
          <w:i w:val="0"/>
          <w:sz w:val="24"/>
        </w:rPr>
        <w:t>Note :</w:t>
      </w:r>
      <w:proofErr w:type="gramEnd"/>
    </w:p>
    <w:p w14:paraId="23D9C128" w14:textId="77777777" w:rsidR="00FB1EEC" w:rsidRPr="00FB1EEC" w:rsidRDefault="00FB1EEC" w:rsidP="00FB1EEC">
      <w:pPr>
        <w:pStyle w:val="ListParagraph"/>
        <w:spacing w:after="0" w:line="240" w:lineRule="auto"/>
        <w:ind w:left="1080"/>
        <w:jc w:val="both"/>
        <w:rPr>
          <w:rFonts w:ascii="Times New Roman" w:hAnsi="Times New Roman" w:cs="Times New Roman"/>
          <w:i w:val="0"/>
          <w:sz w:val="24"/>
        </w:rPr>
      </w:pPr>
      <w:r w:rsidRPr="00FB1EEC">
        <w:rPr>
          <w:rFonts w:ascii="Times New Roman" w:hAnsi="Times New Roman" w:cs="Times New Roman"/>
          <w:i w:val="0"/>
          <w:sz w:val="24"/>
        </w:rPr>
        <w:t>D</w:t>
      </w:r>
      <w:r w:rsidRPr="00FB1EEC">
        <w:rPr>
          <w:rFonts w:ascii="Times New Roman" w:hAnsi="Times New Roman" w:cs="Times New Roman"/>
          <w:i w:val="0"/>
          <w:sz w:val="24"/>
          <w:vertAlign w:val="subscript"/>
        </w:rPr>
        <w:t xml:space="preserve">t </w:t>
      </w:r>
      <w:r w:rsidRPr="00FB1EEC">
        <w:rPr>
          <w:rFonts w:ascii="Times New Roman" w:hAnsi="Times New Roman" w:cs="Times New Roman"/>
          <w:i w:val="0"/>
          <w:sz w:val="24"/>
        </w:rPr>
        <w:t>= Estimated expected dividend in year t</w:t>
      </w:r>
    </w:p>
    <w:p w14:paraId="73D3E149" w14:textId="77777777" w:rsidR="00FB1EEC" w:rsidRPr="00FB1EEC" w:rsidRDefault="00FB1EEC" w:rsidP="00FB1EEC">
      <w:pPr>
        <w:pStyle w:val="ListParagraph"/>
        <w:spacing w:after="0" w:line="240" w:lineRule="auto"/>
        <w:ind w:left="1080"/>
        <w:jc w:val="both"/>
        <w:rPr>
          <w:rFonts w:ascii="Times New Roman" w:hAnsi="Times New Roman" w:cs="Times New Roman"/>
          <w:i w:val="0"/>
          <w:sz w:val="24"/>
        </w:rPr>
      </w:pPr>
      <w:r w:rsidRPr="00FB1EEC">
        <w:rPr>
          <w:rFonts w:ascii="Times New Roman" w:hAnsi="Times New Roman" w:cs="Times New Roman"/>
          <w:i w:val="0"/>
          <w:sz w:val="24"/>
        </w:rPr>
        <w:t>D</w:t>
      </w:r>
      <w:r w:rsidRPr="00FB1EEC">
        <w:rPr>
          <w:rFonts w:ascii="Times New Roman" w:hAnsi="Times New Roman" w:cs="Times New Roman"/>
          <w:i w:val="0"/>
          <w:sz w:val="24"/>
          <w:vertAlign w:val="subscript"/>
        </w:rPr>
        <w:t>0</w:t>
      </w:r>
      <w:r w:rsidRPr="00FB1EEC">
        <w:rPr>
          <w:rFonts w:ascii="Times New Roman" w:hAnsi="Times New Roman" w:cs="Times New Roman"/>
          <w:i w:val="0"/>
          <w:sz w:val="24"/>
        </w:rPr>
        <w:t>= Dividend last year received/distributed</w:t>
      </w:r>
    </w:p>
    <w:p w14:paraId="2276B1D8" w14:textId="77777777" w:rsidR="00FB1EEC" w:rsidRPr="00FB1EEC" w:rsidRDefault="00FB1EEC" w:rsidP="00FB1EEC">
      <w:pPr>
        <w:pStyle w:val="ListParagraph"/>
        <w:spacing w:after="0" w:line="240" w:lineRule="auto"/>
        <w:ind w:left="1080"/>
        <w:jc w:val="both"/>
        <w:rPr>
          <w:rFonts w:ascii="Times New Roman" w:hAnsi="Times New Roman" w:cs="Times New Roman"/>
          <w:i w:val="0"/>
          <w:sz w:val="24"/>
        </w:rPr>
      </w:pPr>
      <w:r w:rsidRPr="00FB1EEC">
        <w:rPr>
          <w:rFonts w:ascii="Times New Roman" w:hAnsi="Times New Roman" w:cs="Times New Roman"/>
          <w:i w:val="0"/>
          <w:sz w:val="24"/>
        </w:rPr>
        <w:t>g = Dividend growth rate</w:t>
      </w:r>
    </w:p>
    <w:p w14:paraId="6E7207DA" w14:textId="5D434A98" w:rsidR="00FB1EEC" w:rsidRPr="00FB1EEC" w:rsidRDefault="00FB1EEC" w:rsidP="00FB1EEC">
      <w:pPr>
        <w:pStyle w:val="ListParagraph"/>
        <w:spacing w:after="0" w:line="240" w:lineRule="auto"/>
        <w:ind w:left="1080"/>
        <w:jc w:val="both"/>
        <w:rPr>
          <w:rFonts w:ascii="Times New Roman" w:hAnsi="Times New Roman" w:cs="Times New Roman"/>
          <w:i w:val="0"/>
          <w:sz w:val="24"/>
        </w:rPr>
      </w:pPr>
      <w:r w:rsidRPr="00FB1EEC">
        <w:rPr>
          <w:rFonts w:ascii="Times New Roman" w:hAnsi="Times New Roman" w:cs="Times New Roman"/>
          <w:i w:val="0"/>
          <w:sz w:val="24"/>
        </w:rPr>
        <w:t>t = Year t</w:t>
      </w:r>
    </w:p>
    <w:p w14:paraId="27A43726" w14:textId="77777777" w:rsidR="00FB1EEC" w:rsidRPr="00FB1EEC" w:rsidRDefault="00FB1EEC" w:rsidP="00FB1EEC">
      <w:pPr>
        <w:pStyle w:val="ListParagraph"/>
        <w:widowControl w:val="0"/>
        <w:numPr>
          <w:ilvl w:val="0"/>
          <w:numId w:val="7"/>
        </w:numPr>
        <w:suppressAutoHyphens w:val="0"/>
        <w:autoSpaceDE w:val="0"/>
        <w:autoSpaceDN w:val="0"/>
        <w:spacing w:after="0" w:line="240" w:lineRule="auto"/>
        <w:rPr>
          <w:rFonts w:ascii="Times New Roman" w:hAnsi="Times New Roman" w:cs="Times New Roman"/>
          <w:i w:val="0"/>
          <w:sz w:val="24"/>
        </w:rPr>
      </w:pPr>
      <w:r w:rsidRPr="00FB1EEC">
        <w:rPr>
          <w:rFonts w:ascii="Times New Roman" w:hAnsi="Times New Roman" w:cs="Times New Roman"/>
          <w:i w:val="0"/>
          <w:sz w:val="24"/>
        </w:rPr>
        <w:t>Determining the Expected Return (Brigham &amp; Houston, 2018)</w:t>
      </w:r>
    </w:p>
    <w:p w14:paraId="61E47782" w14:textId="77777777" w:rsidR="00FB1EEC" w:rsidRPr="00FB1EEC" w:rsidRDefault="00FB1EEC" w:rsidP="00FB1EEC">
      <w:pPr>
        <w:pStyle w:val="ListParagraph"/>
        <w:spacing w:after="0" w:line="240" w:lineRule="auto"/>
        <w:ind w:left="1080"/>
        <w:jc w:val="center"/>
        <w:rPr>
          <w:rFonts w:ascii="Times New Roman" w:hAnsi="Times New Roman" w:cs="Times New Roman"/>
          <w:i w:val="0"/>
          <w:sz w:val="24"/>
        </w:rPr>
      </w:pPr>
      <w:r w:rsidRPr="00FB1EEC">
        <w:rPr>
          <w:rFonts w:ascii="Times New Roman" w:hAnsi="Times New Roman" w:cs="Times New Roman"/>
          <w:i w:val="0"/>
          <w:noProof/>
          <w:sz w:val="24"/>
          <w:lang w:bidi="ar-SA"/>
        </w:rPr>
        <w:drawing>
          <wp:inline distT="0" distB="0" distL="0" distR="0" wp14:anchorId="4C9106B1" wp14:editId="72BA87B1">
            <wp:extent cx="971550" cy="533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71550" cy="533400"/>
                    </a:xfrm>
                    <a:prstGeom prst="rect">
                      <a:avLst/>
                    </a:prstGeom>
                  </pic:spPr>
                </pic:pic>
              </a:graphicData>
            </a:graphic>
          </wp:inline>
        </w:drawing>
      </w:r>
    </w:p>
    <w:p w14:paraId="14C993BD" w14:textId="77777777" w:rsidR="00FB1EEC" w:rsidRPr="00FB1EEC" w:rsidRDefault="00FB1EEC" w:rsidP="00FB1EEC">
      <w:pPr>
        <w:pStyle w:val="ListParagraph"/>
        <w:spacing w:after="0" w:line="240" w:lineRule="auto"/>
        <w:ind w:left="1080"/>
        <w:jc w:val="both"/>
        <w:rPr>
          <w:rFonts w:ascii="Times New Roman" w:hAnsi="Times New Roman" w:cs="Times New Roman"/>
          <w:i w:val="0"/>
          <w:sz w:val="24"/>
        </w:rPr>
      </w:pPr>
      <w:proofErr w:type="gramStart"/>
      <w:r w:rsidRPr="00FB1EEC">
        <w:rPr>
          <w:rFonts w:ascii="Times New Roman" w:hAnsi="Times New Roman" w:cs="Times New Roman"/>
          <w:i w:val="0"/>
          <w:sz w:val="24"/>
        </w:rPr>
        <w:t>Note :</w:t>
      </w:r>
      <w:proofErr w:type="gramEnd"/>
    </w:p>
    <w:p w14:paraId="14358783" w14:textId="77777777" w:rsidR="00FB1EEC" w:rsidRPr="00FB1EEC" w:rsidRDefault="00FB1EEC" w:rsidP="00FB1EEC">
      <w:pPr>
        <w:pStyle w:val="ListParagraph"/>
        <w:spacing w:after="0" w:line="240" w:lineRule="auto"/>
        <w:ind w:left="1080"/>
        <w:jc w:val="both"/>
        <w:rPr>
          <w:rFonts w:ascii="Times New Roman" w:hAnsi="Times New Roman" w:cs="Times New Roman"/>
          <w:i w:val="0"/>
          <w:sz w:val="24"/>
        </w:rPr>
      </w:pPr>
      <w:r w:rsidRPr="00FB1EEC">
        <w:rPr>
          <w:rFonts w:ascii="Times New Roman" w:hAnsi="Times New Roman" w:cs="Times New Roman"/>
          <w:i w:val="0"/>
          <w:sz w:val="24"/>
        </w:rPr>
        <w:t>k = Expected rate of return</w:t>
      </w:r>
    </w:p>
    <w:p w14:paraId="649C7BDD" w14:textId="77777777" w:rsidR="00FB1EEC" w:rsidRPr="00FB1EEC" w:rsidRDefault="00FB1EEC" w:rsidP="00FB1EEC">
      <w:pPr>
        <w:pStyle w:val="ListParagraph"/>
        <w:spacing w:after="0" w:line="240" w:lineRule="auto"/>
        <w:ind w:left="1080"/>
        <w:jc w:val="both"/>
        <w:rPr>
          <w:rFonts w:ascii="Times New Roman" w:hAnsi="Times New Roman" w:cs="Times New Roman"/>
          <w:i w:val="0"/>
          <w:sz w:val="24"/>
        </w:rPr>
      </w:pPr>
      <w:r w:rsidRPr="00FB1EEC">
        <w:rPr>
          <w:rFonts w:ascii="Times New Roman" w:hAnsi="Times New Roman" w:cs="Times New Roman"/>
          <w:i w:val="0"/>
          <w:sz w:val="24"/>
        </w:rPr>
        <w:t>D</w:t>
      </w:r>
      <w:r w:rsidRPr="00FB1EEC">
        <w:rPr>
          <w:rFonts w:ascii="Times New Roman" w:hAnsi="Times New Roman" w:cs="Times New Roman"/>
          <w:i w:val="0"/>
          <w:sz w:val="24"/>
          <w:vertAlign w:val="subscript"/>
        </w:rPr>
        <w:t xml:space="preserve">0 </w:t>
      </w:r>
      <w:r w:rsidRPr="00FB1EEC">
        <w:rPr>
          <w:rFonts w:ascii="Times New Roman" w:hAnsi="Times New Roman" w:cs="Times New Roman"/>
          <w:i w:val="0"/>
          <w:sz w:val="24"/>
        </w:rPr>
        <w:t>= Dividend last year received/distributed</w:t>
      </w:r>
    </w:p>
    <w:p w14:paraId="6248ADDE" w14:textId="77777777" w:rsidR="00FB1EEC" w:rsidRPr="00FB1EEC" w:rsidRDefault="00FB1EEC" w:rsidP="00FB1EEC">
      <w:pPr>
        <w:pStyle w:val="ListParagraph"/>
        <w:spacing w:after="0" w:line="240" w:lineRule="auto"/>
        <w:ind w:left="1080"/>
        <w:jc w:val="both"/>
        <w:rPr>
          <w:rFonts w:ascii="Times New Roman" w:hAnsi="Times New Roman" w:cs="Times New Roman"/>
          <w:i w:val="0"/>
          <w:sz w:val="24"/>
        </w:rPr>
      </w:pPr>
      <w:r w:rsidRPr="00FB1EEC">
        <w:rPr>
          <w:rFonts w:ascii="Times New Roman" w:hAnsi="Times New Roman" w:cs="Times New Roman"/>
          <w:i w:val="0"/>
          <w:sz w:val="24"/>
        </w:rPr>
        <w:t>P</w:t>
      </w:r>
      <w:r w:rsidRPr="00FB1EEC">
        <w:rPr>
          <w:rFonts w:ascii="Times New Roman" w:hAnsi="Times New Roman" w:cs="Times New Roman"/>
          <w:i w:val="0"/>
          <w:sz w:val="24"/>
          <w:vertAlign w:val="subscript"/>
        </w:rPr>
        <w:t xml:space="preserve">0 </w:t>
      </w:r>
      <w:r w:rsidRPr="00FB1EEC">
        <w:rPr>
          <w:rFonts w:ascii="Times New Roman" w:hAnsi="Times New Roman" w:cs="Times New Roman"/>
          <w:i w:val="0"/>
          <w:sz w:val="24"/>
        </w:rPr>
        <w:t>= Current market price</w:t>
      </w:r>
    </w:p>
    <w:p w14:paraId="39E39F29" w14:textId="346C13AE" w:rsidR="00FB1EEC" w:rsidRPr="00FB1EEC" w:rsidRDefault="00FB1EEC" w:rsidP="00FB1EEC">
      <w:pPr>
        <w:pStyle w:val="ListParagraph"/>
        <w:spacing w:after="0" w:line="240" w:lineRule="auto"/>
        <w:ind w:left="1080"/>
        <w:jc w:val="both"/>
        <w:rPr>
          <w:rFonts w:ascii="Times New Roman" w:hAnsi="Times New Roman" w:cs="Times New Roman"/>
          <w:i w:val="0"/>
          <w:sz w:val="24"/>
        </w:rPr>
      </w:pPr>
      <w:r w:rsidRPr="00FB1EEC">
        <w:rPr>
          <w:rFonts w:ascii="Times New Roman" w:hAnsi="Times New Roman" w:cs="Times New Roman"/>
          <w:i w:val="0"/>
          <w:sz w:val="24"/>
        </w:rPr>
        <w:t>g = Dividend growth rate</w:t>
      </w:r>
    </w:p>
    <w:p w14:paraId="6C5DB179" w14:textId="77777777" w:rsidR="00FB1EEC" w:rsidRPr="00FB1EEC" w:rsidRDefault="00FB1EEC" w:rsidP="00FB1EEC">
      <w:pPr>
        <w:pStyle w:val="ListParagraph"/>
        <w:widowControl w:val="0"/>
        <w:numPr>
          <w:ilvl w:val="0"/>
          <w:numId w:val="7"/>
        </w:numPr>
        <w:suppressAutoHyphens w:val="0"/>
        <w:autoSpaceDE w:val="0"/>
        <w:autoSpaceDN w:val="0"/>
        <w:spacing w:after="0" w:line="240" w:lineRule="auto"/>
        <w:rPr>
          <w:rFonts w:ascii="Times New Roman" w:hAnsi="Times New Roman" w:cs="Times New Roman"/>
          <w:i w:val="0"/>
          <w:sz w:val="24"/>
        </w:rPr>
      </w:pPr>
      <w:r w:rsidRPr="00FB1EEC">
        <w:rPr>
          <w:rFonts w:ascii="Times New Roman" w:hAnsi="Times New Roman" w:cs="Times New Roman"/>
          <w:i w:val="0"/>
          <w:sz w:val="24"/>
        </w:rPr>
        <w:t>Calculating Intrinsic Value (</w:t>
      </w:r>
      <w:proofErr w:type="spellStart"/>
      <w:r w:rsidRPr="00FB1EEC">
        <w:rPr>
          <w:rFonts w:ascii="Times New Roman" w:hAnsi="Times New Roman" w:cs="Times New Roman"/>
          <w:i w:val="0"/>
          <w:sz w:val="24"/>
        </w:rPr>
        <w:t>Tandelilin</w:t>
      </w:r>
      <w:proofErr w:type="spellEnd"/>
      <w:r w:rsidRPr="00FB1EEC">
        <w:rPr>
          <w:rFonts w:ascii="Times New Roman" w:hAnsi="Times New Roman" w:cs="Times New Roman"/>
          <w:i w:val="0"/>
          <w:sz w:val="24"/>
        </w:rPr>
        <w:t>, 2017)</w:t>
      </w:r>
    </w:p>
    <w:p w14:paraId="616E5708" w14:textId="77777777" w:rsidR="00FB1EEC" w:rsidRPr="00FB1EEC" w:rsidRDefault="00FB1EEC" w:rsidP="00FB1EEC">
      <w:pPr>
        <w:pStyle w:val="ListParagraph"/>
        <w:spacing w:after="0" w:line="240" w:lineRule="auto"/>
        <w:ind w:left="1080"/>
        <w:jc w:val="center"/>
        <w:rPr>
          <w:rFonts w:ascii="Times New Roman" w:hAnsi="Times New Roman" w:cs="Times New Roman"/>
          <w:i w:val="0"/>
          <w:sz w:val="24"/>
        </w:rPr>
      </w:pPr>
      <w:r w:rsidRPr="00FB1EEC">
        <w:rPr>
          <w:rFonts w:ascii="Times New Roman" w:hAnsi="Times New Roman" w:cs="Times New Roman"/>
          <w:i w:val="0"/>
          <w:noProof/>
          <w:sz w:val="24"/>
          <w:lang w:bidi="ar-SA"/>
        </w:rPr>
        <w:drawing>
          <wp:inline distT="0" distB="0" distL="0" distR="0" wp14:anchorId="78F497DE" wp14:editId="5A73288B">
            <wp:extent cx="1095375" cy="5715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095375" cy="571500"/>
                    </a:xfrm>
                    <a:prstGeom prst="rect">
                      <a:avLst/>
                    </a:prstGeom>
                  </pic:spPr>
                </pic:pic>
              </a:graphicData>
            </a:graphic>
          </wp:inline>
        </w:drawing>
      </w:r>
    </w:p>
    <w:p w14:paraId="610DB348" w14:textId="77777777" w:rsidR="00FB1EEC" w:rsidRPr="00FB1EEC" w:rsidRDefault="00FB1EEC" w:rsidP="00FB1EEC">
      <w:pPr>
        <w:pStyle w:val="ListParagraph"/>
        <w:spacing w:after="0" w:line="240" w:lineRule="auto"/>
        <w:ind w:left="1080"/>
        <w:jc w:val="both"/>
        <w:rPr>
          <w:rFonts w:ascii="Times New Roman" w:hAnsi="Times New Roman" w:cs="Times New Roman"/>
          <w:i w:val="0"/>
          <w:sz w:val="24"/>
        </w:rPr>
      </w:pPr>
      <w:proofErr w:type="gramStart"/>
      <w:r w:rsidRPr="00FB1EEC">
        <w:rPr>
          <w:rFonts w:ascii="Times New Roman" w:hAnsi="Times New Roman" w:cs="Times New Roman"/>
          <w:i w:val="0"/>
          <w:sz w:val="24"/>
        </w:rPr>
        <w:t>Note :</w:t>
      </w:r>
      <w:proofErr w:type="gramEnd"/>
    </w:p>
    <w:p w14:paraId="65A3C824" w14:textId="77777777" w:rsidR="00FB1EEC" w:rsidRPr="00FB1EEC" w:rsidRDefault="00FB1EEC" w:rsidP="00FB1EEC">
      <w:pPr>
        <w:pStyle w:val="ListParagraph"/>
        <w:spacing w:after="0" w:line="240" w:lineRule="auto"/>
        <w:ind w:left="1080"/>
        <w:jc w:val="both"/>
        <w:rPr>
          <w:rFonts w:ascii="Times New Roman" w:hAnsi="Times New Roman" w:cs="Times New Roman"/>
          <w:i w:val="0"/>
          <w:sz w:val="24"/>
        </w:rPr>
      </w:pPr>
      <w:r w:rsidRPr="00FB1EEC">
        <w:rPr>
          <w:rFonts w:ascii="Times New Roman" w:hAnsi="Times New Roman" w:cs="Times New Roman"/>
          <w:i w:val="0"/>
          <w:sz w:val="24"/>
        </w:rPr>
        <w:t>P̂</w:t>
      </w:r>
      <w:r w:rsidRPr="00FB1EEC">
        <w:rPr>
          <w:rFonts w:ascii="Times New Roman" w:hAnsi="Times New Roman" w:cs="Times New Roman"/>
          <w:i w:val="0"/>
          <w:sz w:val="24"/>
          <w:vertAlign w:val="subscript"/>
        </w:rPr>
        <w:t xml:space="preserve">0 </w:t>
      </w:r>
      <w:r w:rsidRPr="00FB1EEC">
        <w:rPr>
          <w:rFonts w:ascii="Times New Roman" w:hAnsi="Times New Roman" w:cs="Times New Roman"/>
          <w:i w:val="0"/>
          <w:sz w:val="24"/>
        </w:rPr>
        <w:t>= Intrinsic value of shares with DDM</w:t>
      </w:r>
    </w:p>
    <w:p w14:paraId="5741F800" w14:textId="77777777" w:rsidR="00FB1EEC" w:rsidRPr="00FB1EEC" w:rsidRDefault="00FB1EEC" w:rsidP="00FB1EEC">
      <w:pPr>
        <w:pStyle w:val="ListParagraph"/>
        <w:spacing w:after="0" w:line="240" w:lineRule="auto"/>
        <w:ind w:left="1080"/>
        <w:jc w:val="both"/>
        <w:rPr>
          <w:rFonts w:ascii="Times New Roman" w:hAnsi="Times New Roman" w:cs="Times New Roman"/>
          <w:i w:val="0"/>
          <w:sz w:val="24"/>
        </w:rPr>
      </w:pPr>
      <w:r w:rsidRPr="00FB1EEC">
        <w:rPr>
          <w:rFonts w:ascii="Cambria Math" w:hAnsi="Cambria Math" w:cs="Cambria Math"/>
          <w:i w:val="0"/>
          <w:sz w:val="24"/>
        </w:rPr>
        <w:t>𝐷</w:t>
      </w:r>
      <w:r w:rsidRPr="00FB1EEC">
        <w:rPr>
          <w:rFonts w:ascii="Cambria Math" w:hAnsi="Cambria Math" w:cs="Cambria Math"/>
          <w:i w:val="0"/>
          <w:sz w:val="24"/>
          <w:vertAlign w:val="subscript"/>
        </w:rPr>
        <w:t>𝑡</w:t>
      </w:r>
      <w:r w:rsidRPr="00FB1EEC">
        <w:rPr>
          <w:rFonts w:ascii="Times New Roman" w:hAnsi="Times New Roman" w:cs="Times New Roman"/>
          <w:i w:val="0"/>
          <w:sz w:val="24"/>
          <w:vertAlign w:val="subscript"/>
        </w:rPr>
        <w:t xml:space="preserve"> </w:t>
      </w:r>
      <w:r w:rsidRPr="00FB1EEC">
        <w:rPr>
          <w:rFonts w:ascii="Times New Roman" w:hAnsi="Times New Roman" w:cs="Times New Roman"/>
          <w:i w:val="0"/>
          <w:sz w:val="24"/>
        </w:rPr>
        <w:t>= Dividends that will be received on a constant basis over the period of future dividend payments</w:t>
      </w:r>
    </w:p>
    <w:p w14:paraId="18D3F98F" w14:textId="77777777" w:rsidR="00FB1EEC" w:rsidRPr="00FB1EEC" w:rsidRDefault="00FB1EEC" w:rsidP="00FB1EEC">
      <w:pPr>
        <w:pStyle w:val="ListParagraph"/>
        <w:spacing w:after="0" w:line="240" w:lineRule="auto"/>
        <w:ind w:left="1080"/>
        <w:jc w:val="both"/>
        <w:rPr>
          <w:rFonts w:ascii="Times New Roman" w:hAnsi="Times New Roman" w:cs="Times New Roman"/>
          <w:i w:val="0"/>
          <w:sz w:val="24"/>
        </w:rPr>
      </w:pPr>
      <w:r w:rsidRPr="00FB1EEC">
        <w:rPr>
          <w:rFonts w:ascii="Times New Roman" w:hAnsi="Times New Roman" w:cs="Times New Roman"/>
          <w:i w:val="0"/>
          <w:sz w:val="24"/>
        </w:rPr>
        <w:t>k = Expected rate of return</w:t>
      </w:r>
    </w:p>
    <w:p w14:paraId="1719A976" w14:textId="3C77D05A" w:rsidR="00FB1EEC" w:rsidRDefault="00FB1EEC" w:rsidP="00FB1EEC">
      <w:pPr>
        <w:pStyle w:val="ListParagraph"/>
        <w:spacing w:after="0" w:line="240" w:lineRule="auto"/>
        <w:ind w:left="1080"/>
        <w:jc w:val="both"/>
        <w:rPr>
          <w:rFonts w:ascii="Times New Roman" w:hAnsi="Times New Roman" w:cs="Times New Roman"/>
          <w:i w:val="0"/>
          <w:sz w:val="24"/>
        </w:rPr>
      </w:pPr>
      <w:r w:rsidRPr="00FB1EEC">
        <w:rPr>
          <w:rFonts w:ascii="Times New Roman" w:hAnsi="Times New Roman" w:cs="Times New Roman"/>
          <w:i w:val="0"/>
          <w:sz w:val="24"/>
        </w:rPr>
        <w:t>g = Dividend growth rate</w:t>
      </w:r>
    </w:p>
    <w:p w14:paraId="5B80EA34" w14:textId="388422ED" w:rsidR="00FB1EEC" w:rsidRDefault="00FB1EEC" w:rsidP="00FB1EEC">
      <w:pPr>
        <w:pStyle w:val="ListParagraph"/>
        <w:spacing w:after="0" w:line="240" w:lineRule="auto"/>
        <w:ind w:left="1080"/>
        <w:jc w:val="both"/>
        <w:rPr>
          <w:rFonts w:ascii="Times New Roman" w:hAnsi="Times New Roman" w:cs="Times New Roman"/>
          <w:i w:val="0"/>
          <w:sz w:val="24"/>
        </w:rPr>
      </w:pPr>
    </w:p>
    <w:p w14:paraId="59485906" w14:textId="77777777" w:rsidR="00FB1EEC" w:rsidRPr="00FB1EEC" w:rsidRDefault="00FB1EEC" w:rsidP="00FB1EEC">
      <w:pPr>
        <w:pStyle w:val="ListParagraph"/>
        <w:widowControl w:val="0"/>
        <w:numPr>
          <w:ilvl w:val="0"/>
          <w:numId w:val="5"/>
        </w:numPr>
        <w:suppressAutoHyphens w:val="0"/>
        <w:autoSpaceDE w:val="0"/>
        <w:autoSpaceDN w:val="0"/>
        <w:spacing w:after="0" w:line="240" w:lineRule="auto"/>
        <w:jc w:val="both"/>
        <w:rPr>
          <w:rFonts w:ascii="Times New Roman" w:hAnsi="Times New Roman" w:cs="Times New Roman"/>
          <w:b/>
          <w:i w:val="0"/>
          <w:sz w:val="24"/>
          <w:szCs w:val="24"/>
        </w:rPr>
      </w:pPr>
      <w:r w:rsidRPr="00FB1EEC">
        <w:rPr>
          <w:rFonts w:ascii="Times New Roman" w:hAnsi="Times New Roman" w:cs="Times New Roman"/>
          <w:b/>
          <w:i w:val="0"/>
          <w:sz w:val="24"/>
          <w:szCs w:val="24"/>
        </w:rPr>
        <w:t>Investment Decision Making</w:t>
      </w:r>
    </w:p>
    <w:p w14:paraId="478C2E7F" w14:textId="77777777" w:rsidR="00FB1EEC" w:rsidRPr="00FB1EEC" w:rsidRDefault="00FB1EEC" w:rsidP="006A02C8">
      <w:pPr>
        <w:spacing w:after="0" w:line="240" w:lineRule="auto"/>
        <w:ind w:firstLine="567"/>
        <w:jc w:val="both"/>
        <w:rPr>
          <w:rFonts w:ascii="Times New Roman" w:hAnsi="Times New Roman" w:cs="Times New Roman"/>
          <w:i w:val="0"/>
          <w:sz w:val="24"/>
          <w:szCs w:val="24"/>
        </w:rPr>
      </w:pPr>
      <w:r w:rsidRPr="00FB1EEC">
        <w:rPr>
          <w:rFonts w:ascii="Times New Roman" w:hAnsi="Times New Roman" w:cs="Times New Roman"/>
          <w:i w:val="0"/>
          <w:sz w:val="24"/>
          <w:szCs w:val="24"/>
        </w:rPr>
        <w:t>This step for the data analysis method is to compare the Intrinsic Value with the Stock Market Price Value and provide an assessment of investment decisions.</w:t>
      </w:r>
    </w:p>
    <w:p w14:paraId="67E08684" w14:textId="77777777" w:rsidR="00FB1EEC" w:rsidRPr="00FB1EEC" w:rsidRDefault="00FB1EEC" w:rsidP="00FB1EEC">
      <w:pPr>
        <w:spacing w:after="0" w:line="240" w:lineRule="auto"/>
        <w:jc w:val="both"/>
        <w:rPr>
          <w:rFonts w:ascii="Times New Roman" w:hAnsi="Times New Roman" w:cs="Times New Roman"/>
          <w:i w:val="0"/>
          <w:sz w:val="24"/>
          <w:szCs w:val="24"/>
        </w:rPr>
      </w:pPr>
      <w:r w:rsidRPr="00FB1EEC">
        <w:rPr>
          <w:rFonts w:ascii="Times New Roman" w:hAnsi="Times New Roman" w:cs="Times New Roman"/>
          <w:i w:val="0"/>
          <w:sz w:val="24"/>
          <w:szCs w:val="24"/>
        </w:rPr>
        <w:t xml:space="preserve">Halim (2018), the guidelines used for investment decision making are as </w:t>
      </w:r>
      <w:proofErr w:type="gramStart"/>
      <w:r w:rsidRPr="00FB1EEC">
        <w:rPr>
          <w:rFonts w:ascii="Times New Roman" w:hAnsi="Times New Roman" w:cs="Times New Roman"/>
          <w:i w:val="0"/>
          <w:sz w:val="24"/>
          <w:szCs w:val="24"/>
        </w:rPr>
        <w:t>follows :</w:t>
      </w:r>
      <w:proofErr w:type="gramEnd"/>
    </w:p>
    <w:p w14:paraId="2B9561A0" w14:textId="77777777" w:rsidR="00FB1EEC" w:rsidRPr="00FB1EEC" w:rsidRDefault="00FB1EEC" w:rsidP="00FB1EEC">
      <w:pPr>
        <w:spacing w:after="0" w:line="240" w:lineRule="auto"/>
        <w:jc w:val="both"/>
        <w:rPr>
          <w:rFonts w:ascii="Times New Roman" w:hAnsi="Times New Roman" w:cs="Times New Roman"/>
          <w:i w:val="0"/>
          <w:sz w:val="24"/>
          <w:szCs w:val="24"/>
        </w:rPr>
      </w:pPr>
      <w:r w:rsidRPr="00FB1EEC">
        <w:rPr>
          <w:rFonts w:ascii="Times New Roman" w:hAnsi="Times New Roman" w:cs="Times New Roman"/>
          <w:i w:val="0"/>
          <w:sz w:val="24"/>
          <w:szCs w:val="24"/>
        </w:rPr>
        <w:t>(1) The intrinsic value of company shares that are considered undervalued, the decision should be made to buy and for those who already own is to hold shares because the shares are priced cheaply by the market.</w:t>
      </w:r>
    </w:p>
    <w:p w14:paraId="1CCF11A4" w14:textId="77777777" w:rsidR="00FB1EEC" w:rsidRPr="00FB1EEC" w:rsidRDefault="00FB1EEC" w:rsidP="00FB1EEC">
      <w:pPr>
        <w:spacing w:after="0" w:line="240" w:lineRule="auto"/>
        <w:jc w:val="both"/>
        <w:rPr>
          <w:rFonts w:ascii="Times New Roman" w:hAnsi="Times New Roman" w:cs="Times New Roman"/>
          <w:i w:val="0"/>
          <w:sz w:val="24"/>
          <w:szCs w:val="24"/>
        </w:rPr>
      </w:pPr>
      <w:r w:rsidRPr="00FB1EEC">
        <w:rPr>
          <w:rFonts w:ascii="Times New Roman" w:hAnsi="Times New Roman" w:cs="Times New Roman"/>
          <w:i w:val="0"/>
          <w:sz w:val="24"/>
          <w:szCs w:val="24"/>
        </w:rPr>
        <w:t>(2) The intrinsic value of the company's shares which are considered overvalued, the decision should be made to sell the shares for those who already own it and not buy for those who do not own because the shares are highly valued by the market.</w:t>
      </w:r>
    </w:p>
    <w:p w14:paraId="2FB1F2D3" w14:textId="6E2BD4A9" w:rsidR="00FB1EEC" w:rsidRDefault="00FB1EEC" w:rsidP="00FB1EEC">
      <w:pPr>
        <w:spacing w:after="0" w:line="240" w:lineRule="auto"/>
        <w:jc w:val="both"/>
        <w:rPr>
          <w:rFonts w:ascii="Times New Roman" w:hAnsi="Times New Roman" w:cs="Times New Roman"/>
          <w:i w:val="0"/>
          <w:sz w:val="24"/>
          <w:szCs w:val="24"/>
        </w:rPr>
      </w:pPr>
      <w:r w:rsidRPr="00FB1EEC">
        <w:rPr>
          <w:rFonts w:ascii="Times New Roman" w:hAnsi="Times New Roman" w:cs="Times New Roman"/>
          <w:i w:val="0"/>
          <w:sz w:val="24"/>
          <w:szCs w:val="24"/>
        </w:rPr>
        <w:t>(3) The intrinsic value of the company's shares that are assessed correctly value should be the decision not to buy the shares first until the intrinsic value is greater than the market price and hold the shares if they already own the shares in the hope that the stock price will rise in the future.</w:t>
      </w:r>
    </w:p>
    <w:p w14:paraId="228A4252" w14:textId="77777777" w:rsidR="00FB1EEC" w:rsidRPr="00FB1EEC" w:rsidRDefault="00FB1EEC" w:rsidP="00FB1EEC">
      <w:pPr>
        <w:spacing w:after="0" w:line="240" w:lineRule="auto"/>
        <w:jc w:val="both"/>
        <w:rPr>
          <w:rFonts w:ascii="Times New Roman" w:hAnsi="Times New Roman" w:cs="Times New Roman"/>
          <w:i w:val="0"/>
          <w:sz w:val="24"/>
          <w:szCs w:val="24"/>
        </w:rPr>
      </w:pPr>
    </w:p>
    <w:p w14:paraId="58BD5A40" w14:textId="77777777" w:rsidR="00FB1EEC" w:rsidRPr="00FB1EEC" w:rsidRDefault="00FB1EEC" w:rsidP="00FB1EEC">
      <w:pPr>
        <w:pStyle w:val="ListParagraph"/>
        <w:widowControl w:val="0"/>
        <w:numPr>
          <w:ilvl w:val="0"/>
          <w:numId w:val="5"/>
        </w:numPr>
        <w:suppressAutoHyphens w:val="0"/>
        <w:autoSpaceDE w:val="0"/>
        <w:autoSpaceDN w:val="0"/>
        <w:spacing w:after="0" w:line="240" w:lineRule="auto"/>
        <w:jc w:val="both"/>
        <w:rPr>
          <w:rFonts w:ascii="Times New Roman" w:hAnsi="Times New Roman" w:cs="Times New Roman"/>
          <w:b/>
          <w:i w:val="0"/>
          <w:sz w:val="24"/>
          <w:szCs w:val="24"/>
        </w:rPr>
      </w:pPr>
      <w:r w:rsidRPr="00FB1EEC">
        <w:rPr>
          <w:rFonts w:ascii="Times New Roman" w:hAnsi="Times New Roman" w:cs="Times New Roman"/>
          <w:b/>
          <w:i w:val="0"/>
          <w:sz w:val="24"/>
          <w:szCs w:val="24"/>
        </w:rPr>
        <w:t>Hypothesis test</w:t>
      </w:r>
    </w:p>
    <w:p w14:paraId="733C1BAB" w14:textId="77777777" w:rsidR="00FB1EEC" w:rsidRPr="00FB1EEC" w:rsidRDefault="00FB1EEC" w:rsidP="00FB1EEC">
      <w:pPr>
        <w:pStyle w:val="ListParagraph"/>
        <w:numPr>
          <w:ilvl w:val="0"/>
          <w:numId w:val="8"/>
        </w:numPr>
        <w:suppressAutoHyphens w:val="0"/>
        <w:spacing w:after="0" w:line="240" w:lineRule="auto"/>
        <w:contextualSpacing/>
        <w:jc w:val="both"/>
        <w:rPr>
          <w:rFonts w:ascii="Times New Roman" w:hAnsi="Times New Roman" w:cs="Times New Roman"/>
          <w:i w:val="0"/>
          <w:sz w:val="24"/>
          <w:szCs w:val="24"/>
        </w:rPr>
      </w:pPr>
      <w:r w:rsidRPr="00FB1EEC">
        <w:rPr>
          <w:rFonts w:ascii="Times New Roman" w:hAnsi="Times New Roman" w:cs="Times New Roman"/>
          <w:i w:val="0"/>
          <w:sz w:val="24"/>
          <w:szCs w:val="24"/>
        </w:rPr>
        <w:t>Paired Samples T-Test</w:t>
      </w:r>
    </w:p>
    <w:p w14:paraId="52F4EC11" w14:textId="77777777" w:rsidR="00FB1EEC" w:rsidRDefault="00FB1EEC" w:rsidP="00FB1EEC">
      <w:pPr>
        <w:spacing w:line="240" w:lineRule="auto"/>
        <w:jc w:val="both"/>
        <w:rPr>
          <w:rFonts w:ascii="Times New Roman" w:hAnsi="Times New Roman" w:cs="Times New Roman"/>
          <w:i w:val="0"/>
          <w:sz w:val="24"/>
          <w:szCs w:val="24"/>
        </w:rPr>
      </w:pPr>
      <w:r w:rsidRPr="00FB1EEC">
        <w:rPr>
          <w:rFonts w:ascii="Times New Roman" w:hAnsi="Times New Roman" w:cs="Times New Roman"/>
          <w:i w:val="0"/>
          <w:sz w:val="24"/>
          <w:szCs w:val="24"/>
        </w:rPr>
        <w:lastRenderedPageBreak/>
        <w:t xml:space="preserve">Paired Samples T-Test is used to determine whether or not there is a difference between each independent variable and the dependent variable, with the aim of whether the pair has the same average or not significantly. </w:t>
      </w:r>
    </w:p>
    <w:p w14:paraId="63FE67D4" w14:textId="4BE60905" w:rsidR="00FB1EEC" w:rsidRPr="00FB1EEC" w:rsidRDefault="00FB1EEC" w:rsidP="00FB1EEC">
      <w:pPr>
        <w:spacing w:line="240" w:lineRule="auto"/>
        <w:jc w:val="both"/>
        <w:rPr>
          <w:rFonts w:ascii="Times New Roman" w:hAnsi="Times New Roman" w:cs="Times New Roman"/>
          <w:i w:val="0"/>
          <w:sz w:val="24"/>
          <w:szCs w:val="24"/>
        </w:rPr>
      </w:pPr>
      <w:r w:rsidRPr="00FB1EEC">
        <w:rPr>
          <w:rFonts w:ascii="Times New Roman" w:hAnsi="Times New Roman" w:cs="Times New Roman"/>
          <w:i w:val="0"/>
          <w:sz w:val="24"/>
          <w:szCs w:val="24"/>
        </w:rPr>
        <w:t>The t-test in this study is to see the final difference between the intrinsic value of PER with the stock price, the intrinsic value of DDM with the stock price, the intrinsic value of PBV with the stock price, and the dummy variable, namely the companies affected by Covid-19 with the stock price. If there is a difference between the intrinsic value and the stock price, the stock valuation model can properly evaluate the stock price, and vice versa if there is no difference between the intrinsic value and the stock price, the stock valuation model cannot properly evaluate the stock price. The test uses SPSS version 25 Paired Samples T-Test with a significance level of = 5% with the test criteria, if the value of Sig. (2-tailed) &lt; 0.05, then there is a significant difference and if the value of Sig. (2-tailed) &gt; 0.05, then there is no significant difference (</w:t>
      </w:r>
      <w:proofErr w:type="spellStart"/>
      <w:r w:rsidRPr="00FB1EEC">
        <w:rPr>
          <w:rFonts w:ascii="Times New Roman" w:hAnsi="Times New Roman" w:cs="Times New Roman"/>
          <w:i w:val="0"/>
          <w:sz w:val="24"/>
          <w:szCs w:val="24"/>
        </w:rPr>
        <w:t>Ghozali</w:t>
      </w:r>
      <w:proofErr w:type="spellEnd"/>
      <w:r w:rsidRPr="00FB1EEC">
        <w:rPr>
          <w:rFonts w:ascii="Times New Roman" w:hAnsi="Times New Roman" w:cs="Times New Roman"/>
          <w:i w:val="0"/>
          <w:sz w:val="24"/>
          <w:szCs w:val="24"/>
        </w:rPr>
        <w:t>, 2016).</w:t>
      </w:r>
    </w:p>
    <w:p w14:paraId="31E221D5" w14:textId="77777777" w:rsidR="00FB1EEC" w:rsidRPr="00FB1EEC" w:rsidRDefault="00FB1EEC" w:rsidP="00FB1EEC">
      <w:pPr>
        <w:pStyle w:val="ListParagraph"/>
        <w:widowControl w:val="0"/>
        <w:numPr>
          <w:ilvl w:val="0"/>
          <w:numId w:val="8"/>
        </w:numPr>
        <w:suppressAutoHyphens w:val="0"/>
        <w:autoSpaceDE w:val="0"/>
        <w:autoSpaceDN w:val="0"/>
        <w:spacing w:after="0" w:line="240" w:lineRule="auto"/>
        <w:jc w:val="both"/>
        <w:rPr>
          <w:rFonts w:ascii="Times New Roman" w:hAnsi="Times New Roman" w:cs="Times New Roman"/>
          <w:b/>
          <w:i w:val="0"/>
          <w:sz w:val="24"/>
          <w:szCs w:val="24"/>
        </w:rPr>
      </w:pPr>
      <w:r w:rsidRPr="00FB1EEC">
        <w:rPr>
          <w:rFonts w:ascii="Times New Roman" w:hAnsi="Times New Roman" w:cs="Times New Roman"/>
          <w:b/>
          <w:i w:val="0"/>
          <w:sz w:val="24"/>
          <w:szCs w:val="24"/>
        </w:rPr>
        <w:t>Multiple Regression</w:t>
      </w:r>
    </w:p>
    <w:p w14:paraId="5AFE55D5" w14:textId="1D6F48EB" w:rsidR="00FB1EEC" w:rsidRPr="00FB1EEC" w:rsidRDefault="00FB1EEC" w:rsidP="00FB1EEC">
      <w:pPr>
        <w:spacing w:line="240" w:lineRule="auto"/>
        <w:jc w:val="both"/>
        <w:rPr>
          <w:rFonts w:ascii="Times New Roman" w:hAnsi="Times New Roman" w:cs="Times New Roman"/>
          <w:i w:val="0"/>
          <w:sz w:val="24"/>
          <w:szCs w:val="24"/>
        </w:rPr>
      </w:pPr>
      <w:r w:rsidRPr="00FB1EEC">
        <w:rPr>
          <w:rFonts w:ascii="Times New Roman" w:hAnsi="Times New Roman" w:cs="Times New Roman"/>
          <w:i w:val="0"/>
          <w:sz w:val="24"/>
          <w:szCs w:val="24"/>
        </w:rPr>
        <w:t xml:space="preserve">Multiple linear regression analysis was used to determine the direction and magnitude of the influence of the independent variable (independent) and the dependent variable. </w:t>
      </w:r>
    </w:p>
    <w:p w14:paraId="6A2FC5C3" w14:textId="77777777" w:rsidR="00FB1EEC" w:rsidRPr="00FB1EEC" w:rsidRDefault="00FB1EEC" w:rsidP="00FB1EEC">
      <w:pPr>
        <w:spacing w:after="0" w:line="240" w:lineRule="auto"/>
        <w:jc w:val="center"/>
        <w:rPr>
          <w:rFonts w:ascii="Times New Roman" w:hAnsi="Times New Roman" w:cs="Times New Roman"/>
          <w:i w:val="0"/>
          <w:sz w:val="24"/>
          <w:szCs w:val="24"/>
        </w:rPr>
      </w:pPr>
      <w:r w:rsidRPr="00FB1EEC">
        <w:rPr>
          <w:rFonts w:ascii="Times New Roman" w:hAnsi="Times New Roman" w:cs="Times New Roman"/>
          <w:i w:val="0"/>
          <w:sz w:val="24"/>
          <w:szCs w:val="24"/>
        </w:rPr>
        <w:t xml:space="preserve">Multiple linear regression equation as </w:t>
      </w:r>
      <w:proofErr w:type="gramStart"/>
      <w:r w:rsidRPr="00FB1EEC">
        <w:rPr>
          <w:rFonts w:ascii="Times New Roman" w:hAnsi="Times New Roman" w:cs="Times New Roman"/>
          <w:i w:val="0"/>
          <w:sz w:val="24"/>
          <w:szCs w:val="24"/>
        </w:rPr>
        <w:t>follows :</w:t>
      </w:r>
      <w:proofErr w:type="gramEnd"/>
    </w:p>
    <w:p w14:paraId="45C2AD92" w14:textId="77777777" w:rsidR="00FB1EEC" w:rsidRPr="00FB1EEC" w:rsidRDefault="00FB1EEC" w:rsidP="00FB1EEC">
      <w:pPr>
        <w:spacing w:after="0" w:line="240" w:lineRule="auto"/>
        <w:jc w:val="center"/>
        <w:rPr>
          <w:rFonts w:ascii="Times New Roman" w:hAnsi="Times New Roman" w:cs="Times New Roman"/>
          <w:i w:val="0"/>
          <w:sz w:val="24"/>
          <w:szCs w:val="24"/>
        </w:rPr>
      </w:pPr>
      <w:proofErr w:type="gramStart"/>
      <w:r w:rsidRPr="00FB1EEC">
        <w:rPr>
          <w:rFonts w:ascii="Cambria Math" w:hAnsi="Cambria Math" w:cs="Cambria Math"/>
          <w:i w:val="0"/>
          <w:sz w:val="24"/>
          <w:szCs w:val="24"/>
        </w:rPr>
        <w:t>𝑌</w:t>
      </w:r>
      <w:r w:rsidRPr="00FB1EEC">
        <w:rPr>
          <w:rFonts w:ascii="Times New Roman" w:hAnsi="Times New Roman" w:cs="Times New Roman"/>
          <w:i w:val="0"/>
          <w:sz w:val="24"/>
          <w:szCs w:val="24"/>
        </w:rPr>
        <w:t>(</w:t>
      </w:r>
      <w:proofErr w:type="gramEnd"/>
      <w:r w:rsidRPr="00FB1EEC">
        <w:rPr>
          <w:rFonts w:ascii="Times New Roman" w:hAnsi="Times New Roman" w:cs="Times New Roman"/>
          <w:i w:val="0"/>
          <w:sz w:val="24"/>
          <w:szCs w:val="24"/>
        </w:rPr>
        <w:t xml:space="preserve">Stock Price) = </w:t>
      </w:r>
      <w:r w:rsidRPr="00FB1EEC">
        <w:rPr>
          <w:rFonts w:ascii="Cambria Math" w:hAnsi="Cambria Math" w:cs="Cambria Math"/>
          <w:i w:val="0"/>
          <w:sz w:val="24"/>
          <w:szCs w:val="24"/>
        </w:rPr>
        <w:t>𝛼</w:t>
      </w:r>
      <w:r w:rsidRPr="00FB1EEC">
        <w:rPr>
          <w:rFonts w:ascii="Times New Roman" w:hAnsi="Times New Roman" w:cs="Times New Roman"/>
          <w:i w:val="0"/>
          <w:sz w:val="24"/>
          <w:szCs w:val="24"/>
        </w:rPr>
        <w:t xml:space="preserve"> + </w:t>
      </w:r>
      <w:r w:rsidRPr="00FB1EEC">
        <w:rPr>
          <w:rFonts w:ascii="Cambria Math" w:hAnsi="Cambria Math" w:cs="Cambria Math"/>
          <w:i w:val="0"/>
          <w:sz w:val="24"/>
          <w:szCs w:val="24"/>
        </w:rPr>
        <w:t>𝛽</w:t>
      </w:r>
      <w:r w:rsidRPr="00FB1EEC">
        <w:rPr>
          <w:rFonts w:ascii="Times New Roman" w:hAnsi="Times New Roman" w:cs="Times New Roman"/>
          <w:i w:val="0"/>
          <w:sz w:val="24"/>
          <w:szCs w:val="24"/>
        </w:rPr>
        <w:t xml:space="preserve">1 (PBV) + </w:t>
      </w:r>
      <w:r w:rsidRPr="00FB1EEC">
        <w:rPr>
          <w:rFonts w:ascii="Cambria Math" w:hAnsi="Cambria Math" w:cs="Cambria Math"/>
          <w:i w:val="0"/>
          <w:sz w:val="24"/>
          <w:szCs w:val="24"/>
        </w:rPr>
        <w:t>𝛽</w:t>
      </w:r>
      <w:r w:rsidRPr="00FB1EEC">
        <w:rPr>
          <w:rFonts w:ascii="Times New Roman" w:hAnsi="Times New Roman" w:cs="Times New Roman"/>
          <w:i w:val="0"/>
          <w:sz w:val="24"/>
          <w:szCs w:val="24"/>
        </w:rPr>
        <w:t xml:space="preserve">2 (DDM) + </w:t>
      </w:r>
      <w:r w:rsidRPr="00FB1EEC">
        <w:rPr>
          <w:rFonts w:ascii="Cambria Math" w:hAnsi="Cambria Math" w:cs="Cambria Math"/>
          <w:i w:val="0"/>
          <w:sz w:val="24"/>
          <w:szCs w:val="24"/>
        </w:rPr>
        <w:t>𝜀</w:t>
      </w:r>
    </w:p>
    <w:p w14:paraId="58898AD0" w14:textId="77777777" w:rsidR="00FB1EEC" w:rsidRPr="00FB1EEC" w:rsidRDefault="00FB1EEC" w:rsidP="00FB1EEC">
      <w:pPr>
        <w:spacing w:after="0" w:line="240" w:lineRule="auto"/>
        <w:jc w:val="both"/>
        <w:rPr>
          <w:rFonts w:ascii="Times New Roman" w:hAnsi="Times New Roman" w:cs="Times New Roman"/>
          <w:i w:val="0"/>
          <w:sz w:val="24"/>
          <w:szCs w:val="24"/>
        </w:rPr>
      </w:pPr>
      <w:proofErr w:type="gramStart"/>
      <w:r w:rsidRPr="00FB1EEC">
        <w:rPr>
          <w:rFonts w:ascii="Times New Roman" w:hAnsi="Times New Roman" w:cs="Times New Roman"/>
          <w:i w:val="0"/>
          <w:sz w:val="24"/>
          <w:szCs w:val="24"/>
        </w:rPr>
        <w:t>Notes :</w:t>
      </w:r>
      <w:proofErr w:type="gramEnd"/>
      <w:r w:rsidRPr="00FB1EEC">
        <w:rPr>
          <w:rFonts w:ascii="Times New Roman" w:hAnsi="Times New Roman" w:cs="Times New Roman"/>
          <w:i w:val="0"/>
          <w:sz w:val="24"/>
          <w:szCs w:val="24"/>
        </w:rPr>
        <w:t xml:space="preserve"> </w:t>
      </w:r>
    </w:p>
    <w:p w14:paraId="2F9F200F" w14:textId="77777777" w:rsidR="00FB1EEC" w:rsidRPr="00FB1EEC" w:rsidRDefault="00FB1EEC" w:rsidP="00FB1EEC">
      <w:pPr>
        <w:spacing w:after="0" w:line="240" w:lineRule="auto"/>
        <w:jc w:val="both"/>
        <w:rPr>
          <w:rFonts w:ascii="Times New Roman" w:hAnsi="Times New Roman" w:cs="Times New Roman"/>
          <w:i w:val="0"/>
          <w:sz w:val="24"/>
          <w:szCs w:val="24"/>
        </w:rPr>
      </w:pPr>
      <w:r w:rsidRPr="00FB1EEC">
        <w:rPr>
          <w:rFonts w:ascii="Times New Roman" w:hAnsi="Times New Roman" w:cs="Times New Roman"/>
          <w:i w:val="0"/>
          <w:sz w:val="24"/>
          <w:szCs w:val="24"/>
        </w:rPr>
        <w:t>Y = Stock Price       α = Constant     b1 s/d b2 = Regression coefficient</w:t>
      </w:r>
    </w:p>
    <w:p w14:paraId="069DB8C4" w14:textId="77777777" w:rsidR="00FB1EEC" w:rsidRPr="00FB1EEC" w:rsidRDefault="00FB1EEC" w:rsidP="00FB1EEC">
      <w:pPr>
        <w:spacing w:after="0" w:line="240" w:lineRule="auto"/>
        <w:jc w:val="both"/>
        <w:rPr>
          <w:rFonts w:ascii="Times New Roman" w:hAnsi="Times New Roman" w:cs="Times New Roman"/>
          <w:i w:val="0"/>
          <w:sz w:val="24"/>
          <w:szCs w:val="24"/>
        </w:rPr>
      </w:pPr>
      <w:r w:rsidRPr="00FB1EEC">
        <w:rPr>
          <w:rFonts w:ascii="Times New Roman" w:hAnsi="Times New Roman" w:cs="Times New Roman"/>
          <w:i w:val="0"/>
          <w:sz w:val="24"/>
          <w:szCs w:val="24"/>
        </w:rPr>
        <w:t>X1 = Intrinsic Value PBV          X</w:t>
      </w:r>
      <w:proofErr w:type="gramStart"/>
      <w:r w:rsidRPr="00FB1EEC">
        <w:rPr>
          <w:rFonts w:ascii="Times New Roman" w:hAnsi="Times New Roman" w:cs="Times New Roman"/>
          <w:i w:val="0"/>
          <w:sz w:val="24"/>
          <w:szCs w:val="24"/>
        </w:rPr>
        <w:t>2  =</w:t>
      </w:r>
      <w:proofErr w:type="gramEnd"/>
      <w:r w:rsidRPr="00FB1EEC">
        <w:rPr>
          <w:rFonts w:ascii="Times New Roman" w:hAnsi="Times New Roman" w:cs="Times New Roman"/>
          <w:i w:val="0"/>
          <w:sz w:val="24"/>
          <w:szCs w:val="24"/>
        </w:rPr>
        <w:t xml:space="preserve"> Intrinsic Value DDM</w:t>
      </w:r>
    </w:p>
    <w:p w14:paraId="6BC5FE75" w14:textId="77777777" w:rsidR="00FB1EEC" w:rsidRPr="00FB1EEC" w:rsidRDefault="00FB1EEC" w:rsidP="00FB1EEC">
      <w:pPr>
        <w:spacing w:after="0" w:line="240" w:lineRule="auto"/>
        <w:jc w:val="both"/>
        <w:rPr>
          <w:rFonts w:ascii="Times New Roman" w:hAnsi="Times New Roman" w:cs="Times New Roman"/>
          <w:i w:val="0"/>
          <w:sz w:val="24"/>
          <w:szCs w:val="24"/>
        </w:rPr>
      </w:pPr>
      <w:r w:rsidRPr="00FB1EEC">
        <w:rPr>
          <w:rFonts w:ascii="Times New Roman" w:hAnsi="Times New Roman" w:cs="Times New Roman"/>
          <w:i w:val="0"/>
          <w:sz w:val="24"/>
          <w:szCs w:val="24"/>
        </w:rPr>
        <w:t>e = error</w:t>
      </w:r>
    </w:p>
    <w:p w14:paraId="25BFC4BE" w14:textId="77777777" w:rsidR="00FB1EEC" w:rsidRPr="00FB1EEC" w:rsidRDefault="00FB1EEC" w:rsidP="00FB1EEC">
      <w:pPr>
        <w:spacing w:line="240" w:lineRule="auto"/>
        <w:jc w:val="both"/>
        <w:rPr>
          <w:rFonts w:ascii="Times New Roman" w:hAnsi="Times New Roman" w:cs="Times New Roman"/>
          <w:i w:val="0"/>
          <w:sz w:val="24"/>
          <w:szCs w:val="24"/>
        </w:rPr>
      </w:pPr>
    </w:p>
    <w:p w14:paraId="48EB78C7" w14:textId="3E99C455" w:rsidR="00FB1EEC" w:rsidRPr="00FB1EEC" w:rsidRDefault="00FB1EEC" w:rsidP="00FB1EEC">
      <w:pPr>
        <w:spacing w:after="0" w:line="240" w:lineRule="auto"/>
        <w:jc w:val="both"/>
        <w:rPr>
          <w:rFonts w:ascii="Times New Roman" w:hAnsi="Times New Roman" w:cs="Times New Roman"/>
          <w:i w:val="0"/>
          <w:sz w:val="24"/>
          <w:szCs w:val="24"/>
        </w:rPr>
      </w:pPr>
      <w:r w:rsidRPr="00FB1EEC">
        <w:rPr>
          <w:rFonts w:ascii="Times New Roman" w:hAnsi="Times New Roman" w:cs="Times New Roman"/>
          <w:i w:val="0"/>
          <w:sz w:val="24"/>
          <w:szCs w:val="24"/>
        </w:rPr>
        <w:t xml:space="preserve">Multiple Linear Regression Test which </w:t>
      </w:r>
      <w:proofErr w:type="gramStart"/>
      <w:r w:rsidRPr="00FB1EEC">
        <w:rPr>
          <w:rFonts w:ascii="Times New Roman" w:hAnsi="Times New Roman" w:cs="Times New Roman"/>
          <w:i w:val="0"/>
          <w:sz w:val="24"/>
          <w:szCs w:val="24"/>
        </w:rPr>
        <w:t>includes</w:t>
      </w:r>
      <w:r>
        <w:rPr>
          <w:rFonts w:ascii="Times New Roman" w:hAnsi="Times New Roman" w:cs="Times New Roman"/>
          <w:i w:val="0"/>
          <w:sz w:val="24"/>
          <w:szCs w:val="24"/>
        </w:rPr>
        <w:t xml:space="preserve"> </w:t>
      </w:r>
      <w:r w:rsidRPr="00FB1EEC">
        <w:rPr>
          <w:rFonts w:ascii="Times New Roman" w:hAnsi="Times New Roman" w:cs="Times New Roman"/>
          <w:i w:val="0"/>
          <w:sz w:val="24"/>
          <w:szCs w:val="24"/>
        </w:rPr>
        <w:t>:</w:t>
      </w:r>
      <w:proofErr w:type="gramEnd"/>
    </w:p>
    <w:p w14:paraId="0C853646" w14:textId="77777777" w:rsidR="00FB1EEC" w:rsidRPr="00FB1EEC" w:rsidRDefault="00FB1EEC" w:rsidP="00FB1EEC">
      <w:pPr>
        <w:spacing w:after="0" w:line="240" w:lineRule="auto"/>
        <w:jc w:val="both"/>
        <w:rPr>
          <w:rFonts w:ascii="Times New Roman" w:hAnsi="Times New Roman" w:cs="Times New Roman"/>
          <w:i w:val="0"/>
          <w:sz w:val="24"/>
          <w:szCs w:val="24"/>
        </w:rPr>
      </w:pPr>
      <w:r w:rsidRPr="00FB1EEC">
        <w:rPr>
          <w:rFonts w:ascii="Times New Roman" w:hAnsi="Times New Roman" w:cs="Times New Roman"/>
          <w:i w:val="0"/>
          <w:sz w:val="24"/>
          <w:szCs w:val="24"/>
        </w:rPr>
        <w:t xml:space="preserve">a. </w:t>
      </w:r>
      <w:r w:rsidRPr="00FB1EEC">
        <w:rPr>
          <w:rFonts w:ascii="Times New Roman" w:hAnsi="Times New Roman" w:cs="Times New Roman"/>
          <w:b/>
          <w:i w:val="0"/>
          <w:sz w:val="24"/>
          <w:szCs w:val="24"/>
        </w:rPr>
        <w:t>F Statistic Test</w:t>
      </w:r>
    </w:p>
    <w:p w14:paraId="6D7FD5F2" w14:textId="77777777" w:rsidR="00FB1EEC" w:rsidRPr="00FB1EEC" w:rsidRDefault="00FB1EEC" w:rsidP="00FB1EEC">
      <w:pPr>
        <w:spacing w:after="0" w:line="240" w:lineRule="auto"/>
        <w:jc w:val="both"/>
        <w:rPr>
          <w:rFonts w:ascii="Times New Roman" w:hAnsi="Times New Roman" w:cs="Times New Roman"/>
          <w:i w:val="0"/>
          <w:sz w:val="24"/>
          <w:szCs w:val="24"/>
        </w:rPr>
      </w:pPr>
      <w:r w:rsidRPr="00FB1EEC">
        <w:rPr>
          <w:rFonts w:ascii="Times New Roman" w:hAnsi="Times New Roman" w:cs="Times New Roman"/>
          <w:i w:val="0"/>
          <w:sz w:val="24"/>
          <w:szCs w:val="24"/>
        </w:rPr>
        <w:t>The F test aims as a predictive tool to test how much the independent variable is able to explain the phenomenon of the dependent variable. The model is declared feasible if the value of sig. F &lt; 0.05.</w:t>
      </w:r>
    </w:p>
    <w:p w14:paraId="5C3F9FCC" w14:textId="32A11B3E" w:rsidR="00FB1EEC" w:rsidRPr="00FB1EEC" w:rsidRDefault="00FB1EEC" w:rsidP="00FB1EEC">
      <w:pPr>
        <w:spacing w:after="0" w:line="240" w:lineRule="auto"/>
        <w:jc w:val="both"/>
        <w:rPr>
          <w:rFonts w:ascii="Times New Roman" w:hAnsi="Times New Roman" w:cs="Times New Roman"/>
          <w:i w:val="0"/>
          <w:sz w:val="24"/>
          <w:szCs w:val="24"/>
        </w:rPr>
      </w:pPr>
      <w:r w:rsidRPr="00FB1EEC">
        <w:rPr>
          <w:rFonts w:ascii="Times New Roman" w:hAnsi="Times New Roman" w:cs="Times New Roman"/>
          <w:i w:val="0"/>
          <w:sz w:val="24"/>
          <w:szCs w:val="24"/>
        </w:rPr>
        <w:t xml:space="preserve">b. </w:t>
      </w:r>
      <w:r>
        <w:rPr>
          <w:rFonts w:ascii="Times New Roman" w:hAnsi="Times New Roman" w:cs="Times New Roman"/>
          <w:b/>
          <w:i w:val="0"/>
          <w:sz w:val="24"/>
          <w:szCs w:val="24"/>
        </w:rPr>
        <w:t>Statistic</w:t>
      </w:r>
      <w:r w:rsidRPr="00FB1EEC">
        <w:rPr>
          <w:rFonts w:ascii="Times New Roman" w:hAnsi="Times New Roman" w:cs="Times New Roman"/>
          <w:b/>
          <w:i w:val="0"/>
          <w:sz w:val="24"/>
          <w:szCs w:val="24"/>
        </w:rPr>
        <w:t xml:space="preserve"> t test</w:t>
      </w:r>
    </w:p>
    <w:p w14:paraId="0FE22AC1" w14:textId="77777777" w:rsidR="00FB1EEC" w:rsidRPr="00FB1EEC" w:rsidRDefault="00FB1EEC" w:rsidP="00FB1EEC">
      <w:pPr>
        <w:spacing w:after="0" w:line="240" w:lineRule="auto"/>
        <w:jc w:val="both"/>
        <w:rPr>
          <w:rFonts w:ascii="Times New Roman" w:hAnsi="Times New Roman" w:cs="Times New Roman"/>
          <w:i w:val="0"/>
          <w:sz w:val="24"/>
          <w:szCs w:val="24"/>
        </w:rPr>
      </w:pPr>
      <w:r w:rsidRPr="00FB1EEC">
        <w:rPr>
          <w:rFonts w:ascii="Times New Roman" w:hAnsi="Times New Roman" w:cs="Times New Roman"/>
          <w:i w:val="0"/>
          <w:sz w:val="24"/>
          <w:szCs w:val="24"/>
        </w:rPr>
        <w:t>The t-test aims as a predictive tool to test the research hypothesis, namely how much influence the independent variables have with the independent variables individually.</w:t>
      </w:r>
    </w:p>
    <w:p w14:paraId="728EF930" w14:textId="77777777" w:rsidR="00FB1EEC" w:rsidRPr="00FB1EEC" w:rsidRDefault="00FB1EEC" w:rsidP="00FB1EEC">
      <w:pPr>
        <w:spacing w:after="0" w:line="240" w:lineRule="auto"/>
        <w:jc w:val="both"/>
        <w:rPr>
          <w:rFonts w:ascii="Times New Roman" w:hAnsi="Times New Roman" w:cs="Times New Roman"/>
          <w:i w:val="0"/>
          <w:sz w:val="24"/>
          <w:szCs w:val="24"/>
        </w:rPr>
      </w:pPr>
      <w:r w:rsidRPr="00FB1EEC">
        <w:rPr>
          <w:rFonts w:ascii="Times New Roman" w:hAnsi="Times New Roman" w:cs="Times New Roman"/>
          <w:i w:val="0"/>
          <w:sz w:val="24"/>
          <w:szCs w:val="24"/>
        </w:rPr>
        <w:t xml:space="preserve">c. </w:t>
      </w:r>
      <w:r w:rsidRPr="00FB1EEC">
        <w:rPr>
          <w:rFonts w:ascii="Times New Roman" w:hAnsi="Times New Roman" w:cs="Times New Roman"/>
          <w:b/>
          <w:i w:val="0"/>
          <w:sz w:val="24"/>
          <w:szCs w:val="24"/>
        </w:rPr>
        <w:t>Coefficient of Determination Test (R</w:t>
      </w:r>
      <w:r w:rsidRPr="00FB1EEC">
        <w:rPr>
          <w:rFonts w:ascii="Times New Roman" w:hAnsi="Times New Roman" w:cs="Times New Roman"/>
          <w:b/>
          <w:i w:val="0"/>
          <w:sz w:val="24"/>
          <w:szCs w:val="24"/>
          <w:vertAlign w:val="superscript"/>
        </w:rPr>
        <w:t>2</w:t>
      </w:r>
      <w:r w:rsidRPr="00FB1EEC">
        <w:rPr>
          <w:rFonts w:ascii="Times New Roman" w:hAnsi="Times New Roman" w:cs="Times New Roman"/>
          <w:b/>
          <w:i w:val="0"/>
          <w:sz w:val="24"/>
          <w:szCs w:val="24"/>
        </w:rPr>
        <w:t>)</w:t>
      </w:r>
    </w:p>
    <w:p w14:paraId="71FAA6C9" w14:textId="77777777" w:rsidR="00FB1EEC" w:rsidRPr="00FB1EEC" w:rsidRDefault="00FB1EEC" w:rsidP="00FB1EEC">
      <w:pPr>
        <w:spacing w:after="0" w:line="240" w:lineRule="auto"/>
        <w:jc w:val="both"/>
        <w:rPr>
          <w:rFonts w:ascii="Times New Roman" w:hAnsi="Times New Roman" w:cs="Times New Roman"/>
          <w:i w:val="0"/>
          <w:sz w:val="24"/>
          <w:szCs w:val="24"/>
        </w:rPr>
      </w:pPr>
      <w:r w:rsidRPr="00FB1EEC">
        <w:rPr>
          <w:rFonts w:ascii="Times New Roman" w:hAnsi="Times New Roman" w:cs="Times New Roman"/>
          <w:i w:val="0"/>
          <w:sz w:val="24"/>
          <w:szCs w:val="24"/>
        </w:rPr>
        <w:t>The coefficient of determination test (R</w:t>
      </w:r>
      <w:r w:rsidRPr="00FB1EEC">
        <w:rPr>
          <w:rFonts w:ascii="Times New Roman" w:hAnsi="Times New Roman" w:cs="Times New Roman"/>
          <w:i w:val="0"/>
          <w:sz w:val="24"/>
          <w:szCs w:val="24"/>
          <w:vertAlign w:val="superscript"/>
        </w:rPr>
        <w:t>2</w:t>
      </w:r>
      <w:r w:rsidRPr="00FB1EEC">
        <w:rPr>
          <w:rFonts w:ascii="Times New Roman" w:hAnsi="Times New Roman" w:cs="Times New Roman"/>
          <w:i w:val="0"/>
          <w:sz w:val="24"/>
          <w:szCs w:val="24"/>
        </w:rPr>
        <w:t>) aims to determine the percentage of the influence of the independent variable on changes in the dependent variable. R</w:t>
      </w:r>
      <w:r w:rsidRPr="00FB1EEC">
        <w:rPr>
          <w:rFonts w:ascii="Times New Roman" w:hAnsi="Times New Roman" w:cs="Times New Roman"/>
          <w:i w:val="0"/>
          <w:sz w:val="24"/>
          <w:szCs w:val="24"/>
          <w:vertAlign w:val="superscript"/>
        </w:rPr>
        <w:t>2</w:t>
      </w:r>
      <w:r w:rsidRPr="00FB1EEC">
        <w:rPr>
          <w:rFonts w:ascii="Times New Roman" w:hAnsi="Times New Roman" w:cs="Times New Roman"/>
          <w:i w:val="0"/>
          <w:sz w:val="24"/>
          <w:szCs w:val="24"/>
        </w:rPr>
        <w:t xml:space="preserve"> is at zero to one, this means that the larger R</w:t>
      </w:r>
      <w:r w:rsidRPr="00FB1EEC">
        <w:rPr>
          <w:rFonts w:ascii="Times New Roman" w:hAnsi="Times New Roman" w:cs="Times New Roman"/>
          <w:i w:val="0"/>
          <w:sz w:val="24"/>
          <w:szCs w:val="24"/>
          <w:vertAlign w:val="superscript"/>
        </w:rPr>
        <w:t>2</w:t>
      </w:r>
      <w:r w:rsidRPr="00FB1EEC">
        <w:rPr>
          <w:rFonts w:ascii="Times New Roman" w:hAnsi="Times New Roman" w:cs="Times New Roman"/>
          <w:i w:val="0"/>
          <w:sz w:val="24"/>
          <w:szCs w:val="24"/>
        </w:rPr>
        <w:t xml:space="preserve"> value is closer to 1, which is an indicator that shows the stronger the ability to explain changes in the independent variable to the dependent variable.</w:t>
      </w:r>
    </w:p>
    <w:p w14:paraId="7B5AEF78" w14:textId="0C3F4A8F" w:rsidR="00087EFF" w:rsidRPr="00087EFF" w:rsidRDefault="00087EFF" w:rsidP="00FB1EEC">
      <w:pPr>
        <w:pStyle w:val="Default"/>
        <w:jc w:val="both"/>
        <w:rPr>
          <w:rFonts w:ascii="Times New Roman" w:hAnsi="Times New Roman" w:cs="Times New Roman"/>
          <w:b/>
        </w:rPr>
      </w:pPr>
    </w:p>
    <w:p w14:paraId="743C122E" w14:textId="00924F05" w:rsidR="0050684C" w:rsidRPr="0050684C" w:rsidRDefault="00E841C6" w:rsidP="008E0BC3">
      <w:pPr>
        <w:spacing w:after="0" w:line="240" w:lineRule="auto"/>
        <w:jc w:val="both"/>
        <w:rPr>
          <w:rFonts w:ascii="Times New Roman" w:hAnsi="Times New Roman" w:cs="Times New Roman"/>
          <w:b/>
          <w:i w:val="0"/>
          <w:sz w:val="24"/>
          <w:szCs w:val="24"/>
          <w:lang w:val="id-ID"/>
        </w:rPr>
      </w:pPr>
      <w:r w:rsidRPr="00E841C6">
        <w:rPr>
          <w:rFonts w:ascii="Times New Roman" w:hAnsi="Times New Roman" w:cs="Times New Roman"/>
          <w:b/>
          <w:i w:val="0"/>
          <w:sz w:val="24"/>
          <w:szCs w:val="24"/>
          <w:lang w:val="id-ID"/>
        </w:rPr>
        <w:t>RESULTS AND DISCUSSION</w:t>
      </w:r>
      <w:r>
        <w:rPr>
          <w:rFonts w:ascii="Times New Roman" w:hAnsi="Times New Roman" w:cs="Times New Roman"/>
          <w:b/>
          <w:i w:val="0"/>
          <w:sz w:val="24"/>
          <w:szCs w:val="24"/>
        </w:rPr>
        <w:t xml:space="preserve"> </w:t>
      </w:r>
    </w:p>
    <w:p w14:paraId="78412FC3" w14:textId="77777777" w:rsidR="0050684C" w:rsidRPr="0050684C" w:rsidRDefault="0050684C" w:rsidP="00F95848">
      <w:pPr>
        <w:spacing w:after="0" w:line="240" w:lineRule="auto"/>
        <w:jc w:val="both"/>
        <w:rPr>
          <w:rFonts w:ascii="Times New Roman" w:hAnsi="Times New Roman" w:cs="Times New Roman"/>
          <w:i w:val="0"/>
          <w:sz w:val="24"/>
        </w:rPr>
      </w:pPr>
      <w:r w:rsidRPr="0050684C">
        <w:rPr>
          <w:rFonts w:ascii="Times New Roman" w:hAnsi="Times New Roman" w:cs="Times New Roman"/>
          <w:i w:val="0"/>
          <w:sz w:val="24"/>
        </w:rPr>
        <w:t>To determine the position of shares against prices that occur in the market (IDX), the steps that must be taken by investors and potential investors are to pay attention to the value of the calculated PBV and DDM ratios. By knowing the intrinsic value of a stock, investors and potential investors can find out the price of a stock that is cheap (undervalued) or expensive (overvalued).</w:t>
      </w:r>
    </w:p>
    <w:p w14:paraId="27428E7E" w14:textId="2EFEB738" w:rsidR="0050684C" w:rsidRPr="006A02C8" w:rsidRDefault="0050684C" w:rsidP="00F95848">
      <w:pPr>
        <w:spacing w:after="0" w:line="240" w:lineRule="auto"/>
        <w:jc w:val="both"/>
        <w:rPr>
          <w:rFonts w:ascii="Times New Roman" w:hAnsi="Times New Roman" w:cs="Times New Roman"/>
          <w:i w:val="0"/>
          <w:sz w:val="24"/>
        </w:rPr>
      </w:pPr>
      <w:r w:rsidRPr="0050684C">
        <w:rPr>
          <w:rFonts w:ascii="Times New Roman" w:hAnsi="Times New Roman" w:cs="Times New Roman"/>
          <w:i w:val="0"/>
          <w:sz w:val="24"/>
        </w:rPr>
        <w:t>The following is a table that compares the intrinsic value of shares of sectoral index companies affected by the COVID-19 pandemic for the third quarter of 2021 and investment decision making using the PBV and DDM approaches.</w:t>
      </w:r>
    </w:p>
    <w:p w14:paraId="7BF300E9" w14:textId="666B887A" w:rsidR="00F95848" w:rsidRDefault="006A02C8" w:rsidP="006A02C8">
      <w:pPr>
        <w:spacing w:after="0" w:line="240" w:lineRule="auto"/>
        <w:jc w:val="center"/>
        <w:rPr>
          <w:rFonts w:ascii="Times New Roman" w:hAnsi="Times New Roman" w:cs="Times New Roman"/>
          <w:b/>
          <w:i w:val="0"/>
          <w:sz w:val="24"/>
          <w:szCs w:val="24"/>
        </w:rPr>
      </w:pPr>
      <w:r>
        <w:rPr>
          <w:rFonts w:ascii="Times New Roman" w:hAnsi="Times New Roman" w:cs="Times New Roman"/>
          <w:b/>
          <w:i w:val="0"/>
          <w:sz w:val="24"/>
          <w:szCs w:val="24"/>
        </w:rPr>
        <w:lastRenderedPageBreak/>
        <w:t xml:space="preserve">Table 1. Stock Valuation: </w:t>
      </w:r>
      <w:r w:rsidRPr="006A02C8">
        <w:rPr>
          <w:rFonts w:ascii="Times New Roman" w:hAnsi="Times New Roman" w:cs="Times New Roman"/>
          <w:b/>
          <w:bCs/>
          <w:i w:val="0"/>
          <w:sz w:val="24"/>
        </w:rPr>
        <w:t xml:space="preserve">PBV </w:t>
      </w:r>
      <w:r w:rsidRPr="006A02C8">
        <w:rPr>
          <w:rFonts w:ascii="Times New Roman" w:hAnsi="Times New Roman" w:cs="Times New Roman"/>
          <w:b/>
          <w:bCs/>
          <w:i w:val="0"/>
          <w:sz w:val="24"/>
        </w:rPr>
        <w:t>M</w:t>
      </w:r>
      <w:r w:rsidRPr="006A02C8">
        <w:rPr>
          <w:rFonts w:ascii="Times New Roman" w:hAnsi="Times New Roman" w:cs="Times New Roman"/>
          <w:b/>
          <w:bCs/>
          <w:i w:val="0"/>
          <w:sz w:val="24"/>
        </w:rPr>
        <w:t>ethod</w:t>
      </w:r>
    </w:p>
    <w:p w14:paraId="5AA9780E" w14:textId="0D9A5078" w:rsidR="00F95848" w:rsidRDefault="00F95848" w:rsidP="008E0BC3">
      <w:pPr>
        <w:spacing w:after="0" w:line="240" w:lineRule="auto"/>
        <w:jc w:val="both"/>
        <w:rPr>
          <w:rFonts w:ascii="Times New Roman" w:hAnsi="Times New Roman" w:cs="Times New Roman"/>
          <w:b/>
          <w:i w:val="0"/>
          <w:sz w:val="24"/>
          <w:szCs w:val="24"/>
        </w:rPr>
      </w:pPr>
    </w:p>
    <w:tbl>
      <w:tblPr>
        <w:tblStyle w:val="TableGrid"/>
        <w:tblW w:w="8365" w:type="dxa"/>
        <w:jc w:val="center"/>
        <w:tblLook w:val="04A0" w:firstRow="1" w:lastRow="0" w:firstColumn="1" w:lastColumn="0" w:noHBand="0" w:noVBand="1"/>
      </w:tblPr>
      <w:tblGrid>
        <w:gridCol w:w="625"/>
        <w:gridCol w:w="1350"/>
        <w:gridCol w:w="990"/>
        <w:gridCol w:w="1350"/>
        <w:gridCol w:w="1800"/>
        <w:gridCol w:w="2250"/>
      </w:tblGrid>
      <w:tr w:rsidR="0050684C" w14:paraId="430B4AC3" w14:textId="77777777" w:rsidTr="00283179">
        <w:trPr>
          <w:jc w:val="center"/>
        </w:trPr>
        <w:tc>
          <w:tcPr>
            <w:tcW w:w="625" w:type="dxa"/>
          </w:tcPr>
          <w:p w14:paraId="7235D5B0"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No</w:t>
            </w:r>
          </w:p>
        </w:tc>
        <w:tc>
          <w:tcPr>
            <w:tcW w:w="1350" w:type="dxa"/>
          </w:tcPr>
          <w:p w14:paraId="1653BF7F"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Stock Code</w:t>
            </w:r>
          </w:p>
        </w:tc>
        <w:tc>
          <w:tcPr>
            <w:tcW w:w="990" w:type="dxa"/>
          </w:tcPr>
          <w:p w14:paraId="25E616AC"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NI PBV</w:t>
            </w:r>
          </w:p>
        </w:tc>
        <w:tc>
          <w:tcPr>
            <w:tcW w:w="1350" w:type="dxa"/>
          </w:tcPr>
          <w:p w14:paraId="07008C6B"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Stock Price</w:t>
            </w:r>
          </w:p>
        </w:tc>
        <w:tc>
          <w:tcPr>
            <w:tcW w:w="1800" w:type="dxa"/>
          </w:tcPr>
          <w:p w14:paraId="3B17A6BC"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Stock Position</w:t>
            </w:r>
          </w:p>
        </w:tc>
        <w:tc>
          <w:tcPr>
            <w:tcW w:w="2250" w:type="dxa"/>
          </w:tcPr>
          <w:p w14:paraId="1564472D"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Investment Decision</w:t>
            </w:r>
          </w:p>
        </w:tc>
      </w:tr>
      <w:tr w:rsidR="0050684C" w14:paraId="0F84EB6A" w14:textId="77777777" w:rsidTr="00283179">
        <w:trPr>
          <w:jc w:val="center"/>
        </w:trPr>
        <w:tc>
          <w:tcPr>
            <w:tcW w:w="625" w:type="dxa"/>
          </w:tcPr>
          <w:p w14:paraId="233FE446"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w:t>
            </w:r>
          </w:p>
        </w:tc>
        <w:tc>
          <w:tcPr>
            <w:tcW w:w="1350" w:type="dxa"/>
          </w:tcPr>
          <w:p w14:paraId="65250534"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SIDO</w:t>
            </w:r>
          </w:p>
        </w:tc>
        <w:tc>
          <w:tcPr>
            <w:tcW w:w="990" w:type="dxa"/>
          </w:tcPr>
          <w:p w14:paraId="5845896F"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358</w:t>
            </w:r>
          </w:p>
        </w:tc>
        <w:tc>
          <w:tcPr>
            <w:tcW w:w="1350" w:type="dxa"/>
          </w:tcPr>
          <w:p w14:paraId="7EB65697"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770</w:t>
            </w:r>
          </w:p>
        </w:tc>
        <w:tc>
          <w:tcPr>
            <w:tcW w:w="1800" w:type="dxa"/>
          </w:tcPr>
          <w:p w14:paraId="3424D4F2"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Overvalued</w:t>
            </w:r>
          </w:p>
        </w:tc>
        <w:tc>
          <w:tcPr>
            <w:tcW w:w="2250" w:type="dxa"/>
          </w:tcPr>
          <w:p w14:paraId="040A0596"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Selling Shares</w:t>
            </w:r>
          </w:p>
        </w:tc>
      </w:tr>
      <w:tr w:rsidR="0050684C" w14:paraId="3419269A" w14:textId="77777777" w:rsidTr="00283179">
        <w:trPr>
          <w:jc w:val="center"/>
        </w:trPr>
        <w:tc>
          <w:tcPr>
            <w:tcW w:w="625" w:type="dxa"/>
          </w:tcPr>
          <w:p w14:paraId="79480384"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w:t>
            </w:r>
          </w:p>
        </w:tc>
        <w:tc>
          <w:tcPr>
            <w:tcW w:w="1350" w:type="dxa"/>
          </w:tcPr>
          <w:p w14:paraId="5ABBE021"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DVLA</w:t>
            </w:r>
          </w:p>
        </w:tc>
        <w:tc>
          <w:tcPr>
            <w:tcW w:w="990" w:type="dxa"/>
          </w:tcPr>
          <w:p w14:paraId="74923185"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4547</w:t>
            </w:r>
          </w:p>
        </w:tc>
        <w:tc>
          <w:tcPr>
            <w:tcW w:w="1350" w:type="dxa"/>
          </w:tcPr>
          <w:p w14:paraId="2782ABDC"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2450</w:t>
            </w:r>
          </w:p>
        </w:tc>
        <w:tc>
          <w:tcPr>
            <w:tcW w:w="1800" w:type="dxa"/>
          </w:tcPr>
          <w:p w14:paraId="5B07EA2A"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250" w:type="dxa"/>
          </w:tcPr>
          <w:p w14:paraId="59AF45E4"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5A05620E" w14:textId="77777777" w:rsidTr="00283179">
        <w:trPr>
          <w:jc w:val="center"/>
        </w:trPr>
        <w:tc>
          <w:tcPr>
            <w:tcW w:w="625" w:type="dxa"/>
          </w:tcPr>
          <w:p w14:paraId="43EAB591"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3</w:t>
            </w:r>
          </w:p>
        </w:tc>
        <w:tc>
          <w:tcPr>
            <w:tcW w:w="1350" w:type="dxa"/>
          </w:tcPr>
          <w:p w14:paraId="1E444A6E"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KLBF</w:t>
            </w:r>
          </w:p>
        </w:tc>
        <w:tc>
          <w:tcPr>
            <w:tcW w:w="990" w:type="dxa"/>
          </w:tcPr>
          <w:p w14:paraId="3CE80DC4"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1390</w:t>
            </w:r>
          </w:p>
        </w:tc>
        <w:tc>
          <w:tcPr>
            <w:tcW w:w="1350" w:type="dxa"/>
          </w:tcPr>
          <w:p w14:paraId="2D64EDB3"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1430</w:t>
            </w:r>
          </w:p>
        </w:tc>
        <w:tc>
          <w:tcPr>
            <w:tcW w:w="1800" w:type="dxa"/>
          </w:tcPr>
          <w:p w14:paraId="13FFA92C"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Overvalued</w:t>
            </w:r>
          </w:p>
        </w:tc>
        <w:tc>
          <w:tcPr>
            <w:tcW w:w="2250" w:type="dxa"/>
          </w:tcPr>
          <w:p w14:paraId="5209B8DA"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Selling Shares</w:t>
            </w:r>
          </w:p>
        </w:tc>
      </w:tr>
      <w:tr w:rsidR="0050684C" w14:paraId="01FD33B3" w14:textId="77777777" w:rsidTr="00283179">
        <w:trPr>
          <w:jc w:val="center"/>
        </w:trPr>
        <w:tc>
          <w:tcPr>
            <w:tcW w:w="625" w:type="dxa"/>
          </w:tcPr>
          <w:p w14:paraId="1B8F8B47"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4</w:t>
            </w:r>
          </w:p>
        </w:tc>
        <w:tc>
          <w:tcPr>
            <w:tcW w:w="1350" w:type="dxa"/>
          </w:tcPr>
          <w:p w14:paraId="6CDEF49D"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TSPC</w:t>
            </w:r>
          </w:p>
        </w:tc>
        <w:tc>
          <w:tcPr>
            <w:tcW w:w="990" w:type="dxa"/>
          </w:tcPr>
          <w:p w14:paraId="405B125D"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4937</w:t>
            </w:r>
          </w:p>
        </w:tc>
        <w:tc>
          <w:tcPr>
            <w:tcW w:w="1350" w:type="dxa"/>
          </w:tcPr>
          <w:p w14:paraId="00DC3FD9"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1430</w:t>
            </w:r>
          </w:p>
        </w:tc>
        <w:tc>
          <w:tcPr>
            <w:tcW w:w="1800" w:type="dxa"/>
          </w:tcPr>
          <w:p w14:paraId="1C8A14F1"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250" w:type="dxa"/>
          </w:tcPr>
          <w:p w14:paraId="7852225D"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66C183E5" w14:textId="77777777" w:rsidTr="00283179">
        <w:trPr>
          <w:jc w:val="center"/>
        </w:trPr>
        <w:tc>
          <w:tcPr>
            <w:tcW w:w="625" w:type="dxa"/>
          </w:tcPr>
          <w:p w14:paraId="69B51717"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5</w:t>
            </w:r>
          </w:p>
        </w:tc>
        <w:tc>
          <w:tcPr>
            <w:tcW w:w="1350" w:type="dxa"/>
          </w:tcPr>
          <w:p w14:paraId="6343CEFB"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MTDL</w:t>
            </w:r>
          </w:p>
        </w:tc>
        <w:tc>
          <w:tcPr>
            <w:tcW w:w="990" w:type="dxa"/>
          </w:tcPr>
          <w:p w14:paraId="3B686D2B"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1941</w:t>
            </w:r>
          </w:p>
        </w:tc>
        <w:tc>
          <w:tcPr>
            <w:tcW w:w="1350" w:type="dxa"/>
          </w:tcPr>
          <w:p w14:paraId="3030D95F"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2900</w:t>
            </w:r>
          </w:p>
        </w:tc>
        <w:tc>
          <w:tcPr>
            <w:tcW w:w="1800" w:type="dxa"/>
          </w:tcPr>
          <w:p w14:paraId="5D0FE7AE"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Overvalued</w:t>
            </w:r>
          </w:p>
        </w:tc>
        <w:tc>
          <w:tcPr>
            <w:tcW w:w="2250" w:type="dxa"/>
          </w:tcPr>
          <w:p w14:paraId="4637D3B4"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Selling Shares</w:t>
            </w:r>
          </w:p>
        </w:tc>
      </w:tr>
      <w:tr w:rsidR="0050684C" w14:paraId="5FED8C53" w14:textId="77777777" w:rsidTr="00283179">
        <w:trPr>
          <w:jc w:val="center"/>
        </w:trPr>
        <w:tc>
          <w:tcPr>
            <w:tcW w:w="625" w:type="dxa"/>
          </w:tcPr>
          <w:p w14:paraId="28EDCA6D"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6</w:t>
            </w:r>
          </w:p>
        </w:tc>
        <w:tc>
          <w:tcPr>
            <w:tcW w:w="1350" w:type="dxa"/>
          </w:tcPr>
          <w:p w14:paraId="457B7018"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ASGR</w:t>
            </w:r>
          </w:p>
        </w:tc>
        <w:tc>
          <w:tcPr>
            <w:tcW w:w="990" w:type="dxa"/>
          </w:tcPr>
          <w:p w14:paraId="2B8820E9"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1460</w:t>
            </w:r>
          </w:p>
        </w:tc>
        <w:tc>
          <w:tcPr>
            <w:tcW w:w="1350" w:type="dxa"/>
          </w:tcPr>
          <w:p w14:paraId="20635C78"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750</w:t>
            </w:r>
          </w:p>
        </w:tc>
        <w:tc>
          <w:tcPr>
            <w:tcW w:w="1800" w:type="dxa"/>
          </w:tcPr>
          <w:p w14:paraId="1EDF288F"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250" w:type="dxa"/>
          </w:tcPr>
          <w:p w14:paraId="7223BBEE"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640AA223" w14:textId="77777777" w:rsidTr="00283179">
        <w:trPr>
          <w:jc w:val="center"/>
        </w:trPr>
        <w:tc>
          <w:tcPr>
            <w:tcW w:w="625" w:type="dxa"/>
          </w:tcPr>
          <w:p w14:paraId="372D3787"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7</w:t>
            </w:r>
          </w:p>
        </w:tc>
        <w:tc>
          <w:tcPr>
            <w:tcW w:w="1350" w:type="dxa"/>
          </w:tcPr>
          <w:p w14:paraId="5CB7F4AE"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CTRA</w:t>
            </w:r>
          </w:p>
        </w:tc>
        <w:tc>
          <w:tcPr>
            <w:tcW w:w="990" w:type="dxa"/>
          </w:tcPr>
          <w:p w14:paraId="1832B1B9"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955</w:t>
            </w:r>
          </w:p>
        </w:tc>
        <w:tc>
          <w:tcPr>
            <w:tcW w:w="1350" w:type="dxa"/>
          </w:tcPr>
          <w:p w14:paraId="6BD8B902"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935</w:t>
            </w:r>
          </w:p>
        </w:tc>
        <w:tc>
          <w:tcPr>
            <w:tcW w:w="1800" w:type="dxa"/>
          </w:tcPr>
          <w:p w14:paraId="743E6168"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250" w:type="dxa"/>
          </w:tcPr>
          <w:p w14:paraId="182BD157"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1A956C2C" w14:textId="77777777" w:rsidTr="00283179">
        <w:trPr>
          <w:jc w:val="center"/>
        </w:trPr>
        <w:tc>
          <w:tcPr>
            <w:tcW w:w="625" w:type="dxa"/>
          </w:tcPr>
          <w:p w14:paraId="06FB0703"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8</w:t>
            </w:r>
          </w:p>
        </w:tc>
        <w:tc>
          <w:tcPr>
            <w:tcW w:w="1350" w:type="dxa"/>
          </w:tcPr>
          <w:p w14:paraId="6748BFF3"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MTLA</w:t>
            </w:r>
          </w:p>
        </w:tc>
        <w:tc>
          <w:tcPr>
            <w:tcW w:w="990" w:type="dxa"/>
          </w:tcPr>
          <w:p w14:paraId="6CF8C084"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560</w:t>
            </w:r>
          </w:p>
        </w:tc>
        <w:tc>
          <w:tcPr>
            <w:tcW w:w="1350" w:type="dxa"/>
          </w:tcPr>
          <w:p w14:paraId="1DFE6FBB"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340</w:t>
            </w:r>
          </w:p>
        </w:tc>
        <w:tc>
          <w:tcPr>
            <w:tcW w:w="1800" w:type="dxa"/>
          </w:tcPr>
          <w:p w14:paraId="45112270"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250" w:type="dxa"/>
          </w:tcPr>
          <w:p w14:paraId="3D6303CC"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7420673B" w14:textId="77777777" w:rsidTr="00283179">
        <w:trPr>
          <w:jc w:val="center"/>
        </w:trPr>
        <w:tc>
          <w:tcPr>
            <w:tcW w:w="625" w:type="dxa"/>
          </w:tcPr>
          <w:p w14:paraId="71639D43"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9</w:t>
            </w:r>
          </w:p>
        </w:tc>
        <w:tc>
          <w:tcPr>
            <w:tcW w:w="1350" w:type="dxa"/>
          </w:tcPr>
          <w:p w14:paraId="159505E8"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PPRO</w:t>
            </w:r>
          </w:p>
        </w:tc>
        <w:tc>
          <w:tcPr>
            <w:tcW w:w="990" w:type="dxa"/>
          </w:tcPr>
          <w:p w14:paraId="111064C9"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70</w:t>
            </w:r>
          </w:p>
        </w:tc>
        <w:tc>
          <w:tcPr>
            <w:tcW w:w="1350" w:type="dxa"/>
          </w:tcPr>
          <w:p w14:paraId="3CF71BC8"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72</w:t>
            </w:r>
          </w:p>
        </w:tc>
        <w:tc>
          <w:tcPr>
            <w:tcW w:w="1800" w:type="dxa"/>
          </w:tcPr>
          <w:p w14:paraId="6EF19A4D"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Overvalued</w:t>
            </w:r>
          </w:p>
        </w:tc>
        <w:tc>
          <w:tcPr>
            <w:tcW w:w="2250" w:type="dxa"/>
          </w:tcPr>
          <w:p w14:paraId="45B96339"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Selling Shares</w:t>
            </w:r>
          </w:p>
        </w:tc>
      </w:tr>
      <w:tr w:rsidR="0050684C" w14:paraId="5D31C9B5" w14:textId="77777777" w:rsidTr="00283179">
        <w:trPr>
          <w:jc w:val="center"/>
        </w:trPr>
        <w:tc>
          <w:tcPr>
            <w:tcW w:w="625" w:type="dxa"/>
          </w:tcPr>
          <w:p w14:paraId="1A25475C"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10</w:t>
            </w:r>
          </w:p>
        </w:tc>
        <w:tc>
          <w:tcPr>
            <w:tcW w:w="1350" w:type="dxa"/>
          </w:tcPr>
          <w:p w14:paraId="232F50E4"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PWON</w:t>
            </w:r>
          </w:p>
        </w:tc>
        <w:tc>
          <w:tcPr>
            <w:tcW w:w="990" w:type="dxa"/>
          </w:tcPr>
          <w:p w14:paraId="693F04B5"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347</w:t>
            </w:r>
          </w:p>
        </w:tc>
        <w:tc>
          <w:tcPr>
            <w:tcW w:w="1350" w:type="dxa"/>
          </w:tcPr>
          <w:p w14:paraId="31A47157"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484</w:t>
            </w:r>
          </w:p>
        </w:tc>
        <w:tc>
          <w:tcPr>
            <w:tcW w:w="1800" w:type="dxa"/>
          </w:tcPr>
          <w:p w14:paraId="0C9CEB6E"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Overvalued</w:t>
            </w:r>
          </w:p>
        </w:tc>
        <w:tc>
          <w:tcPr>
            <w:tcW w:w="2250" w:type="dxa"/>
          </w:tcPr>
          <w:p w14:paraId="7B007FBF"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Selling Shares</w:t>
            </w:r>
          </w:p>
        </w:tc>
      </w:tr>
      <w:tr w:rsidR="0050684C" w14:paraId="258F48AB" w14:textId="77777777" w:rsidTr="00283179">
        <w:trPr>
          <w:jc w:val="center"/>
        </w:trPr>
        <w:tc>
          <w:tcPr>
            <w:tcW w:w="625" w:type="dxa"/>
          </w:tcPr>
          <w:p w14:paraId="5A140064"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11</w:t>
            </w:r>
          </w:p>
        </w:tc>
        <w:tc>
          <w:tcPr>
            <w:tcW w:w="1350" w:type="dxa"/>
          </w:tcPr>
          <w:p w14:paraId="4C5FDBC9"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BBCA</w:t>
            </w:r>
          </w:p>
        </w:tc>
        <w:tc>
          <w:tcPr>
            <w:tcW w:w="990" w:type="dxa"/>
          </w:tcPr>
          <w:p w14:paraId="147F9799"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3505</w:t>
            </w:r>
          </w:p>
        </w:tc>
        <w:tc>
          <w:tcPr>
            <w:tcW w:w="1350" w:type="dxa"/>
          </w:tcPr>
          <w:p w14:paraId="7DE7796F"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7000</w:t>
            </w:r>
          </w:p>
        </w:tc>
        <w:tc>
          <w:tcPr>
            <w:tcW w:w="1800" w:type="dxa"/>
          </w:tcPr>
          <w:p w14:paraId="342A81A6"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Overvalued</w:t>
            </w:r>
          </w:p>
        </w:tc>
        <w:tc>
          <w:tcPr>
            <w:tcW w:w="2250" w:type="dxa"/>
          </w:tcPr>
          <w:p w14:paraId="5DBC8D8D"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Selling Shares</w:t>
            </w:r>
          </w:p>
        </w:tc>
      </w:tr>
      <w:tr w:rsidR="0050684C" w14:paraId="59972492" w14:textId="77777777" w:rsidTr="00283179">
        <w:trPr>
          <w:jc w:val="center"/>
        </w:trPr>
        <w:tc>
          <w:tcPr>
            <w:tcW w:w="625" w:type="dxa"/>
          </w:tcPr>
          <w:p w14:paraId="04E397EC"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12</w:t>
            </w:r>
          </w:p>
        </w:tc>
        <w:tc>
          <w:tcPr>
            <w:tcW w:w="1350" w:type="dxa"/>
          </w:tcPr>
          <w:p w14:paraId="2A47FD5F"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BBNI</w:t>
            </w:r>
          </w:p>
        </w:tc>
        <w:tc>
          <w:tcPr>
            <w:tcW w:w="990" w:type="dxa"/>
          </w:tcPr>
          <w:p w14:paraId="26CFE7AD"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14077</w:t>
            </w:r>
          </w:p>
        </w:tc>
        <w:tc>
          <w:tcPr>
            <w:tcW w:w="1350" w:type="dxa"/>
          </w:tcPr>
          <w:p w14:paraId="10F79A3D"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5375</w:t>
            </w:r>
          </w:p>
        </w:tc>
        <w:tc>
          <w:tcPr>
            <w:tcW w:w="1800" w:type="dxa"/>
          </w:tcPr>
          <w:p w14:paraId="05E4C718"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250" w:type="dxa"/>
          </w:tcPr>
          <w:p w14:paraId="34B68849"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52A328D8" w14:textId="77777777" w:rsidTr="00283179">
        <w:trPr>
          <w:jc w:val="center"/>
        </w:trPr>
        <w:tc>
          <w:tcPr>
            <w:tcW w:w="625" w:type="dxa"/>
          </w:tcPr>
          <w:p w14:paraId="1662DCE4"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13</w:t>
            </w:r>
          </w:p>
        </w:tc>
        <w:tc>
          <w:tcPr>
            <w:tcW w:w="1350" w:type="dxa"/>
          </w:tcPr>
          <w:p w14:paraId="69C0E739"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BBRI</w:t>
            </w:r>
          </w:p>
        </w:tc>
        <w:tc>
          <w:tcPr>
            <w:tcW w:w="990" w:type="dxa"/>
          </w:tcPr>
          <w:p w14:paraId="28737217"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4016</w:t>
            </w:r>
          </w:p>
        </w:tc>
        <w:tc>
          <w:tcPr>
            <w:tcW w:w="1350" w:type="dxa"/>
          </w:tcPr>
          <w:p w14:paraId="6FECA3E9"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3850</w:t>
            </w:r>
          </w:p>
        </w:tc>
        <w:tc>
          <w:tcPr>
            <w:tcW w:w="1800" w:type="dxa"/>
          </w:tcPr>
          <w:p w14:paraId="64590D64"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250" w:type="dxa"/>
          </w:tcPr>
          <w:p w14:paraId="476396F6"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35247171" w14:textId="77777777" w:rsidTr="00283179">
        <w:trPr>
          <w:jc w:val="center"/>
        </w:trPr>
        <w:tc>
          <w:tcPr>
            <w:tcW w:w="625" w:type="dxa"/>
          </w:tcPr>
          <w:p w14:paraId="5862B943"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14</w:t>
            </w:r>
          </w:p>
        </w:tc>
        <w:tc>
          <w:tcPr>
            <w:tcW w:w="1350" w:type="dxa"/>
          </w:tcPr>
          <w:p w14:paraId="5E6A3487"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BMRI</w:t>
            </w:r>
          </w:p>
        </w:tc>
        <w:tc>
          <w:tcPr>
            <w:tcW w:w="990" w:type="dxa"/>
          </w:tcPr>
          <w:p w14:paraId="2B6DFC2E"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9192</w:t>
            </w:r>
          </w:p>
        </w:tc>
        <w:tc>
          <w:tcPr>
            <w:tcW w:w="1350" w:type="dxa"/>
          </w:tcPr>
          <w:p w14:paraId="35704216"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6150</w:t>
            </w:r>
          </w:p>
        </w:tc>
        <w:tc>
          <w:tcPr>
            <w:tcW w:w="1800" w:type="dxa"/>
          </w:tcPr>
          <w:p w14:paraId="2EA40382"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250" w:type="dxa"/>
          </w:tcPr>
          <w:p w14:paraId="652770EF"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1F836BFA" w14:textId="77777777" w:rsidTr="00283179">
        <w:trPr>
          <w:jc w:val="center"/>
        </w:trPr>
        <w:tc>
          <w:tcPr>
            <w:tcW w:w="625" w:type="dxa"/>
          </w:tcPr>
          <w:p w14:paraId="5220D61D"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15</w:t>
            </w:r>
          </w:p>
        </w:tc>
        <w:tc>
          <w:tcPr>
            <w:tcW w:w="1350" w:type="dxa"/>
          </w:tcPr>
          <w:p w14:paraId="50C2FD1C"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LINK</w:t>
            </w:r>
          </w:p>
        </w:tc>
        <w:tc>
          <w:tcPr>
            <w:tcW w:w="990" w:type="dxa"/>
          </w:tcPr>
          <w:p w14:paraId="63750E8F"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5827</w:t>
            </w:r>
          </w:p>
        </w:tc>
        <w:tc>
          <w:tcPr>
            <w:tcW w:w="1350" w:type="dxa"/>
          </w:tcPr>
          <w:p w14:paraId="1CBC79AA"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4030</w:t>
            </w:r>
          </w:p>
        </w:tc>
        <w:tc>
          <w:tcPr>
            <w:tcW w:w="1800" w:type="dxa"/>
          </w:tcPr>
          <w:p w14:paraId="05942FF3"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250" w:type="dxa"/>
          </w:tcPr>
          <w:p w14:paraId="210031CE"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7F79D6F8" w14:textId="77777777" w:rsidTr="00283179">
        <w:trPr>
          <w:jc w:val="center"/>
        </w:trPr>
        <w:tc>
          <w:tcPr>
            <w:tcW w:w="625" w:type="dxa"/>
          </w:tcPr>
          <w:p w14:paraId="0FD21BE2"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16</w:t>
            </w:r>
          </w:p>
        </w:tc>
        <w:tc>
          <w:tcPr>
            <w:tcW w:w="1350" w:type="dxa"/>
          </w:tcPr>
          <w:p w14:paraId="0A845A36"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ACES</w:t>
            </w:r>
          </w:p>
        </w:tc>
        <w:tc>
          <w:tcPr>
            <w:tcW w:w="990" w:type="dxa"/>
          </w:tcPr>
          <w:p w14:paraId="12858A6F"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969</w:t>
            </w:r>
          </w:p>
        </w:tc>
        <w:tc>
          <w:tcPr>
            <w:tcW w:w="1350" w:type="dxa"/>
          </w:tcPr>
          <w:p w14:paraId="281C7C5F"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1270</w:t>
            </w:r>
          </w:p>
        </w:tc>
        <w:tc>
          <w:tcPr>
            <w:tcW w:w="1800" w:type="dxa"/>
          </w:tcPr>
          <w:p w14:paraId="67DC1D41"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Overvalued</w:t>
            </w:r>
          </w:p>
        </w:tc>
        <w:tc>
          <w:tcPr>
            <w:tcW w:w="2250" w:type="dxa"/>
          </w:tcPr>
          <w:p w14:paraId="025B312A"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Selling Shares</w:t>
            </w:r>
          </w:p>
        </w:tc>
      </w:tr>
      <w:tr w:rsidR="0050684C" w14:paraId="6E40E07B" w14:textId="77777777" w:rsidTr="00283179">
        <w:trPr>
          <w:jc w:val="center"/>
        </w:trPr>
        <w:tc>
          <w:tcPr>
            <w:tcW w:w="625" w:type="dxa"/>
          </w:tcPr>
          <w:p w14:paraId="0038E994"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17</w:t>
            </w:r>
          </w:p>
        </w:tc>
        <w:tc>
          <w:tcPr>
            <w:tcW w:w="1350" w:type="dxa"/>
          </w:tcPr>
          <w:p w14:paraId="2265722A"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ULTJ</w:t>
            </w:r>
          </w:p>
        </w:tc>
        <w:tc>
          <w:tcPr>
            <w:tcW w:w="990" w:type="dxa"/>
          </w:tcPr>
          <w:p w14:paraId="28D96CDC"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3440</w:t>
            </w:r>
          </w:p>
        </w:tc>
        <w:tc>
          <w:tcPr>
            <w:tcW w:w="1350" w:type="dxa"/>
          </w:tcPr>
          <w:p w14:paraId="3831ED3E"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1530</w:t>
            </w:r>
          </w:p>
        </w:tc>
        <w:tc>
          <w:tcPr>
            <w:tcW w:w="1800" w:type="dxa"/>
          </w:tcPr>
          <w:p w14:paraId="6E673BA3"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250" w:type="dxa"/>
          </w:tcPr>
          <w:p w14:paraId="0967CD6F"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63D256E3" w14:textId="77777777" w:rsidTr="00283179">
        <w:trPr>
          <w:jc w:val="center"/>
        </w:trPr>
        <w:tc>
          <w:tcPr>
            <w:tcW w:w="625" w:type="dxa"/>
          </w:tcPr>
          <w:p w14:paraId="49F0C1A0"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18</w:t>
            </w:r>
          </w:p>
        </w:tc>
        <w:tc>
          <w:tcPr>
            <w:tcW w:w="1350" w:type="dxa"/>
          </w:tcPr>
          <w:p w14:paraId="3440E32E"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UNVR</w:t>
            </w:r>
          </w:p>
        </w:tc>
        <w:tc>
          <w:tcPr>
            <w:tcW w:w="990" w:type="dxa"/>
          </w:tcPr>
          <w:p w14:paraId="38581D33"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800</w:t>
            </w:r>
          </w:p>
        </w:tc>
        <w:tc>
          <w:tcPr>
            <w:tcW w:w="1350" w:type="dxa"/>
          </w:tcPr>
          <w:p w14:paraId="2764FDED"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3950</w:t>
            </w:r>
          </w:p>
        </w:tc>
        <w:tc>
          <w:tcPr>
            <w:tcW w:w="1800" w:type="dxa"/>
          </w:tcPr>
          <w:p w14:paraId="686E431D"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Overvalued</w:t>
            </w:r>
          </w:p>
        </w:tc>
        <w:tc>
          <w:tcPr>
            <w:tcW w:w="2250" w:type="dxa"/>
          </w:tcPr>
          <w:p w14:paraId="69119D74"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Selling Shares</w:t>
            </w:r>
          </w:p>
        </w:tc>
      </w:tr>
      <w:tr w:rsidR="0050684C" w14:paraId="319BBB9E" w14:textId="77777777" w:rsidTr="00283179">
        <w:trPr>
          <w:jc w:val="center"/>
        </w:trPr>
        <w:tc>
          <w:tcPr>
            <w:tcW w:w="625" w:type="dxa"/>
          </w:tcPr>
          <w:p w14:paraId="175C23F3"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19</w:t>
            </w:r>
          </w:p>
        </w:tc>
        <w:tc>
          <w:tcPr>
            <w:tcW w:w="1350" w:type="dxa"/>
          </w:tcPr>
          <w:p w14:paraId="44DBE0D1"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JPFA</w:t>
            </w:r>
          </w:p>
        </w:tc>
        <w:tc>
          <w:tcPr>
            <w:tcW w:w="990" w:type="dxa"/>
          </w:tcPr>
          <w:p w14:paraId="424C8CF7"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7654</w:t>
            </w:r>
          </w:p>
        </w:tc>
        <w:tc>
          <w:tcPr>
            <w:tcW w:w="1350" w:type="dxa"/>
          </w:tcPr>
          <w:p w14:paraId="0DC8ADCF"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1975</w:t>
            </w:r>
          </w:p>
        </w:tc>
        <w:tc>
          <w:tcPr>
            <w:tcW w:w="1800" w:type="dxa"/>
          </w:tcPr>
          <w:p w14:paraId="66C09C03"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250" w:type="dxa"/>
          </w:tcPr>
          <w:p w14:paraId="062E19AD"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0E4F67C2" w14:textId="77777777" w:rsidTr="00283179">
        <w:trPr>
          <w:jc w:val="center"/>
        </w:trPr>
        <w:tc>
          <w:tcPr>
            <w:tcW w:w="625" w:type="dxa"/>
          </w:tcPr>
          <w:p w14:paraId="3E7977F6"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20</w:t>
            </w:r>
          </w:p>
        </w:tc>
        <w:tc>
          <w:tcPr>
            <w:tcW w:w="1350" w:type="dxa"/>
          </w:tcPr>
          <w:p w14:paraId="54FBF0DB"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ROTI</w:t>
            </w:r>
          </w:p>
        </w:tc>
        <w:tc>
          <w:tcPr>
            <w:tcW w:w="990" w:type="dxa"/>
          </w:tcPr>
          <w:p w14:paraId="6053EF41"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3706</w:t>
            </w:r>
          </w:p>
        </w:tc>
        <w:tc>
          <w:tcPr>
            <w:tcW w:w="1350" w:type="dxa"/>
          </w:tcPr>
          <w:p w14:paraId="0F0E6775"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1330</w:t>
            </w:r>
          </w:p>
        </w:tc>
        <w:tc>
          <w:tcPr>
            <w:tcW w:w="1800" w:type="dxa"/>
          </w:tcPr>
          <w:p w14:paraId="36A3BAFD"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250" w:type="dxa"/>
          </w:tcPr>
          <w:p w14:paraId="42493A53"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3973282B" w14:textId="77777777" w:rsidTr="00283179">
        <w:trPr>
          <w:jc w:val="center"/>
        </w:trPr>
        <w:tc>
          <w:tcPr>
            <w:tcW w:w="625" w:type="dxa"/>
          </w:tcPr>
          <w:p w14:paraId="174C3CA5"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21</w:t>
            </w:r>
          </w:p>
        </w:tc>
        <w:tc>
          <w:tcPr>
            <w:tcW w:w="1350" w:type="dxa"/>
          </w:tcPr>
          <w:p w14:paraId="62BF3E23"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CAMP</w:t>
            </w:r>
          </w:p>
        </w:tc>
        <w:tc>
          <w:tcPr>
            <w:tcW w:w="990" w:type="dxa"/>
          </w:tcPr>
          <w:p w14:paraId="5DBFA765"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1292</w:t>
            </w:r>
          </w:p>
        </w:tc>
        <w:tc>
          <w:tcPr>
            <w:tcW w:w="1350" w:type="dxa"/>
          </w:tcPr>
          <w:p w14:paraId="1C85B000"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292</w:t>
            </w:r>
          </w:p>
        </w:tc>
        <w:tc>
          <w:tcPr>
            <w:tcW w:w="1800" w:type="dxa"/>
          </w:tcPr>
          <w:p w14:paraId="4FBDAF77"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250" w:type="dxa"/>
          </w:tcPr>
          <w:p w14:paraId="3B013C4D"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6BE5634F" w14:textId="77777777" w:rsidTr="00283179">
        <w:trPr>
          <w:jc w:val="center"/>
        </w:trPr>
        <w:tc>
          <w:tcPr>
            <w:tcW w:w="625" w:type="dxa"/>
          </w:tcPr>
          <w:p w14:paraId="11D8DD6E"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22</w:t>
            </w:r>
          </w:p>
        </w:tc>
        <w:tc>
          <w:tcPr>
            <w:tcW w:w="1350" w:type="dxa"/>
          </w:tcPr>
          <w:p w14:paraId="47B37657"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STTP</w:t>
            </w:r>
          </w:p>
        </w:tc>
        <w:tc>
          <w:tcPr>
            <w:tcW w:w="990" w:type="dxa"/>
          </w:tcPr>
          <w:p w14:paraId="4ACFB5FB"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16870</w:t>
            </w:r>
          </w:p>
        </w:tc>
        <w:tc>
          <w:tcPr>
            <w:tcW w:w="1350" w:type="dxa"/>
          </w:tcPr>
          <w:p w14:paraId="1D8537E0"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6825</w:t>
            </w:r>
          </w:p>
        </w:tc>
        <w:tc>
          <w:tcPr>
            <w:tcW w:w="1800" w:type="dxa"/>
          </w:tcPr>
          <w:p w14:paraId="1ABD501D"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250" w:type="dxa"/>
          </w:tcPr>
          <w:p w14:paraId="6BB723CD"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6A2E0893" w14:textId="77777777" w:rsidTr="00283179">
        <w:trPr>
          <w:jc w:val="center"/>
        </w:trPr>
        <w:tc>
          <w:tcPr>
            <w:tcW w:w="625" w:type="dxa"/>
          </w:tcPr>
          <w:p w14:paraId="5A1FC702"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23</w:t>
            </w:r>
          </w:p>
        </w:tc>
        <w:tc>
          <w:tcPr>
            <w:tcW w:w="1350" w:type="dxa"/>
          </w:tcPr>
          <w:p w14:paraId="10227491"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CPIN</w:t>
            </w:r>
          </w:p>
        </w:tc>
        <w:tc>
          <w:tcPr>
            <w:tcW w:w="990" w:type="dxa"/>
          </w:tcPr>
          <w:p w14:paraId="14DE942D"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11195</w:t>
            </w:r>
          </w:p>
        </w:tc>
        <w:tc>
          <w:tcPr>
            <w:tcW w:w="1350" w:type="dxa"/>
          </w:tcPr>
          <w:p w14:paraId="39E75059"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6425</w:t>
            </w:r>
          </w:p>
        </w:tc>
        <w:tc>
          <w:tcPr>
            <w:tcW w:w="1800" w:type="dxa"/>
          </w:tcPr>
          <w:p w14:paraId="7A02438A"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250" w:type="dxa"/>
          </w:tcPr>
          <w:p w14:paraId="43E603D6"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450230B1" w14:textId="77777777" w:rsidTr="00283179">
        <w:trPr>
          <w:jc w:val="center"/>
        </w:trPr>
        <w:tc>
          <w:tcPr>
            <w:tcW w:w="625" w:type="dxa"/>
          </w:tcPr>
          <w:p w14:paraId="030BD575"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24</w:t>
            </w:r>
          </w:p>
        </w:tc>
        <w:tc>
          <w:tcPr>
            <w:tcW w:w="1350" w:type="dxa"/>
          </w:tcPr>
          <w:p w14:paraId="7808AC1D"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TOTO</w:t>
            </w:r>
          </w:p>
        </w:tc>
        <w:tc>
          <w:tcPr>
            <w:tcW w:w="990" w:type="dxa"/>
          </w:tcPr>
          <w:p w14:paraId="7FBFC0BB"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200</w:t>
            </w:r>
          </w:p>
        </w:tc>
        <w:tc>
          <w:tcPr>
            <w:tcW w:w="1350" w:type="dxa"/>
          </w:tcPr>
          <w:p w14:paraId="7A51C1F0"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200</w:t>
            </w:r>
          </w:p>
        </w:tc>
        <w:tc>
          <w:tcPr>
            <w:tcW w:w="1800" w:type="dxa"/>
          </w:tcPr>
          <w:p w14:paraId="2D8A05B5"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Correctly Valued</w:t>
            </w:r>
          </w:p>
        </w:tc>
        <w:tc>
          <w:tcPr>
            <w:tcW w:w="2250" w:type="dxa"/>
          </w:tcPr>
          <w:p w14:paraId="2309AB6D"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Holding Shares</w:t>
            </w:r>
          </w:p>
        </w:tc>
      </w:tr>
      <w:tr w:rsidR="0050684C" w14:paraId="5593574D" w14:textId="77777777" w:rsidTr="00283179">
        <w:trPr>
          <w:jc w:val="center"/>
        </w:trPr>
        <w:tc>
          <w:tcPr>
            <w:tcW w:w="625" w:type="dxa"/>
          </w:tcPr>
          <w:p w14:paraId="0012C3B5"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25</w:t>
            </w:r>
          </w:p>
        </w:tc>
        <w:tc>
          <w:tcPr>
            <w:tcW w:w="1350" w:type="dxa"/>
          </w:tcPr>
          <w:p w14:paraId="6AEA9C37"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SMGR</w:t>
            </w:r>
          </w:p>
        </w:tc>
        <w:tc>
          <w:tcPr>
            <w:tcW w:w="990" w:type="dxa"/>
          </w:tcPr>
          <w:p w14:paraId="4577E34A"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8300</w:t>
            </w:r>
          </w:p>
        </w:tc>
        <w:tc>
          <w:tcPr>
            <w:tcW w:w="1350" w:type="dxa"/>
          </w:tcPr>
          <w:p w14:paraId="2357785C"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8200</w:t>
            </w:r>
          </w:p>
        </w:tc>
        <w:tc>
          <w:tcPr>
            <w:tcW w:w="1800" w:type="dxa"/>
          </w:tcPr>
          <w:p w14:paraId="6DB1192B"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250" w:type="dxa"/>
          </w:tcPr>
          <w:p w14:paraId="3E1F65DB"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71604D00" w14:textId="77777777" w:rsidTr="00283179">
        <w:trPr>
          <w:jc w:val="center"/>
        </w:trPr>
        <w:tc>
          <w:tcPr>
            <w:tcW w:w="625" w:type="dxa"/>
          </w:tcPr>
          <w:p w14:paraId="10890F86"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26</w:t>
            </w:r>
          </w:p>
        </w:tc>
        <w:tc>
          <w:tcPr>
            <w:tcW w:w="1350" w:type="dxa"/>
          </w:tcPr>
          <w:p w14:paraId="75254664"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ANTM</w:t>
            </w:r>
          </w:p>
        </w:tc>
        <w:tc>
          <w:tcPr>
            <w:tcW w:w="990" w:type="dxa"/>
          </w:tcPr>
          <w:p w14:paraId="320A6BCE"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1211</w:t>
            </w:r>
          </w:p>
        </w:tc>
        <w:tc>
          <w:tcPr>
            <w:tcW w:w="1350" w:type="dxa"/>
          </w:tcPr>
          <w:p w14:paraId="54D692E1"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2290</w:t>
            </w:r>
          </w:p>
        </w:tc>
        <w:tc>
          <w:tcPr>
            <w:tcW w:w="1800" w:type="dxa"/>
          </w:tcPr>
          <w:p w14:paraId="46CDA1CC"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Overvalued</w:t>
            </w:r>
          </w:p>
        </w:tc>
        <w:tc>
          <w:tcPr>
            <w:tcW w:w="2250" w:type="dxa"/>
          </w:tcPr>
          <w:p w14:paraId="59C4E3B4"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Selling Shares</w:t>
            </w:r>
          </w:p>
        </w:tc>
      </w:tr>
      <w:tr w:rsidR="0050684C" w14:paraId="0FE8BA63" w14:textId="77777777" w:rsidTr="00283179">
        <w:trPr>
          <w:jc w:val="center"/>
        </w:trPr>
        <w:tc>
          <w:tcPr>
            <w:tcW w:w="625" w:type="dxa"/>
          </w:tcPr>
          <w:p w14:paraId="1676E653"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27</w:t>
            </w:r>
          </w:p>
        </w:tc>
        <w:tc>
          <w:tcPr>
            <w:tcW w:w="1350" w:type="dxa"/>
          </w:tcPr>
          <w:p w14:paraId="6A6EB23A"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PTBA</w:t>
            </w:r>
          </w:p>
        </w:tc>
        <w:tc>
          <w:tcPr>
            <w:tcW w:w="990" w:type="dxa"/>
          </w:tcPr>
          <w:p w14:paraId="33B83E20"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3946</w:t>
            </w:r>
          </w:p>
        </w:tc>
        <w:tc>
          <w:tcPr>
            <w:tcW w:w="1350" w:type="dxa"/>
          </w:tcPr>
          <w:p w14:paraId="3E343069"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2760</w:t>
            </w:r>
          </w:p>
        </w:tc>
        <w:tc>
          <w:tcPr>
            <w:tcW w:w="1800" w:type="dxa"/>
          </w:tcPr>
          <w:p w14:paraId="7331FD5D"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250" w:type="dxa"/>
          </w:tcPr>
          <w:p w14:paraId="5FD1D517"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31E08A58" w14:textId="77777777" w:rsidTr="00283179">
        <w:trPr>
          <w:jc w:val="center"/>
        </w:trPr>
        <w:tc>
          <w:tcPr>
            <w:tcW w:w="625" w:type="dxa"/>
          </w:tcPr>
          <w:p w14:paraId="6E431212"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28</w:t>
            </w:r>
          </w:p>
        </w:tc>
        <w:tc>
          <w:tcPr>
            <w:tcW w:w="1350" w:type="dxa"/>
          </w:tcPr>
          <w:p w14:paraId="1E193FE4"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ELSA</w:t>
            </w:r>
          </w:p>
        </w:tc>
        <w:tc>
          <w:tcPr>
            <w:tcW w:w="990" w:type="dxa"/>
          </w:tcPr>
          <w:p w14:paraId="49B4D157"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727</w:t>
            </w:r>
          </w:p>
        </w:tc>
        <w:tc>
          <w:tcPr>
            <w:tcW w:w="1350" w:type="dxa"/>
          </w:tcPr>
          <w:p w14:paraId="38CFC355"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306</w:t>
            </w:r>
          </w:p>
        </w:tc>
        <w:tc>
          <w:tcPr>
            <w:tcW w:w="1800" w:type="dxa"/>
          </w:tcPr>
          <w:p w14:paraId="15856DB9"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250" w:type="dxa"/>
          </w:tcPr>
          <w:p w14:paraId="3ACEFD84"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bl>
    <w:p w14:paraId="0E6A2D4F" w14:textId="1EB7F53B" w:rsidR="0050684C" w:rsidRDefault="0050684C" w:rsidP="006A02C8">
      <w:pPr>
        <w:spacing w:after="0"/>
        <w:ind w:firstLine="284"/>
        <w:jc w:val="both"/>
        <w:rPr>
          <w:rFonts w:ascii="Times New Roman" w:hAnsi="Times New Roman" w:cs="Times New Roman"/>
          <w:i w:val="0"/>
          <w:sz w:val="24"/>
        </w:rPr>
      </w:pPr>
      <w:proofErr w:type="gramStart"/>
      <w:r w:rsidRPr="0050684C">
        <w:rPr>
          <w:rFonts w:ascii="Times New Roman" w:hAnsi="Times New Roman" w:cs="Times New Roman"/>
          <w:i w:val="0"/>
          <w:sz w:val="24"/>
        </w:rPr>
        <w:t>Source</w:t>
      </w:r>
      <w:r>
        <w:rPr>
          <w:rFonts w:ascii="Times New Roman" w:hAnsi="Times New Roman" w:cs="Times New Roman"/>
          <w:i w:val="0"/>
          <w:sz w:val="24"/>
        </w:rPr>
        <w:t xml:space="preserve"> </w:t>
      </w:r>
      <w:r w:rsidRPr="0050684C">
        <w:rPr>
          <w:rFonts w:ascii="Times New Roman" w:hAnsi="Times New Roman" w:cs="Times New Roman"/>
          <w:i w:val="0"/>
          <w:sz w:val="24"/>
        </w:rPr>
        <w:t>:</w:t>
      </w:r>
      <w:proofErr w:type="gramEnd"/>
      <w:r w:rsidRPr="0050684C">
        <w:rPr>
          <w:rFonts w:ascii="Times New Roman" w:hAnsi="Times New Roman" w:cs="Times New Roman"/>
          <w:i w:val="0"/>
          <w:sz w:val="24"/>
        </w:rPr>
        <w:t xml:space="preserve"> Processed data (2021)</w:t>
      </w:r>
    </w:p>
    <w:p w14:paraId="62385A3C" w14:textId="77777777" w:rsidR="006A02C8" w:rsidRDefault="0050684C" w:rsidP="006A02C8">
      <w:pPr>
        <w:spacing w:after="0" w:line="240" w:lineRule="auto"/>
        <w:ind w:firstLine="709"/>
        <w:jc w:val="both"/>
        <w:rPr>
          <w:rFonts w:ascii="Times New Roman" w:hAnsi="Times New Roman" w:cs="Times New Roman"/>
          <w:i w:val="0"/>
          <w:sz w:val="24"/>
        </w:rPr>
      </w:pPr>
      <w:r w:rsidRPr="0050684C">
        <w:rPr>
          <w:rFonts w:ascii="Times New Roman" w:hAnsi="Times New Roman" w:cs="Times New Roman"/>
          <w:i w:val="0"/>
          <w:sz w:val="24"/>
        </w:rPr>
        <w:t xml:space="preserve">Based on the results of the calculation of stock price valuations using the PBV method, it can be seen that there are 18 sectoral companies affected by the covid-19 pandemic experiencing Undervalued namely DVLA, TSPC, ASGR, CTRA, MTLA, BBNI, BBRI, BMRI, LINK, JPFA, ROTI, CAMP, </w:t>
      </w:r>
      <w:proofErr w:type="gramStart"/>
      <w:r w:rsidRPr="0050684C">
        <w:rPr>
          <w:rFonts w:ascii="Times New Roman" w:hAnsi="Times New Roman" w:cs="Times New Roman"/>
          <w:i w:val="0"/>
          <w:sz w:val="24"/>
        </w:rPr>
        <w:t>CPIN ,</w:t>
      </w:r>
      <w:proofErr w:type="gramEnd"/>
      <w:r w:rsidRPr="0050684C">
        <w:rPr>
          <w:rFonts w:ascii="Times New Roman" w:hAnsi="Times New Roman" w:cs="Times New Roman"/>
          <w:i w:val="0"/>
          <w:sz w:val="24"/>
        </w:rPr>
        <w:t xml:space="preserve"> STTP, SMGR, PTBA, and ELSA. This is because the intrinsic value is greater than the stock price. Meanwhile, 1 sectoral company affected by the COVID-19 pandemic experienced Correctly Valued, namely TOTO, this was because the intrinsic value was the same as the stock price. And 9 sectoral companies affected by the COVID-19 pandemic were overvalued, namely SIDO, KLBF, MTDL, PPRO, PWON, BBCA, ACES, UNVR, and ANTM. This is because the intrinsic value is smaller than the stock price.</w:t>
      </w:r>
    </w:p>
    <w:p w14:paraId="13938D57" w14:textId="326B8775" w:rsidR="0050684C" w:rsidRPr="0050684C" w:rsidRDefault="0050684C" w:rsidP="006A02C8">
      <w:pPr>
        <w:spacing w:after="0" w:line="240" w:lineRule="auto"/>
        <w:ind w:firstLine="709"/>
        <w:jc w:val="both"/>
        <w:rPr>
          <w:rFonts w:ascii="Times New Roman" w:hAnsi="Times New Roman" w:cs="Times New Roman"/>
          <w:i w:val="0"/>
          <w:sz w:val="24"/>
        </w:rPr>
      </w:pPr>
      <w:r w:rsidRPr="0050684C">
        <w:rPr>
          <w:rFonts w:ascii="Times New Roman" w:hAnsi="Times New Roman" w:cs="Times New Roman"/>
          <w:i w:val="0"/>
          <w:sz w:val="24"/>
        </w:rPr>
        <w:t xml:space="preserve">Based on the explanation above, making investment decisions using the PBV method is to buy 18 companies affected by the covid-19 pandemic, namely DVLA, TSPC, ASGR, CTRA, MTLA, BBNI, BBRI, BMRI, LINK, JPFA, ROTI, CAMP, CPIN, </w:t>
      </w:r>
      <w:proofErr w:type="gramStart"/>
      <w:r w:rsidRPr="0050684C">
        <w:rPr>
          <w:rFonts w:ascii="Times New Roman" w:hAnsi="Times New Roman" w:cs="Times New Roman"/>
          <w:i w:val="0"/>
          <w:sz w:val="24"/>
        </w:rPr>
        <w:t>STTP ,</w:t>
      </w:r>
      <w:proofErr w:type="gramEnd"/>
      <w:r w:rsidRPr="0050684C">
        <w:rPr>
          <w:rFonts w:ascii="Times New Roman" w:hAnsi="Times New Roman" w:cs="Times New Roman"/>
          <w:i w:val="0"/>
          <w:sz w:val="24"/>
        </w:rPr>
        <w:t xml:space="preserve"> SMGR, PTBA, and ELSA. Because these stocks are undervalued or cheap. For investors who already own these shares, the right decision is to increase share ownership or hold the shares in the hope that the share price will increase in the future. Next is not to buy SIDO, KLBF, MTDL, PPRO, PWON, BBCA, ACES, UNVR, and ANTM shares because they are in overvalued or expensive conditions. If you already own the shares, it is better to sell the shares because there is a possibility that the share price will fall. And TOTO shares are in Correctly Valued condition. For investors who already own the shares, they prefer to hold back from selling or buying the shares because the stock value is still reasonable or in the range of values.</w:t>
      </w:r>
    </w:p>
    <w:p w14:paraId="09DCA9C4" w14:textId="0A21A4EE" w:rsidR="0050684C" w:rsidRDefault="006A02C8" w:rsidP="006A02C8">
      <w:pPr>
        <w:spacing w:after="0" w:line="240" w:lineRule="auto"/>
        <w:jc w:val="center"/>
        <w:rPr>
          <w:rFonts w:ascii="Times New Roman" w:hAnsi="Times New Roman" w:cs="Times New Roman"/>
          <w:b/>
          <w:i w:val="0"/>
          <w:sz w:val="24"/>
          <w:szCs w:val="24"/>
        </w:rPr>
      </w:pPr>
      <w:r>
        <w:rPr>
          <w:rFonts w:ascii="Times New Roman" w:hAnsi="Times New Roman" w:cs="Times New Roman"/>
          <w:b/>
          <w:i w:val="0"/>
          <w:sz w:val="24"/>
          <w:szCs w:val="24"/>
        </w:rPr>
        <w:lastRenderedPageBreak/>
        <w:t xml:space="preserve">Table </w:t>
      </w:r>
      <w:r>
        <w:rPr>
          <w:rFonts w:ascii="Times New Roman" w:hAnsi="Times New Roman" w:cs="Times New Roman"/>
          <w:b/>
          <w:i w:val="0"/>
          <w:sz w:val="24"/>
          <w:szCs w:val="24"/>
        </w:rPr>
        <w:t>2</w:t>
      </w:r>
      <w:r>
        <w:rPr>
          <w:rFonts w:ascii="Times New Roman" w:hAnsi="Times New Roman" w:cs="Times New Roman"/>
          <w:b/>
          <w:i w:val="0"/>
          <w:sz w:val="24"/>
          <w:szCs w:val="24"/>
        </w:rPr>
        <w:t xml:space="preserve">. Stock Valuation: </w:t>
      </w:r>
      <w:r>
        <w:rPr>
          <w:rFonts w:ascii="Times New Roman" w:hAnsi="Times New Roman" w:cs="Times New Roman"/>
          <w:b/>
          <w:bCs/>
          <w:i w:val="0"/>
          <w:sz w:val="24"/>
        </w:rPr>
        <w:t>DDM</w:t>
      </w:r>
      <w:r w:rsidRPr="006A02C8">
        <w:rPr>
          <w:rFonts w:ascii="Times New Roman" w:hAnsi="Times New Roman" w:cs="Times New Roman"/>
          <w:b/>
          <w:bCs/>
          <w:i w:val="0"/>
          <w:sz w:val="24"/>
        </w:rPr>
        <w:t xml:space="preserve"> Method</w:t>
      </w:r>
    </w:p>
    <w:p w14:paraId="1F886BBC" w14:textId="7EFB03FF" w:rsidR="0050684C" w:rsidRDefault="0050684C" w:rsidP="008E0BC3">
      <w:pPr>
        <w:spacing w:after="0" w:line="240" w:lineRule="auto"/>
        <w:jc w:val="both"/>
        <w:rPr>
          <w:rFonts w:ascii="Times New Roman" w:hAnsi="Times New Roman" w:cs="Times New Roman"/>
          <w:b/>
          <w:i w:val="0"/>
          <w:sz w:val="24"/>
          <w:szCs w:val="24"/>
        </w:rPr>
      </w:pPr>
    </w:p>
    <w:tbl>
      <w:tblPr>
        <w:tblStyle w:val="TableGrid"/>
        <w:tblW w:w="8455" w:type="dxa"/>
        <w:jc w:val="center"/>
        <w:tblLook w:val="04A0" w:firstRow="1" w:lastRow="0" w:firstColumn="1" w:lastColumn="0" w:noHBand="0" w:noVBand="1"/>
      </w:tblPr>
      <w:tblGrid>
        <w:gridCol w:w="625"/>
        <w:gridCol w:w="1350"/>
        <w:gridCol w:w="1080"/>
        <w:gridCol w:w="1440"/>
        <w:gridCol w:w="1800"/>
        <w:gridCol w:w="2160"/>
      </w:tblGrid>
      <w:tr w:rsidR="0050684C" w14:paraId="299FA7F5" w14:textId="77777777" w:rsidTr="0050684C">
        <w:trPr>
          <w:trHeight w:val="161"/>
          <w:jc w:val="center"/>
        </w:trPr>
        <w:tc>
          <w:tcPr>
            <w:tcW w:w="625" w:type="dxa"/>
          </w:tcPr>
          <w:p w14:paraId="110864A2"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No</w:t>
            </w:r>
          </w:p>
        </w:tc>
        <w:tc>
          <w:tcPr>
            <w:tcW w:w="1350" w:type="dxa"/>
          </w:tcPr>
          <w:p w14:paraId="0A096569"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Stock Code</w:t>
            </w:r>
          </w:p>
        </w:tc>
        <w:tc>
          <w:tcPr>
            <w:tcW w:w="1080" w:type="dxa"/>
          </w:tcPr>
          <w:p w14:paraId="2584165B"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NI DDM</w:t>
            </w:r>
          </w:p>
        </w:tc>
        <w:tc>
          <w:tcPr>
            <w:tcW w:w="1440" w:type="dxa"/>
          </w:tcPr>
          <w:p w14:paraId="575A7726"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Stock Price</w:t>
            </w:r>
          </w:p>
        </w:tc>
        <w:tc>
          <w:tcPr>
            <w:tcW w:w="1800" w:type="dxa"/>
          </w:tcPr>
          <w:p w14:paraId="4499E1B1"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Stock Position</w:t>
            </w:r>
          </w:p>
        </w:tc>
        <w:tc>
          <w:tcPr>
            <w:tcW w:w="2160" w:type="dxa"/>
          </w:tcPr>
          <w:p w14:paraId="5E742AED"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Investment Decision</w:t>
            </w:r>
          </w:p>
        </w:tc>
      </w:tr>
      <w:tr w:rsidR="0050684C" w14:paraId="513CF311" w14:textId="77777777" w:rsidTr="00283179">
        <w:trPr>
          <w:jc w:val="center"/>
        </w:trPr>
        <w:tc>
          <w:tcPr>
            <w:tcW w:w="625" w:type="dxa"/>
          </w:tcPr>
          <w:p w14:paraId="6CFB1E05"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w:t>
            </w:r>
          </w:p>
        </w:tc>
        <w:tc>
          <w:tcPr>
            <w:tcW w:w="1350" w:type="dxa"/>
          </w:tcPr>
          <w:p w14:paraId="78BB929C"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SIDO</w:t>
            </w:r>
          </w:p>
        </w:tc>
        <w:tc>
          <w:tcPr>
            <w:tcW w:w="1080" w:type="dxa"/>
          </w:tcPr>
          <w:p w14:paraId="4EF460FC"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896</w:t>
            </w:r>
          </w:p>
        </w:tc>
        <w:tc>
          <w:tcPr>
            <w:tcW w:w="1440" w:type="dxa"/>
          </w:tcPr>
          <w:p w14:paraId="10397632"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770</w:t>
            </w:r>
          </w:p>
        </w:tc>
        <w:tc>
          <w:tcPr>
            <w:tcW w:w="1800" w:type="dxa"/>
          </w:tcPr>
          <w:p w14:paraId="07781D0E"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160" w:type="dxa"/>
          </w:tcPr>
          <w:p w14:paraId="25FF611A"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1AC350DB" w14:textId="77777777" w:rsidTr="00283179">
        <w:trPr>
          <w:jc w:val="center"/>
        </w:trPr>
        <w:tc>
          <w:tcPr>
            <w:tcW w:w="625" w:type="dxa"/>
          </w:tcPr>
          <w:p w14:paraId="2A45BE1A"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w:t>
            </w:r>
          </w:p>
        </w:tc>
        <w:tc>
          <w:tcPr>
            <w:tcW w:w="1350" w:type="dxa"/>
          </w:tcPr>
          <w:p w14:paraId="509AA6A3"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DVLA</w:t>
            </w:r>
          </w:p>
        </w:tc>
        <w:tc>
          <w:tcPr>
            <w:tcW w:w="1080" w:type="dxa"/>
          </w:tcPr>
          <w:p w14:paraId="57F7A816"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2659</w:t>
            </w:r>
          </w:p>
        </w:tc>
        <w:tc>
          <w:tcPr>
            <w:tcW w:w="1440" w:type="dxa"/>
          </w:tcPr>
          <w:p w14:paraId="52F82AE8"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2450</w:t>
            </w:r>
          </w:p>
        </w:tc>
        <w:tc>
          <w:tcPr>
            <w:tcW w:w="1800" w:type="dxa"/>
          </w:tcPr>
          <w:p w14:paraId="1592FB19"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160" w:type="dxa"/>
          </w:tcPr>
          <w:p w14:paraId="42B7A860"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7894B6F5" w14:textId="77777777" w:rsidTr="00283179">
        <w:trPr>
          <w:jc w:val="center"/>
        </w:trPr>
        <w:tc>
          <w:tcPr>
            <w:tcW w:w="625" w:type="dxa"/>
          </w:tcPr>
          <w:p w14:paraId="52019D33"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3</w:t>
            </w:r>
          </w:p>
        </w:tc>
        <w:tc>
          <w:tcPr>
            <w:tcW w:w="1350" w:type="dxa"/>
          </w:tcPr>
          <w:p w14:paraId="22F89DD9"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KLBF</w:t>
            </w:r>
          </w:p>
        </w:tc>
        <w:tc>
          <w:tcPr>
            <w:tcW w:w="1080" w:type="dxa"/>
          </w:tcPr>
          <w:p w14:paraId="36CC4C06"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1495</w:t>
            </w:r>
          </w:p>
        </w:tc>
        <w:tc>
          <w:tcPr>
            <w:tcW w:w="1440" w:type="dxa"/>
          </w:tcPr>
          <w:p w14:paraId="568D52E0"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1430</w:t>
            </w:r>
          </w:p>
        </w:tc>
        <w:tc>
          <w:tcPr>
            <w:tcW w:w="1800" w:type="dxa"/>
          </w:tcPr>
          <w:p w14:paraId="06B14D45"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160" w:type="dxa"/>
          </w:tcPr>
          <w:p w14:paraId="5AEE0723"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617D7769" w14:textId="77777777" w:rsidTr="00283179">
        <w:trPr>
          <w:jc w:val="center"/>
        </w:trPr>
        <w:tc>
          <w:tcPr>
            <w:tcW w:w="625" w:type="dxa"/>
          </w:tcPr>
          <w:p w14:paraId="7C3BCEC2"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4</w:t>
            </w:r>
          </w:p>
        </w:tc>
        <w:tc>
          <w:tcPr>
            <w:tcW w:w="1350" w:type="dxa"/>
          </w:tcPr>
          <w:p w14:paraId="1D77EF20"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TSPC</w:t>
            </w:r>
          </w:p>
        </w:tc>
        <w:tc>
          <w:tcPr>
            <w:tcW w:w="1080" w:type="dxa"/>
          </w:tcPr>
          <w:p w14:paraId="1D1D61D7"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1528</w:t>
            </w:r>
          </w:p>
        </w:tc>
        <w:tc>
          <w:tcPr>
            <w:tcW w:w="1440" w:type="dxa"/>
          </w:tcPr>
          <w:p w14:paraId="0B3F25F6"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1430</w:t>
            </w:r>
          </w:p>
        </w:tc>
        <w:tc>
          <w:tcPr>
            <w:tcW w:w="1800" w:type="dxa"/>
          </w:tcPr>
          <w:p w14:paraId="10A01255"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160" w:type="dxa"/>
          </w:tcPr>
          <w:p w14:paraId="67EBF0B0"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2C8333BD" w14:textId="77777777" w:rsidTr="00283179">
        <w:trPr>
          <w:jc w:val="center"/>
        </w:trPr>
        <w:tc>
          <w:tcPr>
            <w:tcW w:w="625" w:type="dxa"/>
          </w:tcPr>
          <w:p w14:paraId="255AF16E"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5</w:t>
            </w:r>
          </w:p>
        </w:tc>
        <w:tc>
          <w:tcPr>
            <w:tcW w:w="1350" w:type="dxa"/>
          </w:tcPr>
          <w:p w14:paraId="2CECCD39"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MTDL</w:t>
            </w:r>
          </w:p>
        </w:tc>
        <w:tc>
          <w:tcPr>
            <w:tcW w:w="1080" w:type="dxa"/>
          </w:tcPr>
          <w:p w14:paraId="1389C965"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3222</w:t>
            </w:r>
          </w:p>
        </w:tc>
        <w:tc>
          <w:tcPr>
            <w:tcW w:w="1440" w:type="dxa"/>
          </w:tcPr>
          <w:p w14:paraId="27FFD852"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2900</w:t>
            </w:r>
          </w:p>
        </w:tc>
        <w:tc>
          <w:tcPr>
            <w:tcW w:w="1800" w:type="dxa"/>
          </w:tcPr>
          <w:p w14:paraId="1D1A9736"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160" w:type="dxa"/>
          </w:tcPr>
          <w:p w14:paraId="2027A8CB"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31D31A72" w14:textId="77777777" w:rsidTr="00283179">
        <w:trPr>
          <w:jc w:val="center"/>
        </w:trPr>
        <w:tc>
          <w:tcPr>
            <w:tcW w:w="625" w:type="dxa"/>
          </w:tcPr>
          <w:p w14:paraId="406491C8"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6</w:t>
            </w:r>
          </w:p>
        </w:tc>
        <w:tc>
          <w:tcPr>
            <w:tcW w:w="1350" w:type="dxa"/>
          </w:tcPr>
          <w:p w14:paraId="6D39815E"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ASGR</w:t>
            </w:r>
          </w:p>
        </w:tc>
        <w:tc>
          <w:tcPr>
            <w:tcW w:w="1080" w:type="dxa"/>
          </w:tcPr>
          <w:p w14:paraId="5224D993"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797</w:t>
            </w:r>
          </w:p>
        </w:tc>
        <w:tc>
          <w:tcPr>
            <w:tcW w:w="1440" w:type="dxa"/>
          </w:tcPr>
          <w:p w14:paraId="6ABBC1EE"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750</w:t>
            </w:r>
          </w:p>
        </w:tc>
        <w:tc>
          <w:tcPr>
            <w:tcW w:w="1800" w:type="dxa"/>
          </w:tcPr>
          <w:p w14:paraId="400BA605"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160" w:type="dxa"/>
          </w:tcPr>
          <w:p w14:paraId="19ECF080"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3BB8213A" w14:textId="77777777" w:rsidTr="00283179">
        <w:trPr>
          <w:jc w:val="center"/>
        </w:trPr>
        <w:tc>
          <w:tcPr>
            <w:tcW w:w="625" w:type="dxa"/>
          </w:tcPr>
          <w:p w14:paraId="0AAA46E2"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7</w:t>
            </w:r>
          </w:p>
        </w:tc>
        <w:tc>
          <w:tcPr>
            <w:tcW w:w="1350" w:type="dxa"/>
          </w:tcPr>
          <w:p w14:paraId="416DF9CF"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CTRA</w:t>
            </w:r>
          </w:p>
        </w:tc>
        <w:tc>
          <w:tcPr>
            <w:tcW w:w="1080" w:type="dxa"/>
          </w:tcPr>
          <w:p w14:paraId="33154C66"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1052</w:t>
            </w:r>
          </w:p>
        </w:tc>
        <w:tc>
          <w:tcPr>
            <w:tcW w:w="1440" w:type="dxa"/>
          </w:tcPr>
          <w:p w14:paraId="5320A27F"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935</w:t>
            </w:r>
          </w:p>
        </w:tc>
        <w:tc>
          <w:tcPr>
            <w:tcW w:w="1800" w:type="dxa"/>
          </w:tcPr>
          <w:p w14:paraId="2606B9E1"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160" w:type="dxa"/>
          </w:tcPr>
          <w:p w14:paraId="6B15BB1C"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074CF098" w14:textId="77777777" w:rsidTr="00283179">
        <w:trPr>
          <w:jc w:val="center"/>
        </w:trPr>
        <w:tc>
          <w:tcPr>
            <w:tcW w:w="625" w:type="dxa"/>
          </w:tcPr>
          <w:p w14:paraId="21DF71E2"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8</w:t>
            </w:r>
          </w:p>
        </w:tc>
        <w:tc>
          <w:tcPr>
            <w:tcW w:w="1350" w:type="dxa"/>
          </w:tcPr>
          <w:p w14:paraId="1420AD57"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MTLA</w:t>
            </w:r>
          </w:p>
        </w:tc>
        <w:tc>
          <w:tcPr>
            <w:tcW w:w="1080" w:type="dxa"/>
          </w:tcPr>
          <w:p w14:paraId="44A6ABF6"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368</w:t>
            </w:r>
          </w:p>
        </w:tc>
        <w:tc>
          <w:tcPr>
            <w:tcW w:w="1440" w:type="dxa"/>
          </w:tcPr>
          <w:p w14:paraId="491FCF8A"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340</w:t>
            </w:r>
          </w:p>
        </w:tc>
        <w:tc>
          <w:tcPr>
            <w:tcW w:w="1800" w:type="dxa"/>
          </w:tcPr>
          <w:p w14:paraId="6469AC6F"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160" w:type="dxa"/>
          </w:tcPr>
          <w:p w14:paraId="45090D38"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04A48408" w14:textId="77777777" w:rsidTr="00283179">
        <w:trPr>
          <w:jc w:val="center"/>
        </w:trPr>
        <w:tc>
          <w:tcPr>
            <w:tcW w:w="625" w:type="dxa"/>
          </w:tcPr>
          <w:p w14:paraId="2DB6A321"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9</w:t>
            </w:r>
          </w:p>
        </w:tc>
        <w:tc>
          <w:tcPr>
            <w:tcW w:w="1350" w:type="dxa"/>
          </w:tcPr>
          <w:p w14:paraId="529CED66"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PPRO</w:t>
            </w:r>
          </w:p>
        </w:tc>
        <w:tc>
          <w:tcPr>
            <w:tcW w:w="1080" w:type="dxa"/>
          </w:tcPr>
          <w:p w14:paraId="694C35AC"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72</w:t>
            </w:r>
          </w:p>
        </w:tc>
        <w:tc>
          <w:tcPr>
            <w:tcW w:w="1440" w:type="dxa"/>
          </w:tcPr>
          <w:p w14:paraId="2BB3FC99"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72</w:t>
            </w:r>
          </w:p>
        </w:tc>
        <w:tc>
          <w:tcPr>
            <w:tcW w:w="1800" w:type="dxa"/>
          </w:tcPr>
          <w:p w14:paraId="32EE4FC0"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Correctly Valued</w:t>
            </w:r>
          </w:p>
        </w:tc>
        <w:tc>
          <w:tcPr>
            <w:tcW w:w="2160" w:type="dxa"/>
          </w:tcPr>
          <w:p w14:paraId="7B764E3D"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Holding Shares</w:t>
            </w:r>
          </w:p>
        </w:tc>
      </w:tr>
      <w:tr w:rsidR="0050684C" w14:paraId="63970D1D" w14:textId="77777777" w:rsidTr="00283179">
        <w:trPr>
          <w:jc w:val="center"/>
        </w:trPr>
        <w:tc>
          <w:tcPr>
            <w:tcW w:w="625" w:type="dxa"/>
          </w:tcPr>
          <w:p w14:paraId="3669E2C6"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10</w:t>
            </w:r>
          </w:p>
        </w:tc>
        <w:tc>
          <w:tcPr>
            <w:tcW w:w="1350" w:type="dxa"/>
          </w:tcPr>
          <w:p w14:paraId="172DA4CB"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PWON</w:t>
            </w:r>
          </w:p>
        </w:tc>
        <w:tc>
          <w:tcPr>
            <w:tcW w:w="1080" w:type="dxa"/>
          </w:tcPr>
          <w:p w14:paraId="4D17B193"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203</w:t>
            </w:r>
          </w:p>
        </w:tc>
        <w:tc>
          <w:tcPr>
            <w:tcW w:w="1440" w:type="dxa"/>
          </w:tcPr>
          <w:p w14:paraId="2104263A"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484</w:t>
            </w:r>
          </w:p>
        </w:tc>
        <w:tc>
          <w:tcPr>
            <w:tcW w:w="1800" w:type="dxa"/>
          </w:tcPr>
          <w:p w14:paraId="373B4009"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Overvalued</w:t>
            </w:r>
          </w:p>
        </w:tc>
        <w:tc>
          <w:tcPr>
            <w:tcW w:w="2160" w:type="dxa"/>
          </w:tcPr>
          <w:p w14:paraId="77145F40"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Selling Shares</w:t>
            </w:r>
          </w:p>
        </w:tc>
      </w:tr>
      <w:tr w:rsidR="0050684C" w14:paraId="3EADA8C4" w14:textId="77777777" w:rsidTr="00283179">
        <w:trPr>
          <w:jc w:val="center"/>
        </w:trPr>
        <w:tc>
          <w:tcPr>
            <w:tcW w:w="625" w:type="dxa"/>
          </w:tcPr>
          <w:p w14:paraId="34DEFCE9"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11</w:t>
            </w:r>
          </w:p>
        </w:tc>
        <w:tc>
          <w:tcPr>
            <w:tcW w:w="1350" w:type="dxa"/>
          </w:tcPr>
          <w:p w14:paraId="69993548"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BBCA</w:t>
            </w:r>
          </w:p>
        </w:tc>
        <w:tc>
          <w:tcPr>
            <w:tcW w:w="1080" w:type="dxa"/>
          </w:tcPr>
          <w:p w14:paraId="359E05AA"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7177</w:t>
            </w:r>
          </w:p>
        </w:tc>
        <w:tc>
          <w:tcPr>
            <w:tcW w:w="1440" w:type="dxa"/>
          </w:tcPr>
          <w:p w14:paraId="0A4C23ED"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7000</w:t>
            </w:r>
          </w:p>
        </w:tc>
        <w:tc>
          <w:tcPr>
            <w:tcW w:w="1800" w:type="dxa"/>
          </w:tcPr>
          <w:p w14:paraId="260AF46B"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160" w:type="dxa"/>
          </w:tcPr>
          <w:p w14:paraId="0D4F84FD"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15A5678A" w14:textId="77777777" w:rsidTr="00283179">
        <w:trPr>
          <w:jc w:val="center"/>
        </w:trPr>
        <w:tc>
          <w:tcPr>
            <w:tcW w:w="625" w:type="dxa"/>
          </w:tcPr>
          <w:p w14:paraId="27302C4A"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12</w:t>
            </w:r>
          </w:p>
        </w:tc>
        <w:tc>
          <w:tcPr>
            <w:tcW w:w="1350" w:type="dxa"/>
          </w:tcPr>
          <w:p w14:paraId="7E1FD87D"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BBNI</w:t>
            </w:r>
          </w:p>
        </w:tc>
        <w:tc>
          <w:tcPr>
            <w:tcW w:w="1080" w:type="dxa"/>
          </w:tcPr>
          <w:p w14:paraId="26C129CC"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5987</w:t>
            </w:r>
          </w:p>
        </w:tc>
        <w:tc>
          <w:tcPr>
            <w:tcW w:w="1440" w:type="dxa"/>
          </w:tcPr>
          <w:p w14:paraId="5B6D50A6"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5375</w:t>
            </w:r>
          </w:p>
        </w:tc>
        <w:tc>
          <w:tcPr>
            <w:tcW w:w="1800" w:type="dxa"/>
          </w:tcPr>
          <w:p w14:paraId="0BBBCC78"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160" w:type="dxa"/>
          </w:tcPr>
          <w:p w14:paraId="3E9FDB1B"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48CAC37B" w14:textId="77777777" w:rsidTr="00283179">
        <w:trPr>
          <w:jc w:val="center"/>
        </w:trPr>
        <w:tc>
          <w:tcPr>
            <w:tcW w:w="625" w:type="dxa"/>
          </w:tcPr>
          <w:p w14:paraId="0581CC9D"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13</w:t>
            </w:r>
          </w:p>
        </w:tc>
        <w:tc>
          <w:tcPr>
            <w:tcW w:w="1350" w:type="dxa"/>
          </w:tcPr>
          <w:p w14:paraId="5F934E58"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BBRI</w:t>
            </w:r>
          </w:p>
        </w:tc>
        <w:tc>
          <w:tcPr>
            <w:tcW w:w="1080" w:type="dxa"/>
          </w:tcPr>
          <w:p w14:paraId="31315F5C"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4095</w:t>
            </w:r>
          </w:p>
        </w:tc>
        <w:tc>
          <w:tcPr>
            <w:tcW w:w="1440" w:type="dxa"/>
          </w:tcPr>
          <w:p w14:paraId="4E241AA5"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3850</w:t>
            </w:r>
          </w:p>
        </w:tc>
        <w:tc>
          <w:tcPr>
            <w:tcW w:w="1800" w:type="dxa"/>
          </w:tcPr>
          <w:p w14:paraId="5A1F1E0E"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160" w:type="dxa"/>
          </w:tcPr>
          <w:p w14:paraId="76D0F16C"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18DAC1BA" w14:textId="77777777" w:rsidTr="00283179">
        <w:trPr>
          <w:jc w:val="center"/>
        </w:trPr>
        <w:tc>
          <w:tcPr>
            <w:tcW w:w="625" w:type="dxa"/>
          </w:tcPr>
          <w:p w14:paraId="25BA1A48"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14</w:t>
            </w:r>
          </w:p>
        </w:tc>
        <w:tc>
          <w:tcPr>
            <w:tcW w:w="1350" w:type="dxa"/>
          </w:tcPr>
          <w:p w14:paraId="6F8EF267"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BMRI</w:t>
            </w:r>
          </w:p>
        </w:tc>
        <w:tc>
          <w:tcPr>
            <w:tcW w:w="1080" w:type="dxa"/>
          </w:tcPr>
          <w:p w14:paraId="59F646BD"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6645</w:t>
            </w:r>
          </w:p>
        </w:tc>
        <w:tc>
          <w:tcPr>
            <w:tcW w:w="1440" w:type="dxa"/>
          </w:tcPr>
          <w:p w14:paraId="58049B19"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6150</w:t>
            </w:r>
          </w:p>
        </w:tc>
        <w:tc>
          <w:tcPr>
            <w:tcW w:w="1800" w:type="dxa"/>
          </w:tcPr>
          <w:p w14:paraId="43BEF123"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160" w:type="dxa"/>
          </w:tcPr>
          <w:p w14:paraId="0F35AA81"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6A016F9A" w14:textId="77777777" w:rsidTr="00283179">
        <w:trPr>
          <w:jc w:val="center"/>
        </w:trPr>
        <w:tc>
          <w:tcPr>
            <w:tcW w:w="625" w:type="dxa"/>
          </w:tcPr>
          <w:p w14:paraId="1B46AC27"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15</w:t>
            </w:r>
          </w:p>
        </w:tc>
        <w:tc>
          <w:tcPr>
            <w:tcW w:w="1350" w:type="dxa"/>
          </w:tcPr>
          <w:p w14:paraId="014714C3"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LINK</w:t>
            </w:r>
          </w:p>
        </w:tc>
        <w:tc>
          <w:tcPr>
            <w:tcW w:w="1080" w:type="dxa"/>
          </w:tcPr>
          <w:p w14:paraId="1EF41FFC"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4716</w:t>
            </w:r>
          </w:p>
        </w:tc>
        <w:tc>
          <w:tcPr>
            <w:tcW w:w="1440" w:type="dxa"/>
          </w:tcPr>
          <w:p w14:paraId="167BC14B"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4030</w:t>
            </w:r>
          </w:p>
        </w:tc>
        <w:tc>
          <w:tcPr>
            <w:tcW w:w="1800" w:type="dxa"/>
          </w:tcPr>
          <w:p w14:paraId="24B328CF"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160" w:type="dxa"/>
          </w:tcPr>
          <w:p w14:paraId="08316522"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3B12FC6B" w14:textId="77777777" w:rsidTr="00283179">
        <w:trPr>
          <w:jc w:val="center"/>
        </w:trPr>
        <w:tc>
          <w:tcPr>
            <w:tcW w:w="625" w:type="dxa"/>
          </w:tcPr>
          <w:p w14:paraId="54234983"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16</w:t>
            </w:r>
          </w:p>
        </w:tc>
        <w:tc>
          <w:tcPr>
            <w:tcW w:w="1350" w:type="dxa"/>
          </w:tcPr>
          <w:p w14:paraId="68C81196"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ACES</w:t>
            </w:r>
          </w:p>
        </w:tc>
        <w:tc>
          <w:tcPr>
            <w:tcW w:w="1080" w:type="dxa"/>
          </w:tcPr>
          <w:p w14:paraId="5E579004"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1188</w:t>
            </w:r>
          </w:p>
        </w:tc>
        <w:tc>
          <w:tcPr>
            <w:tcW w:w="1440" w:type="dxa"/>
          </w:tcPr>
          <w:p w14:paraId="603CD234"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1270</w:t>
            </w:r>
          </w:p>
        </w:tc>
        <w:tc>
          <w:tcPr>
            <w:tcW w:w="1800" w:type="dxa"/>
          </w:tcPr>
          <w:p w14:paraId="1858EC2F"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Overvalued</w:t>
            </w:r>
          </w:p>
        </w:tc>
        <w:tc>
          <w:tcPr>
            <w:tcW w:w="2160" w:type="dxa"/>
          </w:tcPr>
          <w:p w14:paraId="26699201"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Selling Shares</w:t>
            </w:r>
          </w:p>
        </w:tc>
      </w:tr>
      <w:tr w:rsidR="0050684C" w14:paraId="0D61D153" w14:textId="77777777" w:rsidTr="00283179">
        <w:trPr>
          <w:jc w:val="center"/>
        </w:trPr>
        <w:tc>
          <w:tcPr>
            <w:tcW w:w="625" w:type="dxa"/>
          </w:tcPr>
          <w:p w14:paraId="626A565B"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17</w:t>
            </w:r>
          </w:p>
        </w:tc>
        <w:tc>
          <w:tcPr>
            <w:tcW w:w="1350" w:type="dxa"/>
          </w:tcPr>
          <w:p w14:paraId="247FD7D2"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ULTJ</w:t>
            </w:r>
          </w:p>
        </w:tc>
        <w:tc>
          <w:tcPr>
            <w:tcW w:w="1080" w:type="dxa"/>
          </w:tcPr>
          <w:p w14:paraId="5787694E"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1533</w:t>
            </w:r>
          </w:p>
        </w:tc>
        <w:tc>
          <w:tcPr>
            <w:tcW w:w="1440" w:type="dxa"/>
          </w:tcPr>
          <w:p w14:paraId="00DFC343"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1530</w:t>
            </w:r>
          </w:p>
        </w:tc>
        <w:tc>
          <w:tcPr>
            <w:tcW w:w="1800" w:type="dxa"/>
          </w:tcPr>
          <w:p w14:paraId="2352805D"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160" w:type="dxa"/>
          </w:tcPr>
          <w:p w14:paraId="2F132AE8"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0859A453" w14:textId="77777777" w:rsidTr="00283179">
        <w:trPr>
          <w:jc w:val="center"/>
        </w:trPr>
        <w:tc>
          <w:tcPr>
            <w:tcW w:w="625" w:type="dxa"/>
          </w:tcPr>
          <w:p w14:paraId="7CA82079"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18</w:t>
            </w:r>
          </w:p>
        </w:tc>
        <w:tc>
          <w:tcPr>
            <w:tcW w:w="1350" w:type="dxa"/>
          </w:tcPr>
          <w:p w14:paraId="58F2B6CE"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UNVR</w:t>
            </w:r>
          </w:p>
        </w:tc>
        <w:tc>
          <w:tcPr>
            <w:tcW w:w="1080" w:type="dxa"/>
          </w:tcPr>
          <w:p w14:paraId="725BF432"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4536</w:t>
            </w:r>
          </w:p>
        </w:tc>
        <w:tc>
          <w:tcPr>
            <w:tcW w:w="1440" w:type="dxa"/>
          </w:tcPr>
          <w:p w14:paraId="4CB40991"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3950</w:t>
            </w:r>
          </w:p>
        </w:tc>
        <w:tc>
          <w:tcPr>
            <w:tcW w:w="1800" w:type="dxa"/>
          </w:tcPr>
          <w:p w14:paraId="31DFCCA1"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160" w:type="dxa"/>
          </w:tcPr>
          <w:p w14:paraId="71BA04DE"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34A82862" w14:textId="77777777" w:rsidTr="00283179">
        <w:trPr>
          <w:jc w:val="center"/>
        </w:trPr>
        <w:tc>
          <w:tcPr>
            <w:tcW w:w="625" w:type="dxa"/>
          </w:tcPr>
          <w:p w14:paraId="7201B860"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19</w:t>
            </w:r>
          </w:p>
        </w:tc>
        <w:tc>
          <w:tcPr>
            <w:tcW w:w="1350" w:type="dxa"/>
          </w:tcPr>
          <w:p w14:paraId="470B2BDE"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JPFA</w:t>
            </w:r>
          </w:p>
        </w:tc>
        <w:tc>
          <w:tcPr>
            <w:tcW w:w="1080" w:type="dxa"/>
          </w:tcPr>
          <w:p w14:paraId="129EBA32"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2266</w:t>
            </w:r>
          </w:p>
        </w:tc>
        <w:tc>
          <w:tcPr>
            <w:tcW w:w="1440" w:type="dxa"/>
          </w:tcPr>
          <w:p w14:paraId="6E59BBC5"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1975</w:t>
            </w:r>
          </w:p>
        </w:tc>
        <w:tc>
          <w:tcPr>
            <w:tcW w:w="1800" w:type="dxa"/>
          </w:tcPr>
          <w:p w14:paraId="038569D5"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160" w:type="dxa"/>
          </w:tcPr>
          <w:p w14:paraId="3039CE32"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3DD69968" w14:textId="77777777" w:rsidTr="00283179">
        <w:trPr>
          <w:jc w:val="center"/>
        </w:trPr>
        <w:tc>
          <w:tcPr>
            <w:tcW w:w="625" w:type="dxa"/>
          </w:tcPr>
          <w:p w14:paraId="322217BC"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20</w:t>
            </w:r>
          </w:p>
        </w:tc>
        <w:tc>
          <w:tcPr>
            <w:tcW w:w="1350" w:type="dxa"/>
          </w:tcPr>
          <w:p w14:paraId="60F562DC"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ROTI</w:t>
            </w:r>
          </w:p>
        </w:tc>
        <w:tc>
          <w:tcPr>
            <w:tcW w:w="1080" w:type="dxa"/>
          </w:tcPr>
          <w:p w14:paraId="40DE6A6A"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1290</w:t>
            </w:r>
          </w:p>
        </w:tc>
        <w:tc>
          <w:tcPr>
            <w:tcW w:w="1440" w:type="dxa"/>
          </w:tcPr>
          <w:p w14:paraId="2FA52BD7"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1330</w:t>
            </w:r>
          </w:p>
        </w:tc>
        <w:tc>
          <w:tcPr>
            <w:tcW w:w="1800" w:type="dxa"/>
          </w:tcPr>
          <w:p w14:paraId="6E8FADF2"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Overvalued</w:t>
            </w:r>
          </w:p>
        </w:tc>
        <w:tc>
          <w:tcPr>
            <w:tcW w:w="2160" w:type="dxa"/>
          </w:tcPr>
          <w:p w14:paraId="19110AC3"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Selling Shares</w:t>
            </w:r>
          </w:p>
        </w:tc>
      </w:tr>
      <w:tr w:rsidR="0050684C" w14:paraId="2FA5A90A" w14:textId="77777777" w:rsidTr="00283179">
        <w:trPr>
          <w:jc w:val="center"/>
        </w:trPr>
        <w:tc>
          <w:tcPr>
            <w:tcW w:w="625" w:type="dxa"/>
          </w:tcPr>
          <w:p w14:paraId="6CC7F7F4"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21</w:t>
            </w:r>
          </w:p>
        </w:tc>
        <w:tc>
          <w:tcPr>
            <w:tcW w:w="1350" w:type="dxa"/>
          </w:tcPr>
          <w:p w14:paraId="4E804F4A"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CAMP</w:t>
            </w:r>
          </w:p>
        </w:tc>
        <w:tc>
          <w:tcPr>
            <w:tcW w:w="1080" w:type="dxa"/>
          </w:tcPr>
          <w:p w14:paraId="2B6EA945"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232</w:t>
            </w:r>
          </w:p>
        </w:tc>
        <w:tc>
          <w:tcPr>
            <w:tcW w:w="1440" w:type="dxa"/>
          </w:tcPr>
          <w:p w14:paraId="4F60784F"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292</w:t>
            </w:r>
          </w:p>
        </w:tc>
        <w:tc>
          <w:tcPr>
            <w:tcW w:w="1800" w:type="dxa"/>
          </w:tcPr>
          <w:p w14:paraId="42F44A09"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Overvalued</w:t>
            </w:r>
          </w:p>
        </w:tc>
        <w:tc>
          <w:tcPr>
            <w:tcW w:w="2160" w:type="dxa"/>
          </w:tcPr>
          <w:p w14:paraId="30C92538"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Selling Shares</w:t>
            </w:r>
          </w:p>
        </w:tc>
      </w:tr>
      <w:tr w:rsidR="0050684C" w14:paraId="6FB07888" w14:textId="77777777" w:rsidTr="00283179">
        <w:trPr>
          <w:jc w:val="center"/>
        </w:trPr>
        <w:tc>
          <w:tcPr>
            <w:tcW w:w="625" w:type="dxa"/>
          </w:tcPr>
          <w:p w14:paraId="0152BA5B"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22</w:t>
            </w:r>
          </w:p>
        </w:tc>
        <w:tc>
          <w:tcPr>
            <w:tcW w:w="1350" w:type="dxa"/>
          </w:tcPr>
          <w:p w14:paraId="5DC3E0BE"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STTP</w:t>
            </w:r>
          </w:p>
        </w:tc>
        <w:tc>
          <w:tcPr>
            <w:tcW w:w="1080" w:type="dxa"/>
          </w:tcPr>
          <w:p w14:paraId="3E91AEE5"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8160</w:t>
            </w:r>
          </w:p>
        </w:tc>
        <w:tc>
          <w:tcPr>
            <w:tcW w:w="1440" w:type="dxa"/>
          </w:tcPr>
          <w:p w14:paraId="75EF4C46"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6825</w:t>
            </w:r>
          </w:p>
        </w:tc>
        <w:tc>
          <w:tcPr>
            <w:tcW w:w="1800" w:type="dxa"/>
          </w:tcPr>
          <w:p w14:paraId="784E0566"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160" w:type="dxa"/>
          </w:tcPr>
          <w:p w14:paraId="64321084"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4922938B" w14:textId="77777777" w:rsidTr="00283179">
        <w:trPr>
          <w:jc w:val="center"/>
        </w:trPr>
        <w:tc>
          <w:tcPr>
            <w:tcW w:w="625" w:type="dxa"/>
          </w:tcPr>
          <w:p w14:paraId="600CFEC7"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23</w:t>
            </w:r>
          </w:p>
        </w:tc>
        <w:tc>
          <w:tcPr>
            <w:tcW w:w="1350" w:type="dxa"/>
          </w:tcPr>
          <w:p w14:paraId="6D96FE6B"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CPIN</w:t>
            </w:r>
          </w:p>
        </w:tc>
        <w:tc>
          <w:tcPr>
            <w:tcW w:w="1080" w:type="dxa"/>
          </w:tcPr>
          <w:p w14:paraId="54AB3ED0"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6970</w:t>
            </w:r>
          </w:p>
        </w:tc>
        <w:tc>
          <w:tcPr>
            <w:tcW w:w="1440" w:type="dxa"/>
          </w:tcPr>
          <w:p w14:paraId="489599CA"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6425</w:t>
            </w:r>
          </w:p>
        </w:tc>
        <w:tc>
          <w:tcPr>
            <w:tcW w:w="1800" w:type="dxa"/>
          </w:tcPr>
          <w:p w14:paraId="2E39A743"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160" w:type="dxa"/>
          </w:tcPr>
          <w:p w14:paraId="74D276C0"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61F9DE35" w14:textId="77777777" w:rsidTr="00283179">
        <w:trPr>
          <w:jc w:val="center"/>
        </w:trPr>
        <w:tc>
          <w:tcPr>
            <w:tcW w:w="625" w:type="dxa"/>
          </w:tcPr>
          <w:p w14:paraId="4E8315A2"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24</w:t>
            </w:r>
          </w:p>
        </w:tc>
        <w:tc>
          <w:tcPr>
            <w:tcW w:w="1350" w:type="dxa"/>
          </w:tcPr>
          <w:p w14:paraId="15E1D566"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TOTO</w:t>
            </w:r>
          </w:p>
        </w:tc>
        <w:tc>
          <w:tcPr>
            <w:tcW w:w="1080" w:type="dxa"/>
          </w:tcPr>
          <w:p w14:paraId="13C472F7"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200</w:t>
            </w:r>
          </w:p>
        </w:tc>
        <w:tc>
          <w:tcPr>
            <w:tcW w:w="1440" w:type="dxa"/>
          </w:tcPr>
          <w:p w14:paraId="727B1717"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200</w:t>
            </w:r>
          </w:p>
        </w:tc>
        <w:tc>
          <w:tcPr>
            <w:tcW w:w="1800" w:type="dxa"/>
          </w:tcPr>
          <w:p w14:paraId="7731B162"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Correctly Valued</w:t>
            </w:r>
          </w:p>
        </w:tc>
        <w:tc>
          <w:tcPr>
            <w:tcW w:w="2160" w:type="dxa"/>
          </w:tcPr>
          <w:p w14:paraId="486EE953"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Holding Shares</w:t>
            </w:r>
          </w:p>
        </w:tc>
      </w:tr>
      <w:tr w:rsidR="0050684C" w14:paraId="0379DB78" w14:textId="77777777" w:rsidTr="00283179">
        <w:trPr>
          <w:jc w:val="center"/>
        </w:trPr>
        <w:tc>
          <w:tcPr>
            <w:tcW w:w="625" w:type="dxa"/>
          </w:tcPr>
          <w:p w14:paraId="49CE74EA"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25</w:t>
            </w:r>
          </w:p>
        </w:tc>
        <w:tc>
          <w:tcPr>
            <w:tcW w:w="1350" w:type="dxa"/>
          </w:tcPr>
          <w:p w14:paraId="106810CC"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SMGR</w:t>
            </w:r>
          </w:p>
        </w:tc>
        <w:tc>
          <w:tcPr>
            <w:tcW w:w="1080" w:type="dxa"/>
          </w:tcPr>
          <w:p w14:paraId="03592925"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8285</w:t>
            </w:r>
          </w:p>
        </w:tc>
        <w:tc>
          <w:tcPr>
            <w:tcW w:w="1440" w:type="dxa"/>
          </w:tcPr>
          <w:p w14:paraId="0E8C2B6A"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8200</w:t>
            </w:r>
          </w:p>
        </w:tc>
        <w:tc>
          <w:tcPr>
            <w:tcW w:w="1800" w:type="dxa"/>
          </w:tcPr>
          <w:p w14:paraId="326A331D"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160" w:type="dxa"/>
          </w:tcPr>
          <w:p w14:paraId="2F379C74"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649B5E5B" w14:textId="77777777" w:rsidTr="00283179">
        <w:trPr>
          <w:jc w:val="center"/>
        </w:trPr>
        <w:tc>
          <w:tcPr>
            <w:tcW w:w="625" w:type="dxa"/>
          </w:tcPr>
          <w:p w14:paraId="74E54F73"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26</w:t>
            </w:r>
          </w:p>
        </w:tc>
        <w:tc>
          <w:tcPr>
            <w:tcW w:w="1350" w:type="dxa"/>
          </w:tcPr>
          <w:p w14:paraId="1C25EC36"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ANTM</w:t>
            </w:r>
          </w:p>
        </w:tc>
        <w:tc>
          <w:tcPr>
            <w:tcW w:w="1080" w:type="dxa"/>
          </w:tcPr>
          <w:p w14:paraId="75E389CA"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2580</w:t>
            </w:r>
          </w:p>
        </w:tc>
        <w:tc>
          <w:tcPr>
            <w:tcW w:w="1440" w:type="dxa"/>
          </w:tcPr>
          <w:p w14:paraId="3529F0BC"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2290</w:t>
            </w:r>
          </w:p>
        </w:tc>
        <w:tc>
          <w:tcPr>
            <w:tcW w:w="1800" w:type="dxa"/>
          </w:tcPr>
          <w:p w14:paraId="25053AEF"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160" w:type="dxa"/>
          </w:tcPr>
          <w:p w14:paraId="54B2A61C"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0982AA45" w14:textId="77777777" w:rsidTr="00283179">
        <w:trPr>
          <w:jc w:val="center"/>
        </w:trPr>
        <w:tc>
          <w:tcPr>
            <w:tcW w:w="625" w:type="dxa"/>
          </w:tcPr>
          <w:p w14:paraId="377FAF43"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27</w:t>
            </w:r>
          </w:p>
        </w:tc>
        <w:tc>
          <w:tcPr>
            <w:tcW w:w="1350" w:type="dxa"/>
          </w:tcPr>
          <w:p w14:paraId="38736DE3"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PTBA</w:t>
            </w:r>
          </w:p>
        </w:tc>
        <w:tc>
          <w:tcPr>
            <w:tcW w:w="1080" w:type="dxa"/>
          </w:tcPr>
          <w:p w14:paraId="3F4B816B"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3448</w:t>
            </w:r>
          </w:p>
        </w:tc>
        <w:tc>
          <w:tcPr>
            <w:tcW w:w="1440" w:type="dxa"/>
          </w:tcPr>
          <w:p w14:paraId="4EB0CB8C"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2760</w:t>
            </w:r>
          </w:p>
        </w:tc>
        <w:tc>
          <w:tcPr>
            <w:tcW w:w="1800" w:type="dxa"/>
          </w:tcPr>
          <w:p w14:paraId="6F7DA65A"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Undervalued</w:t>
            </w:r>
          </w:p>
        </w:tc>
        <w:tc>
          <w:tcPr>
            <w:tcW w:w="2160" w:type="dxa"/>
          </w:tcPr>
          <w:p w14:paraId="4263CB7F"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Buy Shares</w:t>
            </w:r>
          </w:p>
        </w:tc>
      </w:tr>
      <w:tr w:rsidR="0050684C" w14:paraId="5A8D21E5" w14:textId="77777777" w:rsidTr="00283179">
        <w:trPr>
          <w:jc w:val="center"/>
        </w:trPr>
        <w:tc>
          <w:tcPr>
            <w:tcW w:w="625" w:type="dxa"/>
          </w:tcPr>
          <w:p w14:paraId="74CAD874"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28</w:t>
            </w:r>
          </w:p>
        </w:tc>
        <w:tc>
          <w:tcPr>
            <w:tcW w:w="1350" w:type="dxa"/>
          </w:tcPr>
          <w:p w14:paraId="24DECD9B" w14:textId="77777777" w:rsidR="0050684C" w:rsidRPr="0050684C" w:rsidRDefault="0050684C" w:rsidP="0050684C">
            <w:pPr>
              <w:spacing w:after="0" w:line="240" w:lineRule="auto"/>
              <w:jc w:val="center"/>
              <w:rPr>
                <w:rFonts w:ascii="Times New Roman" w:hAnsi="Times New Roman" w:cs="Times New Roman"/>
                <w:b/>
                <w:i w:val="0"/>
              </w:rPr>
            </w:pPr>
            <w:r w:rsidRPr="0050684C">
              <w:rPr>
                <w:rFonts w:ascii="Times New Roman" w:hAnsi="Times New Roman" w:cs="Times New Roman"/>
                <w:b/>
                <w:i w:val="0"/>
              </w:rPr>
              <w:t>ELSA</w:t>
            </w:r>
          </w:p>
        </w:tc>
        <w:tc>
          <w:tcPr>
            <w:tcW w:w="1080" w:type="dxa"/>
          </w:tcPr>
          <w:p w14:paraId="128289B4"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304</w:t>
            </w:r>
          </w:p>
        </w:tc>
        <w:tc>
          <w:tcPr>
            <w:tcW w:w="1440" w:type="dxa"/>
          </w:tcPr>
          <w:p w14:paraId="34E9826D" w14:textId="77777777" w:rsidR="0050684C" w:rsidRPr="0050684C" w:rsidRDefault="0050684C" w:rsidP="0050684C">
            <w:pPr>
              <w:spacing w:after="0" w:line="240" w:lineRule="auto"/>
              <w:jc w:val="center"/>
              <w:rPr>
                <w:rFonts w:ascii="Times New Roman" w:hAnsi="Times New Roman" w:cs="Times New Roman"/>
                <w:i w:val="0"/>
              </w:rPr>
            </w:pPr>
            <w:r w:rsidRPr="0050684C">
              <w:rPr>
                <w:rFonts w:ascii="Times New Roman" w:hAnsi="Times New Roman" w:cs="Times New Roman"/>
                <w:i w:val="0"/>
              </w:rPr>
              <w:t>306</w:t>
            </w:r>
          </w:p>
        </w:tc>
        <w:tc>
          <w:tcPr>
            <w:tcW w:w="1800" w:type="dxa"/>
          </w:tcPr>
          <w:p w14:paraId="7D3D66BC"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Overvalued</w:t>
            </w:r>
          </w:p>
        </w:tc>
        <w:tc>
          <w:tcPr>
            <w:tcW w:w="2160" w:type="dxa"/>
          </w:tcPr>
          <w:p w14:paraId="379B4404" w14:textId="77777777" w:rsidR="0050684C" w:rsidRPr="0050684C" w:rsidRDefault="0050684C" w:rsidP="0050684C">
            <w:pPr>
              <w:spacing w:after="0" w:line="240" w:lineRule="auto"/>
              <w:jc w:val="center"/>
              <w:rPr>
                <w:rFonts w:ascii="Times New Roman" w:hAnsi="Times New Roman" w:cs="Times New Roman"/>
              </w:rPr>
            </w:pPr>
            <w:r w:rsidRPr="0050684C">
              <w:rPr>
                <w:rFonts w:ascii="Times New Roman" w:hAnsi="Times New Roman" w:cs="Times New Roman"/>
              </w:rPr>
              <w:t>Selling Shares</w:t>
            </w:r>
          </w:p>
        </w:tc>
      </w:tr>
    </w:tbl>
    <w:p w14:paraId="4DBF5AF0" w14:textId="34887707" w:rsidR="0050684C" w:rsidRPr="0050684C" w:rsidRDefault="0050684C" w:rsidP="006A02C8">
      <w:pPr>
        <w:spacing w:after="0"/>
        <w:ind w:firstLine="284"/>
        <w:jc w:val="both"/>
        <w:rPr>
          <w:rFonts w:ascii="Times New Roman" w:hAnsi="Times New Roman" w:cs="Times New Roman"/>
          <w:i w:val="0"/>
          <w:sz w:val="24"/>
        </w:rPr>
      </w:pPr>
      <w:proofErr w:type="gramStart"/>
      <w:r w:rsidRPr="0050684C">
        <w:rPr>
          <w:rFonts w:ascii="Times New Roman" w:hAnsi="Times New Roman" w:cs="Times New Roman"/>
          <w:i w:val="0"/>
          <w:sz w:val="24"/>
        </w:rPr>
        <w:t>Source</w:t>
      </w:r>
      <w:r>
        <w:rPr>
          <w:rFonts w:ascii="Times New Roman" w:hAnsi="Times New Roman" w:cs="Times New Roman"/>
          <w:i w:val="0"/>
          <w:sz w:val="24"/>
        </w:rPr>
        <w:t xml:space="preserve"> </w:t>
      </w:r>
      <w:r w:rsidRPr="0050684C">
        <w:rPr>
          <w:rFonts w:ascii="Times New Roman" w:hAnsi="Times New Roman" w:cs="Times New Roman"/>
          <w:i w:val="0"/>
          <w:sz w:val="24"/>
        </w:rPr>
        <w:t>:</w:t>
      </w:r>
      <w:proofErr w:type="gramEnd"/>
      <w:r w:rsidRPr="0050684C">
        <w:rPr>
          <w:rFonts w:ascii="Times New Roman" w:hAnsi="Times New Roman" w:cs="Times New Roman"/>
          <w:i w:val="0"/>
          <w:sz w:val="24"/>
        </w:rPr>
        <w:t xml:space="preserve"> Processed data (2021)</w:t>
      </w:r>
    </w:p>
    <w:p w14:paraId="1178FBC2" w14:textId="77777777" w:rsidR="0050684C" w:rsidRPr="000711D0" w:rsidRDefault="0050684C" w:rsidP="006A02C8">
      <w:pPr>
        <w:spacing w:after="0" w:line="240" w:lineRule="auto"/>
        <w:ind w:firstLine="851"/>
        <w:jc w:val="both"/>
        <w:rPr>
          <w:rFonts w:ascii="Times New Roman" w:hAnsi="Times New Roman" w:cs="Times New Roman"/>
          <w:i w:val="0"/>
          <w:sz w:val="24"/>
          <w:szCs w:val="24"/>
        </w:rPr>
      </w:pPr>
      <w:r w:rsidRPr="000711D0">
        <w:rPr>
          <w:rFonts w:ascii="Times New Roman" w:hAnsi="Times New Roman" w:cs="Times New Roman"/>
          <w:i w:val="0"/>
          <w:sz w:val="24"/>
          <w:szCs w:val="24"/>
        </w:rPr>
        <w:t xml:space="preserve">Based on the results of the calculation of stock price valuations using the DDM method, it can be seen that there are 21 sectoral companies affected by the COVID-19 pandemic experiencing Undervalued namely SIDO, DVLA, KLBF, TSPC, MTDL, ASGR, CTRA, MTLA, BBCA, BBNI, BBRI, BMRI, </w:t>
      </w:r>
      <w:proofErr w:type="gramStart"/>
      <w:r w:rsidRPr="000711D0">
        <w:rPr>
          <w:rFonts w:ascii="Times New Roman" w:hAnsi="Times New Roman" w:cs="Times New Roman"/>
          <w:i w:val="0"/>
          <w:sz w:val="24"/>
          <w:szCs w:val="24"/>
        </w:rPr>
        <w:t>LINK ,</w:t>
      </w:r>
      <w:proofErr w:type="gramEnd"/>
      <w:r w:rsidRPr="000711D0">
        <w:rPr>
          <w:rFonts w:ascii="Times New Roman" w:hAnsi="Times New Roman" w:cs="Times New Roman"/>
          <w:i w:val="0"/>
          <w:sz w:val="24"/>
          <w:szCs w:val="24"/>
        </w:rPr>
        <w:t xml:space="preserve"> ULTJ, UNVR, JPFA, STTP, CPIN, SMGR, ANTM, and PTBA This is because the intrinsic value is greater than the stock price. Meanwhile, 2 sectoral companies affected by the COVID-19 pandemic experienced Correctly Valued, namely TOTO and PPRO, this was because the intrinsic value was the same as the stock price. And 5 sectoral companies affected by the COVID-19 pandemic experienced Overvalued, namely, ELSA, CAMP, ROTI, PWON, and ACES. This is because the intrinsic value is smaller than the stock price. Based on the explanation above, making investment decisions using the DDM method is to buy 21 companies affected by the COVID-19 pandemic, namely SIDO, DVLA, KLBF, TSPC, MTDL, ASGR, CTRA, MTLA, BBCA, BBNI, BBRI, BMRI, LINK, </w:t>
      </w:r>
      <w:proofErr w:type="gramStart"/>
      <w:r w:rsidRPr="000711D0">
        <w:rPr>
          <w:rFonts w:ascii="Times New Roman" w:hAnsi="Times New Roman" w:cs="Times New Roman"/>
          <w:i w:val="0"/>
          <w:sz w:val="24"/>
          <w:szCs w:val="24"/>
        </w:rPr>
        <w:t>ULTJ ,</w:t>
      </w:r>
      <w:proofErr w:type="gramEnd"/>
      <w:r w:rsidRPr="000711D0">
        <w:rPr>
          <w:rFonts w:ascii="Times New Roman" w:hAnsi="Times New Roman" w:cs="Times New Roman"/>
          <w:i w:val="0"/>
          <w:sz w:val="24"/>
          <w:szCs w:val="24"/>
        </w:rPr>
        <w:t xml:space="preserve"> UNVR, JPFA, STTP, CPIN, SMGR, ANTM, and PTBA. Because these stocks are undervalued or cheap. For investors who already own these shares, the right decision is to increase share ownership or hold the shares in the hope that the share price will increase in the future. Next is not to buy ELSA, CAMP, ROTI, PWON, and ACES shares because they are in an Overvalued or expensive condition. </w:t>
      </w:r>
    </w:p>
    <w:p w14:paraId="41107FE1" w14:textId="3C833AF1" w:rsidR="0050684C" w:rsidRPr="000711D0" w:rsidRDefault="0050684C" w:rsidP="003A0DA7">
      <w:pPr>
        <w:spacing w:after="0" w:line="240" w:lineRule="auto"/>
        <w:ind w:firstLine="851"/>
        <w:jc w:val="both"/>
        <w:rPr>
          <w:rFonts w:ascii="Times New Roman" w:hAnsi="Times New Roman" w:cs="Times New Roman"/>
          <w:i w:val="0"/>
          <w:sz w:val="24"/>
          <w:szCs w:val="24"/>
        </w:rPr>
      </w:pPr>
      <w:r w:rsidRPr="000711D0">
        <w:rPr>
          <w:rFonts w:ascii="Times New Roman" w:hAnsi="Times New Roman" w:cs="Times New Roman"/>
          <w:i w:val="0"/>
          <w:sz w:val="24"/>
          <w:szCs w:val="24"/>
        </w:rPr>
        <w:t xml:space="preserve">If you already own the shares, it is better to sell the shares because there is a possibility that the share price will fall. As well as TOTO and PPRO shares are in Correctly Valued </w:t>
      </w:r>
      <w:r w:rsidRPr="000711D0">
        <w:rPr>
          <w:rFonts w:ascii="Times New Roman" w:hAnsi="Times New Roman" w:cs="Times New Roman"/>
          <w:i w:val="0"/>
          <w:sz w:val="24"/>
          <w:szCs w:val="24"/>
        </w:rPr>
        <w:lastRenderedPageBreak/>
        <w:t>condition. For investors who already own these shares, they prefer to hold back from selling or buying the shares because the stock value is still reasonable or in the range of values.</w:t>
      </w:r>
    </w:p>
    <w:p w14:paraId="7ED55328" w14:textId="4F5A0473" w:rsidR="0050684C" w:rsidRDefault="0050684C" w:rsidP="008E0BC3">
      <w:pPr>
        <w:spacing w:after="0" w:line="240" w:lineRule="auto"/>
        <w:jc w:val="both"/>
        <w:rPr>
          <w:rFonts w:ascii="Times New Roman" w:hAnsi="Times New Roman" w:cs="Times New Roman"/>
          <w:b/>
          <w:i w:val="0"/>
          <w:sz w:val="24"/>
          <w:szCs w:val="24"/>
        </w:rPr>
      </w:pPr>
    </w:p>
    <w:p w14:paraId="4AD0FCF0" w14:textId="77777777" w:rsidR="0050684C" w:rsidRPr="0050684C" w:rsidRDefault="0050684C" w:rsidP="0050684C">
      <w:pPr>
        <w:spacing w:after="0"/>
        <w:jc w:val="both"/>
        <w:rPr>
          <w:rFonts w:ascii="Times New Roman" w:hAnsi="Times New Roman" w:cs="Times New Roman"/>
          <w:b/>
          <w:i w:val="0"/>
          <w:sz w:val="24"/>
          <w:szCs w:val="24"/>
        </w:rPr>
      </w:pPr>
      <w:r w:rsidRPr="0050684C">
        <w:rPr>
          <w:rFonts w:ascii="Times New Roman" w:hAnsi="Times New Roman" w:cs="Times New Roman"/>
          <w:b/>
          <w:i w:val="0"/>
          <w:sz w:val="24"/>
          <w:szCs w:val="24"/>
        </w:rPr>
        <w:t>Descriptive Statistical Test Analysis</w:t>
      </w:r>
    </w:p>
    <w:p w14:paraId="4E844DAA" w14:textId="77777777" w:rsidR="0050684C" w:rsidRPr="0050684C" w:rsidRDefault="0050684C" w:rsidP="003A0DA7">
      <w:pPr>
        <w:spacing w:after="0" w:line="240" w:lineRule="auto"/>
        <w:ind w:firstLine="851"/>
        <w:jc w:val="both"/>
        <w:rPr>
          <w:rFonts w:ascii="Times New Roman" w:hAnsi="Times New Roman" w:cs="Times New Roman"/>
          <w:i w:val="0"/>
          <w:sz w:val="24"/>
          <w:szCs w:val="24"/>
        </w:rPr>
      </w:pPr>
      <w:r w:rsidRPr="0050684C">
        <w:rPr>
          <w:rFonts w:ascii="Times New Roman" w:hAnsi="Times New Roman" w:cs="Times New Roman"/>
          <w:i w:val="0"/>
          <w:sz w:val="24"/>
          <w:szCs w:val="24"/>
        </w:rPr>
        <w:t xml:space="preserve">Descriptive statistical analysis is used to determine the description of a data seen from the average value (mean), maximum value, and minimum value. In this study, the descriptive statistics used in the calculation are the stock prices (closing prices) of companies affected by the COVID-19 pandemic. </w:t>
      </w:r>
    </w:p>
    <w:p w14:paraId="44A461BA" w14:textId="77777777" w:rsidR="0050684C" w:rsidRPr="0050684C" w:rsidRDefault="0050684C" w:rsidP="0050684C">
      <w:pPr>
        <w:spacing w:after="0" w:line="240" w:lineRule="auto"/>
        <w:jc w:val="both"/>
        <w:rPr>
          <w:rFonts w:ascii="Times New Roman" w:hAnsi="Times New Roman" w:cs="Times New Roman"/>
          <w:i w:val="0"/>
          <w:sz w:val="24"/>
          <w:szCs w:val="24"/>
        </w:rPr>
      </w:pPr>
      <w:r w:rsidRPr="0050684C">
        <w:rPr>
          <w:rFonts w:ascii="Times New Roman" w:hAnsi="Times New Roman" w:cs="Times New Roman"/>
          <w:i w:val="0"/>
          <w:sz w:val="24"/>
          <w:szCs w:val="24"/>
        </w:rPr>
        <w:t>The descriptive statistics of companies affected by the COVID-19 pandemic are as follows.</w:t>
      </w:r>
    </w:p>
    <w:p w14:paraId="7145F6C8" w14:textId="77777777" w:rsidR="0050684C" w:rsidRPr="0050684C" w:rsidRDefault="0050684C" w:rsidP="0050684C">
      <w:pPr>
        <w:spacing w:after="0" w:line="240" w:lineRule="auto"/>
        <w:jc w:val="both"/>
        <w:rPr>
          <w:rFonts w:ascii="Times New Roman" w:hAnsi="Times New Roman" w:cs="Times New Roman"/>
          <w:i w:val="0"/>
          <w:sz w:val="24"/>
        </w:rPr>
      </w:pPr>
    </w:p>
    <w:tbl>
      <w:tblPr>
        <w:tblW w:w="735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0"/>
        <w:gridCol w:w="742"/>
        <w:gridCol w:w="1071"/>
        <w:gridCol w:w="1102"/>
        <w:gridCol w:w="1025"/>
        <w:gridCol w:w="1438"/>
      </w:tblGrid>
      <w:tr w:rsidR="0050684C" w:rsidRPr="0050684C" w14:paraId="79659BD7" w14:textId="77777777" w:rsidTr="00283179">
        <w:trPr>
          <w:cantSplit/>
          <w:jc w:val="center"/>
        </w:trPr>
        <w:tc>
          <w:tcPr>
            <w:tcW w:w="7358" w:type="dxa"/>
            <w:gridSpan w:val="6"/>
            <w:tcBorders>
              <w:top w:val="nil"/>
              <w:left w:val="nil"/>
              <w:bottom w:val="nil"/>
              <w:right w:val="nil"/>
            </w:tcBorders>
            <w:shd w:val="clear" w:color="auto" w:fill="FFFFFF"/>
            <w:vAlign w:val="center"/>
          </w:tcPr>
          <w:p w14:paraId="24194B2C" w14:textId="77777777" w:rsidR="0050684C" w:rsidRPr="0050684C" w:rsidRDefault="0050684C" w:rsidP="0050684C">
            <w:pPr>
              <w:adjustRightInd w:val="0"/>
              <w:spacing w:after="0" w:line="240" w:lineRule="auto"/>
              <w:ind w:left="60" w:right="60"/>
              <w:jc w:val="center"/>
              <w:rPr>
                <w:rFonts w:ascii="Times New Roman" w:hAnsi="Times New Roman" w:cs="Times New Roman"/>
                <w:i w:val="0"/>
                <w:color w:val="010205"/>
              </w:rPr>
            </w:pPr>
            <w:r w:rsidRPr="0050684C">
              <w:rPr>
                <w:rFonts w:ascii="Times New Roman" w:hAnsi="Times New Roman" w:cs="Times New Roman"/>
                <w:b/>
                <w:bCs/>
                <w:i w:val="0"/>
                <w:color w:val="010205"/>
              </w:rPr>
              <w:t>Descriptive Statistics</w:t>
            </w:r>
          </w:p>
        </w:tc>
      </w:tr>
      <w:tr w:rsidR="0050684C" w:rsidRPr="0050684C" w14:paraId="5D002F0F" w14:textId="77777777" w:rsidTr="00283179">
        <w:trPr>
          <w:cantSplit/>
          <w:jc w:val="center"/>
        </w:trPr>
        <w:tc>
          <w:tcPr>
            <w:tcW w:w="1980" w:type="dxa"/>
            <w:tcBorders>
              <w:top w:val="nil"/>
              <w:left w:val="nil"/>
              <w:bottom w:val="single" w:sz="8" w:space="0" w:color="152935"/>
              <w:right w:val="nil"/>
            </w:tcBorders>
            <w:shd w:val="clear" w:color="auto" w:fill="FFFFFF"/>
            <w:vAlign w:val="bottom"/>
          </w:tcPr>
          <w:p w14:paraId="4A188489" w14:textId="77777777" w:rsidR="0050684C" w:rsidRPr="0050684C" w:rsidRDefault="0050684C" w:rsidP="0050684C">
            <w:pPr>
              <w:adjustRightInd w:val="0"/>
              <w:spacing w:after="0" w:line="240" w:lineRule="auto"/>
              <w:rPr>
                <w:rFonts w:ascii="Times New Roman" w:hAnsi="Times New Roman" w:cs="Times New Roman"/>
                <w:i w:val="0"/>
                <w:sz w:val="24"/>
                <w:szCs w:val="24"/>
              </w:rPr>
            </w:pPr>
          </w:p>
        </w:tc>
        <w:tc>
          <w:tcPr>
            <w:tcW w:w="742" w:type="dxa"/>
            <w:tcBorders>
              <w:top w:val="nil"/>
              <w:left w:val="nil"/>
              <w:bottom w:val="single" w:sz="8" w:space="0" w:color="152935"/>
              <w:right w:val="single" w:sz="8" w:space="0" w:color="E0E0E0"/>
            </w:tcBorders>
            <w:shd w:val="clear" w:color="auto" w:fill="FFFFFF"/>
            <w:vAlign w:val="bottom"/>
          </w:tcPr>
          <w:p w14:paraId="29A1584F" w14:textId="77777777" w:rsidR="0050684C" w:rsidRPr="0050684C" w:rsidRDefault="0050684C" w:rsidP="0050684C">
            <w:pPr>
              <w:adjustRightInd w:val="0"/>
              <w:spacing w:after="0" w:line="240" w:lineRule="auto"/>
              <w:ind w:left="60" w:right="60"/>
              <w:jc w:val="center"/>
              <w:rPr>
                <w:rFonts w:ascii="Times New Roman" w:hAnsi="Times New Roman" w:cs="Times New Roman"/>
                <w:i w:val="0"/>
                <w:color w:val="264A60"/>
                <w:sz w:val="18"/>
                <w:szCs w:val="18"/>
              </w:rPr>
            </w:pPr>
            <w:r w:rsidRPr="0050684C">
              <w:rPr>
                <w:rFonts w:ascii="Times New Roman" w:hAnsi="Times New Roman" w:cs="Times New Roman"/>
                <w:i w:val="0"/>
                <w:color w:val="264A60"/>
                <w:sz w:val="18"/>
                <w:szCs w:val="18"/>
              </w:rPr>
              <w:t>N</w:t>
            </w:r>
          </w:p>
        </w:tc>
        <w:tc>
          <w:tcPr>
            <w:tcW w:w="1071" w:type="dxa"/>
            <w:tcBorders>
              <w:top w:val="nil"/>
              <w:left w:val="single" w:sz="8" w:space="0" w:color="E0E0E0"/>
              <w:bottom w:val="single" w:sz="8" w:space="0" w:color="152935"/>
              <w:right w:val="single" w:sz="8" w:space="0" w:color="E0E0E0"/>
            </w:tcBorders>
            <w:shd w:val="clear" w:color="auto" w:fill="FFFFFF"/>
            <w:vAlign w:val="bottom"/>
          </w:tcPr>
          <w:p w14:paraId="2DC58EB0" w14:textId="77777777" w:rsidR="0050684C" w:rsidRPr="0050684C" w:rsidRDefault="0050684C" w:rsidP="0050684C">
            <w:pPr>
              <w:adjustRightInd w:val="0"/>
              <w:spacing w:after="0" w:line="240" w:lineRule="auto"/>
              <w:ind w:left="60" w:right="60"/>
              <w:jc w:val="center"/>
              <w:rPr>
                <w:rFonts w:ascii="Times New Roman" w:hAnsi="Times New Roman" w:cs="Times New Roman"/>
                <w:i w:val="0"/>
                <w:color w:val="264A60"/>
                <w:sz w:val="18"/>
                <w:szCs w:val="18"/>
              </w:rPr>
            </w:pPr>
            <w:r w:rsidRPr="0050684C">
              <w:rPr>
                <w:rFonts w:ascii="Times New Roman" w:hAnsi="Times New Roman" w:cs="Times New Roman"/>
                <w:i w:val="0"/>
                <w:color w:val="264A60"/>
                <w:sz w:val="18"/>
                <w:szCs w:val="18"/>
              </w:rPr>
              <w:t>Minimum</w:t>
            </w:r>
          </w:p>
        </w:tc>
        <w:tc>
          <w:tcPr>
            <w:tcW w:w="1102" w:type="dxa"/>
            <w:tcBorders>
              <w:top w:val="nil"/>
              <w:left w:val="single" w:sz="8" w:space="0" w:color="E0E0E0"/>
              <w:bottom w:val="single" w:sz="8" w:space="0" w:color="152935"/>
              <w:right w:val="single" w:sz="8" w:space="0" w:color="E0E0E0"/>
            </w:tcBorders>
            <w:shd w:val="clear" w:color="auto" w:fill="FFFFFF"/>
            <w:vAlign w:val="bottom"/>
          </w:tcPr>
          <w:p w14:paraId="0EFFD46D" w14:textId="77777777" w:rsidR="0050684C" w:rsidRPr="0050684C" w:rsidRDefault="0050684C" w:rsidP="0050684C">
            <w:pPr>
              <w:adjustRightInd w:val="0"/>
              <w:spacing w:after="0" w:line="240" w:lineRule="auto"/>
              <w:ind w:left="60" w:right="60"/>
              <w:jc w:val="center"/>
              <w:rPr>
                <w:rFonts w:ascii="Times New Roman" w:hAnsi="Times New Roman" w:cs="Times New Roman"/>
                <w:i w:val="0"/>
                <w:color w:val="264A60"/>
                <w:sz w:val="18"/>
                <w:szCs w:val="18"/>
              </w:rPr>
            </w:pPr>
            <w:r w:rsidRPr="0050684C">
              <w:rPr>
                <w:rFonts w:ascii="Times New Roman" w:hAnsi="Times New Roman" w:cs="Times New Roman"/>
                <w:i w:val="0"/>
                <w:color w:val="264A60"/>
                <w:sz w:val="18"/>
                <w:szCs w:val="18"/>
              </w:rPr>
              <w:t>Maximum</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07850EF3" w14:textId="77777777" w:rsidR="0050684C" w:rsidRPr="0050684C" w:rsidRDefault="0050684C" w:rsidP="0050684C">
            <w:pPr>
              <w:adjustRightInd w:val="0"/>
              <w:spacing w:after="0" w:line="240" w:lineRule="auto"/>
              <w:ind w:left="60" w:right="60"/>
              <w:jc w:val="center"/>
              <w:rPr>
                <w:rFonts w:ascii="Times New Roman" w:hAnsi="Times New Roman" w:cs="Times New Roman"/>
                <w:i w:val="0"/>
                <w:color w:val="264A60"/>
                <w:sz w:val="18"/>
                <w:szCs w:val="18"/>
              </w:rPr>
            </w:pPr>
            <w:r w:rsidRPr="0050684C">
              <w:rPr>
                <w:rFonts w:ascii="Times New Roman" w:hAnsi="Times New Roman" w:cs="Times New Roman"/>
                <w:i w:val="0"/>
                <w:color w:val="264A60"/>
                <w:sz w:val="18"/>
                <w:szCs w:val="18"/>
              </w:rPr>
              <w:t>Mean</w:t>
            </w:r>
          </w:p>
        </w:tc>
        <w:tc>
          <w:tcPr>
            <w:tcW w:w="1438" w:type="dxa"/>
            <w:tcBorders>
              <w:top w:val="nil"/>
              <w:left w:val="single" w:sz="8" w:space="0" w:color="E0E0E0"/>
              <w:bottom w:val="single" w:sz="8" w:space="0" w:color="152935"/>
              <w:right w:val="nil"/>
            </w:tcBorders>
            <w:shd w:val="clear" w:color="auto" w:fill="FFFFFF"/>
            <w:vAlign w:val="bottom"/>
          </w:tcPr>
          <w:p w14:paraId="169B4058" w14:textId="77777777" w:rsidR="0050684C" w:rsidRPr="0050684C" w:rsidRDefault="0050684C" w:rsidP="0050684C">
            <w:pPr>
              <w:adjustRightInd w:val="0"/>
              <w:spacing w:after="0" w:line="240" w:lineRule="auto"/>
              <w:ind w:left="60" w:right="60"/>
              <w:jc w:val="center"/>
              <w:rPr>
                <w:rFonts w:ascii="Times New Roman" w:hAnsi="Times New Roman" w:cs="Times New Roman"/>
                <w:i w:val="0"/>
                <w:color w:val="264A60"/>
                <w:sz w:val="18"/>
                <w:szCs w:val="18"/>
              </w:rPr>
            </w:pPr>
            <w:r w:rsidRPr="0050684C">
              <w:rPr>
                <w:rFonts w:ascii="Times New Roman" w:hAnsi="Times New Roman" w:cs="Times New Roman"/>
                <w:i w:val="0"/>
                <w:color w:val="264A60"/>
                <w:sz w:val="18"/>
                <w:szCs w:val="18"/>
              </w:rPr>
              <w:t>Std. Deviation</w:t>
            </w:r>
          </w:p>
        </w:tc>
      </w:tr>
      <w:tr w:rsidR="0050684C" w:rsidRPr="0050684C" w14:paraId="7363D6C8" w14:textId="77777777" w:rsidTr="00283179">
        <w:trPr>
          <w:cantSplit/>
          <w:jc w:val="center"/>
        </w:trPr>
        <w:tc>
          <w:tcPr>
            <w:tcW w:w="1980" w:type="dxa"/>
            <w:tcBorders>
              <w:top w:val="single" w:sz="8" w:space="0" w:color="152935"/>
              <w:left w:val="nil"/>
              <w:bottom w:val="single" w:sz="8" w:space="0" w:color="AEAEAE"/>
              <w:right w:val="nil"/>
            </w:tcBorders>
            <w:shd w:val="clear" w:color="auto" w:fill="E0E0E0"/>
          </w:tcPr>
          <w:p w14:paraId="6B1A2A0A" w14:textId="77777777" w:rsidR="0050684C" w:rsidRPr="0050684C" w:rsidRDefault="0050684C" w:rsidP="0050684C">
            <w:pPr>
              <w:adjustRightInd w:val="0"/>
              <w:spacing w:after="0" w:line="240" w:lineRule="auto"/>
              <w:ind w:left="60" w:right="60"/>
              <w:rPr>
                <w:rFonts w:ascii="Times New Roman" w:hAnsi="Times New Roman" w:cs="Times New Roman"/>
                <w:i w:val="0"/>
                <w:color w:val="264A60"/>
                <w:sz w:val="18"/>
                <w:szCs w:val="18"/>
              </w:rPr>
            </w:pPr>
            <w:r w:rsidRPr="0050684C">
              <w:rPr>
                <w:rFonts w:ascii="Times New Roman" w:hAnsi="Times New Roman" w:cs="Times New Roman"/>
                <w:i w:val="0"/>
                <w:color w:val="264A60"/>
                <w:sz w:val="18"/>
                <w:szCs w:val="18"/>
              </w:rPr>
              <w:t>Harga Saham Q3 2021</w:t>
            </w:r>
          </w:p>
        </w:tc>
        <w:tc>
          <w:tcPr>
            <w:tcW w:w="742" w:type="dxa"/>
            <w:tcBorders>
              <w:top w:val="single" w:sz="8" w:space="0" w:color="152935"/>
              <w:left w:val="nil"/>
              <w:bottom w:val="single" w:sz="8" w:space="0" w:color="AEAEAE"/>
              <w:right w:val="single" w:sz="8" w:space="0" w:color="E0E0E0"/>
            </w:tcBorders>
            <w:shd w:val="clear" w:color="auto" w:fill="FFFFFF"/>
          </w:tcPr>
          <w:p w14:paraId="65CBA86F" w14:textId="77777777" w:rsidR="0050684C" w:rsidRPr="0050684C" w:rsidRDefault="0050684C" w:rsidP="0050684C">
            <w:pPr>
              <w:adjustRightInd w:val="0"/>
              <w:spacing w:after="0" w:line="240" w:lineRule="auto"/>
              <w:ind w:left="60" w:right="60"/>
              <w:jc w:val="right"/>
              <w:rPr>
                <w:rFonts w:ascii="Times New Roman" w:hAnsi="Times New Roman" w:cs="Times New Roman"/>
                <w:i w:val="0"/>
                <w:color w:val="010205"/>
                <w:sz w:val="18"/>
                <w:szCs w:val="18"/>
              </w:rPr>
            </w:pPr>
            <w:r w:rsidRPr="0050684C">
              <w:rPr>
                <w:rFonts w:ascii="Times New Roman" w:hAnsi="Times New Roman" w:cs="Times New Roman"/>
                <w:i w:val="0"/>
                <w:color w:val="010205"/>
                <w:sz w:val="18"/>
                <w:szCs w:val="18"/>
              </w:rPr>
              <w:t>28</w:t>
            </w:r>
          </w:p>
        </w:tc>
        <w:tc>
          <w:tcPr>
            <w:tcW w:w="1071" w:type="dxa"/>
            <w:tcBorders>
              <w:top w:val="single" w:sz="8" w:space="0" w:color="152935"/>
              <w:left w:val="single" w:sz="8" w:space="0" w:color="E0E0E0"/>
              <w:bottom w:val="single" w:sz="8" w:space="0" w:color="AEAEAE"/>
              <w:right w:val="single" w:sz="8" w:space="0" w:color="E0E0E0"/>
            </w:tcBorders>
            <w:shd w:val="clear" w:color="auto" w:fill="FFFFFF"/>
          </w:tcPr>
          <w:p w14:paraId="51098C41" w14:textId="77777777" w:rsidR="0050684C" w:rsidRPr="0050684C" w:rsidRDefault="0050684C" w:rsidP="0050684C">
            <w:pPr>
              <w:adjustRightInd w:val="0"/>
              <w:spacing w:after="0" w:line="240" w:lineRule="auto"/>
              <w:ind w:left="60" w:right="60"/>
              <w:jc w:val="right"/>
              <w:rPr>
                <w:rFonts w:ascii="Times New Roman" w:hAnsi="Times New Roman" w:cs="Times New Roman"/>
                <w:i w:val="0"/>
                <w:color w:val="010205"/>
                <w:sz w:val="18"/>
                <w:szCs w:val="18"/>
              </w:rPr>
            </w:pPr>
            <w:r w:rsidRPr="0050684C">
              <w:rPr>
                <w:rFonts w:ascii="Times New Roman" w:hAnsi="Times New Roman" w:cs="Times New Roman"/>
                <w:i w:val="0"/>
                <w:color w:val="010205"/>
                <w:sz w:val="18"/>
                <w:szCs w:val="18"/>
              </w:rPr>
              <w:t>72</w:t>
            </w:r>
          </w:p>
        </w:tc>
        <w:tc>
          <w:tcPr>
            <w:tcW w:w="1102" w:type="dxa"/>
            <w:tcBorders>
              <w:top w:val="single" w:sz="8" w:space="0" w:color="152935"/>
              <w:left w:val="single" w:sz="8" w:space="0" w:color="E0E0E0"/>
              <w:bottom w:val="single" w:sz="8" w:space="0" w:color="AEAEAE"/>
              <w:right w:val="single" w:sz="8" w:space="0" w:color="E0E0E0"/>
            </w:tcBorders>
            <w:shd w:val="clear" w:color="auto" w:fill="FFFFFF"/>
          </w:tcPr>
          <w:p w14:paraId="765682F6" w14:textId="77777777" w:rsidR="0050684C" w:rsidRPr="0050684C" w:rsidRDefault="0050684C" w:rsidP="0050684C">
            <w:pPr>
              <w:adjustRightInd w:val="0"/>
              <w:spacing w:after="0" w:line="240" w:lineRule="auto"/>
              <w:ind w:left="60" w:right="60"/>
              <w:jc w:val="right"/>
              <w:rPr>
                <w:rFonts w:ascii="Times New Roman" w:hAnsi="Times New Roman" w:cs="Times New Roman"/>
                <w:i w:val="0"/>
                <w:color w:val="010205"/>
                <w:sz w:val="18"/>
                <w:szCs w:val="18"/>
              </w:rPr>
            </w:pPr>
            <w:r w:rsidRPr="0050684C">
              <w:rPr>
                <w:rFonts w:ascii="Times New Roman" w:hAnsi="Times New Roman" w:cs="Times New Roman"/>
                <w:i w:val="0"/>
                <w:color w:val="010205"/>
                <w:sz w:val="18"/>
                <w:szCs w:val="18"/>
              </w:rPr>
              <w:t>8200</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6FEB000A" w14:textId="77777777" w:rsidR="0050684C" w:rsidRPr="0050684C" w:rsidRDefault="0050684C" w:rsidP="0050684C">
            <w:pPr>
              <w:adjustRightInd w:val="0"/>
              <w:spacing w:after="0" w:line="240" w:lineRule="auto"/>
              <w:ind w:left="60" w:right="60"/>
              <w:jc w:val="right"/>
              <w:rPr>
                <w:rFonts w:ascii="Times New Roman" w:hAnsi="Times New Roman" w:cs="Times New Roman"/>
                <w:i w:val="0"/>
                <w:color w:val="010205"/>
                <w:sz w:val="18"/>
                <w:szCs w:val="18"/>
              </w:rPr>
            </w:pPr>
            <w:r w:rsidRPr="0050684C">
              <w:rPr>
                <w:rFonts w:ascii="Times New Roman" w:hAnsi="Times New Roman" w:cs="Times New Roman"/>
                <w:i w:val="0"/>
                <w:color w:val="010205"/>
                <w:sz w:val="18"/>
                <w:szCs w:val="18"/>
              </w:rPr>
              <w:t>2689.96</w:t>
            </w:r>
          </w:p>
        </w:tc>
        <w:tc>
          <w:tcPr>
            <w:tcW w:w="1438" w:type="dxa"/>
            <w:tcBorders>
              <w:top w:val="single" w:sz="8" w:space="0" w:color="152935"/>
              <w:left w:val="single" w:sz="8" w:space="0" w:color="E0E0E0"/>
              <w:bottom w:val="single" w:sz="8" w:space="0" w:color="AEAEAE"/>
              <w:right w:val="nil"/>
            </w:tcBorders>
            <w:shd w:val="clear" w:color="auto" w:fill="FFFFFF"/>
          </w:tcPr>
          <w:p w14:paraId="256D7665" w14:textId="77777777" w:rsidR="0050684C" w:rsidRPr="0050684C" w:rsidRDefault="0050684C" w:rsidP="0050684C">
            <w:pPr>
              <w:adjustRightInd w:val="0"/>
              <w:spacing w:after="0" w:line="240" w:lineRule="auto"/>
              <w:ind w:left="60" w:right="60"/>
              <w:jc w:val="right"/>
              <w:rPr>
                <w:rFonts w:ascii="Times New Roman" w:hAnsi="Times New Roman" w:cs="Times New Roman"/>
                <w:i w:val="0"/>
                <w:color w:val="010205"/>
                <w:sz w:val="18"/>
                <w:szCs w:val="18"/>
              </w:rPr>
            </w:pPr>
            <w:r w:rsidRPr="0050684C">
              <w:rPr>
                <w:rFonts w:ascii="Times New Roman" w:hAnsi="Times New Roman" w:cs="Times New Roman"/>
                <w:i w:val="0"/>
                <w:color w:val="010205"/>
                <w:sz w:val="18"/>
                <w:szCs w:val="18"/>
              </w:rPr>
              <w:t>2422.623</w:t>
            </w:r>
          </w:p>
        </w:tc>
      </w:tr>
      <w:tr w:rsidR="0050684C" w:rsidRPr="0050684C" w14:paraId="72C7B64B" w14:textId="77777777" w:rsidTr="00283179">
        <w:trPr>
          <w:cantSplit/>
          <w:jc w:val="center"/>
        </w:trPr>
        <w:tc>
          <w:tcPr>
            <w:tcW w:w="1980" w:type="dxa"/>
            <w:tcBorders>
              <w:top w:val="single" w:sz="8" w:space="0" w:color="AEAEAE"/>
              <w:left w:val="nil"/>
              <w:bottom w:val="single" w:sz="8" w:space="0" w:color="152935"/>
              <w:right w:val="nil"/>
            </w:tcBorders>
            <w:shd w:val="clear" w:color="auto" w:fill="E0E0E0"/>
          </w:tcPr>
          <w:p w14:paraId="5833AB8B" w14:textId="77777777" w:rsidR="0050684C" w:rsidRPr="0050684C" w:rsidRDefault="0050684C" w:rsidP="0050684C">
            <w:pPr>
              <w:adjustRightInd w:val="0"/>
              <w:spacing w:after="0" w:line="240" w:lineRule="auto"/>
              <w:ind w:left="60" w:right="60"/>
              <w:rPr>
                <w:rFonts w:ascii="Times New Roman" w:hAnsi="Times New Roman" w:cs="Times New Roman"/>
                <w:i w:val="0"/>
                <w:color w:val="264A60"/>
                <w:sz w:val="18"/>
                <w:szCs w:val="18"/>
              </w:rPr>
            </w:pPr>
            <w:r w:rsidRPr="0050684C">
              <w:rPr>
                <w:rFonts w:ascii="Times New Roman" w:hAnsi="Times New Roman" w:cs="Times New Roman"/>
                <w:i w:val="0"/>
                <w:color w:val="264A60"/>
                <w:sz w:val="18"/>
                <w:szCs w:val="18"/>
              </w:rPr>
              <w:t>Valid N (listwise)</w:t>
            </w:r>
          </w:p>
        </w:tc>
        <w:tc>
          <w:tcPr>
            <w:tcW w:w="742" w:type="dxa"/>
            <w:tcBorders>
              <w:top w:val="single" w:sz="8" w:space="0" w:color="AEAEAE"/>
              <w:left w:val="nil"/>
              <w:bottom w:val="single" w:sz="8" w:space="0" w:color="152935"/>
              <w:right w:val="single" w:sz="8" w:space="0" w:color="E0E0E0"/>
            </w:tcBorders>
            <w:shd w:val="clear" w:color="auto" w:fill="FFFFFF"/>
          </w:tcPr>
          <w:p w14:paraId="5148DB1F" w14:textId="77777777" w:rsidR="0050684C" w:rsidRPr="0050684C" w:rsidRDefault="0050684C" w:rsidP="0050684C">
            <w:pPr>
              <w:adjustRightInd w:val="0"/>
              <w:spacing w:after="0" w:line="240" w:lineRule="auto"/>
              <w:ind w:left="60" w:right="60"/>
              <w:jc w:val="right"/>
              <w:rPr>
                <w:rFonts w:ascii="Times New Roman" w:hAnsi="Times New Roman" w:cs="Times New Roman"/>
                <w:i w:val="0"/>
                <w:color w:val="010205"/>
                <w:sz w:val="18"/>
                <w:szCs w:val="18"/>
              </w:rPr>
            </w:pPr>
            <w:r w:rsidRPr="0050684C">
              <w:rPr>
                <w:rFonts w:ascii="Times New Roman" w:hAnsi="Times New Roman" w:cs="Times New Roman"/>
                <w:i w:val="0"/>
                <w:color w:val="010205"/>
                <w:sz w:val="18"/>
                <w:szCs w:val="18"/>
              </w:rPr>
              <w:t>28</w:t>
            </w:r>
          </w:p>
        </w:tc>
        <w:tc>
          <w:tcPr>
            <w:tcW w:w="107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30B161E" w14:textId="77777777" w:rsidR="0050684C" w:rsidRPr="0050684C" w:rsidRDefault="0050684C" w:rsidP="0050684C">
            <w:pPr>
              <w:adjustRightInd w:val="0"/>
              <w:spacing w:after="0" w:line="240" w:lineRule="auto"/>
              <w:rPr>
                <w:rFonts w:ascii="Times New Roman" w:hAnsi="Times New Roman" w:cs="Times New Roman"/>
                <w:i w:val="0"/>
                <w:sz w:val="24"/>
                <w:szCs w:val="24"/>
              </w:rPr>
            </w:pPr>
          </w:p>
        </w:tc>
        <w:tc>
          <w:tcPr>
            <w:tcW w:w="1102"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B5C5F48" w14:textId="77777777" w:rsidR="0050684C" w:rsidRPr="0050684C" w:rsidRDefault="0050684C" w:rsidP="0050684C">
            <w:pPr>
              <w:adjustRightInd w:val="0"/>
              <w:spacing w:after="0" w:line="240" w:lineRule="auto"/>
              <w:rPr>
                <w:rFonts w:ascii="Times New Roman" w:hAnsi="Times New Roman" w:cs="Times New Roman"/>
                <w:i w:val="0"/>
                <w:sz w:val="24"/>
                <w:szCs w:val="24"/>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1C013A9" w14:textId="77777777" w:rsidR="0050684C" w:rsidRPr="0050684C" w:rsidRDefault="0050684C" w:rsidP="0050684C">
            <w:pPr>
              <w:adjustRightInd w:val="0"/>
              <w:spacing w:after="0" w:line="240" w:lineRule="auto"/>
              <w:rPr>
                <w:rFonts w:ascii="Times New Roman" w:hAnsi="Times New Roman" w:cs="Times New Roman"/>
                <w:i w:val="0"/>
                <w:sz w:val="24"/>
                <w:szCs w:val="24"/>
              </w:rPr>
            </w:pPr>
          </w:p>
        </w:tc>
        <w:tc>
          <w:tcPr>
            <w:tcW w:w="1438" w:type="dxa"/>
            <w:tcBorders>
              <w:top w:val="single" w:sz="8" w:space="0" w:color="AEAEAE"/>
              <w:left w:val="single" w:sz="8" w:space="0" w:color="E0E0E0"/>
              <w:bottom w:val="single" w:sz="8" w:space="0" w:color="152935"/>
              <w:right w:val="nil"/>
            </w:tcBorders>
            <w:shd w:val="clear" w:color="auto" w:fill="FFFFFF"/>
            <w:vAlign w:val="center"/>
          </w:tcPr>
          <w:p w14:paraId="70BF37AC" w14:textId="77777777" w:rsidR="0050684C" w:rsidRPr="0050684C" w:rsidRDefault="0050684C" w:rsidP="0050684C">
            <w:pPr>
              <w:adjustRightInd w:val="0"/>
              <w:spacing w:after="0" w:line="240" w:lineRule="auto"/>
              <w:rPr>
                <w:rFonts w:ascii="Times New Roman" w:hAnsi="Times New Roman" w:cs="Times New Roman"/>
                <w:i w:val="0"/>
                <w:sz w:val="24"/>
                <w:szCs w:val="24"/>
              </w:rPr>
            </w:pPr>
          </w:p>
        </w:tc>
      </w:tr>
    </w:tbl>
    <w:p w14:paraId="4B697DDA" w14:textId="6DBC280B" w:rsidR="0050684C" w:rsidRPr="0050684C" w:rsidRDefault="0050684C" w:rsidP="008E0BC3">
      <w:pPr>
        <w:spacing w:after="0" w:line="240" w:lineRule="auto"/>
        <w:jc w:val="both"/>
        <w:rPr>
          <w:rFonts w:ascii="Times New Roman" w:hAnsi="Times New Roman" w:cs="Times New Roman"/>
          <w:i w:val="0"/>
          <w:sz w:val="24"/>
        </w:rPr>
      </w:pPr>
      <w:r w:rsidRPr="0050684C">
        <w:rPr>
          <w:rFonts w:ascii="Times New Roman" w:hAnsi="Times New Roman" w:cs="Times New Roman"/>
          <w:i w:val="0"/>
          <w:sz w:val="24"/>
        </w:rPr>
        <w:t>Source: Processed data SPSS 25 (2021)</w:t>
      </w:r>
    </w:p>
    <w:p w14:paraId="2B9DE759" w14:textId="77777777" w:rsidR="0050684C" w:rsidRPr="0050684C" w:rsidRDefault="0050684C" w:rsidP="0050684C">
      <w:pPr>
        <w:spacing w:line="240" w:lineRule="auto"/>
        <w:jc w:val="both"/>
        <w:rPr>
          <w:rFonts w:ascii="Times New Roman" w:hAnsi="Times New Roman" w:cs="Times New Roman"/>
          <w:i w:val="0"/>
          <w:sz w:val="24"/>
        </w:rPr>
      </w:pPr>
      <w:r w:rsidRPr="0050684C">
        <w:rPr>
          <w:rFonts w:ascii="Times New Roman" w:hAnsi="Times New Roman" w:cs="Times New Roman"/>
          <w:i w:val="0"/>
          <w:sz w:val="24"/>
        </w:rPr>
        <w:t xml:space="preserve">Based on the results of descriptive statistics using SPSS 25 in this table, it is known that the average closing price for companies affected by the COVID-19 pandemic is Rp. 2,689.96. While the Standard Deviation is 2422.62. The highest share price is owned by Semen Indonesia </w:t>
      </w:r>
      <w:proofErr w:type="spellStart"/>
      <w:r w:rsidRPr="0050684C">
        <w:rPr>
          <w:rFonts w:ascii="Times New Roman" w:hAnsi="Times New Roman" w:cs="Times New Roman"/>
          <w:i w:val="0"/>
          <w:sz w:val="24"/>
        </w:rPr>
        <w:t>Tbk</w:t>
      </w:r>
      <w:proofErr w:type="spellEnd"/>
      <w:r w:rsidRPr="0050684C">
        <w:rPr>
          <w:rFonts w:ascii="Times New Roman" w:hAnsi="Times New Roman" w:cs="Times New Roman"/>
          <w:i w:val="0"/>
          <w:sz w:val="24"/>
        </w:rPr>
        <w:t xml:space="preserve"> (SMGR) of Rp. 8,200 and the lowest share price is owned by PP </w:t>
      </w:r>
      <w:proofErr w:type="spellStart"/>
      <w:r w:rsidRPr="0050684C">
        <w:rPr>
          <w:rFonts w:ascii="Times New Roman" w:hAnsi="Times New Roman" w:cs="Times New Roman"/>
          <w:i w:val="0"/>
          <w:sz w:val="24"/>
        </w:rPr>
        <w:t>Properti</w:t>
      </w:r>
      <w:proofErr w:type="spellEnd"/>
      <w:r w:rsidRPr="0050684C">
        <w:rPr>
          <w:rFonts w:ascii="Times New Roman" w:hAnsi="Times New Roman" w:cs="Times New Roman"/>
          <w:i w:val="0"/>
          <w:sz w:val="24"/>
        </w:rPr>
        <w:t xml:space="preserve"> of Rp. 72.</w:t>
      </w:r>
    </w:p>
    <w:p w14:paraId="703B7604" w14:textId="77777777" w:rsidR="0050684C" w:rsidRPr="0050684C" w:rsidRDefault="0050684C" w:rsidP="0050684C">
      <w:pPr>
        <w:spacing w:after="0" w:line="240" w:lineRule="auto"/>
        <w:jc w:val="both"/>
        <w:rPr>
          <w:rFonts w:ascii="Times New Roman" w:hAnsi="Times New Roman" w:cs="Times New Roman"/>
          <w:b/>
          <w:i w:val="0"/>
          <w:sz w:val="24"/>
        </w:rPr>
      </w:pPr>
      <w:r w:rsidRPr="0050684C">
        <w:rPr>
          <w:rFonts w:ascii="Times New Roman" w:hAnsi="Times New Roman" w:cs="Times New Roman"/>
          <w:b/>
          <w:i w:val="0"/>
          <w:sz w:val="24"/>
        </w:rPr>
        <w:t>Hypothesis Test Results</w:t>
      </w:r>
    </w:p>
    <w:p w14:paraId="342B59FC" w14:textId="77777777" w:rsidR="0050684C" w:rsidRPr="000711D0" w:rsidRDefault="0050684C" w:rsidP="0050684C">
      <w:pPr>
        <w:spacing w:after="0" w:line="240" w:lineRule="auto"/>
        <w:jc w:val="both"/>
        <w:rPr>
          <w:rFonts w:ascii="Times New Roman" w:hAnsi="Times New Roman" w:cs="Times New Roman"/>
          <w:b/>
          <w:i w:val="0"/>
          <w:sz w:val="24"/>
        </w:rPr>
      </w:pPr>
      <w:r w:rsidRPr="000711D0">
        <w:rPr>
          <w:rFonts w:ascii="Times New Roman" w:hAnsi="Times New Roman" w:cs="Times New Roman"/>
          <w:b/>
          <w:i w:val="0"/>
          <w:sz w:val="24"/>
        </w:rPr>
        <w:t>a. Paired Samples T-test</w:t>
      </w:r>
    </w:p>
    <w:p w14:paraId="7E27ECFD" w14:textId="77777777" w:rsidR="0050684C" w:rsidRPr="0050684C" w:rsidRDefault="0050684C" w:rsidP="0050684C">
      <w:pPr>
        <w:spacing w:after="0" w:line="240" w:lineRule="auto"/>
        <w:jc w:val="both"/>
        <w:rPr>
          <w:rFonts w:ascii="Times New Roman" w:hAnsi="Times New Roman" w:cs="Times New Roman"/>
          <w:i w:val="0"/>
          <w:sz w:val="24"/>
        </w:rPr>
      </w:pPr>
      <w:r w:rsidRPr="0050684C">
        <w:rPr>
          <w:rFonts w:ascii="Times New Roman" w:hAnsi="Times New Roman" w:cs="Times New Roman"/>
          <w:i w:val="0"/>
          <w:sz w:val="24"/>
        </w:rPr>
        <w:t>Paired samples t-Test in this study is to compare the value of the stock market price with the intrinsic value which is assessed by the Price to Book Value (PBV) and Dividend Discounted Model (DDM) methods.</w:t>
      </w:r>
    </w:p>
    <w:p w14:paraId="63C109DC" w14:textId="047C37C6" w:rsidR="0050684C" w:rsidRDefault="0050684C" w:rsidP="000711D0">
      <w:pPr>
        <w:spacing w:after="0" w:line="240" w:lineRule="auto"/>
        <w:jc w:val="both"/>
        <w:rPr>
          <w:rFonts w:ascii="Times New Roman" w:hAnsi="Times New Roman" w:cs="Times New Roman"/>
          <w:i w:val="0"/>
          <w:sz w:val="24"/>
        </w:rPr>
      </w:pPr>
      <w:r w:rsidRPr="0050684C">
        <w:rPr>
          <w:rFonts w:ascii="Times New Roman" w:hAnsi="Times New Roman" w:cs="Times New Roman"/>
          <w:i w:val="0"/>
          <w:sz w:val="24"/>
        </w:rPr>
        <w:t>The following are the results of the paired samples t-test to compare the value of the stock price with the intrinsic value obtained from the calculation of PBV and DDM in companies affected by Covid-19.</w:t>
      </w:r>
    </w:p>
    <w:p w14:paraId="416FF001" w14:textId="22F3E3D2" w:rsidR="006A02C8" w:rsidRPr="003A0DA7" w:rsidRDefault="006A02C8" w:rsidP="003A0DA7">
      <w:pPr>
        <w:spacing w:after="0" w:line="240" w:lineRule="auto"/>
        <w:jc w:val="center"/>
        <w:rPr>
          <w:rFonts w:ascii="Times New Roman" w:hAnsi="Times New Roman" w:cs="Times New Roman"/>
          <w:b/>
          <w:i w:val="0"/>
          <w:sz w:val="24"/>
          <w:szCs w:val="24"/>
        </w:rPr>
      </w:pPr>
      <w:r>
        <w:rPr>
          <w:rFonts w:ascii="Times New Roman" w:hAnsi="Times New Roman" w:cs="Times New Roman"/>
          <w:b/>
          <w:i w:val="0"/>
          <w:sz w:val="24"/>
          <w:szCs w:val="24"/>
        </w:rPr>
        <w:t xml:space="preserve">Table </w:t>
      </w:r>
      <w:r>
        <w:rPr>
          <w:rFonts w:ascii="Times New Roman" w:hAnsi="Times New Roman" w:cs="Times New Roman"/>
          <w:b/>
          <w:i w:val="0"/>
          <w:sz w:val="24"/>
          <w:szCs w:val="24"/>
        </w:rPr>
        <w:t>3</w:t>
      </w:r>
      <w:r>
        <w:rPr>
          <w:rFonts w:ascii="Times New Roman" w:hAnsi="Times New Roman" w:cs="Times New Roman"/>
          <w:b/>
          <w:i w:val="0"/>
          <w:sz w:val="24"/>
          <w:szCs w:val="24"/>
        </w:rPr>
        <w:t xml:space="preserve">. </w:t>
      </w:r>
      <w:r w:rsidRPr="006A02C8">
        <w:rPr>
          <w:rFonts w:ascii="Times New Roman" w:hAnsi="Times New Roman" w:cs="Times New Roman"/>
          <w:b/>
          <w:i w:val="0"/>
          <w:sz w:val="24"/>
          <w:szCs w:val="24"/>
        </w:rPr>
        <w:t>Paired Samples Test</w:t>
      </w:r>
    </w:p>
    <w:tbl>
      <w:tblPr>
        <w:tblW w:w="92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7"/>
        <w:gridCol w:w="1313"/>
        <w:gridCol w:w="960"/>
        <w:gridCol w:w="900"/>
        <w:gridCol w:w="963"/>
        <w:gridCol w:w="977"/>
        <w:gridCol w:w="1030"/>
        <w:gridCol w:w="720"/>
        <w:gridCol w:w="360"/>
        <w:gridCol w:w="1260"/>
      </w:tblGrid>
      <w:tr w:rsidR="0050684C" w:rsidRPr="0050684C" w14:paraId="70023744" w14:textId="77777777" w:rsidTr="00C505DE">
        <w:trPr>
          <w:cantSplit/>
          <w:trHeight w:val="127"/>
          <w:jc w:val="center"/>
        </w:trPr>
        <w:tc>
          <w:tcPr>
            <w:tcW w:w="9270" w:type="dxa"/>
            <w:gridSpan w:val="10"/>
            <w:tcBorders>
              <w:top w:val="nil"/>
              <w:left w:val="nil"/>
              <w:bottom w:val="nil"/>
              <w:right w:val="nil"/>
            </w:tcBorders>
            <w:shd w:val="clear" w:color="auto" w:fill="FFFFFF"/>
            <w:vAlign w:val="center"/>
          </w:tcPr>
          <w:p w14:paraId="78E122D5" w14:textId="721B78BD" w:rsidR="0050684C" w:rsidRPr="00C505DE" w:rsidRDefault="0050684C" w:rsidP="000711D0">
            <w:pPr>
              <w:adjustRightInd w:val="0"/>
              <w:spacing w:after="0" w:line="240" w:lineRule="auto"/>
              <w:ind w:left="60" w:right="60"/>
              <w:jc w:val="center"/>
              <w:rPr>
                <w:rFonts w:ascii="Arial" w:hAnsi="Arial" w:cs="Arial"/>
                <w:i w:val="0"/>
                <w:color w:val="010205"/>
                <w:sz w:val="18"/>
                <w:szCs w:val="18"/>
              </w:rPr>
            </w:pPr>
          </w:p>
        </w:tc>
      </w:tr>
      <w:tr w:rsidR="0050684C" w:rsidRPr="0050684C" w14:paraId="0ADC99DB" w14:textId="77777777" w:rsidTr="00C505DE">
        <w:trPr>
          <w:cantSplit/>
          <w:trHeight w:val="81"/>
          <w:jc w:val="center"/>
        </w:trPr>
        <w:tc>
          <w:tcPr>
            <w:tcW w:w="2100" w:type="dxa"/>
            <w:gridSpan w:val="2"/>
            <w:vMerge w:val="restart"/>
            <w:tcBorders>
              <w:top w:val="nil"/>
              <w:left w:val="nil"/>
              <w:bottom w:val="nil"/>
              <w:right w:val="nil"/>
            </w:tcBorders>
            <w:shd w:val="clear" w:color="auto" w:fill="FFFFFF"/>
            <w:vAlign w:val="bottom"/>
          </w:tcPr>
          <w:p w14:paraId="200F2F81" w14:textId="77777777" w:rsidR="0050684C" w:rsidRPr="0050684C" w:rsidRDefault="0050684C" w:rsidP="000711D0">
            <w:pPr>
              <w:adjustRightInd w:val="0"/>
              <w:spacing w:line="240" w:lineRule="auto"/>
              <w:rPr>
                <w:i w:val="0"/>
                <w:sz w:val="24"/>
                <w:szCs w:val="24"/>
              </w:rPr>
            </w:pPr>
          </w:p>
        </w:tc>
        <w:tc>
          <w:tcPr>
            <w:tcW w:w="4830" w:type="dxa"/>
            <w:gridSpan w:val="5"/>
            <w:tcBorders>
              <w:top w:val="nil"/>
              <w:left w:val="nil"/>
              <w:bottom w:val="nil"/>
              <w:right w:val="single" w:sz="8" w:space="0" w:color="E0E0E0"/>
            </w:tcBorders>
            <w:shd w:val="clear" w:color="auto" w:fill="FFFFFF"/>
            <w:vAlign w:val="bottom"/>
          </w:tcPr>
          <w:p w14:paraId="019E2ED3" w14:textId="77777777" w:rsidR="0050684C" w:rsidRPr="00C505DE" w:rsidRDefault="0050684C" w:rsidP="000711D0">
            <w:pPr>
              <w:adjustRightInd w:val="0"/>
              <w:spacing w:line="240" w:lineRule="auto"/>
              <w:ind w:left="60" w:right="60"/>
              <w:jc w:val="center"/>
              <w:rPr>
                <w:rFonts w:ascii="Arial" w:hAnsi="Arial" w:cs="Arial"/>
                <w:i w:val="0"/>
                <w:color w:val="264A60"/>
                <w:sz w:val="18"/>
                <w:szCs w:val="18"/>
              </w:rPr>
            </w:pPr>
            <w:r w:rsidRPr="00C505DE">
              <w:rPr>
                <w:rFonts w:ascii="Arial" w:hAnsi="Arial" w:cs="Arial"/>
                <w:i w:val="0"/>
                <w:color w:val="264A60"/>
                <w:sz w:val="18"/>
                <w:szCs w:val="18"/>
              </w:rPr>
              <w:t>Paired Differences</w:t>
            </w:r>
          </w:p>
        </w:tc>
        <w:tc>
          <w:tcPr>
            <w:tcW w:w="720" w:type="dxa"/>
            <w:vMerge w:val="restart"/>
            <w:tcBorders>
              <w:top w:val="nil"/>
              <w:left w:val="single" w:sz="8" w:space="0" w:color="E0E0E0"/>
              <w:bottom w:val="nil"/>
              <w:right w:val="single" w:sz="8" w:space="0" w:color="E0E0E0"/>
            </w:tcBorders>
            <w:shd w:val="clear" w:color="auto" w:fill="FFFFFF"/>
            <w:vAlign w:val="bottom"/>
          </w:tcPr>
          <w:p w14:paraId="2C7708A7" w14:textId="77777777" w:rsidR="0050684C" w:rsidRPr="00C505DE" w:rsidRDefault="0050684C" w:rsidP="000711D0">
            <w:pPr>
              <w:adjustRightInd w:val="0"/>
              <w:spacing w:line="240" w:lineRule="auto"/>
              <w:ind w:left="60" w:right="60"/>
              <w:jc w:val="center"/>
              <w:rPr>
                <w:rFonts w:ascii="Arial" w:hAnsi="Arial" w:cs="Arial"/>
                <w:i w:val="0"/>
                <w:color w:val="264A60"/>
                <w:sz w:val="18"/>
                <w:szCs w:val="18"/>
              </w:rPr>
            </w:pPr>
            <w:r w:rsidRPr="00C505DE">
              <w:rPr>
                <w:rFonts w:ascii="Arial" w:hAnsi="Arial" w:cs="Arial"/>
                <w:i w:val="0"/>
                <w:color w:val="264A60"/>
                <w:sz w:val="18"/>
                <w:szCs w:val="18"/>
              </w:rPr>
              <w:t>t</w:t>
            </w:r>
          </w:p>
        </w:tc>
        <w:tc>
          <w:tcPr>
            <w:tcW w:w="360" w:type="dxa"/>
            <w:vMerge w:val="restart"/>
            <w:tcBorders>
              <w:top w:val="nil"/>
              <w:left w:val="single" w:sz="8" w:space="0" w:color="E0E0E0"/>
              <w:bottom w:val="nil"/>
              <w:right w:val="single" w:sz="8" w:space="0" w:color="E0E0E0"/>
            </w:tcBorders>
            <w:shd w:val="clear" w:color="auto" w:fill="FFFFFF"/>
            <w:vAlign w:val="bottom"/>
          </w:tcPr>
          <w:p w14:paraId="6D93CAC1" w14:textId="77777777" w:rsidR="0050684C" w:rsidRPr="00C505DE" w:rsidRDefault="0050684C" w:rsidP="000711D0">
            <w:pPr>
              <w:adjustRightInd w:val="0"/>
              <w:spacing w:line="240" w:lineRule="auto"/>
              <w:ind w:left="60" w:right="60"/>
              <w:jc w:val="center"/>
              <w:rPr>
                <w:rFonts w:ascii="Arial" w:hAnsi="Arial" w:cs="Arial"/>
                <w:i w:val="0"/>
                <w:color w:val="264A60"/>
                <w:sz w:val="18"/>
                <w:szCs w:val="18"/>
              </w:rPr>
            </w:pPr>
            <w:r w:rsidRPr="00C505DE">
              <w:rPr>
                <w:rFonts w:ascii="Arial" w:hAnsi="Arial" w:cs="Arial"/>
                <w:i w:val="0"/>
                <w:color w:val="264A60"/>
                <w:sz w:val="18"/>
                <w:szCs w:val="18"/>
              </w:rPr>
              <w:t>df</w:t>
            </w:r>
          </w:p>
        </w:tc>
        <w:tc>
          <w:tcPr>
            <w:tcW w:w="1260" w:type="dxa"/>
            <w:vMerge w:val="restart"/>
            <w:tcBorders>
              <w:top w:val="nil"/>
              <w:left w:val="single" w:sz="8" w:space="0" w:color="E0E0E0"/>
              <w:bottom w:val="nil"/>
              <w:right w:val="nil"/>
            </w:tcBorders>
            <w:shd w:val="clear" w:color="auto" w:fill="FFFFFF"/>
            <w:vAlign w:val="bottom"/>
          </w:tcPr>
          <w:p w14:paraId="59D63C85" w14:textId="77777777" w:rsidR="0050684C" w:rsidRPr="00C505DE" w:rsidRDefault="0050684C" w:rsidP="000711D0">
            <w:pPr>
              <w:adjustRightInd w:val="0"/>
              <w:spacing w:line="240" w:lineRule="auto"/>
              <w:ind w:left="60" w:right="60"/>
              <w:jc w:val="center"/>
              <w:rPr>
                <w:rFonts w:ascii="Arial" w:hAnsi="Arial" w:cs="Arial"/>
                <w:i w:val="0"/>
                <w:color w:val="264A60"/>
                <w:sz w:val="18"/>
                <w:szCs w:val="18"/>
              </w:rPr>
            </w:pPr>
            <w:r w:rsidRPr="00C505DE">
              <w:rPr>
                <w:rFonts w:ascii="Arial" w:hAnsi="Arial" w:cs="Arial"/>
                <w:i w:val="0"/>
                <w:color w:val="264A60"/>
                <w:sz w:val="18"/>
                <w:szCs w:val="18"/>
              </w:rPr>
              <w:t>Sig. (2-tailed)</w:t>
            </w:r>
          </w:p>
        </w:tc>
      </w:tr>
      <w:tr w:rsidR="00C505DE" w:rsidRPr="0050684C" w14:paraId="7CC32056" w14:textId="77777777" w:rsidTr="00C505DE">
        <w:trPr>
          <w:cantSplit/>
          <w:trHeight w:val="414"/>
          <w:jc w:val="center"/>
        </w:trPr>
        <w:tc>
          <w:tcPr>
            <w:tcW w:w="2100" w:type="dxa"/>
            <w:gridSpan w:val="2"/>
            <w:vMerge/>
            <w:tcBorders>
              <w:top w:val="nil"/>
              <w:left w:val="nil"/>
              <w:bottom w:val="nil"/>
              <w:right w:val="nil"/>
            </w:tcBorders>
            <w:shd w:val="clear" w:color="auto" w:fill="FFFFFF"/>
            <w:vAlign w:val="bottom"/>
          </w:tcPr>
          <w:p w14:paraId="4C070A60" w14:textId="77777777" w:rsidR="0050684C" w:rsidRPr="0050684C" w:rsidRDefault="0050684C" w:rsidP="000711D0">
            <w:pPr>
              <w:adjustRightInd w:val="0"/>
              <w:spacing w:line="240" w:lineRule="auto"/>
              <w:rPr>
                <w:rFonts w:ascii="Arial" w:hAnsi="Arial" w:cs="Arial"/>
                <w:i w:val="0"/>
                <w:color w:val="264A60"/>
                <w:sz w:val="18"/>
                <w:szCs w:val="18"/>
              </w:rPr>
            </w:pPr>
          </w:p>
        </w:tc>
        <w:tc>
          <w:tcPr>
            <w:tcW w:w="960" w:type="dxa"/>
            <w:vMerge w:val="restart"/>
            <w:tcBorders>
              <w:top w:val="nil"/>
              <w:left w:val="nil"/>
              <w:bottom w:val="nil"/>
              <w:right w:val="single" w:sz="8" w:space="0" w:color="E0E0E0"/>
            </w:tcBorders>
            <w:shd w:val="clear" w:color="auto" w:fill="FFFFFF"/>
            <w:vAlign w:val="bottom"/>
          </w:tcPr>
          <w:p w14:paraId="4525D7F8" w14:textId="77777777" w:rsidR="0050684C" w:rsidRPr="00C505DE" w:rsidRDefault="0050684C" w:rsidP="000711D0">
            <w:pPr>
              <w:adjustRightInd w:val="0"/>
              <w:spacing w:line="240" w:lineRule="auto"/>
              <w:ind w:left="60" w:right="60"/>
              <w:jc w:val="center"/>
              <w:rPr>
                <w:rFonts w:ascii="Arial" w:hAnsi="Arial" w:cs="Arial"/>
                <w:i w:val="0"/>
                <w:color w:val="264A60"/>
                <w:sz w:val="18"/>
                <w:szCs w:val="18"/>
              </w:rPr>
            </w:pPr>
            <w:r w:rsidRPr="00C505DE">
              <w:rPr>
                <w:rFonts w:ascii="Arial" w:hAnsi="Arial" w:cs="Arial"/>
                <w:i w:val="0"/>
                <w:color w:val="264A60"/>
                <w:sz w:val="18"/>
                <w:szCs w:val="18"/>
              </w:rPr>
              <w:t>Mean</w:t>
            </w:r>
          </w:p>
        </w:tc>
        <w:tc>
          <w:tcPr>
            <w:tcW w:w="900" w:type="dxa"/>
            <w:vMerge w:val="restart"/>
            <w:tcBorders>
              <w:top w:val="nil"/>
              <w:left w:val="single" w:sz="8" w:space="0" w:color="E0E0E0"/>
              <w:bottom w:val="nil"/>
              <w:right w:val="single" w:sz="8" w:space="0" w:color="E0E0E0"/>
            </w:tcBorders>
            <w:shd w:val="clear" w:color="auto" w:fill="FFFFFF"/>
            <w:vAlign w:val="bottom"/>
          </w:tcPr>
          <w:p w14:paraId="57DB2FCA" w14:textId="77777777" w:rsidR="0050684C" w:rsidRPr="00C505DE" w:rsidRDefault="0050684C" w:rsidP="000711D0">
            <w:pPr>
              <w:adjustRightInd w:val="0"/>
              <w:spacing w:line="240" w:lineRule="auto"/>
              <w:ind w:left="60" w:right="60"/>
              <w:jc w:val="center"/>
              <w:rPr>
                <w:rFonts w:ascii="Arial" w:hAnsi="Arial" w:cs="Arial"/>
                <w:i w:val="0"/>
                <w:color w:val="264A60"/>
                <w:sz w:val="18"/>
                <w:szCs w:val="18"/>
              </w:rPr>
            </w:pPr>
            <w:r w:rsidRPr="00C505DE">
              <w:rPr>
                <w:rFonts w:ascii="Arial" w:hAnsi="Arial" w:cs="Arial"/>
                <w:i w:val="0"/>
                <w:color w:val="264A60"/>
                <w:sz w:val="18"/>
                <w:szCs w:val="18"/>
              </w:rPr>
              <w:t>Std. Deviation</w:t>
            </w:r>
          </w:p>
        </w:tc>
        <w:tc>
          <w:tcPr>
            <w:tcW w:w="963" w:type="dxa"/>
            <w:vMerge w:val="restart"/>
            <w:tcBorders>
              <w:top w:val="nil"/>
              <w:left w:val="single" w:sz="8" w:space="0" w:color="E0E0E0"/>
              <w:bottom w:val="nil"/>
              <w:right w:val="single" w:sz="8" w:space="0" w:color="E0E0E0"/>
            </w:tcBorders>
            <w:shd w:val="clear" w:color="auto" w:fill="FFFFFF"/>
            <w:vAlign w:val="bottom"/>
          </w:tcPr>
          <w:p w14:paraId="0EC54B67" w14:textId="77777777" w:rsidR="0050684C" w:rsidRPr="00C505DE" w:rsidRDefault="0050684C" w:rsidP="000711D0">
            <w:pPr>
              <w:adjustRightInd w:val="0"/>
              <w:spacing w:line="240" w:lineRule="auto"/>
              <w:ind w:left="60" w:right="60"/>
              <w:jc w:val="center"/>
              <w:rPr>
                <w:rFonts w:ascii="Arial" w:hAnsi="Arial" w:cs="Arial"/>
                <w:i w:val="0"/>
                <w:color w:val="264A60"/>
                <w:sz w:val="18"/>
                <w:szCs w:val="18"/>
              </w:rPr>
            </w:pPr>
            <w:r w:rsidRPr="00C505DE">
              <w:rPr>
                <w:rFonts w:ascii="Arial" w:hAnsi="Arial" w:cs="Arial"/>
                <w:i w:val="0"/>
                <w:color w:val="264A60"/>
                <w:sz w:val="18"/>
                <w:szCs w:val="18"/>
              </w:rPr>
              <w:t>Std. Error Mean</w:t>
            </w:r>
          </w:p>
        </w:tc>
        <w:tc>
          <w:tcPr>
            <w:tcW w:w="2007" w:type="dxa"/>
            <w:gridSpan w:val="2"/>
            <w:tcBorders>
              <w:top w:val="nil"/>
              <w:left w:val="single" w:sz="8" w:space="0" w:color="E0E0E0"/>
              <w:bottom w:val="nil"/>
              <w:right w:val="single" w:sz="8" w:space="0" w:color="E0E0E0"/>
            </w:tcBorders>
            <w:shd w:val="clear" w:color="auto" w:fill="FFFFFF"/>
            <w:vAlign w:val="bottom"/>
          </w:tcPr>
          <w:p w14:paraId="41EA5AED" w14:textId="77777777" w:rsidR="0050684C" w:rsidRPr="00C505DE" w:rsidRDefault="0050684C" w:rsidP="000711D0">
            <w:pPr>
              <w:adjustRightInd w:val="0"/>
              <w:spacing w:line="240" w:lineRule="auto"/>
              <w:ind w:left="60" w:right="60"/>
              <w:jc w:val="center"/>
              <w:rPr>
                <w:rFonts w:ascii="Arial" w:hAnsi="Arial" w:cs="Arial"/>
                <w:i w:val="0"/>
                <w:color w:val="264A60"/>
                <w:sz w:val="18"/>
                <w:szCs w:val="18"/>
              </w:rPr>
            </w:pPr>
            <w:r w:rsidRPr="00C505DE">
              <w:rPr>
                <w:rFonts w:ascii="Arial" w:hAnsi="Arial" w:cs="Arial"/>
                <w:i w:val="0"/>
                <w:color w:val="264A60"/>
                <w:sz w:val="18"/>
                <w:szCs w:val="18"/>
              </w:rPr>
              <w:t>95% Confidence Interval of the Difference</w:t>
            </w:r>
          </w:p>
        </w:tc>
        <w:tc>
          <w:tcPr>
            <w:tcW w:w="720" w:type="dxa"/>
            <w:vMerge/>
            <w:tcBorders>
              <w:top w:val="nil"/>
              <w:left w:val="single" w:sz="8" w:space="0" w:color="E0E0E0"/>
              <w:bottom w:val="nil"/>
              <w:right w:val="single" w:sz="8" w:space="0" w:color="E0E0E0"/>
            </w:tcBorders>
            <w:shd w:val="clear" w:color="auto" w:fill="FFFFFF"/>
            <w:vAlign w:val="bottom"/>
          </w:tcPr>
          <w:p w14:paraId="56AF0BE4" w14:textId="77777777" w:rsidR="0050684C" w:rsidRPr="00C505DE" w:rsidRDefault="0050684C" w:rsidP="000711D0">
            <w:pPr>
              <w:adjustRightInd w:val="0"/>
              <w:spacing w:line="240" w:lineRule="auto"/>
              <w:rPr>
                <w:rFonts w:ascii="Arial" w:hAnsi="Arial" w:cs="Arial"/>
                <w:i w:val="0"/>
                <w:color w:val="264A60"/>
                <w:sz w:val="18"/>
                <w:szCs w:val="18"/>
              </w:rPr>
            </w:pPr>
          </w:p>
        </w:tc>
        <w:tc>
          <w:tcPr>
            <w:tcW w:w="360" w:type="dxa"/>
            <w:vMerge/>
            <w:tcBorders>
              <w:top w:val="nil"/>
              <w:left w:val="single" w:sz="8" w:space="0" w:color="E0E0E0"/>
              <w:bottom w:val="nil"/>
              <w:right w:val="single" w:sz="8" w:space="0" w:color="E0E0E0"/>
            </w:tcBorders>
            <w:shd w:val="clear" w:color="auto" w:fill="FFFFFF"/>
            <w:vAlign w:val="bottom"/>
          </w:tcPr>
          <w:p w14:paraId="146802D9" w14:textId="77777777" w:rsidR="0050684C" w:rsidRPr="00C505DE" w:rsidRDefault="0050684C" w:rsidP="000711D0">
            <w:pPr>
              <w:adjustRightInd w:val="0"/>
              <w:spacing w:line="240" w:lineRule="auto"/>
              <w:rPr>
                <w:rFonts w:ascii="Arial" w:hAnsi="Arial" w:cs="Arial"/>
                <w:i w:val="0"/>
                <w:color w:val="264A60"/>
                <w:sz w:val="18"/>
                <w:szCs w:val="18"/>
              </w:rPr>
            </w:pPr>
          </w:p>
        </w:tc>
        <w:tc>
          <w:tcPr>
            <w:tcW w:w="1260" w:type="dxa"/>
            <w:vMerge/>
            <w:tcBorders>
              <w:top w:val="nil"/>
              <w:left w:val="single" w:sz="8" w:space="0" w:color="E0E0E0"/>
              <w:bottom w:val="nil"/>
              <w:right w:val="nil"/>
            </w:tcBorders>
            <w:shd w:val="clear" w:color="auto" w:fill="FFFFFF"/>
            <w:vAlign w:val="bottom"/>
          </w:tcPr>
          <w:p w14:paraId="7541EA36" w14:textId="77777777" w:rsidR="0050684C" w:rsidRPr="00C505DE" w:rsidRDefault="0050684C" w:rsidP="000711D0">
            <w:pPr>
              <w:adjustRightInd w:val="0"/>
              <w:spacing w:line="240" w:lineRule="auto"/>
              <w:rPr>
                <w:rFonts w:ascii="Arial" w:hAnsi="Arial" w:cs="Arial"/>
                <w:i w:val="0"/>
                <w:color w:val="264A60"/>
                <w:sz w:val="18"/>
                <w:szCs w:val="18"/>
              </w:rPr>
            </w:pPr>
          </w:p>
        </w:tc>
      </w:tr>
      <w:tr w:rsidR="00C505DE" w:rsidRPr="0050684C" w14:paraId="5F62F640" w14:textId="77777777" w:rsidTr="00C505DE">
        <w:trPr>
          <w:cantSplit/>
          <w:trHeight w:val="132"/>
          <w:jc w:val="center"/>
        </w:trPr>
        <w:tc>
          <w:tcPr>
            <w:tcW w:w="2100" w:type="dxa"/>
            <w:gridSpan w:val="2"/>
            <w:vMerge/>
            <w:tcBorders>
              <w:top w:val="nil"/>
              <w:left w:val="nil"/>
              <w:bottom w:val="nil"/>
              <w:right w:val="nil"/>
            </w:tcBorders>
            <w:shd w:val="clear" w:color="auto" w:fill="FFFFFF"/>
            <w:vAlign w:val="bottom"/>
          </w:tcPr>
          <w:p w14:paraId="64BC73DC" w14:textId="77777777" w:rsidR="0050684C" w:rsidRPr="0050684C" w:rsidRDefault="0050684C" w:rsidP="000711D0">
            <w:pPr>
              <w:adjustRightInd w:val="0"/>
              <w:spacing w:line="240" w:lineRule="auto"/>
              <w:rPr>
                <w:rFonts w:ascii="Arial" w:hAnsi="Arial" w:cs="Arial"/>
                <w:i w:val="0"/>
                <w:color w:val="264A60"/>
                <w:sz w:val="18"/>
                <w:szCs w:val="18"/>
              </w:rPr>
            </w:pPr>
          </w:p>
        </w:tc>
        <w:tc>
          <w:tcPr>
            <w:tcW w:w="960" w:type="dxa"/>
            <w:vMerge/>
            <w:tcBorders>
              <w:top w:val="nil"/>
              <w:left w:val="nil"/>
              <w:bottom w:val="nil"/>
              <w:right w:val="single" w:sz="8" w:space="0" w:color="E0E0E0"/>
            </w:tcBorders>
            <w:shd w:val="clear" w:color="auto" w:fill="FFFFFF"/>
            <w:vAlign w:val="bottom"/>
          </w:tcPr>
          <w:p w14:paraId="2CB59910" w14:textId="77777777" w:rsidR="0050684C" w:rsidRPr="00C505DE" w:rsidRDefault="0050684C" w:rsidP="000711D0">
            <w:pPr>
              <w:adjustRightInd w:val="0"/>
              <w:spacing w:line="240" w:lineRule="auto"/>
              <w:rPr>
                <w:rFonts w:ascii="Arial" w:hAnsi="Arial" w:cs="Arial"/>
                <w:i w:val="0"/>
                <w:color w:val="264A60"/>
                <w:sz w:val="18"/>
                <w:szCs w:val="18"/>
              </w:rPr>
            </w:pPr>
          </w:p>
        </w:tc>
        <w:tc>
          <w:tcPr>
            <w:tcW w:w="900" w:type="dxa"/>
            <w:vMerge/>
            <w:tcBorders>
              <w:top w:val="nil"/>
              <w:left w:val="single" w:sz="8" w:space="0" w:color="E0E0E0"/>
              <w:bottom w:val="nil"/>
              <w:right w:val="single" w:sz="8" w:space="0" w:color="E0E0E0"/>
            </w:tcBorders>
            <w:shd w:val="clear" w:color="auto" w:fill="FFFFFF"/>
            <w:vAlign w:val="bottom"/>
          </w:tcPr>
          <w:p w14:paraId="4DBDC1FE" w14:textId="77777777" w:rsidR="0050684C" w:rsidRPr="00C505DE" w:rsidRDefault="0050684C" w:rsidP="000711D0">
            <w:pPr>
              <w:adjustRightInd w:val="0"/>
              <w:spacing w:line="240" w:lineRule="auto"/>
              <w:rPr>
                <w:rFonts w:ascii="Arial" w:hAnsi="Arial" w:cs="Arial"/>
                <w:i w:val="0"/>
                <w:color w:val="264A60"/>
                <w:sz w:val="18"/>
                <w:szCs w:val="18"/>
              </w:rPr>
            </w:pPr>
          </w:p>
        </w:tc>
        <w:tc>
          <w:tcPr>
            <w:tcW w:w="963" w:type="dxa"/>
            <w:vMerge/>
            <w:tcBorders>
              <w:top w:val="nil"/>
              <w:left w:val="single" w:sz="8" w:space="0" w:color="E0E0E0"/>
              <w:bottom w:val="nil"/>
              <w:right w:val="single" w:sz="8" w:space="0" w:color="E0E0E0"/>
            </w:tcBorders>
            <w:shd w:val="clear" w:color="auto" w:fill="FFFFFF"/>
            <w:vAlign w:val="bottom"/>
          </w:tcPr>
          <w:p w14:paraId="03C81C8C" w14:textId="77777777" w:rsidR="0050684C" w:rsidRPr="00C505DE" w:rsidRDefault="0050684C" w:rsidP="000711D0">
            <w:pPr>
              <w:adjustRightInd w:val="0"/>
              <w:spacing w:line="240" w:lineRule="auto"/>
              <w:rPr>
                <w:rFonts w:ascii="Arial" w:hAnsi="Arial" w:cs="Arial"/>
                <w:i w:val="0"/>
                <w:color w:val="264A60"/>
                <w:sz w:val="18"/>
                <w:szCs w:val="18"/>
              </w:rPr>
            </w:pPr>
          </w:p>
        </w:tc>
        <w:tc>
          <w:tcPr>
            <w:tcW w:w="977" w:type="dxa"/>
            <w:tcBorders>
              <w:top w:val="nil"/>
              <w:left w:val="single" w:sz="8" w:space="0" w:color="E0E0E0"/>
              <w:bottom w:val="single" w:sz="8" w:space="0" w:color="152935"/>
              <w:right w:val="single" w:sz="8" w:space="0" w:color="E0E0E0"/>
            </w:tcBorders>
            <w:shd w:val="clear" w:color="auto" w:fill="FFFFFF"/>
            <w:vAlign w:val="bottom"/>
          </w:tcPr>
          <w:p w14:paraId="2EFBD039" w14:textId="77777777" w:rsidR="0050684C" w:rsidRPr="00C505DE" w:rsidRDefault="0050684C" w:rsidP="000711D0">
            <w:pPr>
              <w:adjustRightInd w:val="0"/>
              <w:spacing w:line="240" w:lineRule="auto"/>
              <w:ind w:left="60" w:right="60"/>
              <w:jc w:val="center"/>
              <w:rPr>
                <w:rFonts w:ascii="Arial" w:hAnsi="Arial" w:cs="Arial"/>
                <w:i w:val="0"/>
                <w:color w:val="264A60"/>
                <w:sz w:val="18"/>
                <w:szCs w:val="18"/>
              </w:rPr>
            </w:pPr>
            <w:r w:rsidRPr="00C505DE">
              <w:rPr>
                <w:rFonts w:ascii="Arial" w:hAnsi="Arial" w:cs="Arial"/>
                <w:i w:val="0"/>
                <w:color w:val="264A60"/>
                <w:sz w:val="18"/>
                <w:szCs w:val="18"/>
              </w:rPr>
              <w:t>Lower</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0D6FD860" w14:textId="77777777" w:rsidR="0050684C" w:rsidRPr="00C505DE" w:rsidRDefault="0050684C" w:rsidP="000711D0">
            <w:pPr>
              <w:adjustRightInd w:val="0"/>
              <w:spacing w:line="240" w:lineRule="auto"/>
              <w:ind w:left="60" w:right="60"/>
              <w:jc w:val="center"/>
              <w:rPr>
                <w:rFonts w:ascii="Arial" w:hAnsi="Arial" w:cs="Arial"/>
                <w:i w:val="0"/>
                <w:color w:val="264A60"/>
                <w:sz w:val="18"/>
                <w:szCs w:val="18"/>
              </w:rPr>
            </w:pPr>
            <w:r w:rsidRPr="00C505DE">
              <w:rPr>
                <w:rFonts w:ascii="Arial" w:hAnsi="Arial" w:cs="Arial"/>
                <w:i w:val="0"/>
                <w:color w:val="264A60"/>
                <w:sz w:val="18"/>
                <w:szCs w:val="18"/>
              </w:rPr>
              <w:t>Upper</w:t>
            </w:r>
          </w:p>
        </w:tc>
        <w:tc>
          <w:tcPr>
            <w:tcW w:w="720" w:type="dxa"/>
            <w:vMerge/>
            <w:tcBorders>
              <w:top w:val="nil"/>
              <w:left w:val="single" w:sz="8" w:space="0" w:color="E0E0E0"/>
              <w:bottom w:val="nil"/>
              <w:right w:val="single" w:sz="8" w:space="0" w:color="E0E0E0"/>
            </w:tcBorders>
            <w:shd w:val="clear" w:color="auto" w:fill="FFFFFF"/>
            <w:vAlign w:val="bottom"/>
          </w:tcPr>
          <w:p w14:paraId="16CCA129" w14:textId="77777777" w:rsidR="0050684C" w:rsidRPr="00C505DE" w:rsidRDefault="0050684C" w:rsidP="000711D0">
            <w:pPr>
              <w:adjustRightInd w:val="0"/>
              <w:spacing w:line="240" w:lineRule="auto"/>
              <w:rPr>
                <w:rFonts w:ascii="Arial" w:hAnsi="Arial" w:cs="Arial"/>
                <w:i w:val="0"/>
                <w:color w:val="264A60"/>
                <w:sz w:val="18"/>
                <w:szCs w:val="18"/>
              </w:rPr>
            </w:pPr>
          </w:p>
        </w:tc>
        <w:tc>
          <w:tcPr>
            <w:tcW w:w="360" w:type="dxa"/>
            <w:vMerge/>
            <w:tcBorders>
              <w:top w:val="nil"/>
              <w:left w:val="single" w:sz="8" w:space="0" w:color="E0E0E0"/>
              <w:bottom w:val="nil"/>
              <w:right w:val="single" w:sz="8" w:space="0" w:color="E0E0E0"/>
            </w:tcBorders>
            <w:shd w:val="clear" w:color="auto" w:fill="FFFFFF"/>
            <w:vAlign w:val="bottom"/>
          </w:tcPr>
          <w:p w14:paraId="434F63E8" w14:textId="77777777" w:rsidR="0050684C" w:rsidRPr="00C505DE" w:rsidRDefault="0050684C" w:rsidP="000711D0">
            <w:pPr>
              <w:adjustRightInd w:val="0"/>
              <w:spacing w:line="240" w:lineRule="auto"/>
              <w:rPr>
                <w:rFonts w:ascii="Arial" w:hAnsi="Arial" w:cs="Arial"/>
                <w:i w:val="0"/>
                <w:color w:val="264A60"/>
                <w:sz w:val="18"/>
                <w:szCs w:val="18"/>
              </w:rPr>
            </w:pPr>
          </w:p>
        </w:tc>
        <w:tc>
          <w:tcPr>
            <w:tcW w:w="1260" w:type="dxa"/>
            <w:vMerge/>
            <w:tcBorders>
              <w:top w:val="nil"/>
              <w:left w:val="single" w:sz="8" w:space="0" w:color="E0E0E0"/>
              <w:bottom w:val="nil"/>
              <w:right w:val="nil"/>
            </w:tcBorders>
            <w:shd w:val="clear" w:color="auto" w:fill="FFFFFF"/>
            <w:vAlign w:val="bottom"/>
          </w:tcPr>
          <w:p w14:paraId="57B89618" w14:textId="77777777" w:rsidR="0050684C" w:rsidRPr="00C505DE" w:rsidRDefault="0050684C" w:rsidP="000711D0">
            <w:pPr>
              <w:adjustRightInd w:val="0"/>
              <w:spacing w:line="240" w:lineRule="auto"/>
              <w:rPr>
                <w:rFonts w:ascii="Arial" w:hAnsi="Arial" w:cs="Arial"/>
                <w:i w:val="0"/>
                <w:color w:val="264A60"/>
                <w:sz w:val="18"/>
                <w:szCs w:val="18"/>
              </w:rPr>
            </w:pPr>
          </w:p>
        </w:tc>
      </w:tr>
      <w:tr w:rsidR="00C505DE" w:rsidRPr="0050684C" w14:paraId="592B4EED" w14:textId="77777777" w:rsidTr="00C505DE">
        <w:trPr>
          <w:cantSplit/>
          <w:trHeight w:val="511"/>
          <w:jc w:val="center"/>
        </w:trPr>
        <w:tc>
          <w:tcPr>
            <w:tcW w:w="787" w:type="dxa"/>
            <w:tcBorders>
              <w:top w:val="single" w:sz="8" w:space="0" w:color="152935"/>
              <w:left w:val="nil"/>
              <w:bottom w:val="single" w:sz="8" w:space="0" w:color="AEAEAE"/>
              <w:right w:val="nil"/>
            </w:tcBorders>
            <w:shd w:val="clear" w:color="auto" w:fill="E0E0E0"/>
          </w:tcPr>
          <w:p w14:paraId="728DE5CA" w14:textId="77777777" w:rsidR="0050684C" w:rsidRPr="0050684C" w:rsidRDefault="0050684C" w:rsidP="000711D0">
            <w:pPr>
              <w:adjustRightInd w:val="0"/>
              <w:spacing w:line="240" w:lineRule="auto"/>
              <w:ind w:left="60" w:right="60"/>
              <w:rPr>
                <w:rFonts w:ascii="Arial" w:hAnsi="Arial" w:cs="Arial"/>
                <w:i w:val="0"/>
                <w:color w:val="264A60"/>
                <w:sz w:val="18"/>
                <w:szCs w:val="18"/>
              </w:rPr>
            </w:pPr>
            <w:r w:rsidRPr="0050684C">
              <w:rPr>
                <w:rFonts w:ascii="Arial" w:hAnsi="Arial" w:cs="Arial"/>
                <w:i w:val="0"/>
                <w:color w:val="264A60"/>
                <w:sz w:val="18"/>
                <w:szCs w:val="18"/>
              </w:rPr>
              <w:t>Pair 1</w:t>
            </w:r>
          </w:p>
        </w:tc>
        <w:tc>
          <w:tcPr>
            <w:tcW w:w="1313" w:type="dxa"/>
            <w:tcBorders>
              <w:top w:val="single" w:sz="8" w:space="0" w:color="152935"/>
              <w:left w:val="nil"/>
              <w:bottom w:val="single" w:sz="8" w:space="0" w:color="AEAEAE"/>
              <w:right w:val="nil"/>
            </w:tcBorders>
            <w:shd w:val="clear" w:color="auto" w:fill="E0E0E0"/>
          </w:tcPr>
          <w:p w14:paraId="48B56FD7" w14:textId="77777777" w:rsidR="0050684C" w:rsidRPr="0050684C" w:rsidRDefault="0050684C" w:rsidP="000711D0">
            <w:pPr>
              <w:adjustRightInd w:val="0"/>
              <w:spacing w:line="240" w:lineRule="auto"/>
              <w:ind w:left="60" w:right="60"/>
              <w:rPr>
                <w:rFonts w:ascii="Arial" w:hAnsi="Arial" w:cs="Arial"/>
                <w:i w:val="0"/>
                <w:color w:val="264A60"/>
                <w:sz w:val="18"/>
                <w:szCs w:val="18"/>
              </w:rPr>
            </w:pPr>
            <w:proofErr w:type="spellStart"/>
            <w:r w:rsidRPr="0050684C">
              <w:rPr>
                <w:rFonts w:ascii="Arial" w:hAnsi="Arial" w:cs="Arial"/>
                <w:i w:val="0"/>
                <w:color w:val="264A60"/>
                <w:sz w:val="18"/>
                <w:szCs w:val="18"/>
              </w:rPr>
              <w:t>Harga_Saham</w:t>
            </w:r>
            <w:proofErr w:type="spellEnd"/>
            <w:r w:rsidRPr="0050684C">
              <w:rPr>
                <w:rFonts w:ascii="Arial" w:hAnsi="Arial" w:cs="Arial"/>
                <w:i w:val="0"/>
                <w:color w:val="264A60"/>
                <w:sz w:val="18"/>
                <w:szCs w:val="18"/>
              </w:rPr>
              <w:t xml:space="preserve"> - NI_PBV</w:t>
            </w:r>
          </w:p>
        </w:tc>
        <w:tc>
          <w:tcPr>
            <w:tcW w:w="960" w:type="dxa"/>
            <w:tcBorders>
              <w:top w:val="single" w:sz="8" w:space="0" w:color="152935"/>
              <w:left w:val="nil"/>
              <w:bottom w:val="single" w:sz="8" w:space="0" w:color="AEAEAE"/>
              <w:right w:val="single" w:sz="8" w:space="0" w:color="E0E0E0"/>
            </w:tcBorders>
            <w:shd w:val="clear" w:color="auto" w:fill="FFFFFF"/>
          </w:tcPr>
          <w:p w14:paraId="739075E0" w14:textId="77777777" w:rsidR="0050684C" w:rsidRPr="00C505DE" w:rsidRDefault="0050684C" w:rsidP="000711D0">
            <w:pPr>
              <w:adjustRightInd w:val="0"/>
              <w:spacing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-1363.321</w:t>
            </w:r>
          </w:p>
        </w:tc>
        <w:tc>
          <w:tcPr>
            <w:tcW w:w="900" w:type="dxa"/>
            <w:tcBorders>
              <w:top w:val="single" w:sz="8" w:space="0" w:color="152935"/>
              <w:left w:val="single" w:sz="8" w:space="0" w:color="E0E0E0"/>
              <w:bottom w:val="single" w:sz="8" w:space="0" w:color="AEAEAE"/>
              <w:right w:val="single" w:sz="8" w:space="0" w:color="E0E0E0"/>
            </w:tcBorders>
            <w:shd w:val="clear" w:color="auto" w:fill="FFFFFF"/>
          </w:tcPr>
          <w:p w14:paraId="08070C5D" w14:textId="77777777" w:rsidR="0050684C" w:rsidRPr="00C505DE" w:rsidRDefault="0050684C" w:rsidP="000711D0">
            <w:pPr>
              <w:adjustRightInd w:val="0"/>
              <w:spacing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3016.854</w:t>
            </w:r>
          </w:p>
        </w:tc>
        <w:tc>
          <w:tcPr>
            <w:tcW w:w="963" w:type="dxa"/>
            <w:tcBorders>
              <w:top w:val="single" w:sz="8" w:space="0" w:color="152935"/>
              <w:left w:val="single" w:sz="8" w:space="0" w:color="E0E0E0"/>
              <w:bottom w:val="single" w:sz="8" w:space="0" w:color="AEAEAE"/>
              <w:right w:val="single" w:sz="8" w:space="0" w:color="E0E0E0"/>
            </w:tcBorders>
            <w:shd w:val="clear" w:color="auto" w:fill="FFFFFF"/>
          </w:tcPr>
          <w:p w14:paraId="1171F42D" w14:textId="77777777" w:rsidR="0050684C" w:rsidRPr="00C505DE" w:rsidRDefault="0050684C" w:rsidP="000711D0">
            <w:pPr>
              <w:adjustRightInd w:val="0"/>
              <w:spacing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570.132</w:t>
            </w:r>
          </w:p>
        </w:tc>
        <w:tc>
          <w:tcPr>
            <w:tcW w:w="977" w:type="dxa"/>
            <w:tcBorders>
              <w:top w:val="single" w:sz="8" w:space="0" w:color="152935"/>
              <w:left w:val="single" w:sz="8" w:space="0" w:color="E0E0E0"/>
              <w:bottom w:val="single" w:sz="8" w:space="0" w:color="AEAEAE"/>
              <w:right w:val="single" w:sz="8" w:space="0" w:color="E0E0E0"/>
            </w:tcBorders>
            <w:shd w:val="clear" w:color="auto" w:fill="FFFFFF"/>
          </w:tcPr>
          <w:p w14:paraId="5BB11227" w14:textId="77777777" w:rsidR="0050684C" w:rsidRPr="00C505DE" w:rsidRDefault="0050684C" w:rsidP="000711D0">
            <w:pPr>
              <w:adjustRightInd w:val="0"/>
              <w:spacing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-2533.135</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331237AA" w14:textId="77777777" w:rsidR="0050684C" w:rsidRPr="00C505DE" w:rsidRDefault="0050684C" w:rsidP="000711D0">
            <w:pPr>
              <w:adjustRightInd w:val="0"/>
              <w:spacing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-193.507</w:t>
            </w:r>
          </w:p>
        </w:tc>
        <w:tc>
          <w:tcPr>
            <w:tcW w:w="720" w:type="dxa"/>
            <w:tcBorders>
              <w:top w:val="single" w:sz="8" w:space="0" w:color="152935"/>
              <w:left w:val="single" w:sz="8" w:space="0" w:color="E0E0E0"/>
              <w:bottom w:val="single" w:sz="8" w:space="0" w:color="AEAEAE"/>
              <w:right w:val="single" w:sz="8" w:space="0" w:color="E0E0E0"/>
            </w:tcBorders>
            <w:shd w:val="clear" w:color="auto" w:fill="FFFFFF"/>
          </w:tcPr>
          <w:p w14:paraId="5CEE31E6" w14:textId="77777777" w:rsidR="0050684C" w:rsidRPr="00C505DE" w:rsidRDefault="0050684C" w:rsidP="000711D0">
            <w:pPr>
              <w:adjustRightInd w:val="0"/>
              <w:spacing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-2.391</w:t>
            </w:r>
          </w:p>
        </w:tc>
        <w:tc>
          <w:tcPr>
            <w:tcW w:w="360" w:type="dxa"/>
            <w:tcBorders>
              <w:top w:val="single" w:sz="8" w:space="0" w:color="152935"/>
              <w:left w:val="single" w:sz="8" w:space="0" w:color="E0E0E0"/>
              <w:bottom w:val="single" w:sz="8" w:space="0" w:color="AEAEAE"/>
              <w:right w:val="single" w:sz="8" w:space="0" w:color="E0E0E0"/>
            </w:tcBorders>
            <w:shd w:val="clear" w:color="auto" w:fill="FFFFFF"/>
          </w:tcPr>
          <w:p w14:paraId="38FD26C9" w14:textId="77777777" w:rsidR="0050684C" w:rsidRPr="00C505DE" w:rsidRDefault="0050684C" w:rsidP="000711D0">
            <w:pPr>
              <w:adjustRightInd w:val="0"/>
              <w:spacing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27</w:t>
            </w:r>
          </w:p>
        </w:tc>
        <w:tc>
          <w:tcPr>
            <w:tcW w:w="1260" w:type="dxa"/>
            <w:tcBorders>
              <w:top w:val="single" w:sz="8" w:space="0" w:color="152935"/>
              <w:left w:val="single" w:sz="8" w:space="0" w:color="E0E0E0"/>
              <w:bottom w:val="single" w:sz="8" w:space="0" w:color="AEAEAE"/>
              <w:right w:val="nil"/>
            </w:tcBorders>
            <w:shd w:val="clear" w:color="auto" w:fill="FFFFFF"/>
          </w:tcPr>
          <w:p w14:paraId="62C5CBE0" w14:textId="77777777" w:rsidR="0050684C" w:rsidRPr="00C505DE" w:rsidRDefault="0050684C" w:rsidP="000711D0">
            <w:pPr>
              <w:adjustRightInd w:val="0"/>
              <w:spacing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.024</w:t>
            </w:r>
          </w:p>
        </w:tc>
      </w:tr>
      <w:tr w:rsidR="00C505DE" w:rsidRPr="0050684C" w14:paraId="77131DDD" w14:textId="77777777" w:rsidTr="00C505DE">
        <w:trPr>
          <w:cantSplit/>
          <w:trHeight w:val="421"/>
          <w:jc w:val="center"/>
        </w:trPr>
        <w:tc>
          <w:tcPr>
            <w:tcW w:w="787" w:type="dxa"/>
            <w:tcBorders>
              <w:top w:val="single" w:sz="8" w:space="0" w:color="AEAEAE"/>
              <w:left w:val="nil"/>
              <w:bottom w:val="single" w:sz="8" w:space="0" w:color="152935"/>
              <w:right w:val="nil"/>
            </w:tcBorders>
            <w:shd w:val="clear" w:color="auto" w:fill="E0E0E0"/>
          </w:tcPr>
          <w:p w14:paraId="6D7FD248" w14:textId="77777777" w:rsidR="0050684C" w:rsidRPr="0050684C" w:rsidRDefault="0050684C" w:rsidP="000711D0">
            <w:pPr>
              <w:adjustRightInd w:val="0"/>
              <w:spacing w:line="240" w:lineRule="auto"/>
              <w:ind w:left="60" w:right="60"/>
              <w:rPr>
                <w:rFonts w:ascii="Arial" w:hAnsi="Arial" w:cs="Arial"/>
                <w:i w:val="0"/>
                <w:color w:val="264A60"/>
                <w:sz w:val="18"/>
                <w:szCs w:val="18"/>
              </w:rPr>
            </w:pPr>
            <w:r w:rsidRPr="0050684C">
              <w:rPr>
                <w:rFonts w:ascii="Arial" w:hAnsi="Arial" w:cs="Arial"/>
                <w:i w:val="0"/>
                <w:color w:val="264A60"/>
                <w:sz w:val="18"/>
                <w:szCs w:val="18"/>
              </w:rPr>
              <w:t>Pair 2</w:t>
            </w:r>
          </w:p>
        </w:tc>
        <w:tc>
          <w:tcPr>
            <w:tcW w:w="1313" w:type="dxa"/>
            <w:tcBorders>
              <w:top w:val="single" w:sz="8" w:space="0" w:color="AEAEAE"/>
              <w:left w:val="nil"/>
              <w:bottom w:val="single" w:sz="8" w:space="0" w:color="152935"/>
              <w:right w:val="nil"/>
            </w:tcBorders>
            <w:shd w:val="clear" w:color="auto" w:fill="E0E0E0"/>
          </w:tcPr>
          <w:p w14:paraId="5BB2FB7B" w14:textId="77777777" w:rsidR="0050684C" w:rsidRPr="0050684C" w:rsidRDefault="0050684C" w:rsidP="000711D0">
            <w:pPr>
              <w:adjustRightInd w:val="0"/>
              <w:spacing w:line="240" w:lineRule="auto"/>
              <w:ind w:left="60" w:right="60"/>
              <w:rPr>
                <w:rFonts w:ascii="Arial" w:hAnsi="Arial" w:cs="Arial"/>
                <w:i w:val="0"/>
                <w:color w:val="264A60"/>
                <w:sz w:val="18"/>
                <w:szCs w:val="18"/>
              </w:rPr>
            </w:pPr>
            <w:proofErr w:type="spellStart"/>
            <w:r w:rsidRPr="0050684C">
              <w:rPr>
                <w:rFonts w:ascii="Arial" w:hAnsi="Arial" w:cs="Arial"/>
                <w:i w:val="0"/>
                <w:color w:val="264A60"/>
                <w:sz w:val="18"/>
                <w:szCs w:val="18"/>
              </w:rPr>
              <w:t>Harga_Saham</w:t>
            </w:r>
            <w:proofErr w:type="spellEnd"/>
            <w:r w:rsidRPr="0050684C">
              <w:rPr>
                <w:rFonts w:ascii="Arial" w:hAnsi="Arial" w:cs="Arial"/>
                <w:i w:val="0"/>
                <w:color w:val="264A60"/>
                <w:sz w:val="18"/>
                <w:szCs w:val="18"/>
              </w:rPr>
              <w:t xml:space="preserve"> - NI_DDM</w:t>
            </w:r>
          </w:p>
        </w:tc>
        <w:tc>
          <w:tcPr>
            <w:tcW w:w="960" w:type="dxa"/>
            <w:tcBorders>
              <w:top w:val="single" w:sz="8" w:space="0" w:color="AEAEAE"/>
              <w:left w:val="nil"/>
              <w:bottom w:val="single" w:sz="8" w:space="0" w:color="152935"/>
              <w:right w:val="single" w:sz="8" w:space="0" w:color="E0E0E0"/>
            </w:tcBorders>
            <w:shd w:val="clear" w:color="auto" w:fill="FFFFFF"/>
          </w:tcPr>
          <w:p w14:paraId="7C668A1A" w14:textId="77777777" w:rsidR="0050684C" w:rsidRPr="00C505DE" w:rsidRDefault="0050684C" w:rsidP="000711D0">
            <w:pPr>
              <w:adjustRightInd w:val="0"/>
              <w:spacing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-235.179</w:t>
            </w:r>
          </w:p>
        </w:tc>
        <w:tc>
          <w:tcPr>
            <w:tcW w:w="900" w:type="dxa"/>
            <w:tcBorders>
              <w:top w:val="single" w:sz="8" w:space="0" w:color="AEAEAE"/>
              <w:left w:val="single" w:sz="8" w:space="0" w:color="E0E0E0"/>
              <w:bottom w:val="single" w:sz="8" w:space="0" w:color="152935"/>
              <w:right w:val="single" w:sz="8" w:space="0" w:color="E0E0E0"/>
            </w:tcBorders>
            <w:shd w:val="clear" w:color="auto" w:fill="FFFFFF"/>
          </w:tcPr>
          <w:p w14:paraId="04CD0148" w14:textId="77777777" w:rsidR="0050684C" w:rsidRPr="00C505DE" w:rsidRDefault="0050684C" w:rsidP="000711D0">
            <w:pPr>
              <w:adjustRightInd w:val="0"/>
              <w:spacing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332.750</w:t>
            </w:r>
          </w:p>
        </w:tc>
        <w:tc>
          <w:tcPr>
            <w:tcW w:w="963" w:type="dxa"/>
            <w:tcBorders>
              <w:top w:val="single" w:sz="8" w:space="0" w:color="AEAEAE"/>
              <w:left w:val="single" w:sz="8" w:space="0" w:color="E0E0E0"/>
              <w:bottom w:val="single" w:sz="8" w:space="0" w:color="152935"/>
              <w:right w:val="single" w:sz="8" w:space="0" w:color="E0E0E0"/>
            </w:tcBorders>
            <w:shd w:val="clear" w:color="auto" w:fill="FFFFFF"/>
          </w:tcPr>
          <w:p w14:paraId="47B6E81E" w14:textId="77777777" w:rsidR="0050684C" w:rsidRPr="00C505DE" w:rsidRDefault="0050684C" w:rsidP="000711D0">
            <w:pPr>
              <w:adjustRightInd w:val="0"/>
              <w:spacing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62.884</w:t>
            </w:r>
          </w:p>
        </w:tc>
        <w:tc>
          <w:tcPr>
            <w:tcW w:w="977" w:type="dxa"/>
            <w:tcBorders>
              <w:top w:val="single" w:sz="8" w:space="0" w:color="AEAEAE"/>
              <w:left w:val="single" w:sz="8" w:space="0" w:color="E0E0E0"/>
              <w:bottom w:val="single" w:sz="8" w:space="0" w:color="152935"/>
              <w:right w:val="single" w:sz="8" w:space="0" w:color="E0E0E0"/>
            </w:tcBorders>
            <w:shd w:val="clear" w:color="auto" w:fill="FFFFFF"/>
          </w:tcPr>
          <w:p w14:paraId="4EF3B33F" w14:textId="77777777" w:rsidR="0050684C" w:rsidRPr="00C505DE" w:rsidRDefault="0050684C" w:rsidP="000711D0">
            <w:pPr>
              <w:adjustRightInd w:val="0"/>
              <w:spacing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-364.206</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76304463" w14:textId="77777777" w:rsidR="0050684C" w:rsidRPr="00C505DE" w:rsidRDefault="0050684C" w:rsidP="000711D0">
            <w:pPr>
              <w:adjustRightInd w:val="0"/>
              <w:spacing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-106.151</w:t>
            </w:r>
          </w:p>
        </w:tc>
        <w:tc>
          <w:tcPr>
            <w:tcW w:w="720" w:type="dxa"/>
            <w:tcBorders>
              <w:top w:val="single" w:sz="8" w:space="0" w:color="AEAEAE"/>
              <w:left w:val="single" w:sz="8" w:space="0" w:color="E0E0E0"/>
              <w:bottom w:val="single" w:sz="8" w:space="0" w:color="152935"/>
              <w:right w:val="single" w:sz="8" w:space="0" w:color="E0E0E0"/>
            </w:tcBorders>
            <w:shd w:val="clear" w:color="auto" w:fill="FFFFFF"/>
          </w:tcPr>
          <w:p w14:paraId="34BC7543" w14:textId="77777777" w:rsidR="0050684C" w:rsidRPr="00C505DE" w:rsidRDefault="0050684C" w:rsidP="000711D0">
            <w:pPr>
              <w:adjustRightInd w:val="0"/>
              <w:spacing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-3.740</w:t>
            </w:r>
          </w:p>
        </w:tc>
        <w:tc>
          <w:tcPr>
            <w:tcW w:w="360" w:type="dxa"/>
            <w:tcBorders>
              <w:top w:val="single" w:sz="8" w:space="0" w:color="AEAEAE"/>
              <w:left w:val="single" w:sz="8" w:space="0" w:color="E0E0E0"/>
              <w:bottom w:val="single" w:sz="8" w:space="0" w:color="152935"/>
              <w:right w:val="single" w:sz="8" w:space="0" w:color="E0E0E0"/>
            </w:tcBorders>
            <w:shd w:val="clear" w:color="auto" w:fill="FFFFFF"/>
          </w:tcPr>
          <w:p w14:paraId="3CEB6960" w14:textId="77777777" w:rsidR="0050684C" w:rsidRPr="00C505DE" w:rsidRDefault="0050684C" w:rsidP="000711D0">
            <w:pPr>
              <w:adjustRightInd w:val="0"/>
              <w:spacing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27</w:t>
            </w:r>
          </w:p>
        </w:tc>
        <w:tc>
          <w:tcPr>
            <w:tcW w:w="1260" w:type="dxa"/>
            <w:tcBorders>
              <w:top w:val="single" w:sz="8" w:space="0" w:color="AEAEAE"/>
              <w:left w:val="single" w:sz="8" w:space="0" w:color="E0E0E0"/>
              <w:bottom w:val="single" w:sz="8" w:space="0" w:color="152935"/>
              <w:right w:val="nil"/>
            </w:tcBorders>
            <w:shd w:val="clear" w:color="auto" w:fill="FFFFFF"/>
          </w:tcPr>
          <w:p w14:paraId="2E366024" w14:textId="77777777" w:rsidR="0050684C" w:rsidRPr="00C505DE" w:rsidRDefault="0050684C" w:rsidP="000711D0">
            <w:pPr>
              <w:adjustRightInd w:val="0"/>
              <w:spacing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.001</w:t>
            </w:r>
          </w:p>
        </w:tc>
      </w:tr>
    </w:tbl>
    <w:p w14:paraId="10AB7CEE" w14:textId="19659693" w:rsidR="00C505DE" w:rsidRPr="00C505DE" w:rsidRDefault="00C505DE" w:rsidP="00C505DE">
      <w:pPr>
        <w:spacing w:line="240" w:lineRule="auto"/>
        <w:jc w:val="both"/>
        <w:rPr>
          <w:rFonts w:ascii="Times New Roman" w:hAnsi="Times New Roman" w:cs="Times New Roman"/>
          <w:i w:val="0"/>
          <w:sz w:val="24"/>
        </w:rPr>
      </w:pPr>
      <w:r w:rsidRPr="00C505DE">
        <w:rPr>
          <w:rFonts w:ascii="Times New Roman" w:hAnsi="Times New Roman" w:cs="Times New Roman"/>
          <w:i w:val="0"/>
          <w:sz w:val="24"/>
        </w:rPr>
        <w:t>Source: Processed data SPSS 25 (2021)</w:t>
      </w:r>
    </w:p>
    <w:p w14:paraId="1DE47D1F" w14:textId="2432071F" w:rsidR="00C505DE" w:rsidRPr="00C505DE" w:rsidRDefault="00C505DE" w:rsidP="00C505DE">
      <w:pPr>
        <w:spacing w:after="0" w:line="240" w:lineRule="auto"/>
        <w:jc w:val="both"/>
        <w:rPr>
          <w:rFonts w:ascii="Times New Roman" w:hAnsi="Times New Roman" w:cs="Times New Roman"/>
          <w:i w:val="0"/>
          <w:sz w:val="24"/>
        </w:rPr>
      </w:pPr>
      <w:r w:rsidRPr="00C505DE">
        <w:rPr>
          <w:rFonts w:ascii="Times New Roman" w:hAnsi="Times New Roman" w:cs="Times New Roman"/>
          <w:i w:val="0"/>
          <w:sz w:val="24"/>
        </w:rPr>
        <w:t xml:space="preserve">Based on the output results in this table, it is known that the value of Sig. (2-tailed) in the PBV method is 0.024 which is smaller than 0.05 (0.024 &lt; 0.05) and the DDM method is 0.001 which is smaller than 0.05 (0.001 &lt; 0.05), so as the basis for taking The decision in the paired sample T-Test can be concluded that Ho is rejected, Ha is accepted, thus it can be concluded that there is a significant difference between the intrinsic value of shares using the PBV and DDM methods on the stock market prices of companies affected by the COVID-19 pandemic, which </w:t>
      </w:r>
      <w:r w:rsidRPr="00C505DE">
        <w:rPr>
          <w:rFonts w:ascii="Times New Roman" w:hAnsi="Times New Roman" w:cs="Times New Roman"/>
          <w:i w:val="0"/>
          <w:sz w:val="24"/>
        </w:rPr>
        <w:lastRenderedPageBreak/>
        <w:t>means that decisions can be made the right investment because the intrinsic value of the stock is not the same as the stock price. So it can be concluded that the PBV and DDM methods can evaluate stock prices appropriately.</w:t>
      </w:r>
    </w:p>
    <w:p w14:paraId="155594AC" w14:textId="77777777" w:rsidR="00C505DE" w:rsidRDefault="00C505DE" w:rsidP="008E0BC3">
      <w:pPr>
        <w:spacing w:after="0" w:line="240" w:lineRule="auto"/>
        <w:jc w:val="both"/>
        <w:rPr>
          <w:rFonts w:ascii="Times New Roman" w:hAnsi="Times New Roman" w:cs="Times New Roman"/>
          <w:b/>
          <w:i w:val="0"/>
          <w:sz w:val="24"/>
          <w:szCs w:val="24"/>
        </w:rPr>
      </w:pPr>
    </w:p>
    <w:p w14:paraId="76273E6F" w14:textId="77777777" w:rsidR="00C505DE" w:rsidRPr="000711D0" w:rsidRDefault="00C505DE" w:rsidP="00C505DE">
      <w:pPr>
        <w:spacing w:after="0" w:line="240" w:lineRule="auto"/>
        <w:jc w:val="both"/>
        <w:rPr>
          <w:rFonts w:ascii="Times New Roman" w:hAnsi="Times New Roman" w:cs="Times New Roman"/>
          <w:b/>
          <w:i w:val="0"/>
          <w:sz w:val="24"/>
        </w:rPr>
      </w:pPr>
      <w:r w:rsidRPr="000711D0">
        <w:rPr>
          <w:rFonts w:ascii="Times New Roman" w:hAnsi="Times New Roman" w:cs="Times New Roman"/>
          <w:b/>
          <w:i w:val="0"/>
          <w:sz w:val="24"/>
        </w:rPr>
        <w:t>b. Multiple Linear Regression Test</w:t>
      </w:r>
    </w:p>
    <w:p w14:paraId="6939A6F6" w14:textId="31661A17" w:rsidR="00C505DE" w:rsidRDefault="00C505DE" w:rsidP="00C505DE">
      <w:pPr>
        <w:spacing w:line="240" w:lineRule="auto"/>
        <w:jc w:val="both"/>
        <w:rPr>
          <w:rFonts w:ascii="Times New Roman" w:hAnsi="Times New Roman" w:cs="Times New Roman"/>
          <w:i w:val="0"/>
          <w:sz w:val="24"/>
        </w:rPr>
      </w:pPr>
      <w:r w:rsidRPr="00C505DE">
        <w:rPr>
          <w:rFonts w:ascii="Times New Roman" w:hAnsi="Times New Roman" w:cs="Times New Roman"/>
          <w:i w:val="0"/>
          <w:sz w:val="24"/>
        </w:rPr>
        <w:t>The following are the results of the multiple linear regression test of intrinsic value obtained from the calculation of PBV and DDM in companies affected by the COVID-19 pandemic.</w:t>
      </w:r>
    </w:p>
    <w:p w14:paraId="3503A039" w14:textId="142AB0E4" w:rsidR="003A0DA7" w:rsidRPr="00C505DE" w:rsidRDefault="003A0DA7" w:rsidP="003A0DA7">
      <w:pPr>
        <w:spacing w:after="0" w:line="240" w:lineRule="auto"/>
        <w:jc w:val="center"/>
        <w:rPr>
          <w:rFonts w:ascii="Times New Roman" w:hAnsi="Times New Roman" w:cs="Times New Roman"/>
          <w:i w:val="0"/>
          <w:sz w:val="24"/>
        </w:rPr>
      </w:pPr>
      <w:r>
        <w:rPr>
          <w:rFonts w:ascii="Times New Roman" w:hAnsi="Times New Roman" w:cs="Times New Roman"/>
          <w:b/>
          <w:i w:val="0"/>
          <w:sz w:val="24"/>
          <w:szCs w:val="24"/>
        </w:rPr>
        <w:t xml:space="preserve">Table </w:t>
      </w:r>
      <w:r>
        <w:rPr>
          <w:rFonts w:ascii="Times New Roman" w:hAnsi="Times New Roman" w:cs="Times New Roman"/>
          <w:b/>
          <w:i w:val="0"/>
          <w:sz w:val="24"/>
          <w:szCs w:val="24"/>
        </w:rPr>
        <w:t>4</w:t>
      </w:r>
      <w:r>
        <w:rPr>
          <w:rFonts w:ascii="Times New Roman" w:hAnsi="Times New Roman" w:cs="Times New Roman"/>
          <w:b/>
          <w:i w:val="0"/>
          <w:sz w:val="24"/>
          <w:szCs w:val="24"/>
        </w:rPr>
        <w:t xml:space="preserve">. </w:t>
      </w:r>
      <w:r w:rsidRPr="003A0DA7">
        <w:rPr>
          <w:rFonts w:ascii="Times New Roman" w:hAnsi="Times New Roman" w:cs="Times New Roman"/>
          <w:b/>
          <w:i w:val="0"/>
          <w:sz w:val="24"/>
          <w:szCs w:val="24"/>
        </w:rPr>
        <w:t>Multiple Linear Regression Tests</w:t>
      </w:r>
    </w:p>
    <w:tbl>
      <w:tblPr>
        <w:tblW w:w="69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3"/>
        <w:gridCol w:w="1018"/>
        <w:gridCol w:w="1150"/>
        <w:gridCol w:w="1150"/>
        <w:gridCol w:w="1269"/>
        <w:gridCol w:w="885"/>
        <w:gridCol w:w="889"/>
      </w:tblGrid>
      <w:tr w:rsidR="00C505DE" w:rsidRPr="008F298C" w14:paraId="58D47EB2" w14:textId="77777777" w:rsidTr="00C505DE">
        <w:trPr>
          <w:cantSplit/>
          <w:trHeight w:val="231"/>
          <w:jc w:val="center"/>
        </w:trPr>
        <w:tc>
          <w:tcPr>
            <w:tcW w:w="6994" w:type="dxa"/>
            <w:gridSpan w:val="7"/>
            <w:tcBorders>
              <w:top w:val="nil"/>
              <w:left w:val="nil"/>
              <w:bottom w:val="nil"/>
              <w:right w:val="nil"/>
            </w:tcBorders>
            <w:shd w:val="clear" w:color="auto" w:fill="FFFFFF"/>
            <w:vAlign w:val="center"/>
          </w:tcPr>
          <w:p w14:paraId="721CE044" w14:textId="77777777" w:rsidR="00C505DE" w:rsidRPr="00C505DE" w:rsidRDefault="00C505DE" w:rsidP="00C505DE">
            <w:pPr>
              <w:adjustRightInd w:val="0"/>
              <w:spacing w:after="0" w:line="240" w:lineRule="auto"/>
              <w:ind w:left="60" w:right="60"/>
              <w:jc w:val="center"/>
              <w:rPr>
                <w:rFonts w:ascii="Arial" w:hAnsi="Arial" w:cs="Arial"/>
                <w:i w:val="0"/>
                <w:color w:val="010205"/>
                <w:sz w:val="18"/>
                <w:szCs w:val="18"/>
              </w:rPr>
            </w:pPr>
            <w:proofErr w:type="spellStart"/>
            <w:r w:rsidRPr="00C505DE">
              <w:rPr>
                <w:rFonts w:ascii="Arial" w:hAnsi="Arial" w:cs="Arial"/>
                <w:b/>
                <w:bCs/>
                <w:i w:val="0"/>
                <w:color w:val="010205"/>
                <w:sz w:val="18"/>
                <w:szCs w:val="18"/>
              </w:rPr>
              <w:t>Coefficients</w:t>
            </w:r>
            <w:r w:rsidRPr="00C505DE">
              <w:rPr>
                <w:rFonts w:ascii="Arial" w:hAnsi="Arial" w:cs="Arial"/>
                <w:b/>
                <w:bCs/>
                <w:i w:val="0"/>
                <w:color w:val="010205"/>
                <w:sz w:val="18"/>
                <w:szCs w:val="18"/>
                <w:vertAlign w:val="superscript"/>
              </w:rPr>
              <w:t>a</w:t>
            </w:r>
            <w:proofErr w:type="spellEnd"/>
          </w:p>
        </w:tc>
      </w:tr>
      <w:tr w:rsidR="00C505DE" w:rsidRPr="008F298C" w14:paraId="570653AA" w14:textId="77777777" w:rsidTr="00C505DE">
        <w:trPr>
          <w:cantSplit/>
          <w:trHeight w:val="474"/>
          <w:jc w:val="center"/>
        </w:trPr>
        <w:tc>
          <w:tcPr>
            <w:tcW w:w="1651" w:type="dxa"/>
            <w:gridSpan w:val="2"/>
            <w:vMerge w:val="restart"/>
            <w:tcBorders>
              <w:top w:val="nil"/>
              <w:left w:val="nil"/>
              <w:bottom w:val="nil"/>
              <w:right w:val="nil"/>
            </w:tcBorders>
            <w:shd w:val="clear" w:color="auto" w:fill="FFFFFF"/>
            <w:vAlign w:val="bottom"/>
          </w:tcPr>
          <w:p w14:paraId="6B0D6561" w14:textId="77777777" w:rsidR="00C505DE" w:rsidRPr="00C505DE" w:rsidRDefault="00C505DE" w:rsidP="00C505DE">
            <w:pPr>
              <w:adjustRightInd w:val="0"/>
              <w:spacing w:after="0" w:line="240" w:lineRule="auto"/>
              <w:ind w:left="60" w:right="60"/>
              <w:rPr>
                <w:rFonts w:ascii="Arial" w:hAnsi="Arial" w:cs="Arial"/>
                <w:i w:val="0"/>
                <w:color w:val="264A60"/>
                <w:sz w:val="18"/>
                <w:szCs w:val="18"/>
              </w:rPr>
            </w:pPr>
            <w:r w:rsidRPr="00C505DE">
              <w:rPr>
                <w:rFonts w:ascii="Arial" w:hAnsi="Arial" w:cs="Arial"/>
                <w:i w:val="0"/>
                <w:color w:val="264A60"/>
                <w:sz w:val="18"/>
                <w:szCs w:val="18"/>
              </w:rPr>
              <w:t>Model</w:t>
            </w:r>
          </w:p>
        </w:tc>
        <w:tc>
          <w:tcPr>
            <w:tcW w:w="2300" w:type="dxa"/>
            <w:gridSpan w:val="2"/>
            <w:tcBorders>
              <w:top w:val="nil"/>
              <w:left w:val="nil"/>
              <w:bottom w:val="nil"/>
              <w:right w:val="single" w:sz="8" w:space="0" w:color="E0E0E0"/>
            </w:tcBorders>
            <w:shd w:val="clear" w:color="auto" w:fill="FFFFFF"/>
            <w:vAlign w:val="bottom"/>
          </w:tcPr>
          <w:p w14:paraId="7BF71798" w14:textId="77777777" w:rsidR="00C505DE" w:rsidRPr="00C505DE" w:rsidRDefault="00C505DE" w:rsidP="00C505DE">
            <w:pPr>
              <w:adjustRightInd w:val="0"/>
              <w:spacing w:after="0" w:line="240" w:lineRule="auto"/>
              <w:ind w:left="60" w:right="60"/>
              <w:jc w:val="center"/>
              <w:rPr>
                <w:rFonts w:ascii="Arial" w:hAnsi="Arial" w:cs="Arial"/>
                <w:i w:val="0"/>
                <w:color w:val="264A60"/>
                <w:sz w:val="18"/>
                <w:szCs w:val="18"/>
              </w:rPr>
            </w:pPr>
            <w:r w:rsidRPr="00C505DE">
              <w:rPr>
                <w:rFonts w:ascii="Arial" w:hAnsi="Arial" w:cs="Arial"/>
                <w:i w:val="0"/>
                <w:color w:val="264A60"/>
                <w:sz w:val="18"/>
                <w:szCs w:val="18"/>
              </w:rPr>
              <w:t>Unstandardized Coefficients</w:t>
            </w:r>
          </w:p>
        </w:tc>
        <w:tc>
          <w:tcPr>
            <w:tcW w:w="1269" w:type="dxa"/>
            <w:tcBorders>
              <w:top w:val="nil"/>
              <w:left w:val="single" w:sz="8" w:space="0" w:color="E0E0E0"/>
              <w:bottom w:val="nil"/>
              <w:right w:val="single" w:sz="8" w:space="0" w:color="E0E0E0"/>
            </w:tcBorders>
            <w:shd w:val="clear" w:color="auto" w:fill="FFFFFF"/>
            <w:vAlign w:val="bottom"/>
          </w:tcPr>
          <w:p w14:paraId="51512F02" w14:textId="77777777" w:rsidR="00C505DE" w:rsidRPr="00C505DE" w:rsidRDefault="00C505DE" w:rsidP="00C505DE">
            <w:pPr>
              <w:adjustRightInd w:val="0"/>
              <w:spacing w:after="0" w:line="240" w:lineRule="auto"/>
              <w:ind w:left="60" w:right="60"/>
              <w:jc w:val="center"/>
              <w:rPr>
                <w:rFonts w:ascii="Arial" w:hAnsi="Arial" w:cs="Arial"/>
                <w:i w:val="0"/>
                <w:color w:val="264A60"/>
                <w:sz w:val="18"/>
                <w:szCs w:val="18"/>
              </w:rPr>
            </w:pPr>
            <w:r w:rsidRPr="00C505DE">
              <w:rPr>
                <w:rFonts w:ascii="Arial" w:hAnsi="Arial" w:cs="Arial"/>
                <w:i w:val="0"/>
                <w:color w:val="264A60"/>
                <w:sz w:val="18"/>
                <w:szCs w:val="18"/>
              </w:rPr>
              <w:t>Standardized Coefficients</w:t>
            </w:r>
          </w:p>
        </w:tc>
        <w:tc>
          <w:tcPr>
            <w:tcW w:w="885" w:type="dxa"/>
            <w:vMerge w:val="restart"/>
            <w:tcBorders>
              <w:top w:val="nil"/>
              <w:left w:val="single" w:sz="8" w:space="0" w:color="E0E0E0"/>
              <w:bottom w:val="nil"/>
              <w:right w:val="single" w:sz="8" w:space="0" w:color="E0E0E0"/>
            </w:tcBorders>
            <w:shd w:val="clear" w:color="auto" w:fill="FFFFFF"/>
            <w:vAlign w:val="bottom"/>
          </w:tcPr>
          <w:p w14:paraId="32854541" w14:textId="77777777" w:rsidR="00C505DE" w:rsidRPr="00C505DE" w:rsidRDefault="00C505DE" w:rsidP="00C505DE">
            <w:pPr>
              <w:adjustRightInd w:val="0"/>
              <w:spacing w:after="0" w:line="240" w:lineRule="auto"/>
              <w:ind w:left="60" w:right="60"/>
              <w:jc w:val="center"/>
              <w:rPr>
                <w:rFonts w:ascii="Arial" w:hAnsi="Arial" w:cs="Arial"/>
                <w:i w:val="0"/>
                <w:color w:val="264A60"/>
                <w:sz w:val="18"/>
                <w:szCs w:val="18"/>
              </w:rPr>
            </w:pPr>
            <w:r w:rsidRPr="00C505DE">
              <w:rPr>
                <w:rFonts w:ascii="Arial" w:hAnsi="Arial" w:cs="Arial"/>
                <w:i w:val="0"/>
                <w:color w:val="264A60"/>
                <w:sz w:val="18"/>
                <w:szCs w:val="18"/>
              </w:rPr>
              <w:t>t</w:t>
            </w:r>
          </w:p>
        </w:tc>
        <w:tc>
          <w:tcPr>
            <w:tcW w:w="889" w:type="dxa"/>
            <w:vMerge w:val="restart"/>
            <w:tcBorders>
              <w:top w:val="nil"/>
              <w:left w:val="single" w:sz="8" w:space="0" w:color="E0E0E0"/>
              <w:bottom w:val="nil"/>
              <w:right w:val="nil"/>
            </w:tcBorders>
            <w:shd w:val="clear" w:color="auto" w:fill="FFFFFF"/>
            <w:vAlign w:val="bottom"/>
          </w:tcPr>
          <w:p w14:paraId="3DBEAD2C" w14:textId="77777777" w:rsidR="00C505DE" w:rsidRPr="00C505DE" w:rsidRDefault="00C505DE" w:rsidP="00C505DE">
            <w:pPr>
              <w:adjustRightInd w:val="0"/>
              <w:spacing w:after="0" w:line="240" w:lineRule="auto"/>
              <w:ind w:left="60" w:right="60"/>
              <w:jc w:val="center"/>
              <w:rPr>
                <w:rFonts w:ascii="Arial" w:hAnsi="Arial" w:cs="Arial"/>
                <w:i w:val="0"/>
                <w:color w:val="264A60"/>
                <w:sz w:val="18"/>
                <w:szCs w:val="18"/>
              </w:rPr>
            </w:pPr>
            <w:r w:rsidRPr="00C505DE">
              <w:rPr>
                <w:rFonts w:ascii="Arial" w:hAnsi="Arial" w:cs="Arial"/>
                <w:i w:val="0"/>
                <w:color w:val="264A60"/>
                <w:sz w:val="18"/>
                <w:szCs w:val="18"/>
              </w:rPr>
              <w:t>Sig.</w:t>
            </w:r>
          </w:p>
        </w:tc>
      </w:tr>
      <w:tr w:rsidR="00C505DE" w:rsidRPr="008F298C" w14:paraId="3C4522A4" w14:textId="77777777" w:rsidTr="00C505DE">
        <w:trPr>
          <w:cantSplit/>
          <w:trHeight w:val="231"/>
          <w:jc w:val="center"/>
        </w:trPr>
        <w:tc>
          <w:tcPr>
            <w:tcW w:w="1651" w:type="dxa"/>
            <w:gridSpan w:val="2"/>
            <w:vMerge/>
            <w:tcBorders>
              <w:top w:val="nil"/>
              <w:left w:val="nil"/>
              <w:bottom w:val="nil"/>
              <w:right w:val="nil"/>
            </w:tcBorders>
            <w:shd w:val="clear" w:color="auto" w:fill="FFFFFF"/>
            <w:vAlign w:val="bottom"/>
          </w:tcPr>
          <w:p w14:paraId="28C48311" w14:textId="77777777" w:rsidR="00C505DE" w:rsidRPr="00C505DE" w:rsidRDefault="00C505DE" w:rsidP="00C505DE">
            <w:pPr>
              <w:adjustRightInd w:val="0"/>
              <w:spacing w:after="0" w:line="240" w:lineRule="auto"/>
              <w:rPr>
                <w:rFonts w:ascii="Arial" w:hAnsi="Arial" w:cs="Arial"/>
                <w:i w:val="0"/>
                <w:color w:val="264A60"/>
                <w:sz w:val="18"/>
                <w:szCs w:val="18"/>
              </w:rPr>
            </w:pPr>
          </w:p>
        </w:tc>
        <w:tc>
          <w:tcPr>
            <w:tcW w:w="1150" w:type="dxa"/>
            <w:tcBorders>
              <w:top w:val="nil"/>
              <w:left w:val="nil"/>
              <w:bottom w:val="single" w:sz="8" w:space="0" w:color="152935"/>
              <w:right w:val="single" w:sz="8" w:space="0" w:color="E0E0E0"/>
            </w:tcBorders>
            <w:shd w:val="clear" w:color="auto" w:fill="FFFFFF"/>
            <w:vAlign w:val="bottom"/>
          </w:tcPr>
          <w:p w14:paraId="15E4E2A5" w14:textId="77777777" w:rsidR="00C505DE" w:rsidRPr="00C505DE" w:rsidRDefault="00C505DE" w:rsidP="00C505DE">
            <w:pPr>
              <w:adjustRightInd w:val="0"/>
              <w:spacing w:after="0" w:line="240" w:lineRule="auto"/>
              <w:ind w:left="60" w:right="60"/>
              <w:jc w:val="center"/>
              <w:rPr>
                <w:rFonts w:ascii="Arial" w:hAnsi="Arial" w:cs="Arial"/>
                <w:i w:val="0"/>
                <w:color w:val="264A60"/>
                <w:sz w:val="18"/>
                <w:szCs w:val="18"/>
              </w:rPr>
            </w:pPr>
            <w:r w:rsidRPr="00C505DE">
              <w:rPr>
                <w:rFonts w:ascii="Arial" w:hAnsi="Arial" w:cs="Arial"/>
                <w:i w:val="0"/>
                <w:color w:val="264A60"/>
                <w:sz w:val="18"/>
                <w:szCs w:val="18"/>
              </w:rPr>
              <w:t>B</w:t>
            </w:r>
          </w:p>
        </w:tc>
        <w:tc>
          <w:tcPr>
            <w:tcW w:w="1150" w:type="dxa"/>
            <w:tcBorders>
              <w:top w:val="nil"/>
              <w:left w:val="single" w:sz="8" w:space="0" w:color="E0E0E0"/>
              <w:bottom w:val="single" w:sz="8" w:space="0" w:color="152935"/>
              <w:right w:val="single" w:sz="8" w:space="0" w:color="E0E0E0"/>
            </w:tcBorders>
            <w:shd w:val="clear" w:color="auto" w:fill="FFFFFF"/>
            <w:vAlign w:val="bottom"/>
          </w:tcPr>
          <w:p w14:paraId="08D781A7" w14:textId="77777777" w:rsidR="00C505DE" w:rsidRPr="00C505DE" w:rsidRDefault="00C505DE" w:rsidP="00C505DE">
            <w:pPr>
              <w:adjustRightInd w:val="0"/>
              <w:spacing w:after="0" w:line="240" w:lineRule="auto"/>
              <w:ind w:left="60" w:right="60"/>
              <w:jc w:val="center"/>
              <w:rPr>
                <w:rFonts w:ascii="Arial" w:hAnsi="Arial" w:cs="Arial"/>
                <w:i w:val="0"/>
                <w:color w:val="264A60"/>
                <w:sz w:val="18"/>
                <w:szCs w:val="18"/>
              </w:rPr>
            </w:pPr>
            <w:r w:rsidRPr="00C505DE">
              <w:rPr>
                <w:rFonts w:ascii="Arial" w:hAnsi="Arial" w:cs="Arial"/>
                <w:i w:val="0"/>
                <w:color w:val="264A60"/>
                <w:sz w:val="18"/>
                <w:szCs w:val="18"/>
              </w:rPr>
              <w:t>Std. Error</w:t>
            </w:r>
          </w:p>
        </w:tc>
        <w:tc>
          <w:tcPr>
            <w:tcW w:w="1269" w:type="dxa"/>
            <w:tcBorders>
              <w:top w:val="nil"/>
              <w:left w:val="single" w:sz="8" w:space="0" w:color="E0E0E0"/>
              <w:bottom w:val="single" w:sz="8" w:space="0" w:color="152935"/>
              <w:right w:val="single" w:sz="8" w:space="0" w:color="E0E0E0"/>
            </w:tcBorders>
            <w:shd w:val="clear" w:color="auto" w:fill="FFFFFF"/>
            <w:vAlign w:val="bottom"/>
          </w:tcPr>
          <w:p w14:paraId="4E958F80" w14:textId="77777777" w:rsidR="00C505DE" w:rsidRPr="00C505DE" w:rsidRDefault="00C505DE" w:rsidP="00C505DE">
            <w:pPr>
              <w:adjustRightInd w:val="0"/>
              <w:spacing w:after="0" w:line="240" w:lineRule="auto"/>
              <w:ind w:left="60" w:right="60"/>
              <w:jc w:val="center"/>
              <w:rPr>
                <w:rFonts w:ascii="Arial" w:hAnsi="Arial" w:cs="Arial"/>
                <w:i w:val="0"/>
                <w:color w:val="264A60"/>
                <w:sz w:val="18"/>
                <w:szCs w:val="18"/>
              </w:rPr>
            </w:pPr>
            <w:r w:rsidRPr="00C505DE">
              <w:rPr>
                <w:rFonts w:ascii="Arial" w:hAnsi="Arial" w:cs="Arial"/>
                <w:i w:val="0"/>
                <w:color w:val="264A60"/>
                <w:sz w:val="18"/>
                <w:szCs w:val="18"/>
              </w:rPr>
              <w:t>Beta</w:t>
            </w:r>
          </w:p>
        </w:tc>
        <w:tc>
          <w:tcPr>
            <w:tcW w:w="885" w:type="dxa"/>
            <w:vMerge/>
            <w:tcBorders>
              <w:top w:val="nil"/>
              <w:left w:val="single" w:sz="8" w:space="0" w:color="E0E0E0"/>
              <w:bottom w:val="nil"/>
              <w:right w:val="single" w:sz="8" w:space="0" w:color="E0E0E0"/>
            </w:tcBorders>
            <w:shd w:val="clear" w:color="auto" w:fill="FFFFFF"/>
            <w:vAlign w:val="bottom"/>
          </w:tcPr>
          <w:p w14:paraId="5AAF054E" w14:textId="77777777" w:rsidR="00C505DE" w:rsidRPr="00C505DE" w:rsidRDefault="00C505DE" w:rsidP="00C505DE">
            <w:pPr>
              <w:adjustRightInd w:val="0"/>
              <w:spacing w:after="0" w:line="240" w:lineRule="auto"/>
              <w:rPr>
                <w:rFonts w:ascii="Arial" w:hAnsi="Arial" w:cs="Arial"/>
                <w:i w:val="0"/>
                <w:color w:val="264A60"/>
                <w:sz w:val="18"/>
                <w:szCs w:val="18"/>
              </w:rPr>
            </w:pPr>
          </w:p>
        </w:tc>
        <w:tc>
          <w:tcPr>
            <w:tcW w:w="889" w:type="dxa"/>
            <w:vMerge/>
            <w:tcBorders>
              <w:top w:val="nil"/>
              <w:left w:val="single" w:sz="8" w:space="0" w:color="E0E0E0"/>
              <w:bottom w:val="nil"/>
              <w:right w:val="nil"/>
            </w:tcBorders>
            <w:shd w:val="clear" w:color="auto" w:fill="FFFFFF"/>
            <w:vAlign w:val="bottom"/>
          </w:tcPr>
          <w:p w14:paraId="076B5915" w14:textId="77777777" w:rsidR="00C505DE" w:rsidRPr="00C505DE" w:rsidRDefault="00C505DE" w:rsidP="00C505DE">
            <w:pPr>
              <w:adjustRightInd w:val="0"/>
              <w:spacing w:after="0" w:line="240" w:lineRule="auto"/>
              <w:rPr>
                <w:rFonts w:ascii="Arial" w:hAnsi="Arial" w:cs="Arial"/>
                <w:i w:val="0"/>
                <w:color w:val="264A60"/>
                <w:sz w:val="18"/>
                <w:szCs w:val="18"/>
              </w:rPr>
            </w:pPr>
          </w:p>
        </w:tc>
      </w:tr>
      <w:tr w:rsidR="00C505DE" w:rsidRPr="008F298C" w14:paraId="71513456" w14:textId="77777777" w:rsidTr="00C505DE">
        <w:trPr>
          <w:cantSplit/>
          <w:trHeight w:val="242"/>
          <w:jc w:val="center"/>
        </w:trPr>
        <w:tc>
          <w:tcPr>
            <w:tcW w:w="633" w:type="dxa"/>
            <w:vMerge w:val="restart"/>
            <w:tcBorders>
              <w:top w:val="single" w:sz="8" w:space="0" w:color="152935"/>
              <w:left w:val="nil"/>
              <w:bottom w:val="single" w:sz="8" w:space="0" w:color="152935"/>
              <w:right w:val="nil"/>
            </w:tcBorders>
            <w:shd w:val="clear" w:color="auto" w:fill="E0E0E0"/>
          </w:tcPr>
          <w:p w14:paraId="434EC744" w14:textId="77777777" w:rsidR="00C505DE" w:rsidRPr="00C505DE" w:rsidRDefault="00C505DE" w:rsidP="00C505DE">
            <w:pPr>
              <w:adjustRightInd w:val="0"/>
              <w:spacing w:after="0" w:line="240" w:lineRule="auto"/>
              <w:ind w:left="60" w:right="60"/>
              <w:rPr>
                <w:rFonts w:ascii="Arial" w:hAnsi="Arial" w:cs="Arial"/>
                <w:i w:val="0"/>
                <w:color w:val="264A60"/>
                <w:sz w:val="18"/>
                <w:szCs w:val="18"/>
              </w:rPr>
            </w:pPr>
            <w:r w:rsidRPr="00C505DE">
              <w:rPr>
                <w:rFonts w:ascii="Arial" w:hAnsi="Arial" w:cs="Arial"/>
                <w:i w:val="0"/>
                <w:color w:val="264A60"/>
                <w:sz w:val="18"/>
                <w:szCs w:val="18"/>
              </w:rPr>
              <w:t>1</w:t>
            </w:r>
          </w:p>
        </w:tc>
        <w:tc>
          <w:tcPr>
            <w:tcW w:w="1018" w:type="dxa"/>
            <w:tcBorders>
              <w:top w:val="single" w:sz="8" w:space="0" w:color="152935"/>
              <w:left w:val="nil"/>
              <w:bottom w:val="single" w:sz="8" w:space="0" w:color="AEAEAE"/>
              <w:right w:val="nil"/>
            </w:tcBorders>
            <w:shd w:val="clear" w:color="auto" w:fill="E0E0E0"/>
          </w:tcPr>
          <w:p w14:paraId="403F65CD" w14:textId="77777777" w:rsidR="00C505DE" w:rsidRPr="00C505DE" w:rsidRDefault="00C505DE" w:rsidP="00C505DE">
            <w:pPr>
              <w:adjustRightInd w:val="0"/>
              <w:spacing w:after="0" w:line="240" w:lineRule="auto"/>
              <w:ind w:left="60" w:right="60"/>
              <w:rPr>
                <w:rFonts w:ascii="Arial" w:hAnsi="Arial" w:cs="Arial"/>
                <w:i w:val="0"/>
                <w:color w:val="264A60"/>
                <w:sz w:val="18"/>
                <w:szCs w:val="18"/>
              </w:rPr>
            </w:pPr>
            <w:r w:rsidRPr="00C505DE">
              <w:rPr>
                <w:rFonts w:ascii="Arial" w:hAnsi="Arial" w:cs="Arial"/>
                <w:i w:val="0"/>
                <w:color w:val="264A60"/>
                <w:sz w:val="18"/>
                <w:szCs w:val="18"/>
              </w:rPr>
              <w:t>(Constant)</w:t>
            </w:r>
          </w:p>
        </w:tc>
        <w:tc>
          <w:tcPr>
            <w:tcW w:w="1150" w:type="dxa"/>
            <w:tcBorders>
              <w:top w:val="single" w:sz="8" w:space="0" w:color="152935"/>
              <w:left w:val="nil"/>
              <w:bottom w:val="single" w:sz="8" w:space="0" w:color="AEAEAE"/>
              <w:right w:val="single" w:sz="8" w:space="0" w:color="E0E0E0"/>
            </w:tcBorders>
            <w:shd w:val="clear" w:color="auto" w:fill="FFFFFF"/>
          </w:tcPr>
          <w:p w14:paraId="5B314B1A" w14:textId="77777777" w:rsidR="00C505DE" w:rsidRPr="00C505DE" w:rsidRDefault="00C505DE" w:rsidP="00C505DE">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34.828</w:t>
            </w:r>
          </w:p>
        </w:tc>
        <w:tc>
          <w:tcPr>
            <w:tcW w:w="1150" w:type="dxa"/>
            <w:tcBorders>
              <w:top w:val="single" w:sz="8" w:space="0" w:color="152935"/>
              <w:left w:val="single" w:sz="8" w:space="0" w:color="E0E0E0"/>
              <w:bottom w:val="single" w:sz="8" w:space="0" w:color="AEAEAE"/>
              <w:right w:val="single" w:sz="8" w:space="0" w:color="E0E0E0"/>
            </w:tcBorders>
            <w:shd w:val="clear" w:color="auto" w:fill="FFFFFF"/>
          </w:tcPr>
          <w:p w14:paraId="0D1B184A" w14:textId="77777777" w:rsidR="00C505DE" w:rsidRPr="00C505DE" w:rsidRDefault="00C505DE" w:rsidP="00C505DE">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63.090</w:t>
            </w:r>
          </w:p>
        </w:tc>
        <w:tc>
          <w:tcPr>
            <w:tcW w:w="1269"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37F7B50" w14:textId="77777777" w:rsidR="00C505DE" w:rsidRPr="00C505DE" w:rsidRDefault="00C505DE" w:rsidP="00C505DE">
            <w:pPr>
              <w:adjustRightInd w:val="0"/>
              <w:spacing w:after="0" w:line="240" w:lineRule="auto"/>
              <w:rPr>
                <w:i w:val="0"/>
                <w:sz w:val="24"/>
                <w:szCs w:val="24"/>
              </w:rPr>
            </w:pPr>
          </w:p>
        </w:tc>
        <w:tc>
          <w:tcPr>
            <w:tcW w:w="885" w:type="dxa"/>
            <w:tcBorders>
              <w:top w:val="single" w:sz="8" w:space="0" w:color="152935"/>
              <w:left w:val="single" w:sz="8" w:space="0" w:color="E0E0E0"/>
              <w:bottom w:val="single" w:sz="8" w:space="0" w:color="AEAEAE"/>
              <w:right w:val="single" w:sz="8" w:space="0" w:color="E0E0E0"/>
            </w:tcBorders>
            <w:shd w:val="clear" w:color="auto" w:fill="FFFFFF"/>
          </w:tcPr>
          <w:p w14:paraId="2CAAA140" w14:textId="77777777" w:rsidR="00C505DE" w:rsidRPr="00C505DE" w:rsidRDefault="00C505DE" w:rsidP="00C505DE">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.552</w:t>
            </w:r>
          </w:p>
        </w:tc>
        <w:tc>
          <w:tcPr>
            <w:tcW w:w="889" w:type="dxa"/>
            <w:tcBorders>
              <w:top w:val="single" w:sz="8" w:space="0" w:color="152935"/>
              <w:left w:val="single" w:sz="8" w:space="0" w:color="E0E0E0"/>
              <w:bottom w:val="single" w:sz="8" w:space="0" w:color="AEAEAE"/>
              <w:right w:val="nil"/>
            </w:tcBorders>
            <w:shd w:val="clear" w:color="auto" w:fill="FFFFFF"/>
          </w:tcPr>
          <w:p w14:paraId="28F8F163" w14:textId="77777777" w:rsidR="00C505DE" w:rsidRPr="00C505DE" w:rsidRDefault="00C505DE" w:rsidP="00C505DE">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.586</w:t>
            </w:r>
          </w:p>
        </w:tc>
      </w:tr>
      <w:tr w:rsidR="00C505DE" w:rsidRPr="008F298C" w14:paraId="0D2122FB" w14:textId="77777777" w:rsidTr="00C505DE">
        <w:trPr>
          <w:cantSplit/>
          <w:trHeight w:val="253"/>
          <w:jc w:val="center"/>
        </w:trPr>
        <w:tc>
          <w:tcPr>
            <w:tcW w:w="633" w:type="dxa"/>
            <w:vMerge/>
            <w:tcBorders>
              <w:top w:val="single" w:sz="8" w:space="0" w:color="152935"/>
              <w:left w:val="nil"/>
              <w:bottom w:val="single" w:sz="8" w:space="0" w:color="152935"/>
              <w:right w:val="nil"/>
            </w:tcBorders>
            <w:shd w:val="clear" w:color="auto" w:fill="E0E0E0"/>
          </w:tcPr>
          <w:p w14:paraId="5351AB1F" w14:textId="77777777" w:rsidR="00C505DE" w:rsidRPr="00C505DE" w:rsidRDefault="00C505DE" w:rsidP="00C505DE">
            <w:pPr>
              <w:adjustRightInd w:val="0"/>
              <w:spacing w:after="0" w:line="240" w:lineRule="auto"/>
              <w:rPr>
                <w:rFonts w:ascii="Arial" w:hAnsi="Arial" w:cs="Arial"/>
                <w:i w:val="0"/>
                <w:color w:val="010205"/>
                <w:sz w:val="18"/>
                <w:szCs w:val="18"/>
              </w:rPr>
            </w:pPr>
          </w:p>
        </w:tc>
        <w:tc>
          <w:tcPr>
            <w:tcW w:w="1018" w:type="dxa"/>
            <w:tcBorders>
              <w:top w:val="single" w:sz="8" w:space="0" w:color="AEAEAE"/>
              <w:left w:val="nil"/>
              <w:bottom w:val="single" w:sz="8" w:space="0" w:color="AEAEAE"/>
              <w:right w:val="nil"/>
            </w:tcBorders>
            <w:shd w:val="clear" w:color="auto" w:fill="E0E0E0"/>
          </w:tcPr>
          <w:p w14:paraId="7F1EA30B" w14:textId="77777777" w:rsidR="00C505DE" w:rsidRPr="00C505DE" w:rsidRDefault="00C505DE" w:rsidP="00C505DE">
            <w:pPr>
              <w:adjustRightInd w:val="0"/>
              <w:spacing w:after="0" w:line="240" w:lineRule="auto"/>
              <w:ind w:left="60" w:right="60"/>
              <w:rPr>
                <w:rFonts w:ascii="Arial" w:hAnsi="Arial" w:cs="Arial"/>
                <w:i w:val="0"/>
                <w:color w:val="264A60"/>
                <w:sz w:val="18"/>
                <w:szCs w:val="18"/>
              </w:rPr>
            </w:pPr>
            <w:r w:rsidRPr="00C505DE">
              <w:rPr>
                <w:rFonts w:ascii="Arial" w:hAnsi="Arial" w:cs="Arial"/>
                <w:i w:val="0"/>
                <w:color w:val="264A60"/>
                <w:sz w:val="18"/>
                <w:szCs w:val="18"/>
              </w:rPr>
              <w:t>NI_PBV</w:t>
            </w:r>
          </w:p>
        </w:tc>
        <w:tc>
          <w:tcPr>
            <w:tcW w:w="1150" w:type="dxa"/>
            <w:tcBorders>
              <w:top w:val="single" w:sz="8" w:space="0" w:color="AEAEAE"/>
              <w:left w:val="nil"/>
              <w:bottom w:val="single" w:sz="8" w:space="0" w:color="AEAEAE"/>
              <w:right w:val="single" w:sz="8" w:space="0" w:color="E0E0E0"/>
            </w:tcBorders>
            <w:shd w:val="clear" w:color="auto" w:fill="FFFFFF"/>
          </w:tcPr>
          <w:p w14:paraId="5561D495" w14:textId="77777777" w:rsidR="00C505DE" w:rsidRPr="00C505DE" w:rsidRDefault="00C505DE" w:rsidP="00C505DE">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-.035</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25252E13" w14:textId="77777777" w:rsidR="00C505DE" w:rsidRPr="00C505DE" w:rsidRDefault="00C505DE" w:rsidP="00C505DE">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.016</w:t>
            </w:r>
          </w:p>
        </w:tc>
        <w:tc>
          <w:tcPr>
            <w:tcW w:w="1269" w:type="dxa"/>
            <w:tcBorders>
              <w:top w:val="single" w:sz="8" w:space="0" w:color="AEAEAE"/>
              <w:left w:val="single" w:sz="8" w:space="0" w:color="E0E0E0"/>
              <w:bottom w:val="single" w:sz="8" w:space="0" w:color="AEAEAE"/>
              <w:right w:val="single" w:sz="8" w:space="0" w:color="E0E0E0"/>
            </w:tcBorders>
            <w:shd w:val="clear" w:color="auto" w:fill="FFFFFF"/>
          </w:tcPr>
          <w:p w14:paraId="1E654F7E" w14:textId="77777777" w:rsidR="00C505DE" w:rsidRPr="00C505DE" w:rsidRDefault="00C505DE" w:rsidP="00C505DE">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-.064</w:t>
            </w:r>
          </w:p>
        </w:tc>
        <w:tc>
          <w:tcPr>
            <w:tcW w:w="885" w:type="dxa"/>
            <w:tcBorders>
              <w:top w:val="single" w:sz="8" w:space="0" w:color="AEAEAE"/>
              <w:left w:val="single" w:sz="8" w:space="0" w:color="E0E0E0"/>
              <w:bottom w:val="single" w:sz="8" w:space="0" w:color="AEAEAE"/>
              <w:right w:val="single" w:sz="8" w:space="0" w:color="E0E0E0"/>
            </w:tcBorders>
            <w:shd w:val="clear" w:color="auto" w:fill="FFFFFF"/>
          </w:tcPr>
          <w:p w14:paraId="2FA75E48" w14:textId="77777777" w:rsidR="00C505DE" w:rsidRPr="00C505DE" w:rsidRDefault="00C505DE" w:rsidP="00C505DE">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-2.248</w:t>
            </w:r>
          </w:p>
        </w:tc>
        <w:tc>
          <w:tcPr>
            <w:tcW w:w="889" w:type="dxa"/>
            <w:tcBorders>
              <w:top w:val="single" w:sz="8" w:space="0" w:color="AEAEAE"/>
              <w:left w:val="single" w:sz="8" w:space="0" w:color="E0E0E0"/>
              <w:bottom w:val="single" w:sz="8" w:space="0" w:color="AEAEAE"/>
              <w:right w:val="nil"/>
            </w:tcBorders>
            <w:shd w:val="clear" w:color="auto" w:fill="FFFFFF"/>
          </w:tcPr>
          <w:p w14:paraId="42D8AAE6" w14:textId="77777777" w:rsidR="00C505DE" w:rsidRPr="00C505DE" w:rsidRDefault="00C505DE" w:rsidP="00C505DE">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.034</w:t>
            </w:r>
          </w:p>
        </w:tc>
      </w:tr>
      <w:tr w:rsidR="00C505DE" w:rsidRPr="008F298C" w14:paraId="5CCFC4C3" w14:textId="77777777" w:rsidTr="00C505DE">
        <w:trPr>
          <w:cantSplit/>
          <w:trHeight w:val="242"/>
          <w:jc w:val="center"/>
        </w:trPr>
        <w:tc>
          <w:tcPr>
            <w:tcW w:w="633" w:type="dxa"/>
            <w:vMerge/>
            <w:tcBorders>
              <w:top w:val="single" w:sz="8" w:space="0" w:color="152935"/>
              <w:left w:val="nil"/>
              <w:bottom w:val="single" w:sz="8" w:space="0" w:color="152935"/>
              <w:right w:val="nil"/>
            </w:tcBorders>
            <w:shd w:val="clear" w:color="auto" w:fill="E0E0E0"/>
          </w:tcPr>
          <w:p w14:paraId="4B47C077" w14:textId="77777777" w:rsidR="00C505DE" w:rsidRPr="00C505DE" w:rsidRDefault="00C505DE" w:rsidP="00C505DE">
            <w:pPr>
              <w:adjustRightInd w:val="0"/>
              <w:spacing w:after="0" w:line="240" w:lineRule="auto"/>
              <w:rPr>
                <w:rFonts w:ascii="Arial" w:hAnsi="Arial" w:cs="Arial"/>
                <w:i w:val="0"/>
                <w:color w:val="010205"/>
                <w:sz w:val="18"/>
                <w:szCs w:val="18"/>
              </w:rPr>
            </w:pPr>
          </w:p>
        </w:tc>
        <w:tc>
          <w:tcPr>
            <w:tcW w:w="1018" w:type="dxa"/>
            <w:tcBorders>
              <w:top w:val="single" w:sz="8" w:space="0" w:color="AEAEAE"/>
              <w:left w:val="nil"/>
              <w:bottom w:val="single" w:sz="8" w:space="0" w:color="152935"/>
              <w:right w:val="nil"/>
            </w:tcBorders>
            <w:shd w:val="clear" w:color="auto" w:fill="E0E0E0"/>
          </w:tcPr>
          <w:p w14:paraId="1AAF616F" w14:textId="77777777" w:rsidR="00C505DE" w:rsidRPr="00C505DE" w:rsidRDefault="00C505DE" w:rsidP="00C505DE">
            <w:pPr>
              <w:adjustRightInd w:val="0"/>
              <w:spacing w:after="0" w:line="240" w:lineRule="auto"/>
              <w:ind w:left="60" w:right="60"/>
              <w:rPr>
                <w:rFonts w:ascii="Arial" w:hAnsi="Arial" w:cs="Arial"/>
                <w:i w:val="0"/>
                <w:color w:val="264A60"/>
                <w:sz w:val="18"/>
                <w:szCs w:val="18"/>
              </w:rPr>
            </w:pPr>
            <w:r w:rsidRPr="00C505DE">
              <w:rPr>
                <w:rFonts w:ascii="Arial" w:hAnsi="Arial" w:cs="Arial"/>
                <w:i w:val="0"/>
                <w:color w:val="264A60"/>
                <w:sz w:val="18"/>
                <w:szCs w:val="18"/>
              </w:rPr>
              <w:t>NI_DDM</w:t>
            </w:r>
          </w:p>
        </w:tc>
        <w:tc>
          <w:tcPr>
            <w:tcW w:w="1150" w:type="dxa"/>
            <w:tcBorders>
              <w:top w:val="single" w:sz="8" w:space="0" w:color="AEAEAE"/>
              <w:left w:val="nil"/>
              <w:bottom w:val="single" w:sz="8" w:space="0" w:color="152935"/>
              <w:right w:val="single" w:sz="8" w:space="0" w:color="E0E0E0"/>
            </w:tcBorders>
            <w:shd w:val="clear" w:color="auto" w:fill="FFFFFF"/>
          </w:tcPr>
          <w:p w14:paraId="5539AEBF" w14:textId="77777777" w:rsidR="00C505DE" w:rsidRPr="00C505DE" w:rsidRDefault="00C505DE" w:rsidP="00C505DE">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.956</w:t>
            </w:r>
          </w:p>
        </w:tc>
        <w:tc>
          <w:tcPr>
            <w:tcW w:w="1150" w:type="dxa"/>
            <w:tcBorders>
              <w:top w:val="single" w:sz="8" w:space="0" w:color="AEAEAE"/>
              <w:left w:val="single" w:sz="8" w:space="0" w:color="E0E0E0"/>
              <w:bottom w:val="single" w:sz="8" w:space="0" w:color="152935"/>
              <w:right w:val="single" w:sz="8" w:space="0" w:color="E0E0E0"/>
            </w:tcBorders>
            <w:shd w:val="clear" w:color="auto" w:fill="FFFFFF"/>
          </w:tcPr>
          <w:p w14:paraId="20F1C3E8" w14:textId="77777777" w:rsidR="00C505DE" w:rsidRPr="00C505DE" w:rsidRDefault="00C505DE" w:rsidP="00C505DE">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.026</w:t>
            </w:r>
          </w:p>
        </w:tc>
        <w:tc>
          <w:tcPr>
            <w:tcW w:w="1269" w:type="dxa"/>
            <w:tcBorders>
              <w:top w:val="single" w:sz="8" w:space="0" w:color="AEAEAE"/>
              <w:left w:val="single" w:sz="8" w:space="0" w:color="E0E0E0"/>
              <w:bottom w:val="single" w:sz="8" w:space="0" w:color="152935"/>
              <w:right w:val="single" w:sz="8" w:space="0" w:color="E0E0E0"/>
            </w:tcBorders>
            <w:shd w:val="clear" w:color="auto" w:fill="FFFFFF"/>
          </w:tcPr>
          <w:p w14:paraId="75F5720C" w14:textId="77777777" w:rsidR="00C505DE" w:rsidRPr="00C505DE" w:rsidRDefault="00C505DE" w:rsidP="00C505DE">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1.045</w:t>
            </w:r>
          </w:p>
        </w:tc>
        <w:tc>
          <w:tcPr>
            <w:tcW w:w="885" w:type="dxa"/>
            <w:tcBorders>
              <w:top w:val="single" w:sz="8" w:space="0" w:color="AEAEAE"/>
              <w:left w:val="single" w:sz="8" w:space="0" w:color="E0E0E0"/>
              <w:bottom w:val="single" w:sz="8" w:space="0" w:color="152935"/>
              <w:right w:val="single" w:sz="8" w:space="0" w:color="E0E0E0"/>
            </w:tcBorders>
            <w:shd w:val="clear" w:color="auto" w:fill="FFFFFF"/>
          </w:tcPr>
          <w:p w14:paraId="64251D3C" w14:textId="77777777" w:rsidR="00C505DE" w:rsidRPr="00C505DE" w:rsidRDefault="00C505DE" w:rsidP="00C505DE">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36.811</w:t>
            </w:r>
          </w:p>
        </w:tc>
        <w:tc>
          <w:tcPr>
            <w:tcW w:w="889" w:type="dxa"/>
            <w:tcBorders>
              <w:top w:val="single" w:sz="8" w:space="0" w:color="AEAEAE"/>
              <w:left w:val="single" w:sz="8" w:space="0" w:color="E0E0E0"/>
              <w:bottom w:val="single" w:sz="8" w:space="0" w:color="152935"/>
              <w:right w:val="nil"/>
            </w:tcBorders>
            <w:shd w:val="clear" w:color="auto" w:fill="FFFFFF"/>
          </w:tcPr>
          <w:p w14:paraId="7EDF6FC5" w14:textId="77777777" w:rsidR="00C505DE" w:rsidRPr="00C505DE" w:rsidRDefault="00C505DE" w:rsidP="00C505DE">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.000</w:t>
            </w:r>
          </w:p>
        </w:tc>
      </w:tr>
      <w:tr w:rsidR="00C505DE" w:rsidRPr="008F298C" w14:paraId="3899BFBE" w14:textId="77777777" w:rsidTr="00C505DE">
        <w:trPr>
          <w:cantSplit/>
          <w:trHeight w:val="242"/>
          <w:jc w:val="center"/>
        </w:trPr>
        <w:tc>
          <w:tcPr>
            <w:tcW w:w="6994" w:type="dxa"/>
            <w:gridSpan w:val="7"/>
            <w:tcBorders>
              <w:top w:val="nil"/>
              <w:left w:val="nil"/>
              <w:bottom w:val="nil"/>
              <w:right w:val="nil"/>
            </w:tcBorders>
            <w:shd w:val="clear" w:color="auto" w:fill="FFFFFF"/>
          </w:tcPr>
          <w:p w14:paraId="29BC51C5" w14:textId="77777777" w:rsidR="00C505DE" w:rsidRPr="00C505DE" w:rsidRDefault="00C505DE" w:rsidP="00C505DE">
            <w:pPr>
              <w:adjustRightInd w:val="0"/>
              <w:spacing w:after="0" w:line="240" w:lineRule="auto"/>
              <w:ind w:left="60" w:right="60"/>
              <w:rPr>
                <w:rFonts w:ascii="Arial" w:hAnsi="Arial" w:cs="Arial"/>
                <w:i w:val="0"/>
                <w:color w:val="010205"/>
                <w:sz w:val="18"/>
                <w:szCs w:val="18"/>
              </w:rPr>
            </w:pPr>
            <w:r w:rsidRPr="00C505DE">
              <w:rPr>
                <w:rFonts w:ascii="Arial" w:hAnsi="Arial" w:cs="Arial"/>
                <w:i w:val="0"/>
                <w:color w:val="010205"/>
                <w:sz w:val="18"/>
                <w:szCs w:val="18"/>
              </w:rPr>
              <w:t xml:space="preserve">a. Dependent Variable: </w:t>
            </w:r>
            <w:proofErr w:type="spellStart"/>
            <w:r w:rsidRPr="00C505DE">
              <w:rPr>
                <w:rFonts w:ascii="Arial" w:hAnsi="Arial" w:cs="Arial"/>
                <w:i w:val="0"/>
                <w:color w:val="010205"/>
                <w:sz w:val="18"/>
                <w:szCs w:val="18"/>
              </w:rPr>
              <w:t>Harga_Saham</w:t>
            </w:r>
            <w:proofErr w:type="spellEnd"/>
          </w:p>
        </w:tc>
      </w:tr>
    </w:tbl>
    <w:p w14:paraId="3768DFCE" w14:textId="77777777" w:rsidR="00C505DE" w:rsidRDefault="00C505DE" w:rsidP="00C505DE">
      <w:pPr>
        <w:spacing w:after="0" w:line="240" w:lineRule="auto"/>
        <w:jc w:val="both"/>
        <w:rPr>
          <w:rFonts w:ascii="Times New Roman" w:hAnsi="Times New Roman" w:cs="Times New Roman"/>
          <w:i w:val="0"/>
          <w:sz w:val="24"/>
        </w:rPr>
      </w:pPr>
      <w:r w:rsidRPr="00C505DE">
        <w:rPr>
          <w:rFonts w:ascii="Times New Roman" w:hAnsi="Times New Roman" w:cs="Times New Roman"/>
          <w:i w:val="0"/>
          <w:sz w:val="24"/>
        </w:rPr>
        <w:t>Source: Processed data SPSS 25 (2021)</w:t>
      </w:r>
    </w:p>
    <w:p w14:paraId="61D486F3" w14:textId="0310D285" w:rsidR="00C505DE" w:rsidRPr="00C505DE" w:rsidRDefault="00C505DE" w:rsidP="00C505DE">
      <w:pPr>
        <w:spacing w:after="240" w:line="240" w:lineRule="auto"/>
        <w:jc w:val="both"/>
        <w:rPr>
          <w:rFonts w:ascii="Times New Roman" w:hAnsi="Times New Roman" w:cs="Times New Roman"/>
          <w:i w:val="0"/>
          <w:sz w:val="24"/>
        </w:rPr>
      </w:pPr>
      <w:r w:rsidRPr="00C505DE">
        <w:rPr>
          <w:rFonts w:ascii="Times New Roman" w:hAnsi="Times New Roman" w:cs="Times New Roman"/>
          <w:i w:val="0"/>
          <w:sz w:val="24"/>
        </w:rPr>
        <w:t>Based on the output results in this table, the results of multiple linear regression tests obtained the following regression equation: Y = 34,828 – 0.035 (PBV) + 0.956 (DDM)</w:t>
      </w:r>
    </w:p>
    <w:p w14:paraId="28496DED" w14:textId="77777777" w:rsidR="00C505DE" w:rsidRPr="00C505DE" w:rsidRDefault="00C505DE" w:rsidP="00C505DE">
      <w:pPr>
        <w:spacing w:after="0"/>
        <w:jc w:val="both"/>
        <w:rPr>
          <w:rFonts w:ascii="Times New Roman" w:hAnsi="Times New Roman" w:cs="Times New Roman"/>
          <w:i w:val="0"/>
          <w:sz w:val="24"/>
        </w:rPr>
      </w:pPr>
      <w:r w:rsidRPr="00C505DE">
        <w:rPr>
          <w:rFonts w:ascii="Times New Roman" w:hAnsi="Times New Roman" w:cs="Times New Roman"/>
          <w:i w:val="0"/>
          <w:sz w:val="24"/>
        </w:rPr>
        <w:t>Multiple linear regression test results include:</w:t>
      </w:r>
    </w:p>
    <w:p w14:paraId="240AD4EC" w14:textId="384EFE45" w:rsidR="00C505DE" w:rsidRPr="000711D0" w:rsidRDefault="00C505DE" w:rsidP="00C505DE">
      <w:pPr>
        <w:spacing w:after="0" w:line="240" w:lineRule="auto"/>
        <w:jc w:val="both"/>
        <w:rPr>
          <w:rFonts w:ascii="Times New Roman" w:hAnsi="Times New Roman" w:cs="Times New Roman"/>
          <w:b/>
          <w:i w:val="0"/>
          <w:sz w:val="24"/>
        </w:rPr>
      </w:pPr>
      <w:r w:rsidRPr="000711D0">
        <w:rPr>
          <w:rFonts w:ascii="Times New Roman" w:hAnsi="Times New Roman" w:cs="Times New Roman"/>
          <w:b/>
          <w:i w:val="0"/>
          <w:sz w:val="24"/>
        </w:rPr>
        <w:t>1. Test F Statistic</w:t>
      </w:r>
    </w:p>
    <w:p w14:paraId="4E972193" w14:textId="77777777" w:rsidR="00C505DE" w:rsidRPr="00C505DE" w:rsidRDefault="00C505DE" w:rsidP="00C505DE">
      <w:pPr>
        <w:spacing w:after="0" w:line="240" w:lineRule="auto"/>
        <w:jc w:val="both"/>
        <w:rPr>
          <w:rFonts w:ascii="Times New Roman" w:hAnsi="Times New Roman" w:cs="Times New Roman"/>
          <w:i w:val="0"/>
          <w:sz w:val="24"/>
        </w:rPr>
      </w:pPr>
      <w:r w:rsidRPr="00C505DE">
        <w:rPr>
          <w:rFonts w:ascii="Times New Roman" w:hAnsi="Times New Roman" w:cs="Times New Roman"/>
          <w:i w:val="0"/>
          <w:sz w:val="24"/>
        </w:rPr>
        <w:t>The following are the results of the intrinsic value F test obtained from the calculation of PBV and DDM for companies affected by the COVID-19 pandemic.</w:t>
      </w:r>
    </w:p>
    <w:p w14:paraId="747A1CCB" w14:textId="32C78530" w:rsidR="0050684C" w:rsidRDefault="0050684C" w:rsidP="008E0BC3">
      <w:pPr>
        <w:spacing w:after="0" w:line="240" w:lineRule="auto"/>
        <w:jc w:val="both"/>
        <w:rPr>
          <w:rFonts w:ascii="Times New Roman" w:hAnsi="Times New Roman" w:cs="Times New Roman"/>
          <w:b/>
          <w:i w:val="0"/>
          <w:sz w:val="24"/>
          <w:szCs w:val="24"/>
        </w:rPr>
      </w:pPr>
    </w:p>
    <w:tbl>
      <w:tblPr>
        <w:tblW w:w="80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1272"/>
        <w:gridCol w:w="1455"/>
        <w:gridCol w:w="1015"/>
        <w:gridCol w:w="1455"/>
        <w:gridCol w:w="1076"/>
        <w:gridCol w:w="1017"/>
      </w:tblGrid>
      <w:tr w:rsidR="00C505DE" w:rsidRPr="00C505DE" w14:paraId="67EE7056" w14:textId="77777777" w:rsidTr="00283179">
        <w:trPr>
          <w:cantSplit/>
          <w:trHeight w:val="333"/>
          <w:jc w:val="center"/>
        </w:trPr>
        <w:tc>
          <w:tcPr>
            <w:tcW w:w="8016" w:type="dxa"/>
            <w:gridSpan w:val="7"/>
            <w:tcBorders>
              <w:top w:val="nil"/>
              <w:left w:val="nil"/>
              <w:bottom w:val="nil"/>
              <w:right w:val="nil"/>
            </w:tcBorders>
            <w:shd w:val="clear" w:color="auto" w:fill="FFFFFF"/>
            <w:vAlign w:val="center"/>
          </w:tcPr>
          <w:p w14:paraId="6C7BE433" w14:textId="77777777" w:rsidR="00C505DE" w:rsidRPr="00C505DE" w:rsidRDefault="00C505DE" w:rsidP="000711D0">
            <w:pPr>
              <w:adjustRightInd w:val="0"/>
              <w:spacing w:after="0" w:line="240" w:lineRule="auto"/>
              <w:ind w:left="60" w:right="60"/>
              <w:jc w:val="center"/>
              <w:rPr>
                <w:rFonts w:ascii="Arial" w:hAnsi="Arial" w:cs="Arial"/>
                <w:i w:val="0"/>
                <w:color w:val="010205"/>
                <w:sz w:val="18"/>
              </w:rPr>
            </w:pPr>
            <w:proofErr w:type="spellStart"/>
            <w:r w:rsidRPr="00C505DE">
              <w:rPr>
                <w:rFonts w:ascii="Arial" w:hAnsi="Arial" w:cs="Arial"/>
                <w:b/>
                <w:bCs/>
                <w:i w:val="0"/>
                <w:color w:val="010205"/>
                <w:sz w:val="18"/>
              </w:rPr>
              <w:t>ANOVA</w:t>
            </w:r>
            <w:r w:rsidRPr="00C505DE">
              <w:rPr>
                <w:rFonts w:ascii="Arial" w:hAnsi="Arial" w:cs="Arial"/>
                <w:b/>
                <w:bCs/>
                <w:i w:val="0"/>
                <w:color w:val="010205"/>
                <w:sz w:val="18"/>
                <w:vertAlign w:val="superscript"/>
              </w:rPr>
              <w:t>a</w:t>
            </w:r>
            <w:proofErr w:type="spellEnd"/>
          </w:p>
        </w:tc>
      </w:tr>
      <w:tr w:rsidR="00C505DE" w:rsidRPr="00C505DE" w14:paraId="5E0D9C9B" w14:textId="77777777" w:rsidTr="00283179">
        <w:trPr>
          <w:cantSplit/>
          <w:trHeight w:val="349"/>
          <w:jc w:val="center"/>
        </w:trPr>
        <w:tc>
          <w:tcPr>
            <w:tcW w:w="1998" w:type="dxa"/>
            <w:gridSpan w:val="2"/>
            <w:tcBorders>
              <w:top w:val="nil"/>
              <w:left w:val="nil"/>
              <w:bottom w:val="single" w:sz="8" w:space="0" w:color="152935"/>
              <w:right w:val="nil"/>
            </w:tcBorders>
            <w:shd w:val="clear" w:color="auto" w:fill="FFFFFF"/>
            <w:vAlign w:val="bottom"/>
          </w:tcPr>
          <w:p w14:paraId="41587E2A" w14:textId="77777777" w:rsidR="00C505DE" w:rsidRPr="00C505DE" w:rsidRDefault="00C505DE" w:rsidP="000711D0">
            <w:pPr>
              <w:adjustRightInd w:val="0"/>
              <w:spacing w:after="0" w:line="240" w:lineRule="auto"/>
              <w:ind w:left="60" w:right="60"/>
              <w:rPr>
                <w:rFonts w:ascii="Arial" w:hAnsi="Arial" w:cs="Arial"/>
                <w:i w:val="0"/>
                <w:color w:val="264A60"/>
                <w:sz w:val="18"/>
                <w:szCs w:val="18"/>
              </w:rPr>
            </w:pPr>
            <w:r w:rsidRPr="00C505DE">
              <w:rPr>
                <w:rFonts w:ascii="Arial" w:hAnsi="Arial" w:cs="Arial"/>
                <w:i w:val="0"/>
                <w:color w:val="264A60"/>
                <w:sz w:val="18"/>
                <w:szCs w:val="18"/>
              </w:rPr>
              <w:t>Model</w:t>
            </w:r>
          </w:p>
        </w:tc>
        <w:tc>
          <w:tcPr>
            <w:tcW w:w="1455" w:type="dxa"/>
            <w:tcBorders>
              <w:top w:val="nil"/>
              <w:left w:val="nil"/>
              <w:bottom w:val="single" w:sz="8" w:space="0" w:color="152935"/>
              <w:right w:val="single" w:sz="8" w:space="0" w:color="E0E0E0"/>
            </w:tcBorders>
            <w:shd w:val="clear" w:color="auto" w:fill="FFFFFF"/>
            <w:vAlign w:val="bottom"/>
          </w:tcPr>
          <w:p w14:paraId="7AECF2D0" w14:textId="77777777" w:rsidR="00C505DE" w:rsidRPr="00C505DE" w:rsidRDefault="00C505DE" w:rsidP="000711D0">
            <w:pPr>
              <w:adjustRightInd w:val="0"/>
              <w:spacing w:after="0" w:line="240" w:lineRule="auto"/>
              <w:ind w:left="60" w:right="60"/>
              <w:jc w:val="center"/>
              <w:rPr>
                <w:rFonts w:ascii="Arial" w:hAnsi="Arial" w:cs="Arial"/>
                <w:i w:val="0"/>
                <w:color w:val="264A60"/>
                <w:sz w:val="18"/>
                <w:szCs w:val="18"/>
              </w:rPr>
            </w:pPr>
            <w:r w:rsidRPr="00C505DE">
              <w:rPr>
                <w:rFonts w:ascii="Arial" w:hAnsi="Arial" w:cs="Arial"/>
                <w:i w:val="0"/>
                <w:color w:val="264A60"/>
                <w:sz w:val="18"/>
                <w:szCs w:val="18"/>
              </w:rPr>
              <w:t>Sum of Squares</w:t>
            </w:r>
          </w:p>
        </w:tc>
        <w:tc>
          <w:tcPr>
            <w:tcW w:w="1015" w:type="dxa"/>
            <w:tcBorders>
              <w:top w:val="nil"/>
              <w:left w:val="single" w:sz="8" w:space="0" w:color="E0E0E0"/>
              <w:bottom w:val="single" w:sz="8" w:space="0" w:color="152935"/>
              <w:right w:val="single" w:sz="8" w:space="0" w:color="E0E0E0"/>
            </w:tcBorders>
            <w:shd w:val="clear" w:color="auto" w:fill="FFFFFF"/>
            <w:vAlign w:val="bottom"/>
          </w:tcPr>
          <w:p w14:paraId="6F2C026E" w14:textId="77777777" w:rsidR="00C505DE" w:rsidRPr="00C505DE" w:rsidRDefault="00C505DE" w:rsidP="000711D0">
            <w:pPr>
              <w:adjustRightInd w:val="0"/>
              <w:spacing w:after="0" w:line="240" w:lineRule="auto"/>
              <w:ind w:left="60" w:right="60"/>
              <w:jc w:val="center"/>
              <w:rPr>
                <w:rFonts w:ascii="Arial" w:hAnsi="Arial" w:cs="Arial"/>
                <w:i w:val="0"/>
                <w:color w:val="264A60"/>
                <w:sz w:val="18"/>
                <w:szCs w:val="18"/>
              </w:rPr>
            </w:pPr>
            <w:r w:rsidRPr="00C505DE">
              <w:rPr>
                <w:rFonts w:ascii="Arial" w:hAnsi="Arial" w:cs="Arial"/>
                <w:i w:val="0"/>
                <w:color w:val="264A60"/>
                <w:sz w:val="18"/>
                <w:szCs w:val="18"/>
              </w:rPr>
              <w:t>df</w:t>
            </w:r>
          </w:p>
        </w:tc>
        <w:tc>
          <w:tcPr>
            <w:tcW w:w="1455" w:type="dxa"/>
            <w:tcBorders>
              <w:top w:val="nil"/>
              <w:left w:val="single" w:sz="8" w:space="0" w:color="E0E0E0"/>
              <w:bottom w:val="single" w:sz="8" w:space="0" w:color="152935"/>
              <w:right w:val="single" w:sz="8" w:space="0" w:color="E0E0E0"/>
            </w:tcBorders>
            <w:shd w:val="clear" w:color="auto" w:fill="FFFFFF"/>
            <w:vAlign w:val="bottom"/>
          </w:tcPr>
          <w:p w14:paraId="06663352" w14:textId="77777777" w:rsidR="00C505DE" w:rsidRPr="00C505DE" w:rsidRDefault="00C505DE" w:rsidP="000711D0">
            <w:pPr>
              <w:adjustRightInd w:val="0"/>
              <w:spacing w:after="0" w:line="240" w:lineRule="auto"/>
              <w:ind w:left="60" w:right="60"/>
              <w:jc w:val="center"/>
              <w:rPr>
                <w:rFonts w:ascii="Arial" w:hAnsi="Arial" w:cs="Arial"/>
                <w:i w:val="0"/>
                <w:color w:val="264A60"/>
                <w:sz w:val="18"/>
                <w:szCs w:val="18"/>
              </w:rPr>
            </w:pPr>
            <w:r w:rsidRPr="00C505DE">
              <w:rPr>
                <w:rFonts w:ascii="Arial" w:hAnsi="Arial" w:cs="Arial"/>
                <w:i w:val="0"/>
                <w:color w:val="264A60"/>
                <w:sz w:val="18"/>
                <w:szCs w:val="18"/>
              </w:rPr>
              <w:t>Mean Square</w:t>
            </w:r>
          </w:p>
        </w:tc>
        <w:tc>
          <w:tcPr>
            <w:tcW w:w="1076" w:type="dxa"/>
            <w:tcBorders>
              <w:top w:val="nil"/>
              <w:left w:val="single" w:sz="8" w:space="0" w:color="E0E0E0"/>
              <w:bottom w:val="single" w:sz="8" w:space="0" w:color="152935"/>
              <w:right w:val="single" w:sz="8" w:space="0" w:color="E0E0E0"/>
            </w:tcBorders>
            <w:shd w:val="clear" w:color="auto" w:fill="FFFFFF"/>
            <w:vAlign w:val="bottom"/>
          </w:tcPr>
          <w:p w14:paraId="19CB7FEC" w14:textId="77777777" w:rsidR="00C505DE" w:rsidRPr="00C505DE" w:rsidRDefault="00C505DE" w:rsidP="000711D0">
            <w:pPr>
              <w:adjustRightInd w:val="0"/>
              <w:spacing w:after="0" w:line="240" w:lineRule="auto"/>
              <w:ind w:left="60" w:right="60"/>
              <w:jc w:val="center"/>
              <w:rPr>
                <w:rFonts w:ascii="Arial" w:hAnsi="Arial" w:cs="Arial"/>
                <w:i w:val="0"/>
                <w:color w:val="264A60"/>
                <w:sz w:val="18"/>
                <w:szCs w:val="18"/>
              </w:rPr>
            </w:pPr>
            <w:r w:rsidRPr="00C505DE">
              <w:rPr>
                <w:rFonts w:ascii="Arial" w:hAnsi="Arial" w:cs="Arial"/>
                <w:i w:val="0"/>
                <w:color w:val="264A60"/>
                <w:sz w:val="18"/>
                <w:szCs w:val="18"/>
              </w:rPr>
              <w:t>F</w:t>
            </w:r>
          </w:p>
        </w:tc>
        <w:tc>
          <w:tcPr>
            <w:tcW w:w="1015" w:type="dxa"/>
            <w:tcBorders>
              <w:top w:val="nil"/>
              <w:left w:val="single" w:sz="8" w:space="0" w:color="E0E0E0"/>
              <w:bottom w:val="single" w:sz="8" w:space="0" w:color="152935"/>
              <w:right w:val="nil"/>
            </w:tcBorders>
            <w:shd w:val="clear" w:color="auto" w:fill="FFFFFF"/>
            <w:vAlign w:val="bottom"/>
          </w:tcPr>
          <w:p w14:paraId="2EF73DE1" w14:textId="77777777" w:rsidR="00C505DE" w:rsidRPr="00C505DE" w:rsidRDefault="00C505DE" w:rsidP="000711D0">
            <w:pPr>
              <w:adjustRightInd w:val="0"/>
              <w:spacing w:after="0" w:line="240" w:lineRule="auto"/>
              <w:ind w:left="60" w:right="60"/>
              <w:jc w:val="center"/>
              <w:rPr>
                <w:rFonts w:ascii="Arial" w:hAnsi="Arial" w:cs="Arial"/>
                <w:i w:val="0"/>
                <w:color w:val="264A60"/>
                <w:sz w:val="18"/>
                <w:szCs w:val="18"/>
              </w:rPr>
            </w:pPr>
            <w:r w:rsidRPr="00C505DE">
              <w:rPr>
                <w:rFonts w:ascii="Arial" w:hAnsi="Arial" w:cs="Arial"/>
                <w:i w:val="0"/>
                <w:color w:val="264A60"/>
                <w:sz w:val="18"/>
                <w:szCs w:val="18"/>
              </w:rPr>
              <w:t>Sig.</w:t>
            </w:r>
          </w:p>
        </w:tc>
      </w:tr>
      <w:tr w:rsidR="00C505DE" w:rsidRPr="00C505DE" w14:paraId="65B33C92" w14:textId="77777777" w:rsidTr="00283179">
        <w:trPr>
          <w:cantSplit/>
          <w:trHeight w:val="333"/>
          <w:jc w:val="center"/>
        </w:trPr>
        <w:tc>
          <w:tcPr>
            <w:tcW w:w="726" w:type="dxa"/>
            <w:vMerge w:val="restart"/>
            <w:tcBorders>
              <w:top w:val="single" w:sz="8" w:space="0" w:color="152935"/>
              <w:left w:val="nil"/>
              <w:bottom w:val="single" w:sz="8" w:space="0" w:color="152935"/>
              <w:right w:val="nil"/>
            </w:tcBorders>
            <w:shd w:val="clear" w:color="auto" w:fill="E0E0E0"/>
          </w:tcPr>
          <w:p w14:paraId="4B3DC52B" w14:textId="77777777" w:rsidR="00C505DE" w:rsidRPr="00C505DE" w:rsidRDefault="00C505DE" w:rsidP="000711D0">
            <w:pPr>
              <w:adjustRightInd w:val="0"/>
              <w:spacing w:after="0" w:line="240" w:lineRule="auto"/>
              <w:ind w:left="60" w:right="60"/>
              <w:rPr>
                <w:rFonts w:ascii="Arial" w:hAnsi="Arial" w:cs="Arial"/>
                <w:i w:val="0"/>
                <w:color w:val="264A60"/>
                <w:sz w:val="18"/>
                <w:szCs w:val="18"/>
              </w:rPr>
            </w:pPr>
            <w:r w:rsidRPr="00C505DE">
              <w:rPr>
                <w:rFonts w:ascii="Arial" w:hAnsi="Arial" w:cs="Arial"/>
                <w:i w:val="0"/>
                <w:color w:val="264A60"/>
                <w:sz w:val="18"/>
                <w:szCs w:val="18"/>
              </w:rPr>
              <w:t>1</w:t>
            </w:r>
          </w:p>
        </w:tc>
        <w:tc>
          <w:tcPr>
            <w:tcW w:w="1272" w:type="dxa"/>
            <w:tcBorders>
              <w:top w:val="single" w:sz="8" w:space="0" w:color="152935"/>
              <w:left w:val="nil"/>
              <w:bottom w:val="single" w:sz="8" w:space="0" w:color="AEAEAE"/>
              <w:right w:val="nil"/>
            </w:tcBorders>
            <w:shd w:val="clear" w:color="auto" w:fill="E0E0E0"/>
          </w:tcPr>
          <w:p w14:paraId="1BC1DAD0" w14:textId="77777777" w:rsidR="00C505DE" w:rsidRPr="00C505DE" w:rsidRDefault="00C505DE" w:rsidP="000711D0">
            <w:pPr>
              <w:adjustRightInd w:val="0"/>
              <w:spacing w:after="0" w:line="240" w:lineRule="auto"/>
              <w:ind w:left="60" w:right="60"/>
              <w:rPr>
                <w:rFonts w:ascii="Arial" w:hAnsi="Arial" w:cs="Arial"/>
                <w:i w:val="0"/>
                <w:color w:val="264A60"/>
                <w:sz w:val="18"/>
                <w:szCs w:val="18"/>
              </w:rPr>
            </w:pPr>
            <w:r w:rsidRPr="00C505DE">
              <w:rPr>
                <w:rFonts w:ascii="Arial" w:hAnsi="Arial" w:cs="Arial"/>
                <w:i w:val="0"/>
                <w:color w:val="264A60"/>
                <w:sz w:val="18"/>
                <w:szCs w:val="18"/>
              </w:rPr>
              <w:t>Regression</w:t>
            </w:r>
          </w:p>
        </w:tc>
        <w:tc>
          <w:tcPr>
            <w:tcW w:w="1455" w:type="dxa"/>
            <w:tcBorders>
              <w:top w:val="single" w:sz="8" w:space="0" w:color="152935"/>
              <w:left w:val="nil"/>
              <w:bottom w:val="single" w:sz="8" w:space="0" w:color="AEAEAE"/>
              <w:right w:val="single" w:sz="8" w:space="0" w:color="E0E0E0"/>
            </w:tcBorders>
            <w:shd w:val="clear" w:color="auto" w:fill="FFFFFF"/>
          </w:tcPr>
          <w:p w14:paraId="76F42F62" w14:textId="77777777" w:rsidR="00C505DE" w:rsidRPr="00C505DE" w:rsidRDefault="00C505DE" w:rsidP="000711D0">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157239944.940</w:t>
            </w:r>
          </w:p>
        </w:tc>
        <w:tc>
          <w:tcPr>
            <w:tcW w:w="1015" w:type="dxa"/>
            <w:tcBorders>
              <w:top w:val="single" w:sz="8" w:space="0" w:color="152935"/>
              <w:left w:val="single" w:sz="8" w:space="0" w:color="E0E0E0"/>
              <w:bottom w:val="single" w:sz="8" w:space="0" w:color="AEAEAE"/>
              <w:right w:val="single" w:sz="8" w:space="0" w:color="E0E0E0"/>
            </w:tcBorders>
            <w:shd w:val="clear" w:color="auto" w:fill="FFFFFF"/>
          </w:tcPr>
          <w:p w14:paraId="10CAA9EE" w14:textId="77777777" w:rsidR="00C505DE" w:rsidRPr="00C505DE" w:rsidRDefault="00C505DE" w:rsidP="000711D0">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2</w:t>
            </w:r>
          </w:p>
        </w:tc>
        <w:tc>
          <w:tcPr>
            <w:tcW w:w="1455" w:type="dxa"/>
            <w:tcBorders>
              <w:top w:val="single" w:sz="8" w:space="0" w:color="152935"/>
              <w:left w:val="single" w:sz="8" w:space="0" w:color="E0E0E0"/>
              <w:bottom w:val="single" w:sz="8" w:space="0" w:color="AEAEAE"/>
              <w:right w:val="single" w:sz="8" w:space="0" w:color="E0E0E0"/>
            </w:tcBorders>
            <w:shd w:val="clear" w:color="auto" w:fill="FFFFFF"/>
          </w:tcPr>
          <w:p w14:paraId="49E5D585" w14:textId="77777777" w:rsidR="00C505DE" w:rsidRPr="00C505DE" w:rsidRDefault="00C505DE" w:rsidP="000711D0">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78619972.470</w:t>
            </w:r>
          </w:p>
        </w:tc>
        <w:tc>
          <w:tcPr>
            <w:tcW w:w="1076" w:type="dxa"/>
            <w:tcBorders>
              <w:top w:val="single" w:sz="8" w:space="0" w:color="152935"/>
              <w:left w:val="single" w:sz="8" w:space="0" w:color="E0E0E0"/>
              <w:bottom w:val="single" w:sz="8" w:space="0" w:color="AEAEAE"/>
              <w:right w:val="single" w:sz="8" w:space="0" w:color="E0E0E0"/>
            </w:tcBorders>
            <w:shd w:val="clear" w:color="auto" w:fill="FFFFFF"/>
          </w:tcPr>
          <w:p w14:paraId="113D22CA" w14:textId="77777777" w:rsidR="00C505DE" w:rsidRPr="00C505DE" w:rsidRDefault="00C505DE" w:rsidP="000711D0">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1603.442</w:t>
            </w:r>
          </w:p>
        </w:tc>
        <w:tc>
          <w:tcPr>
            <w:tcW w:w="1015" w:type="dxa"/>
            <w:tcBorders>
              <w:top w:val="single" w:sz="8" w:space="0" w:color="152935"/>
              <w:left w:val="single" w:sz="8" w:space="0" w:color="E0E0E0"/>
              <w:bottom w:val="single" w:sz="8" w:space="0" w:color="AEAEAE"/>
              <w:right w:val="nil"/>
            </w:tcBorders>
            <w:shd w:val="clear" w:color="auto" w:fill="FFFFFF"/>
          </w:tcPr>
          <w:p w14:paraId="716C6031" w14:textId="77777777" w:rsidR="00C505DE" w:rsidRPr="00C505DE" w:rsidRDefault="00C505DE" w:rsidP="000711D0">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.000</w:t>
            </w:r>
            <w:r w:rsidRPr="00C505DE">
              <w:rPr>
                <w:rFonts w:ascii="Arial" w:hAnsi="Arial" w:cs="Arial"/>
                <w:i w:val="0"/>
                <w:color w:val="010205"/>
                <w:sz w:val="18"/>
                <w:szCs w:val="18"/>
                <w:vertAlign w:val="superscript"/>
              </w:rPr>
              <w:t>b</w:t>
            </w:r>
          </w:p>
        </w:tc>
      </w:tr>
      <w:tr w:rsidR="00C505DE" w:rsidRPr="00C505DE" w14:paraId="6EC400C2" w14:textId="77777777" w:rsidTr="00283179">
        <w:trPr>
          <w:cantSplit/>
          <w:trHeight w:val="365"/>
          <w:jc w:val="center"/>
        </w:trPr>
        <w:tc>
          <w:tcPr>
            <w:tcW w:w="726" w:type="dxa"/>
            <w:vMerge/>
            <w:tcBorders>
              <w:top w:val="single" w:sz="8" w:space="0" w:color="152935"/>
              <w:left w:val="nil"/>
              <w:bottom w:val="single" w:sz="8" w:space="0" w:color="152935"/>
              <w:right w:val="nil"/>
            </w:tcBorders>
            <w:shd w:val="clear" w:color="auto" w:fill="E0E0E0"/>
          </w:tcPr>
          <w:p w14:paraId="2827A826" w14:textId="77777777" w:rsidR="00C505DE" w:rsidRPr="00C505DE" w:rsidRDefault="00C505DE" w:rsidP="000711D0">
            <w:pPr>
              <w:adjustRightInd w:val="0"/>
              <w:spacing w:after="0" w:line="240" w:lineRule="auto"/>
              <w:rPr>
                <w:rFonts w:ascii="Arial" w:hAnsi="Arial" w:cs="Arial"/>
                <w:i w:val="0"/>
                <w:color w:val="010205"/>
                <w:sz w:val="18"/>
                <w:szCs w:val="18"/>
              </w:rPr>
            </w:pPr>
          </w:p>
        </w:tc>
        <w:tc>
          <w:tcPr>
            <w:tcW w:w="1272" w:type="dxa"/>
            <w:tcBorders>
              <w:top w:val="single" w:sz="8" w:space="0" w:color="AEAEAE"/>
              <w:left w:val="nil"/>
              <w:bottom w:val="single" w:sz="8" w:space="0" w:color="AEAEAE"/>
              <w:right w:val="nil"/>
            </w:tcBorders>
            <w:shd w:val="clear" w:color="auto" w:fill="E0E0E0"/>
          </w:tcPr>
          <w:p w14:paraId="146A7DFE" w14:textId="77777777" w:rsidR="00C505DE" w:rsidRPr="00C505DE" w:rsidRDefault="00C505DE" w:rsidP="000711D0">
            <w:pPr>
              <w:adjustRightInd w:val="0"/>
              <w:spacing w:after="0" w:line="240" w:lineRule="auto"/>
              <w:ind w:left="60" w:right="60"/>
              <w:rPr>
                <w:rFonts w:ascii="Arial" w:hAnsi="Arial" w:cs="Arial"/>
                <w:i w:val="0"/>
                <w:color w:val="264A60"/>
                <w:sz w:val="18"/>
                <w:szCs w:val="18"/>
              </w:rPr>
            </w:pPr>
            <w:r w:rsidRPr="00C505DE">
              <w:rPr>
                <w:rFonts w:ascii="Arial" w:hAnsi="Arial" w:cs="Arial"/>
                <w:i w:val="0"/>
                <w:color w:val="264A60"/>
                <w:sz w:val="18"/>
                <w:szCs w:val="18"/>
              </w:rPr>
              <w:t>Residual</w:t>
            </w:r>
          </w:p>
        </w:tc>
        <w:tc>
          <w:tcPr>
            <w:tcW w:w="1455" w:type="dxa"/>
            <w:tcBorders>
              <w:top w:val="single" w:sz="8" w:space="0" w:color="AEAEAE"/>
              <w:left w:val="nil"/>
              <w:bottom w:val="single" w:sz="8" w:space="0" w:color="AEAEAE"/>
              <w:right w:val="single" w:sz="8" w:space="0" w:color="E0E0E0"/>
            </w:tcBorders>
            <w:shd w:val="clear" w:color="auto" w:fill="FFFFFF"/>
          </w:tcPr>
          <w:p w14:paraId="547037FD" w14:textId="77777777" w:rsidR="00C505DE" w:rsidRPr="00C505DE" w:rsidRDefault="00C505DE" w:rsidP="000711D0">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1225800.024</w:t>
            </w:r>
          </w:p>
        </w:tc>
        <w:tc>
          <w:tcPr>
            <w:tcW w:w="1015" w:type="dxa"/>
            <w:tcBorders>
              <w:top w:val="single" w:sz="8" w:space="0" w:color="AEAEAE"/>
              <w:left w:val="single" w:sz="8" w:space="0" w:color="E0E0E0"/>
              <w:bottom w:val="single" w:sz="8" w:space="0" w:color="AEAEAE"/>
              <w:right w:val="single" w:sz="8" w:space="0" w:color="E0E0E0"/>
            </w:tcBorders>
            <w:shd w:val="clear" w:color="auto" w:fill="FFFFFF"/>
          </w:tcPr>
          <w:p w14:paraId="7020C005" w14:textId="77777777" w:rsidR="00C505DE" w:rsidRPr="00C505DE" w:rsidRDefault="00C505DE" w:rsidP="000711D0">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25</w:t>
            </w:r>
          </w:p>
        </w:tc>
        <w:tc>
          <w:tcPr>
            <w:tcW w:w="1455" w:type="dxa"/>
            <w:tcBorders>
              <w:top w:val="single" w:sz="8" w:space="0" w:color="AEAEAE"/>
              <w:left w:val="single" w:sz="8" w:space="0" w:color="E0E0E0"/>
              <w:bottom w:val="single" w:sz="8" w:space="0" w:color="AEAEAE"/>
              <w:right w:val="single" w:sz="8" w:space="0" w:color="E0E0E0"/>
            </w:tcBorders>
            <w:shd w:val="clear" w:color="auto" w:fill="FFFFFF"/>
          </w:tcPr>
          <w:p w14:paraId="33737B39" w14:textId="77777777" w:rsidR="00C505DE" w:rsidRPr="00C505DE" w:rsidRDefault="00C505DE" w:rsidP="000711D0">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49032.001</w:t>
            </w:r>
          </w:p>
        </w:tc>
        <w:tc>
          <w:tcPr>
            <w:tcW w:w="1076"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04B19D6" w14:textId="77777777" w:rsidR="00C505DE" w:rsidRPr="00C505DE" w:rsidRDefault="00C505DE" w:rsidP="000711D0">
            <w:pPr>
              <w:adjustRightInd w:val="0"/>
              <w:spacing w:after="0" w:line="240" w:lineRule="auto"/>
              <w:rPr>
                <w:i w:val="0"/>
                <w:sz w:val="18"/>
                <w:szCs w:val="24"/>
              </w:rPr>
            </w:pPr>
          </w:p>
        </w:tc>
        <w:tc>
          <w:tcPr>
            <w:tcW w:w="1015" w:type="dxa"/>
            <w:tcBorders>
              <w:top w:val="single" w:sz="8" w:space="0" w:color="AEAEAE"/>
              <w:left w:val="single" w:sz="8" w:space="0" w:color="E0E0E0"/>
              <w:bottom w:val="single" w:sz="8" w:space="0" w:color="AEAEAE"/>
              <w:right w:val="nil"/>
            </w:tcBorders>
            <w:shd w:val="clear" w:color="auto" w:fill="FFFFFF"/>
            <w:vAlign w:val="center"/>
          </w:tcPr>
          <w:p w14:paraId="0C2B28AC" w14:textId="77777777" w:rsidR="00C505DE" w:rsidRPr="00C505DE" w:rsidRDefault="00C505DE" w:rsidP="000711D0">
            <w:pPr>
              <w:adjustRightInd w:val="0"/>
              <w:spacing w:after="0" w:line="240" w:lineRule="auto"/>
              <w:rPr>
                <w:i w:val="0"/>
                <w:sz w:val="24"/>
                <w:szCs w:val="24"/>
              </w:rPr>
            </w:pPr>
          </w:p>
        </w:tc>
      </w:tr>
      <w:tr w:rsidR="00C505DE" w:rsidRPr="00C505DE" w14:paraId="2A3EF696" w14:textId="77777777" w:rsidTr="00283179">
        <w:trPr>
          <w:cantSplit/>
          <w:trHeight w:val="365"/>
          <w:jc w:val="center"/>
        </w:trPr>
        <w:tc>
          <w:tcPr>
            <w:tcW w:w="726" w:type="dxa"/>
            <w:vMerge/>
            <w:tcBorders>
              <w:top w:val="single" w:sz="8" w:space="0" w:color="152935"/>
              <w:left w:val="nil"/>
              <w:bottom w:val="single" w:sz="8" w:space="0" w:color="152935"/>
              <w:right w:val="nil"/>
            </w:tcBorders>
            <w:shd w:val="clear" w:color="auto" w:fill="E0E0E0"/>
          </w:tcPr>
          <w:p w14:paraId="705E0E1B" w14:textId="77777777" w:rsidR="00C505DE" w:rsidRPr="00C505DE" w:rsidRDefault="00C505DE" w:rsidP="000711D0">
            <w:pPr>
              <w:adjustRightInd w:val="0"/>
              <w:spacing w:after="0" w:line="240" w:lineRule="auto"/>
              <w:rPr>
                <w:i w:val="0"/>
                <w:sz w:val="24"/>
                <w:szCs w:val="24"/>
              </w:rPr>
            </w:pPr>
          </w:p>
        </w:tc>
        <w:tc>
          <w:tcPr>
            <w:tcW w:w="1272" w:type="dxa"/>
            <w:tcBorders>
              <w:top w:val="single" w:sz="8" w:space="0" w:color="AEAEAE"/>
              <w:left w:val="nil"/>
              <w:bottom w:val="single" w:sz="8" w:space="0" w:color="152935"/>
              <w:right w:val="nil"/>
            </w:tcBorders>
            <w:shd w:val="clear" w:color="auto" w:fill="E0E0E0"/>
          </w:tcPr>
          <w:p w14:paraId="635016EB" w14:textId="77777777" w:rsidR="00C505DE" w:rsidRPr="00C505DE" w:rsidRDefault="00C505DE" w:rsidP="000711D0">
            <w:pPr>
              <w:adjustRightInd w:val="0"/>
              <w:spacing w:after="0" w:line="240" w:lineRule="auto"/>
              <w:ind w:left="60" w:right="60"/>
              <w:rPr>
                <w:rFonts w:ascii="Arial" w:hAnsi="Arial" w:cs="Arial"/>
                <w:i w:val="0"/>
                <w:color w:val="264A60"/>
                <w:sz w:val="18"/>
                <w:szCs w:val="18"/>
              </w:rPr>
            </w:pPr>
            <w:r w:rsidRPr="00C505DE">
              <w:rPr>
                <w:rFonts w:ascii="Arial" w:hAnsi="Arial" w:cs="Arial"/>
                <w:i w:val="0"/>
                <w:color w:val="264A60"/>
                <w:sz w:val="18"/>
                <w:szCs w:val="18"/>
              </w:rPr>
              <w:t>Total</w:t>
            </w:r>
          </w:p>
        </w:tc>
        <w:tc>
          <w:tcPr>
            <w:tcW w:w="1455" w:type="dxa"/>
            <w:tcBorders>
              <w:top w:val="single" w:sz="8" w:space="0" w:color="AEAEAE"/>
              <w:left w:val="nil"/>
              <w:bottom w:val="single" w:sz="8" w:space="0" w:color="152935"/>
              <w:right w:val="single" w:sz="8" w:space="0" w:color="E0E0E0"/>
            </w:tcBorders>
            <w:shd w:val="clear" w:color="auto" w:fill="FFFFFF"/>
          </w:tcPr>
          <w:p w14:paraId="128C31FB" w14:textId="77777777" w:rsidR="00C505DE" w:rsidRPr="00C505DE" w:rsidRDefault="00C505DE" w:rsidP="000711D0">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158465744.964</w:t>
            </w:r>
          </w:p>
        </w:tc>
        <w:tc>
          <w:tcPr>
            <w:tcW w:w="1015" w:type="dxa"/>
            <w:tcBorders>
              <w:top w:val="single" w:sz="8" w:space="0" w:color="AEAEAE"/>
              <w:left w:val="single" w:sz="8" w:space="0" w:color="E0E0E0"/>
              <w:bottom w:val="single" w:sz="8" w:space="0" w:color="152935"/>
              <w:right w:val="single" w:sz="8" w:space="0" w:color="E0E0E0"/>
            </w:tcBorders>
            <w:shd w:val="clear" w:color="auto" w:fill="FFFFFF"/>
          </w:tcPr>
          <w:p w14:paraId="27662049" w14:textId="77777777" w:rsidR="00C505DE" w:rsidRPr="00C505DE" w:rsidRDefault="00C505DE" w:rsidP="000711D0">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27</w:t>
            </w:r>
          </w:p>
        </w:tc>
        <w:tc>
          <w:tcPr>
            <w:tcW w:w="145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3F1498B" w14:textId="77777777" w:rsidR="00C505DE" w:rsidRPr="00C505DE" w:rsidRDefault="00C505DE" w:rsidP="000711D0">
            <w:pPr>
              <w:adjustRightInd w:val="0"/>
              <w:spacing w:after="0" w:line="240" w:lineRule="auto"/>
              <w:rPr>
                <w:i w:val="0"/>
                <w:sz w:val="18"/>
                <w:szCs w:val="24"/>
              </w:rPr>
            </w:pPr>
          </w:p>
        </w:tc>
        <w:tc>
          <w:tcPr>
            <w:tcW w:w="107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A9F15BD" w14:textId="77777777" w:rsidR="00C505DE" w:rsidRPr="00C505DE" w:rsidRDefault="00C505DE" w:rsidP="000711D0">
            <w:pPr>
              <w:adjustRightInd w:val="0"/>
              <w:spacing w:after="0" w:line="240" w:lineRule="auto"/>
              <w:rPr>
                <w:i w:val="0"/>
                <w:sz w:val="18"/>
                <w:szCs w:val="24"/>
              </w:rPr>
            </w:pPr>
          </w:p>
        </w:tc>
        <w:tc>
          <w:tcPr>
            <w:tcW w:w="1015" w:type="dxa"/>
            <w:tcBorders>
              <w:top w:val="single" w:sz="8" w:space="0" w:color="AEAEAE"/>
              <w:left w:val="single" w:sz="8" w:space="0" w:color="E0E0E0"/>
              <w:bottom w:val="single" w:sz="8" w:space="0" w:color="152935"/>
              <w:right w:val="nil"/>
            </w:tcBorders>
            <w:shd w:val="clear" w:color="auto" w:fill="FFFFFF"/>
            <w:vAlign w:val="center"/>
          </w:tcPr>
          <w:p w14:paraId="3411CF00" w14:textId="77777777" w:rsidR="00C505DE" w:rsidRPr="00C505DE" w:rsidRDefault="00C505DE" w:rsidP="000711D0">
            <w:pPr>
              <w:adjustRightInd w:val="0"/>
              <w:spacing w:after="0" w:line="240" w:lineRule="auto"/>
              <w:rPr>
                <w:i w:val="0"/>
                <w:sz w:val="24"/>
                <w:szCs w:val="24"/>
              </w:rPr>
            </w:pPr>
          </w:p>
        </w:tc>
      </w:tr>
      <w:tr w:rsidR="00C505DE" w:rsidRPr="00C505DE" w14:paraId="65888327" w14:textId="77777777" w:rsidTr="000711D0">
        <w:trPr>
          <w:cantSplit/>
          <w:trHeight w:val="60"/>
          <w:jc w:val="center"/>
        </w:trPr>
        <w:tc>
          <w:tcPr>
            <w:tcW w:w="8016" w:type="dxa"/>
            <w:gridSpan w:val="7"/>
            <w:tcBorders>
              <w:top w:val="nil"/>
              <w:left w:val="nil"/>
              <w:bottom w:val="nil"/>
              <w:right w:val="nil"/>
            </w:tcBorders>
            <w:shd w:val="clear" w:color="auto" w:fill="FFFFFF"/>
          </w:tcPr>
          <w:p w14:paraId="4C86AC30" w14:textId="77777777" w:rsidR="00C505DE" w:rsidRPr="00C505DE" w:rsidRDefault="00C505DE" w:rsidP="000711D0">
            <w:pPr>
              <w:adjustRightInd w:val="0"/>
              <w:spacing w:after="0" w:line="240" w:lineRule="auto"/>
              <w:ind w:left="60" w:right="60"/>
              <w:rPr>
                <w:rFonts w:ascii="Arial" w:hAnsi="Arial" w:cs="Arial"/>
                <w:i w:val="0"/>
                <w:color w:val="010205"/>
                <w:sz w:val="18"/>
                <w:szCs w:val="18"/>
              </w:rPr>
            </w:pPr>
            <w:r w:rsidRPr="00C505DE">
              <w:rPr>
                <w:rFonts w:ascii="Arial" w:hAnsi="Arial" w:cs="Arial"/>
                <w:i w:val="0"/>
                <w:color w:val="010205"/>
                <w:sz w:val="18"/>
                <w:szCs w:val="18"/>
              </w:rPr>
              <w:t xml:space="preserve">a. Dependent Variable: </w:t>
            </w:r>
            <w:proofErr w:type="spellStart"/>
            <w:r w:rsidRPr="00C505DE">
              <w:rPr>
                <w:rFonts w:ascii="Arial" w:hAnsi="Arial" w:cs="Arial"/>
                <w:i w:val="0"/>
                <w:color w:val="010205"/>
                <w:sz w:val="18"/>
                <w:szCs w:val="18"/>
              </w:rPr>
              <w:t>Harga_Saham</w:t>
            </w:r>
            <w:proofErr w:type="spellEnd"/>
          </w:p>
        </w:tc>
      </w:tr>
      <w:tr w:rsidR="00C505DE" w:rsidRPr="00C505DE" w14:paraId="79BE6EA1" w14:textId="77777777" w:rsidTr="00283179">
        <w:trPr>
          <w:cantSplit/>
          <w:trHeight w:val="349"/>
          <w:jc w:val="center"/>
        </w:trPr>
        <w:tc>
          <w:tcPr>
            <w:tcW w:w="8016" w:type="dxa"/>
            <w:gridSpan w:val="7"/>
            <w:tcBorders>
              <w:top w:val="nil"/>
              <w:left w:val="nil"/>
              <w:bottom w:val="nil"/>
              <w:right w:val="nil"/>
            </w:tcBorders>
            <w:shd w:val="clear" w:color="auto" w:fill="FFFFFF"/>
          </w:tcPr>
          <w:p w14:paraId="411C6794" w14:textId="77777777" w:rsidR="00C505DE" w:rsidRPr="00C505DE" w:rsidRDefault="00C505DE" w:rsidP="000711D0">
            <w:pPr>
              <w:adjustRightInd w:val="0"/>
              <w:spacing w:after="0" w:line="240" w:lineRule="auto"/>
              <w:ind w:left="60" w:right="60"/>
              <w:rPr>
                <w:rFonts w:ascii="Arial" w:hAnsi="Arial" w:cs="Arial"/>
                <w:i w:val="0"/>
                <w:color w:val="010205"/>
                <w:sz w:val="18"/>
                <w:szCs w:val="18"/>
              </w:rPr>
            </w:pPr>
            <w:r w:rsidRPr="00C505DE">
              <w:rPr>
                <w:rFonts w:ascii="Arial" w:hAnsi="Arial" w:cs="Arial"/>
                <w:i w:val="0"/>
                <w:color w:val="010205"/>
                <w:sz w:val="18"/>
                <w:szCs w:val="18"/>
              </w:rPr>
              <w:t>b. Predictors: (Constant), NI_DDM, NI_PBV</w:t>
            </w:r>
          </w:p>
        </w:tc>
      </w:tr>
    </w:tbl>
    <w:p w14:paraId="19A71CD6" w14:textId="77777777" w:rsidR="00C505DE" w:rsidRPr="00C505DE" w:rsidRDefault="00C505DE" w:rsidP="00C505DE">
      <w:pPr>
        <w:spacing w:after="0" w:line="240" w:lineRule="auto"/>
        <w:jc w:val="both"/>
        <w:rPr>
          <w:rFonts w:ascii="Times New Roman" w:hAnsi="Times New Roman" w:cs="Times New Roman"/>
          <w:i w:val="0"/>
          <w:sz w:val="24"/>
        </w:rPr>
      </w:pPr>
      <w:r w:rsidRPr="00C505DE">
        <w:rPr>
          <w:rFonts w:ascii="Times New Roman" w:hAnsi="Times New Roman" w:cs="Times New Roman"/>
          <w:i w:val="0"/>
          <w:sz w:val="24"/>
        </w:rPr>
        <w:t>Source: Processed data SPSS 25 (2021)</w:t>
      </w:r>
    </w:p>
    <w:p w14:paraId="403F1967" w14:textId="10BA1035" w:rsidR="000711D0" w:rsidRDefault="00C505DE" w:rsidP="00C505DE">
      <w:pPr>
        <w:spacing w:after="0" w:line="240" w:lineRule="auto"/>
        <w:jc w:val="both"/>
        <w:rPr>
          <w:rFonts w:ascii="Times New Roman" w:hAnsi="Times New Roman" w:cs="Times New Roman"/>
          <w:i w:val="0"/>
          <w:sz w:val="24"/>
        </w:rPr>
      </w:pPr>
      <w:r w:rsidRPr="00C505DE">
        <w:rPr>
          <w:rFonts w:ascii="Times New Roman" w:hAnsi="Times New Roman" w:cs="Times New Roman"/>
          <w:i w:val="0"/>
          <w:sz w:val="24"/>
        </w:rPr>
        <w:t xml:space="preserve">Based on the output results in this table, it is known that the calculated F value is 1,603.44. Meanwhile, based on F table with n = 28 and k = 2, then F table shows a value of 3.34. Thus, </w:t>
      </w:r>
      <w:proofErr w:type="spellStart"/>
      <w:r w:rsidRPr="00C505DE">
        <w:rPr>
          <w:rFonts w:ascii="Times New Roman" w:hAnsi="Times New Roman" w:cs="Times New Roman"/>
          <w:i w:val="0"/>
          <w:sz w:val="24"/>
        </w:rPr>
        <w:t>Fcount</w:t>
      </w:r>
      <w:proofErr w:type="spellEnd"/>
      <w:r w:rsidRPr="00C505DE">
        <w:rPr>
          <w:rFonts w:ascii="Times New Roman" w:hAnsi="Times New Roman" w:cs="Times New Roman"/>
          <w:i w:val="0"/>
          <w:sz w:val="24"/>
        </w:rPr>
        <w:t xml:space="preserve"> &gt; </w:t>
      </w:r>
      <w:proofErr w:type="spellStart"/>
      <w:r w:rsidRPr="00C505DE">
        <w:rPr>
          <w:rFonts w:ascii="Times New Roman" w:hAnsi="Times New Roman" w:cs="Times New Roman"/>
          <w:i w:val="0"/>
          <w:sz w:val="24"/>
        </w:rPr>
        <w:t>Ftable</w:t>
      </w:r>
      <w:proofErr w:type="spellEnd"/>
      <w:r w:rsidRPr="00C505DE">
        <w:rPr>
          <w:rFonts w:ascii="Times New Roman" w:hAnsi="Times New Roman" w:cs="Times New Roman"/>
          <w:i w:val="0"/>
          <w:sz w:val="24"/>
        </w:rPr>
        <w:t xml:space="preserve"> (1,603.44 &gt; 3.34), then as the basis for decision making in the F test, it can be concluded that Ho is rejected, Ha is accepted. Thus, it can be concluded that there is a simultaneous significant effect between intrinsic value using the Price to Book Value (PBV) and Dividend Discounted Model (DDM) methods on stock prices in companies affected by the COVID-19 pandemic, which means that the PBV and DDM methods can evaluate prices. stock properly.</w:t>
      </w:r>
    </w:p>
    <w:p w14:paraId="4D0C77CD" w14:textId="55DF989E" w:rsidR="000711D0" w:rsidRDefault="000711D0" w:rsidP="00C505DE">
      <w:pPr>
        <w:spacing w:after="0" w:line="240" w:lineRule="auto"/>
        <w:jc w:val="both"/>
        <w:rPr>
          <w:rFonts w:ascii="Times New Roman" w:hAnsi="Times New Roman" w:cs="Times New Roman"/>
          <w:i w:val="0"/>
          <w:sz w:val="24"/>
        </w:rPr>
      </w:pPr>
    </w:p>
    <w:p w14:paraId="7DEEC514" w14:textId="4D6566A3" w:rsidR="000711D0" w:rsidRDefault="000711D0" w:rsidP="00C505DE">
      <w:pPr>
        <w:spacing w:after="0" w:line="240" w:lineRule="auto"/>
        <w:jc w:val="both"/>
        <w:rPr>
          <w:rFonts w:ascii="Times New Roman" w:hAnsi="Times New Roman" w:cs="Times New Roman"/>
          <w:i w:val="0"/>
          <w:sz w:val="24"/>
        </w:rPr>
      </w:pPr>
    </w:p>
    <w:p w14:paraId="461F4FA9" w14:textId="0033AA5D" w:rsidR="000711D0" w:rsidRDefault="000711D0" w:rsidP="00C505DE">
      <w:pPr>
        <w:spacing w:after="0" w:line="240" w:lineRule="auto"/>
        <w:jc w:val="both"/>
        <w:rPr>
          <w:rFonts w:ascii="Times New Roman" w:hAnsi="Times New Roman" w:cs="Times New Roman"/>
          <w:i w:val="0"/>
          <w:sz w:val="24"/>
        </w:rPr>
      </w:pPr>
    </w:p>
    <w:p w14:paraId="591B4F02" w14:textId="714AF7FE" w:rsidR="000711D0" w:rsidRDefault="000711D0" w:rsidP="00C505DE">
      <w:pPr>
        <w:spacing w:after="0" w:line="240" w:lineRule="auto"/>
        <w:jc w:val="both"/>
        <w:rPr>
          <w:rFonts w:ascii="Times New Roman" w:hAnsi="Times New Roman" w:cs="Times New Roman"/>
          <w:i w:val="0"/>
          <w:sz w:val="24"/>
        </w:rPr>
      </w:pPr>
    </w:p>
    <w:p w14:paraId="6418B765" w14:textId="2DD2C48C" w:rsidR="000711D0" w:rsidRDefault="000711D0" w:rsidP="00C505DE">
      <w:pPr>
        <w:spacing w:after="0" w:line="240" w:lineRule="auto"/>
        <w:jc w:val="both"/>
        <w:rPr>
          <w:rFonts w:ascii="Times New Roman" w:hAnsi="Times New Roman" w:cs="Times New Roman"/>
          <w:i w:val="0"/>
          <w:sz w:val="24"/>
        </w:rPr>
      </w:pPr>
    </w:p>
    <w:p w14:paraId="09CAF6DE" w14:textId="2486AED7" w:rsidR="000711D0" w:rsidRDefault="000711D0" w:rsidP="00C505DE">
      <w:pPr>
        <w:spacing w:after="0" w:line="240" w:lineRule="auto"/>
        <w:jc w:val="both"/>
        <w:rPr>
          <w:rFonts w:ascii="Times New Roman" w:hAnsi="Times New Roman" w:cs="Times New Roman"/>
          <w:i w:val="0"/>
          <w:sz w:val="24"/>
        </w:rPr>
      </w:pPr>
    </w:p>
    <w:p w14:paraId="5DEE3403" w14:textId="7D21192F" w:rsidR="000711D0" w:rsidRDefault="000711D0" w:rsidP="00C505DE">
      <w:pPr>
        <w:spacing w:after="0" w:line="240" w:lineRule="auto"/>
        <w:jc w:val="both"/>
        <w:rPr>
          <w:rFonts w:ascii="Times New Roman" w:hAnsi="Times New Roman" w:cs="Times New Roman"/>
          <w:i w:val="0"/>
          <w:sz w:val="24"/>
        </w:rPr>
      </w:pPr>
    </w:p>
    <w:p w14:paraId="79D01B8E" w14:textId="2975359A" w:rsidR="000711D0" w:rsidRDefault="000711D0" w:rsidP="00C505DE">
      <w:pPr>
        <w:spacing w:after="0" w:line="240" w:lineRule="auto"/>
        <w:jc w:val="both"/>
        <w:rPr>
          <w:rFonts w:ascii="Times New Roman" w:hAnsi="Times New Roman" w:cs="Times New Roman"/>
          <w:i w:val="0"/>
          <w:sz w:val="24"/>
        </w:rPr>
      </w:pPr>
    </w:p>
    <w:p w14:paraId="10960E92" w14:textId="3C9A7F65" w:rsidR="000711D0" w:rsidRDefault="000711D0" w:rsidP="00C505DE">
      <w:pPr>
        <w:spacing w:after="0" w:line="240" w:lineRule="auto"/>
        <w:jc w:val="both"/>
        <w:rPr>
          <w:rFonts w:ascii="Times New Roman" w:hAnsi="Times New Roman" w:cs="Times New Roman"/>
          <w:i w:val="0"/>
          <w:sz w:val="24"/>
        </w:rPr>
      </w:pPr>
    </w:p>
    <w:p w14:paraId="290830D0" w14:textId="6BA2A125" w:rsidR="000711D0" w:rsidRDefault="000711D0" w:rsidP="00C505DE">
      <w:pPr>
        <w:spacing w:after="0" w:line="240" w:lineRule="auto"/>
        <w:jc w:val="both"/>
        <w:rPr>
          <w:rFonts w:ascii="Times New Roman" w:hAnsi="Times New Roman" w:cs="Times New Roman"/>
          <w:i w:val="0"/>
          <w:sz w:val="24"/>
        </w:rPr>
      </w:pPr>
    </w:p>
    <w:p w14:paraId="28D453C5" w14:textId="77777777" w:rsidR="00C505DE" w:rsidRPr="000711D0" w:rsidRDefault="00C505DE" w:rsidP="000711D0">
      <w:pPr>
        <w:spacing w:after="0" w:line="240" w:lineRule="auto"/>
        <w:jc w:val="both"/>
        <w:rPr>
          <w:rFonts w:ascii="Times New Roman" w:hAnsi="Times New Roman" w:cs="Times New Roman"/>
          <w:b/>
          <w:i w:val="0"/>
          <w:sz w:val="24"/>
        </w:rPr>
      </w:pPr>
      <w:r w:rsidRPr="000711D0">
        <w:rPr>
          <w:rFonts w:ascii="Times New Roman" w:hAnsi="Times New Roman" w:cs="Times New Roman"/>
          <w:b/>
          <w:i w:val="0"/>
          <w:sz w:val="24"/>
        </w:rPr>
        <w:t>2. Statistic t test</w:t>
      </w:r>
    </w:p>
    <w:p w14:paraId="749E7D09" w14:textId="77777777" w:rsidR="00C505DE" w:rsidRPr="000711D0" w:rsidRDefault="00C505DE" w:rsidP="00C505DE">
      <w:pPr>
        <w:spacing w:line="240" w:lineRule="auto"/>
        <w:jc w:val="both"/>
        <w:rPr>
          <w:rFonts w:ascii="Times New Roman" w:hAnsi="Times New Roman" w:cs="Times New Roman"/>
          <w:i w:val="0"/>
          <w:sz w:val="24"/>
        </w:rPr>
      </w:pPr>
      <w:r w:rsidRPr="000711D0">
        <w:rPr>
          <w:rFonts w:ascii="Times New Roman" w:hAnsi="Times New Roman" w:cs="Times New Roman"/>
          <w:i w:val="0"/>
          <w:sz w:val="24"/>
        </w:rPr>
        <w:t>The following are the results of the intrinsic value t-test obtained from the calculation of PBV and DDM for companies affected by the COVID-19 pandemic.</w:t>
      </w:r>
    </w:p>
    <w:tbl>
      <w:tblPr>
        <w:tblW w:w="82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067"/>
        <w:gridCol w:w="1440"/>
        <w:gridCol w:w="1710"/>
        <w:gridCol w:w="1260"/>
        <w:gridCol w:w="1080"/>
        <w:gridCol w:w="990"/>
      </w:tblGrid>
      <w:tr w:rsidR="00C505DE" w:rsidRPr="00C505DE" w14:paraId="66BD2845" w14:textId="77777777" w:rsidTr="00C505DE">
        <w:trPr>
          <w:cantSplit/>
          <w:jc w:val="center"/>
        </w:trPr>
        <w:tc>
          <w:tcPr>
            <w:tcW w:w="8280" w:type="dxa"/>
            <w:gridSpan w:val="7"/>
            <w:tcBorders>
              <w:top w:val="nil"/>
              <w:left w:val="nil"/>
              <w:bottom w:val="nil"/>
              <w:right w:val="nil"/>
            </w:tcBorders>
            <w:shd w:val="clear" w:color="auto" w:fill="FFFFFF"/>
            <w:vAlign w:val="center"/>
          </w:tcPr>
          <w:p w14:paraId="7F2FC59E" w14:textId="77777777" w:rsidR="00C505DE" w:rsidRPr="00C505DE" w:rsidRDefault="00C505DE" w:rsidP="00C505DE">
            <w:pPr>
              <w:adjustRightInd w:val="0"/>
              <w:spacing w:after="0" w:line="240" w:lineRule="auto"/>
              <w:ind w:left="60" w:right="60"/>
              <w:jc w:val="center"/>
              <w:rPr>
                <w:rFonts w:ascii="Arial" w:hAnsi="Arial" w:cs="Arial"/>
                <w:i w:val="0"/>
                <w:color w:val="010205"/>
                <w:sz w:val="18"/>
                <w:szCs w:val="18"/>
              </w:rPr>
            </w:pPr>
            <w:proofErr w:type="spellStart"/>
            <w:r w:rsidRPr="00C505DE">
              <w:rPr>
                <w:rFonts w:ascii="Arial" w:hAnsi="Arial" w:cs="Arial"/>
                <w:b/>
                <w:bCs/>
                <w:i w:val="0"/>
                <w:color w:val="010205"/>
                <w:sz w:val="18"/>
                <w:szCs w:val="18"/>
              </w:rPr>
              <w:t>Coefficients</w:t>
            </w:r>
            <w:r w:rsidRPr="00C505DE">
              <w:rPr>
                <w:rFonts w:ascii="Arial" w:hAnsi="Arial" w:cs="Arial"/>
                <w:b/>
                <w:bCs/>
                <w:i w:val="0"/>
                <w:color w:val="010205"/>
                <w:sz w:val="18"/>
                <w:szCs w:val="18"/>
                <w:vertAlign w:val="superscript"/>
              </w:rPr>
              <w:t>a</w:t>
            </w:r>
            <w:proofErr w:type="spellEnd"/>
          </w:p>
        </w:tc>
      </w:tr>
      <w:tr w:rsidR="00C505DE" w:rsidRPr="00C505DE" w14:paraId="75DCD698" w14:textId="77777777" w:rsidTr="00C505DE">
        <w:trPr>
          <w:cantSplit/>
          <w:jc w:val="center"/>
        </w:trPr>
        <w:tc>
          <w:tcPr>
            <w:tcW w:w="1800" w:type="dxa"/>
            <w:gridSpan w:val="2"/>
            <w:vMerge w:val="restart"/>
            <w:tcBorders>
              <w:top w:val="nil"/>
              <w:left w:val="nil"/>
              <w:bottom w:val="nil"/>
              <w:right w:val="nil"/>
            </w:tcBorders>
            <w:shd w:val="clear" w:color="auto" w:fill="FFFFFF"/>
            <w:vAlign w:val="bottom"/>
          </w:tcPr>
          <w:p w14:paraId="01BED23C" w14:textId="77777777" w:rsidR="00C505DE" w:rsidRPr="00C505DE" w:rsidRDefault="00C505DE" w:rsidP="00C505DE">
            <w:pPr>
              <w:adjustRightInd w:val="0"/>
              <w:spacing w:after="0" w:line="240" w:lineRule="auto"/>
              <w:ind w:left="60" w:right="60"/>
              <w:rPr>
                <w:rFonts w:ascii="Arial" w:hAnsi="Arial" w:cs="Arial"/>
                <w:i w:val="0"/>
                <w:color w:val="264A60"/>
                <w:sz w:val="18"/>
                <w:szCs w:val="18"/>
              </w:rPr>
            </w:pPr>
            <w:r w:rsidRPr="00C505DE">
              <w:rPr>
                <w:rFonts w:ascii="Arial" w:hAnsi="Arial" w:cs="Arial"/>
                <w:i w:val="0"/>
                <w:color w:val="264A60"/>
                <w:sz w:val="18"/>
                <w:szCs w:val="18"/>
              </w:rPr>
              <w:t>Model</w:t>
            </w:r>
          </w:p>
        </w:tc>
        <w:tc>
          <w:tcPr>
            <w:tcW w:w="3150" w:type="dxa"/>
            <w:gridSpan w:val="2"/>
            <w:tcBorders>
              <w:top w:val="nil"/>
              <w:left w:val="nil"/>
              <w:bottom w:val="nil"/>
              <w:right w:val="single" w:sz="8" w:space="0" w:color="E0E0E0"/>
            </w:tcBorders>
            <w:shd w:val="clear" w:color="auto" w:fill="FFFFFF"/>
            <w:vAlign w:val="bottom"/>
          </w:tcPr>
          <w:p w14:paraId="1094023F" w14:textId="45CDEE3F" w:rsidR="00C505DE" w:rsidRPr="00C505DE" w:rsidRDefault="00C505DE" w:rsidP="00C505DE">
            <w:pPr>
              <w:adjustRightInd w:val="0"/>
              <w:spacing w:after="0" w:line="240" w:lineRule="auto"/>
              <w:ind w:right="60"/>
              <w:jc w:val="center"/>
              <w:rPr>
                <w:rFonts w:ascii="Arial" w:hAnsi="Arial" w:cs="Arial"/>
                <w:i w:val="0"/>
                <w:color w:val="264A60"/>
                <w:sz w:val="18"/>
                <w:szCs w:val="18"/>
              </w:rPr>
            </w:pPr>
            <w:r w:rsidRPr="00C505DE">
              <w:rPr>
                <w:rFonts w:ascii="Arial" w:hAnsi="Arial" w:cs="Arial"/>
                <w:i w:val="0"/>
                <w:color w:val="264A60"/>
                <w:sz w:val="18"/>
                <w:szCs w:val="18"/>
              </w:rPr>
              <w:t>Unstandardized</w:t>
            </w:r>
            <w:r>
              <w:rPr>
                <w:rFonts w:ascii="Arial" w:hAnsi="Arial" w:cs="Arial"/>
                <w:i w:val="0"/>
                <w:color w:val="264A60"/>
                <w:sz w:val="18"/>
                <w:szCs w:val="18"/>
              </w:rPr>
              <w:t xml:space="preserve">    </w:t>
            </w:r>
            <w:r w:rsidRPr="00C505DE">
              <w:rPr>
                <w:rFonts w:ascii="Arial" w:hAnsi="Arial" w:cs="Arial"/>
                <w:i w:val="0"/>
                <w:color w:val="264A60"/>
                <w:sz w:val="18"/>
                <w:szCs w:val="18"/>
              </w:rPr>
              <w:t xml:space="preserve"> Coefficients</w:t>
            </w:r>
          </w:p>
        </w:tc>
        <w:tc>
          <w:tcPr>
            <w:tcW w:w="1260" w:type="dxa"/>
            <w:tcBorders>
              <w:top w:val="nil"/>
              <w:left w:val="single" w:sz="8" w:space="0" w:color="E0E0E0"/>
              <w:bottom w:val="nil"/>
              <w:right w:val="single" w:sz="8" w:space="0" w:color="E0E0E0"/>
            </w:tcBorders>
            <w:shd w:val="clear" w:color="auto" w:fill="FFFFFF"/>
            <w:vAlign w:val="bottom"/>
          </w:tcPr>
          <w:p w14:paraId="1926D214" w14:textId="77777777" w:rsidR="00C505DE" w:rsidRPr="00C505DE" w:rsidRDefault="00C505DE" w:rsidP="00C505DE">
            <w:pPr>
              <w:adjustRightInd w:val="0"/>
              <w:spacing w:after="0" w:line="240" w:lineRule="auto"/>
              <w:ind w:left="60" w:right="60"/>
              <w:jc w:val="center"/>
              <w:rPr>
                <w:rFonts w:ascii="Arial" w:hAnsi="Arial" w:cs="Arial"/>
                <w:i w:val="0"/>
                <w:color w:val="264A60"/>
                <w:sz w:val="18"/>
                <w:szCs w:val="18"/>
              </w:rPr>
            </w:pPr>
            <w:r w:rsidRPr="00C505DE">
              <w:rPr>
                <w:rFonts w:ascii="Arial" w:hAnsi="Arial" w:cs="Arial"/>
                <w:i w:val="0"/>
                <w:color w:val="264A60"/>
                <w:sz w:val="18"/>
                <w:szCs w:val="18"/>
              </w:rPr>
              <w:t>Standardized Coefficients</w:t>
            </w:r>
          </w:p>
        </w:tc>
        <w:tc>
          <w:tcPr>
            <w:tcW w:w="1080" w:type="dxa"/>
            <w:vMerge w:val="restart"/>
            <w:tcBorders>
              <w:top w:val="nil"/>
              <w:left w:val="single" w:sz="8" w:space="0" w:color="E0E0E0"/>
              <w:bottom w:val="nil"/>
              <w:right w:val="single" w:sz="8" w:space="0" w:color="E0E0E0"/>
            </w:tcBorders>
            <w:shd w:val="clear" w:color="auto" w:fill="FFFFFF"/>
            <w:vAlign w:val="bottom"/>
          </w:tcPr>
          <w:p w14:paraId="015613AC" w14:textId="77777777" w:rsidR="00C505DE" w:rsidRPr="00C505DE" w:rsidRDefault="00C505DE" w:rsidP="00C505DE">
            <w:pPr>
              <w:adjustRightInd w:val="0"/>
              <w:spacing w:after="0" w:line="240" w:lineRule="auto"/>
              <w:ind w:left="60" w:right="60"/>
              <w:jc w:val="center"/>
              <w:rPr>
                <w:rFonts w:ascii="Arial" w:hAnsi="Arial" w:cs="Arial"/>
                <w:i w:val="0"/>
                <w:color w:val="264A60"/>
                <w:sz w:val="18"/>
                <w:szCs w:val="18"/>
              </w:rPr>
            </w:pPr>
            <w:r w:rsidRPr="00C505DE">
              <w:rPr>
                <w:rFonts w:ascii="Arial" w:hAnsi="Arial" w:cs="Arial"/>
                <w:i w:val="0"/>
                <w:color w:val="264A60"/>
                <w:sz w:val="18"/>
                <w:szCs w:val="18"/>
              </w:rPr>
              <w:t>t</w:t>
            </w:r>
          </w:p>
        </w:tc>
        <w:tc>
          <w:tcPr>
            <w:tcW w:w="990" w:type="dxa"/>
            <w:vMerge w:val="restart"/>
            <w:tcBorders>
              <w:top w:val="nil"/>
              <w:left w:val="single" w:sz="8" w:space="0" w:color="E0E0E0"/>
              <w:bottom w:val="nil"/>
              <w:right w:val="nil"/>
            </w:tcBorders>
            <w:shd w:val="clear" w:color="auto" w:fill="FFFFFF"/>
            <w:vAlign w:val="bottom"/>
          </w:tcPr>
          <w:p w14:paraId="5E3D6F1F" w14:textId="77777777" w:rsidR="00C505DE" w:rsidRPr="00C505DE" w:rsidRDefault="00C505DE" w:rsidP="00C505DE">
            <w:pPr>
              <w:adjustRightInd w:val="0"/>
              <w:spacing w:after="0" w:line="240" w:lineRule="auto"/>
              <w:ind w:left="60" w:right="60"/>
              <w:jc w:val="center"/>
              <w:rPr>
                <w:rFonts w:ascii="Arial" w:hAnsi="Arial" w:cs="Arial"/>
                <w:i w:val="0"/>
                <w:color w:val="264A60"/>
                <w:sz w:val="18"/>
                <w:szCs w:val="18"/>
              </w:rPr>
            </w:pPr>
            <w:r w:rsidRPr="00C505DE">
              <w:rPr>
                <w:rFonts w:ascii="Arial" w:hAnsi="Arial" w:cs="Arial"/>
                <w:i w:val="0"/>
                <w:color w:val="264A60"/>
                <w:sz w:val="18"/>
                <w:szCs w:val="18"/>
              </w:rPr>
              <w:t>Sig.</w:t>
            </w:r>
          </w:p>
        </w:tc>
      </w:tr>
      <w:tr w:rsidR="00C505DE" w:rsidRPr="00C505DE" w14:paraId="505D118A" w14:textId="77777777" w:rsidTr="00C505DE">
        <w:trPr>
          <w:cantSplit/>
          <w:jc w:val="center"/>
        </w:trPr>
        <w:tc>
          <w:tcPr>
            <w:tcW w:w="1800" w:type="dxa"/>
            <w:gridSpan w:val="2"/>
            <w:vMerge/>
            <w:tcBorders>
              <w:top w:val="nil"/>
              <w:left w:val="nil"/>
              <w:bottom w:val="nil"/>
              <w:right w:val="nil"/>
            </w:tcBorders>
            <w:shd w:val="clear" w:color="auto" w:fill="FFFFFF"/>
            <w:vAlign w:val="bottom"/>
          </w:tcPr>
          <w:p w14:paraId="342184D3" w14:textId="77777777" w:rsidR="00C505DE" w:rsidRPr="00C505DE" w:rsidRDefault="00C505DE" w:rsidP="00C505DE">
            <w:pPr>
              <w:adjustRightInd w:val="0"/>
              <w:spacing w:after="0" w:line="240" w:lineRule="auto"/>
              <w:rPr>
                <w:rFonts w:ascii="Arial" w:hAnsi="Arial" w:cs="Arial"/>
                <w:i w:val="0"/>
                <w:color w:val="264A60"/>
                <w:sz w:val="18"/>
                <w:szCs w:val="18"/>
              </w:rPr>
            </w:pPr>
          </w:p>
        </w:tc>
        <w:tc>
          <w:tcPr>
            <w:tcW w:w="1440" w:type="dxa"/>
            <w:tcBorders>
              <w:top w:val="nil"/>
              <w:left w:val="nil"/>
              <w:bottom w:val="single" w:sz="8" w:space="0" w:color="152935"/>
              <w:right w:val="single" w:sz="8" w:space="0" w:color="E0E0E0"/>
            </w:tcBorders>
            <w:shd w:val="clear" w:color="auto" w:fill="FFFFFF"/>
            <w:vAlign w:val="bottom"/>
          </w:tcPr>
          <w:p w14:paraId="04F15305" w14:textId="77777777" w:rsidR="00C505DE" w:rsidRPr="00C505DE" w:rsidRDefault="00C505DE" w:rsidP="00C505DE">
            <w:pPr>
              <w:adjustRightInd w:val="0"/>
              <w:spacing w:after="0" w:line="240" w:lineRule="auto"/>
              <w:ind w:left="60" w:right="60"/>
              <w:jc w:val="center"/>
              <w:rPr>
                <w:rFonts w:ascii="Arial" w:hAnsi="Arial" w:cs="Arial"/>
                <w:i w:val="0"/>
                <w:color w:val="264A60"/>
                <w:sz w:val="18"/>
                <w:szCs w:val="18"/>
              </w:rPr>
            </w:pPr>
            <w:r w:rsidRPr="00C505DE">
              <w:rPr>
                <w:rFonts w:ascii="Arial" w:hAnsi="Arial" w:cs="Arial"/>
                <w:i w:val="0"/>
                <w:color w:val="264A60"/>
                <w:sz w:val="18"/>
                <w:szCs w:val="18"/>
              </w:rPr>
              <w:t>B</w:t>
            </w:r>
          </w:p>
        </w:tc>
        <w:tc>
          <w:tcPr>
            <w:tcW w:w="1710" w:type="dxa"/>
            <w:tcBorders>
              <w:top w:val="nil"/>
              <w:left w:val="single" w:sz="8" w:space="0" w:color="E0E0E0"/>
              <w:bottom w:val="single" w:sz="8" w:space="0" w:color="152935"/>
              <w:right w:val="single" w:sz="8" w:space="0" w:color="E0E0E0"/>
            </w:tcBorders>
            <w:shd w:val="clear" w:color="auto" w:fill="FFFFFF"/>
            <w:vAlign w:val="bottom"/>
          </w:tcPr>
          <w:p w14:paraId="390A9B6B" w14:textId="0839B9FC" w:rsidR="00C505DE" w:rsidRPr="00C505DE" w:rsidRDefault="00C505DE" w:rsidP="00C505DE">
            <w:pPr>
              <w:adjustRightInd w:val="0"/>
              <w:spacing w:after="0" w:line="240" w:lineRule="auto"/>
              <w:ind w:left="60" w:right="60"/>
              <w:jc w:val="center"/>
              <w:rPr>
                <w:rFonts w:ascii="Arial" w:hAnsi="Arial" w:cs="Arial"/>
                <w:i w:val="0"/>
                <w:color w:val="264A60"/>
                <w:sz w:val="18"/>
                <w:szCs w:val="18"/>
              </w:rPr>
            </w:pPr>
            <w:r w:rsidRPr="00C505DE">
              <w:rPr>
                <w:rFonts w:ascii="Arial" w:hAnsi="Arial" w:cs="Arial"/>
                <w:i w:val="0"/>
                <w:color w:val="264A60"/>
                <w:sz w:val="18"/>
                <w:szCs w:val="18"/>
              </w:rPr>
              <w:t>Std. Error</w:t>
            </w:r>
          </w:p>
        </w:tc>
        <w:tc>
          <w:tcPr>
            <w:tcW w:w="1260" w:type="dxa"/>
            <w:tcBorders>
              <w:top w:val="nil"/>
              <w:left w:val="single" w:sz="8" w:space="0" w:color="E0E0E0"/>
              <w:bottom w:val="single" w:sz="8" w:space="0" w:color="152935"/>
              <w:right w:val="single" w:sz="8" w:space="0" w:color="E0E0E0"/>
            </w:tcBorders>
            <w:shd w:val="clear" w:color="auto" w:fill="FFFFFF"/>
            <w:vAlign w:val="bottom"/>
          </w:tcPr>
          <w:p w14:paraId="66F91EFA" w14:textId="77777777" w:rsidR="00C505DE" w:rsidRPr="00C505DE" w:rsidRDefault="00C505DE" w:rsidP="00C505DE">
            <w:pPr>
              <w:adjustRightInd w:val="0"/>
              <w:spacing w:after="0" w:line="240" w:lineRule="auto"/>
              <w:ind w:left="60" w:right="60"/>
              <w:jc w:val="center"/>
              <w:rPr>
                <w:rFonts w:ascii="Arial" w:hAnsi="Arial" w:cs="Arial"/>
                <w:i w:val="0"/>
                <w:color w:val="264A60"/>
                <w:sz w:val="18"/>
                <w:szCs w:val="18"/>
              </w:rPr>
            </w:pPr>
            <w:r w:rsidRPr="00C505DE">
              <w:rPr>
                <w:rFonts w:ascii="Arial" w:hAnsi="Arial" w:cs="Arial"/>
                <w:i w:val="0"/>
                <w:color w:val="264A60"/>
                <w:sz w:val="18"/>
                <w:szCs w:val="18"/>
              </w:rPr>
              <w:t>Beta</w:t>
            </w:r>
          </w:p>
        </w:tc>
        <w:tc>
          <w:tcPr>
            <w:tcW w:w="1080" w:type="dxa"/>
            <w:vMerge/>
            <w:tcBorders>
              <w:top w:val="nil"/>
              <w:left w:val="single" w:sz="8" w:space="0" w:color="E0E0E0"/>
              <w:bottom w:val="nil"/>
              <w:right w:val="single" w:sz="8" w:space="0" w:color="E0E0E0"/>
            </w:tcBorders>
            <w:shd w:val="clear" w:color="auto" w:fill="FFFFFF"/>
            <w:vAlign w:val="bottom"/>
          </w:tcPr>
          <w:p w14:paraId="7E26451E" w14:textId="77777777" w:rsidR="00C505DE" w:rsidRPr="00C505DE" w:rsidRDefault="00C505DE" w:rsidP="00C505DE">
            <w:pPr>
              <w:adjustRightInd w:val="0"/>
              <w:spacing w:after="0" w:line="240" w:lineRule="auto"/>
              <w:rPr>
                <w:rFonts w:ascii="Arial" w:hAnsi="Arial" w:cs="Arial"/>
                <w:i w:val="0"/>
                <w:color w:val="264A60"/>
                <w:sz w:val="18"/>
                <w:szCs w:val="18"/>
              </w:rPr>
            </w:pPr>
          </w:p>
        </w:tc>
        <w:tc>
          <w:tcPr>
            <w:tcW w:w="990" w:type="dxa"/>
            <w:vMerge/>
            <w:tcBorders>
              <w:top w:val="nil"/>
              <w:left w:val="single" w:sz="8" w:space="0" w:color="E0E0E0"/>
              <w:bottom w:val="nil"/>
              <w:right w:val="nil"/>
            </w:tcBorders>
            <w:shd w:val="clear" w:color="auto" w:fill="FFFFFF"/>
            <w:vAlign w:val="bottom"/>
          </w:tcPr>
          <w:p w14:paraId="1D368A1C" w14:textId="77777777" w:rsidR="00C505DE" w:rsidRPr="00C505DE" w:rsidRDefault="00C505DE" w:rsidP="00C505DE">
            <w:pPr>
              <w:adjustRightInd w:val="0"/>
              <w:spacing w:after="0" w:line="240" w:lineRule="auto"/>
              <w:rPr>
                <w:rFonts w:ascii="Arial" w:hAnsi="Arial" w:cs="Arial"/>
                <w:i w:val="0"/>
                <w:color w:val="264A60"/>
                <w:sz w:val="18"/>
                <w:szCs w:val="18"/>
              </w:rPr>
            </w:pPr>
          </w:p>
        </w:tc>
      </w:tr>
      <w:tr w:rsidR="00C505DE" w:rsidRPr="00C505DE" w14:paraId="2629F4EB" w14:textId="77777777" w:rsidTr="00C505DE">
        <w:trPr>
          <w:cantSplit/>
          <w:jc w:val="center"/>
        </w:trPr>
        <w:tc>
          <w:tcPr>
            <w:tcW w:w="733" w:type="dxa"/>
            <w:vMerge w:val="restart"/>
            <w:tcBorders>
              <w:top w:val="single" w:sz="8" w:space="0" w:color="152935"/>
              <w:left w:val="nil"/>
              <w:bottom w:val="single" w:sz="8" w:space="0" w:color="152935"/>
              <w:right w:val="nil"/>
            </w:tcBorders>
            <w:shd w:val="clear" w:color="auto" w:fill="E0E0E0"/>
          </w:tcPr>
          <w:p w14:paraId="1D76ABE8" w14:textId="77777777" w:rsidR="00C505DE" w:rsidRPr="00C505DE" w:rsidRDefault="00C505DE" w:rsidP="00C505DE">
            <w:pPr>
              <w:adjustRightInd w:val="0"/>
              <w:spacing w:after="0" w:line="240" w:lineRule="auto"/>
              <w:ind w:left="60" w:right="60"/>
              <w:rPr>
                <w:rFonts w:ascii="Arial" w:hAnsi="Arial" w:cs="Arial"/>
                <w:i w:val="0"/>
                <w:color w:val="264A60"/>
                <w:sz w:val="18"/>
                <w:szCs w:val="18"/>
              </w:rPr>
            </w:pPr>
            <w:r w:rsidRPr="00C505DE">
              <w:rPr>
                <w:rFonts w:ascii="Arial" w:hAnsi="Arial" w:cs="Arial"/>
                <w:i w:val="0"/>
                <w:color w:val="264A60"/>
                <w:sz w:val="18"/>
                <w:szCs w:val="18"/>
              </w:rPr>
              <w:t>1</w:t>
            </w:r>
          </w:p>
        </w:tc>
        <w:tc>
          <w:tcPr>
            <w:tcW w:w="1067" w:type="dxa"/>
            <w:tcBorders>
              <w:top w:val="single" w:sz="8" w:space="0" w:color="152935"/>
              <w:left w:val="nil"/>
              <w:bottom w:val="single" w:sz="8" w:space="0" w:color="AEAEAE"/>
              <w:right w:val="nil"/>
            </w:tcBorders>
            <w:shd w:val="clear" w:color="auto" w:fill="E0E0E0"/>
          </w:tcPr>
          <w:p w14:paraId="6CADB5C6" w14:textId="77777777" w:rsidR="00C505DE" w:rsidRPr="00C505DE" w:rsidRDefault="00C505DE" w:rsidP="00C505DE">
            <w:pPr>
              <w:adjustRightInd w:val="0"/>
              <w:spacing w:after="0" w:line="240" w:lineRule="auto"/>
              <w:ind w:left="60" w:right="60"/>
              <w:rPr>
                <w:rFonts w:ascii="Arial" w:hAnsi="Arial" w:cs="Arial"/>
                <w:i w:val="0"/>
                <w:color w:val="264A60"/>
                <w:sz w:val="18"/>
                <w:szCs w:val="18"/>
              </w:rPr>
            </w:pPr>
            <w:r w:rsidRPr="00C505DE">
              <w:rPr>
                <w:rFonts w:ascii="Arial" w:hAnsi="Arial" w:cs="Arial"/>
                <w:i w:val="0"/>
                <w:color w:val="264A60"/>
                <w:sz w:val="18"/>
                <w:szCs w:val="18"/>
              </w:rPr>
              <w:t>(Constant)</w:t>
            </w:r>
          </w:p>
        </w:tc>
        <w:tc>
          <w:tcPr>
            <w:tcW w:w="1440" w:type="dxa"/>
            <w:tcBorders>
              <w:top w:val="single" w:sz="8" w:space="0" w:color="152935"/>
              <w:left w:val="nil"/>
              <w:bottom w:val="single" w:sz="8" w:space="0" w:color="AEAEAE"/>
              <w:right w:val="single" w:sz="8" w:space="0" w:color="E0E0E0"/>
            </w:tcBorders>
            <w:shd w:val="clear" w:color="auto" w:fill="FFFFFF"/>
          </w:tcPr>
          <w:p w14:paraId="5F236C9B" w14:textId="77777777" w:rsidR="00C505DE" w:rsidRPr="00C505DE" w:rsidRDefault="00C505DE" w:rsidP="00C505DE">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34.828</w:t>
            </w:r>
          </w:p>
        </w:tc>
        <w:tc>
          <w:tcPr>
            <w:tcW w:w="1710" w:type="dxa"/>
            <w:tcBorders>
              <w:top w:val="single" w:sz="8" w:space="0" w:color="152935"/>
              <w:left w:val="single" w:sz="8" w:space="0" w:color="E0E0E0"/>
              <w:bottom w:val="single" w:sz="8" w:space="0" w:color="AEAEAE"/>
              <w:right w:val="single" w:sz="8" w:space="0" w:color="E0E0E0"/>
            </w:tcBorders>
            <w:shd w:val="clear" w:color="auto" w:fill="FFFFFF"/>
          </w:tcPr>
          <w:p w14:paraId="6D0A63ED" w14:textId="77777777" w:rsidR="00C505DE" w:rsidRPr="00C505DE" w:rsidRDefault="00C505DE" w:rsidP="00C505DE">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63.090</w:t>
            </w:r>
          </w:p>
        </w:tc>
        <w:tc>
          <w:tcPr>
            <w:tcW w:w="1260"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42A87156" w14:textId="77777777" w:rsidR="00C505DE" w:rsidRPr="00C505DE" w:rsidRDefault="00C505DE" w:rsidP="00C505DE">
            <w:pPr>
              <w:adjustRightInd w:val="0"/>
              <w:spacing w:after="0" w:line="240" w:lineRule="auto"/>
              <w:rPr>
                <w:i w:val="0"/>
                <w:sz w:val="18"/>
                <w:szCs w:val="18"/>
              </w:rPr>
            </w:pP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14:paraId="5310BBFE" w14:textId="77777777" w:rsidR="00C505DE" w:rsidRPr="00C505DE" w:rsidRDefault="00C505DE" w:rsidP="00C505DE">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.552</w:t>
            </w:r>
          </w:p>
        </w:tc>
        <w:tc>
          <w:tcPr>
            <w:tcW w:w="990" w:type="dxa"/>
            <w:tcBorders>
              <w:top w:val="single" w:sz="8" w:space="0" w:color="152935"/>
              <w:left w:val="single" w:sz="8" w:space="0" w:color="E0E0E0"/>
              <w:bottom w:val="single" w:sz="8" w:space="0" w:color="AEAEAE"/>
              <w:right w:val="nil"/>
            </w:tcBorders>
            <w:shd w:val="clear" w:color="auto" w:fill="FFFFFF"/>
          </w:tcPr>
          <w:p w14:paraId="4408F19D" w14:textId="77777777" w:rsidR="00C505DE" w:rsidRPr="00C505DE" w:rsidRDefault="00C505DE" w:rsidP="00C505DE">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.586</w:t>
            </w:r>
          </w:p>
        </w:tc>
      </w:tr>
      <w:tr w:rsidR="00C505DE" w:rsidRPr="00C505DE" w14:paraId="141ABF4C" w14:textId="77777777" w:rsidTr="00C505DE">
        <w:trPr>
          <w:cantSplit/>
          <w:jc w:val="center"/>
        </w:trPr>
        <w:tc>
          <w:tcPr>
            <w:tcW w:w="733" w:type="dxa"/>
            <w:vMerge/>
            <w:tcBorders>
              <w:top w:val="single" w:sz="8" w:space="0" w:color="152935"/>
              <w:left w:val="nil"/>
              <w:bottom w:val="single" w:sz="8" w:space="0" w:color="152935"/>
              <w:right w:val="nil"/>
            </w:tcBorders>
            <w:shd w:val="clear" w:color="auto" w:fill="E0E0E0"/>
          </w:tcPr>
          <w:p w14:paraId="32A5AFE4" w14:textId="77777777" w:rsidR="00C505DE" w:rsidRPr="008F298C" w:rsidRDefault="00C505DE" w:rsidP="00C505DE">
            <w:pPr>
              <w:adjustRightInd w:val="0"/>
              <w:spacing w:after="0" w:line="240" w:lineRule="auto"/>
              <w:rPr>
                <w:rFonts w:ascii="Arial" w:hAnsi="Arial" w:cs="Arial"/>
                <w:color w:val="010205"/>
                <w:sz w:val="18"/>
                <w:szCs w:val="18"/>
              </w:rPr>
            </w:pPr>
          </w:p>
        </w:tc>
        <w:tc>
          <w:tcPr>
            <w:tcW w:w="1067" w:type="dxa"/>
            <w:tcBorders>
              <w:top w:val="single" w:sz="8" w:space="0" w:color="AEAEAE"/>
              <w:left w:val="nil"/>
              <w:bottom w:val="single" w:sz="8" w:space="0" w:color="AEAEAE"/>
              <w:right w:val="nil"/>
            </w:tcBorders>
            <w:shd w:val="clear" w:color="auto" w:fill="E0E0E0"/>
          </w:tcPr>
          <w:p w14:paraId="19599379" w14:textId="77777777" w:rsidR="00C505DE" w:rsidRPr="00C505DE" w:rsidRDefault="00C505DE" w:rsidP="00C505DE">
            <w:pPr>
              <w:adjustRightInd w:val="0"/>
              <w:spacing w:after="0" w:line="240" w:lineRule="auto"/>
              <w:ind w:left="60" w:right="60"/>
              <w:rPr>
                <w:rFonts w:ascii="Arial" w:hAnsi="Arial" w:cs="Arial"/>
                <w:i w:val="0"/>
                <w:color w:val="264A60"/>
                <w:sz w:val="18"/>
                <w:szCs w:val="18"/>
              </w:rPr>
            </w:pPr>
            <w:r w:rsidRPr="00C505DE">
              <w:rPr>
                <w:rFonts w:ascii="Arial" w:hAnsi="Arial" w:cs="Arial"/>
                <w:i w:val="0"/>
                <w:color w:val="264A60"/>
                <w:sz w:val="18"/>
                <w:szCs w:val="18"/>
              </w:rPr>
              <w:t>NI_PBV</w:t>
            </w:r>
          </w:p>
        </w:tc>
        <w:tc>
          <w:tcPr>
            <w:tcW w:w="1440" w:type="dxa"/>
            <w:tcBorders>
              <w:top w:val="single" w:sz="8" w:space="0" w:color="AEAEAE"/>
              <w:left w:val="nil"/>
              <w:bottom w:val="single" w:sz="8" w:space="0" w:color="AEAEAE"/>
              <w:right w:val="single" w:sz="8" w:space="0" w:color="E0E0E0"/>
            </w:tcBorders>
            <w:shd w:val="clear" w:color="auto" w:fill="FFFFFF"/>
          </w:tcPr>
          <w:p w14:paraId="1C7B540A" w14:textId="77777777" w:rsidR="00C505DE" w:rsidRPr="00C505DE" w:rsidRDefault="00C505DE" w:rsidP="00C505DE">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-.035</w:t>
            </w:r>
          </w:p>
        </w:tc>
        <w:tc>
          <w:tcPr>
            <w:tcW w:w="1710" w:type="dxa"/>
            <w:tcBorders>
              <w:top w:val="single" w:sz="8" w:space="0" w:color="AEAEAE"/>
              <w:left w:val="single" w:sz="8" w:space="0" w:color="E0E0E0"/>
              <w:bottom w:val="single" w:sz="8" w:space="0" w:color="AEAEAE"/>
              <w:right w:val="single" w:sz="8" w:space="0" w:color="E0E0E0"/>
            </w:tcBorders>
            <w:shd w:val="clear" w:color="auto" w:fill="FFFFFF"/>
          </w:tcPr>
          <w:p w14:paraId="4253B742" w14:textId="77777777" w:rsidR="00C505DE" w:rsidRPr="00C505DE" w:rsidRDefault="00C505DE" w:rsidP="00C505DE">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.016</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20AA3E96" w14:textId="77777777" w:rsidR="00C505DE" w:rsidRPr="00C505DE" w:rsidRDefault="00C505DE" w:rsidP="00C505DE">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-.064</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3E2FD1A4" w14:textId="77777777" w:rsidR="00C505DE" w:rsidRPr="00C505DE" w:rsidRDefault="00C505DE" w:rsidP="00C505DE">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-2.248</w:t>
            </w:r>
          </w:p>
        </w:tc>
        <w:tc>
          <w:tcPr>
            <w:tcW w:w="990" w:type="dxa"/>
            <w:tcBorders>
              <w:top w:val="single" w:sz="8" w:space="0" w:color="AEAEAE"/>
              <w:left w:val="single" w:sz="8" w:space="0" w:color="E0E0E0"/>
              <w:bottom w:val="single" w:sz="8" w:space="0" w:color="AEAEAE"/>
              <w:right w:val="nil"/>
            </w:tcBorders>
            <w:shd w:val="clear" w:color="auto" w:fill="FFFFFF"/>
          </w:tcPr>
          <w:p w14:paraId="4B8A4F8D" w14:textId="77777777" w:rsidR="00C505DE" w:rsidRPr="00C505DE" w:rsidRDefault="00C505DE" w:rsidP="00C505DE">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.034</w:t>
            </w:r>
          </w:p>
        </w:tc>
      </w:tr>
      <w:tr w:rsidR="00C505DE" w:rsidRPr="00C505DE" w14:paraId="6CB911DB" w14:textId="77777777" w:rsidTr="00C505DE">
        <w:trPr>
          <w:cantSplit/>
          <w:jc w:val="center"/>
        </w:trPr>
        <w:tc>
          <w:tcPr>
            <w:tcW w:w="733" w:type="dxa"/>
            <w:vMerge/>
            <w:tcBorders>
              <w:top w:val="single" w:sz="8" w:space="0" w:color="152935"/>
              <w:left w:val="nil"/>
              <w:bottom w:val="single" w:sz="8" w:space="0" w:color="152935"/>
              <w:right w:val="nil"/>
            </w:tcBorders>
            <w:shd w:val="clear" w:color="auto" w:fill="E0E0E0"/>
          </w:tcPr>
          <w:p w14:paraId="61298FBD" w14:textId="77777777" w:rsidR="00C505DE" w:rsidRPr="008F298C" w:rsidRDefault="00C505DE" w:rsidP="00C505DE">
            <w:pPr>
              <w:adjustRightInd w:val="0"/>
              <w:spacing w:after="0" w:line="240" w:lineRule="auto"/>
              <w:rPr>
                <w:rFonts w:ascii="Arial" w:hAnsi="Arial" w:cs="Arial"/>
                <w:color w:val="010205"/>
                <w:sz w:val="18"/>
                <w:szCs w:val="18"/>
              </w:rPr>
            </w:pPr>
          </w:p>
        </w:tc>
        <w:tc>
          <w:tcPr>
            <w:tcW w:w="1067" w:type="dxa"/>
            <w:tcBorders>
              <w:top w:val="single" w:sz="8" w:space="0" w:color="AEAEAE"/>
              <w:left w:val="nil"/>
              <w:bottom w:val="single" w:sz="8" w:space="0" w:color="152935"/>
              <w:right w:val="nil"/>
            </w:tcBorders>
            <w:shd w:val="clear" w:color="auto" w:fill="E0E0E0"/>
          </w:tcPr>
          <w:p w14:paraId="127C2A4B" w14:textId="77777777" w:rsidR="00C505DE" w:rsidRPr="00C505DE" w:rsidRDefault="00C505DE" w:rsidP="00C505DE">
            <w:pPr>
              <w:adjustRightInd w:val="0"/>
              <w:spacing w:after="0" w:line="240" w:lineRule="auto"/>
              <w:ind w:left="60" w:right="60"/>
              <w:rPr>
                <w:rFonts w:ascii="Arial" w:hAnsi="Arial" w:cs="Arial"/>
                <w:i w:val="0"/>
                <w:color w:val="264A60"/>
                <w:sz w:val="18"/>
                <w:szCs w:val="18"/>
              </w:rPr>
            </w:pPr>
            <w:r w:rsidRPr="00C505DE">
              <w:rPr>
                <w:rFonts w:ascii="Arial" w:hAnsi="Arial" w:cs="Arial"/>
                <w:i w:val="0"/>
                <w:color w:val="264A60"/>
                <w:sz w:val="18"/>
                <w:szCs w:val="18"/>
              </w:rPr>
              <w:t>NI_DDM</w:t>
            </w:r>
          </w:p>
        </w:tc>
        <w:tc>
          <w:tcPr>
            <w:tcW w:w="1440" w:type="dxa"/>
            <w:tcBorders>
              <w:top w:val="single" w:sz="8" w:space="0" w:color="AEAEAE"/>
              <w:left w:val="nil"/>
              <w:bottom w:val="single" w:sz="8" w:space="0" w:color="152935"/>
              <w:right w:val="single" w:sz="8" w:space="0" w:color="E0E0E0"/>
            </w:tcBorders>
            <w:shd w:val="clear" w:color="auto" w:fill="FFFFFF"/>
          </w:tcPr>
          <w:p w14:paraId="406F308D" w14:textId="77777777" w:rsidR="00C505DE" w:rsidRPr="00C505DE" w:rsidRDefault="00C505DE" w:rsidP="00C505DE">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.956</w:t>
            </w:r>
          </w:p>
        </w:tc>
        <w:tc>
          <w:tcPr>
            <w:tcW w:w="1710" w:type="dxa"/>
            <w:tcBorders>
              <w:top w:val="single" w:sz="8" w:space="0" w:color="AEAEAE"/>
              <w:left w:val="single" w:sz="8" w:space="0" w:color="E0E0E0"/>
              <w:bottom w:val="single" w:sz="8" w:space="0" w:color="152935"/>
              <w:right w:val="single" w:sz="8" w:space="0" w:color="E0E0E0"/>
            </w:tcBorders>
            <w:shd w:val="clear" w:color="auto" w:fill="FFFFFF"/>
          </w:tcPr>
          <w:p w14:paraId="04A658A2" w14:textId="77777777" w:rsidR="00C505DE" w:rsidRPr="00C505DE" w:rsidRDefault="00C505DE" w:rsidP="00C505DE">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.026</w:t>
            </w:r>
          </w:p>
        </w:tc>
        <w:tc>
          <w:tcPr>
            <w:tcW w:w="1260" w:type="dxa"/>
            <w:tcBorders>
              <w:top w:val="single" w:sz="8" w:space="0" w:color="AEAEAE"/>
              <w:left w:val="single" w:sz="8" w:space="0" w:color="E0E0E0"/>
              <w:bottom w:val="single" w:sz="8" w:space="0" w:color="152935"/>
              <w:right w:val="single" w:sz="8" w:space="0" w:color="E0E0E0"/>
            </w:tcBorders>
            <w:shd w:val="clear" w:color="auto" w:fill="FFFFFF"/>
          </w:tcPr>
          <w:p w14:paraId="7CA2F64C" w14:textId="77777777" w:rsidR="00C505DE" w:rsidRPr="00C505DE" w:rsidRDefault="00C505DE" w:rsidP="00C505DE">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1.045</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14:paraId="12CFAB56" w14:textId="77777777" w:rsidR="00C505DE" w:rsidRPr="00C505DE" w:rsidRDefault="00C505DE" w:rsidP="00C505DE">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36.811</w:t>
            </w:r>
          </w:p>
        </w:tc>
        <w:tc>
          <w:tcPr>
            <w:tcW w:w="990" w:type="dxa"/>
            <w:tcBorders>
              <w:top w:val="single" w:sz="8" w:space="0" w:color="AEAEAE"/>
              <w:left w:val="single" w:sz="8" w:space="0" w:color="E0E0E0"/>
              <w:bottom w:val="single" w:sz="8" w:space="0" w:color="152935"/>
              <w:right w:val="nil"/>
            </w:tcBorders>
            <w:shd w:val="clear" w:color="auto" w:fill="FFFFFF"/>
          </w:tcPr>
          <w:p w14:paraId="43ECC11B" w14:textId="77777777" w:rsidR="00C505DE" w:rsidRPr="00C505DE" w:rsidRDefault="00C505DE" w:rsidP="00C505DE">
            <w:pPr>
              <w:adjustRightInd w:val="0"/>
              <w:spacing w:after="0" w:line="240" w:lineRule="auto"/>
              <w:ind w:left="60" w:right="60"/>
              <w:jc w:val="right"/>
              <w:rPr>
                <w:rFonts w:ascii="Arial" w:hAnsi="Arial" w:cs="Arial"/>
                <w:i w:val="0"/>
                <w:color w:val="010205"/>
                <w:sz w:val="18"/>
                <w:szCs w:val="18"/>
              </w:rPr>
            </w:pPr>
            <w:r w:rsidRPr="00C505DE">
              <w:rPr>
                <w:rFonts w:ascii="Arial" w:hAnsi="Arial" w:cs="Arial"/>
                <w:i w:val="0"/>
                <w:color w:val="010205"/>
                <w:sz w:val="18"/>
                <w:szCs w:val="18"/>
              </w:rPr>
              <w:t>.000</w:t>
            </w:r>
          </w:p>
        </w:tc>
      </w:tr>
      <w:tr w:rsidR="00C505DE" w:rsidRPr="008F298C" w14:paraId="73BC2716" w14:textId="77777777" w:rsidTr="00C505DE">
        <w:trPr>
          <w:cantSplit/>
          <w:jc w:val="center"/>
        </w:trPr>
        <w:tc>
          <w:tcPr>
            <w:tcW w:w="8280" w:type="dxa"/>
            <w:gridSpan w:val="7"/>
            <w:tcBorders>
              <w:top w:val="nil"/>
              <w:left w:val="nil"/>
              <w:bottom w:val="nil"/>
              <w:right w:val="nil"/>
            </w:tcBorders>
            <w:shd w:val="clear" w:color="auto" w:fill="FFFFFF"/>
          </w:tcPr>
          <w:p w14:paraId="12EEF1BA" w14:textId="77777777" w:rsidR="00C505DE" w:rsidRPr="00C505DE" w:rsidRDefault="00C505DE" w:rsidP="00C505DE">
            <w:pPr>
              <w:adjustRightInd w:val="0"/>
              <w:spacing w:after="0" w:line="240" w:lineRule="auto"/>
              <w:ind w:left="60" w:right="60"/>
              <w:rPr>
                <w:rFonts w:ascii="Arial" w:hAnsi="Arial" w:cs="Arial"/>
                <w:i w:val="0"/>
                <w:color w:val="010205"/>
                <w:sz w:val="18"/>
                <w:szCs w:val="18"/>
              </w:rPr>
            </w:pPr>
            <w:r w:rsidRPr="00C505DE">
              <w:rPr>
                <w:rFonts w:ascii="Arial" w:hAnsi="Arial" w:cs="Arial"/>
                <w:i w:val="0"/>
                <w:color w:val="010205"/>
                <w:sz w:val="18"/>
                <w:szCs w:val="18"/>
              </w:rPr>
              <w:t xml:space="preserve">a. Dependent Variable: </w:t>
            </w:r>
            <w:proofErr w:type="spellStart"/>
            <w:r w:rsidRPr="00C505DE">
              <w:rPr>
                <w:rFonts w:ascii="Arial" w:hAnsi="Arial" w:cs="Arial"/>
                <w:i w:val="0"/>
                <w:color w:val="010205"/>
                <w:sz w:val="18"/>
                <w:szCs w:val="18"/>
              </w:rPr>
              <w:t>Harga_Saham</w:t>
            </w:r>
            <w:proofErr w:type="spellEnd"/>
          </w:p>
        </w:tc>
      </w:tr>
    </w:tbl>
    <w:p w14:paraId="12792BB9" w14:textId="6E594CDD" w:rsidR="000711D0" w:rsidRDefault="00C505DE" w:rsidP="00C505DE">
      <w:pPr>
        <w:spacing w:after="0" w:line="240" w:lineRule="auto"/>
        <w:jc w:val="both"/>
        <w:rPr>
          <w:rFonts w:ascii="Times New Roman" w:hAnsi="Times New Roman" w:cs="Times New Roman"/>
          <w:i w:val="0"/>
          <w:sz w:val="24"/>
        </w:rPr>
      </w:pPr>
      <w:r w:rsidRPr="00C505DE">
        <w:rPr>
          <w:rFonts w:ascii="Times New Roman" w:hAnsi="Times New Roman" w:cs="Times New Roman"/>
          <w:i w:val="0"/>
          <w:sz w:val="24"/>
        </w:rPr>
        <w:t>Source: Processed data SPSS 25 (2021)</w:t>
      </w:r>
    </w:p>
    <w:p w14:paraId="645E612E" w14:textId="3DF8F26E" w:rsidR="00C505DE" w:rsidRDefault="00C505DE" w:rsidP="00C505DE">
      <w:pPr>
        <w:spacing w:after="0" w:line="240" w:lineRule="auto"/>
        <w:jc w:val="both"/>
        <w:rPr>
          <w:rFonts w:ascii="Times New Roman" w:hAnsi="Times New Roman" w:cs="Times New Roman"/>
          <w:i w:val="0"/>
          <w:sz w:val="24"/>
        </w:rPr>
      </w:pPr>
      <w:r w:rsidRPr="00C505DE">
        <w:rPr>
          <w:rFonts w:ascii="Times New Roman" w:hAnsi="Times New Roman" w:cs="Times New Roman"/>
          <w:i w:val="0"/>
          <w:sz w:val="24"/>
        </w:rPr>
        <w:t xml:space="preserve">Based on the results of the output in this table, it can be seen that the value of n = 28 at a significant 5% so that the t table value is 1.701. Value of Sig. The PBV method is 0.034 which is less than 0.05 (0.034 &lt; 0.05). The results of calculations on multiple linear regression obtained t-count value of -2.248 which means </w:t>
      </w:r>
      <w:proofErr w:type="spellStart"/>
      <w:r w:rsidRPr="00C505DE">
        <w:rPr>
          <w:rFonts w:ascii="Times New Roman" w:hAnsi="Times New Roman" w:cs="Times New Roman"/>
          <w:i w:val="0"/>
          <w:sz w:val="24"/>
        </w:rPr>
        <w:t>tcount</w:t>
      </w:r>
      <w:proofErr w:type="spellEnd"/>
      <w:r w:rsidRPr="00C505DE">
        <w:rPr>
          <w:rFonts w:ascii="Times New Roman" w:hAnsi="Times New Roman" w:cs="Times New Roman"/>
          <w:i w:val="0"/>
          <w:sz w:val="24"/>
        </w:rPr>
        <w:t xml:space="preserve"> &lt; </w:t>
      </w:r>
      <w:proofErr w:type="spellStart"/>
      <w:r w:rsidRPr="00C505DE">
        <w:rPr>
          <w:rFonts w:ascii="Times New Roman" w:hAnsi="Times New Roman" w:cs="Times New Roman"/>
          <w:i w:val="0"/>
          <w:sz w:val="24"/>
        </w:rPr>
        <w:t>ttable</w:t>
      </w:r>
      <w:proofErr w:type="spellEnd"/>
      <w:r w:rsidRPr="00C505DE">
        <w:rPr>
          <w:rFonts w:ascii="Times New Roman" w:hAnsi="Times New Roman" w:cs="Times New Roman"/>
          <w:i w:val="0"/>
          <w:sz w:val="24"/>
        </w:rPr>
        <w:t xml:space="preserve"> (-2.248 &lt;1.701) which means that the intrinsic value of shares with the PBV method has no effect on stock prices. So it can be concluded that the PBV method cannot properly evaluate stock prices. Value of Sig. DDM method is 0.000 which is less than 0.05 (0.000 &lt; 0.05). The results of calculations on multiple linear regression obtained t value of 36,811 which means </w:t>
      </w:r>
      <w:proofErr w:type="spellStart"/>
      <w:r w:rsidRPr="00C505DE">
        <w:rPr>
          <w:rFonts w:ascii="Times New Roman" w:hAnsi="Times New Roman" w:cs="Times New Roman"/>
          <w:i w:val="0"/>
          <w:sz w:val="24"/>
        </w:rPr>
        <w:t>tcount</w:t>
      </w:r>
      <w:proofErr w:type="spellEnd"/>
      <w:r w:rsidRPr="00C505DE">
        <w:rPr>
          <w:rFonts w:ascii="Times New Roman" w:hAnsi="Times New Roman" w:cs="Times New Roman"/>
          <w:i w:val="0"/>
          <w:sz w:val="24"/>
        </w:rPr>
        <w:t xml:space="preserve"> &gt; </w:t>
      </w:r>
      <w:proofErr w:type="spellStart"/>
      <w:r w:rsidRPr="00C505DE">
        <w:rPr>
          <w:rFonts w:ascii="Times New Roman" w:hAnsi="Times New Roman" w:cs="Times New Roman"/>
          <w:i w:val="0"/>
          <w:sz w:val="24"/>
        </w:rPr>
        <w:t>ttable</w:t>
      </w:r>
      <w:proofErr w:type="spellEnd"/>
      <w:r w:rsidRPr="00C505DE">
        <w:rPr>
          <w:rFonts w:ascii="Times New Roman" w:hAnsi="Times New Roman" w:cs="Times New Roman"/>
          <w:i w:val="0"/>
          <w:sz w:val="24"/>
        </w:rPr>
        <w:t xml:space="preserve"> (36,811 &gt; 1.701) which means that the intrinsic value of shares with the DDM method has a positive effect on stock prices, meaning that if there is an increase of 1% from the intrinsic value of DDM, then the stock price will increase by 0.956. So it can be concluded that the DDM method can evaluate stock prices appropriately.</w:t>
      </w:r>
    </w:p>
    <w:p w14:paraId="2CBEE619" w14:textId="77777777" w:rsidR="00C505DE" w:rsidRPr="00C505DE" w:rsidRDefault="00C505DE" w:rsidP="00C505DE">
      <w:pPr>
        <w:spacing w:after="0" w:line="240" w:lineRule="auto"/>
        <w:jc w:val="both"/>
        <w:rPr>
          <w:rFonts w:ascii="Times New Roman" w:hAnsi="Times New Roman" w:cs="Times New Roman"/>
          <w:i w:val="0"/>
          <w:sz w:val="24"/>
        </w:rPr>
      </w:pPr>
    </w:p>
    <w:p w14:paraId="13C30153" w14:textId="77777777" w:rsidR="00C505DE" w:rsidRPr="000711D0" w:rsidRDefault="00C505DE" w:rsidP="00C505DE">
      <w:pPr>
        <w:spacing w:after="0" w:line="240" w:lineRule="auto"/>
        <w:jc w:val="both"/>
        <w:rPr>
          <w:rFonts w:ascii="Times New Roman" w:hAnsi="Times New Roman" w:cs="Times New Roman"/>
          <w:b/>
          <w:i w:val="0"/>
          <w:sz w:val="24"/>
        </w:rPr>
      </w:pPr>
      <w:r w:rsidRPr="000711D0">
        <w:rPr>
          <w:rFonts w:ascii="Times New Roman" w:hAnsi="Times New Roman" w:cs="Times New Roman"/>
          <w:b/>
          <w:i w:val="0"/>
          <w:sz w:val="24"/>
        </w:rPr>
        <w:t>3. Test the coefficient of determination (R</w:t>
      </w:r>
      <w:r w:rsidRPr="000711D0">
        <w:rPr>
          <w:rFonts w:ascii="Times New Roman" w:hAnsi="Times New Roman" w:cs="Times New Roman"/>
          <w:b/>
          <w:i w:val="0"/>
          <w:sz w:val="24"/>
          <w:vertAlign w:val="superscript"/>
        </w:rPr>
        <w:t>2</w:t>
      </w:r>
      <w:r w:rsidRPr="000711D0">
        <w:rPr>
          <w:rFonts w:ascii="Times New Roman" w:hAnsi="Times New Roman" w:cs="Times New Roman"/>
          <w:b/>
          <w:i w:val="0"/>
          <w:sz w:val="24"/>
        </w:rPr>
        <w:t>)</w:t>
      </w:r>
    </w:p>
    <w:p w14:paraId="3B1677F0" w14:textId="77777777" w:rsidR="00C505DE" w:rsidRPr="00C505DE" w:rsidRDefault="00C505DE" w:rsidP="00C505DE">
      <w:pPr>
        <w:spacing w:after="0" w:line="240" w:lineRule="auto"/>
        <w:jc w:val="both"/>
        <w:rPr>
          <w:rFonts w:ascii="Times New Roman" w:hAnsi="Times New Roman" w:cs="Times New Roman"/>
          <w:i w:val="0"/>
          <w:sz w:val="24"/>
        </w:rPr>
      </w:pPr>
      <w:r w:rsidRPr="00C505DE">
        <w:rPr>
          <w:rFonts w:ascii="Times New Roman" w:hAnsi="Times New Roman" w:cs="Times New Roman"/>
          <w:i w:val="0"/>
          <w:sz w:val="24"/>
        </w:rPr>
        <w:t>The following are the results of the coefficient of determination of intrinsic value obtained from the calculation of PBV and DDM for companies affected by the COVID-19 pandemic.</w:t>
      </w:r>
    </w:p>
    <w:p w14:paraId="68040129" w14:textId="77777777" w:rsidR="00C505DE" w:rsidRDefault="00C505DE" w:rsidP="00C505DE">
      <w:pPr>
        <w:jc w:val="both"/>
        <w:rPr>
          <w:rFonts w:ascii="Segoe UI" w:hAnsi="Segoe UI" w:cs="Segoe UI"/>
        </w:rPr>
      </w:pPr>
    </w:p>
    <w:tbl>
      <w:tblPr>
        <w:tblW w:w="58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C505DE" w:rsidRPr="000711D0" w14:paraId="243A2F3A" w14:textId="77777777" w:rsidTr="00283179">
        <w:trPr>
          <w:cantSplit/>
          <w:jc w:val="center"/>
        </w:trPr>
        <w:tc>
          <w:tcPr>
            <w:tcW w:w="5843" w:type="dxa"/>
            <w:gridSpan w:val="5"/>
            <w:tcBorders>
              <w:top w:val="nil"/>
              <w:left w:val="nil"/>
              <w:bottom w:val="nil"/>
              <w:right w:val="nil"/>
            </w:tcBorders>
            <w:shd w:val="clear" w:color="auto" w:fill="FFFFFF"/>
            <w:vAlign w:val="center"/>
          </w:tcPr>
          <w:p w14:paraId="7CAD6CF7" w14:textId="77777777" w:rsidR="00C505DE" w:rsidRPr="000711D0" w:rsidRDefault="00C505DE" w:rsidP="000711D0">
            <w:pPr>
              <w:adjustRightInd w:val="0"/>
              <w:spacing w:after="0" w:line="240" w:lineRule="auto"/>
              <w:ind w:left="60" w:right="60"/>
              <w:jc w:val="center"/>
              <w:rPr>
                <w:rFonts w:ascii="Arial" w:hAnsi="Arial" w:cs="Arial"/>
                <w:i w:val="0"/>
                <w:color w:val="010205"/>
                <w:sz w:val="18"/>
                <w:szCs w:val="18"/>
              </w:rPr>
            </w:pPr>
            <w:r w:rsidRPr="000711D0">
              <w:rPr>
                <w:rFonts w:ascii="Arial" w:hAnsi="Arial" w:cs="Arial"/>
                <w:b/>
                <w:bCs/>
                <w:i w:val="0"/>
                <w:color w:val="010205"/>
                <w:sz w:val="18"/>
                <w:szCs w:val="18"/>
              </w:rPr>
              <w:t>Model Summary</w:t>
            </w:r>
          </w:p>
        </w:tc>
      </w:tr>
      <w:tr w:rsidR="00C505DE" w:rsidRPr="000711D0" w14:paraId="7D8D1423" w14:textId="77777777" w:rsidTr="00283179">
        <w:trPr>
          <w:cantSplit/>
          <w:jc w:val="center"/>
        </w:trPr>
        <w:tc>
          <w:tcPr>
            <w:tcW w:w="795" w:type="dxa"/>
            <w:tcBorders>
              <w:top w:val="nil"/>
              <w:left w:val="nil"/>
              <w:bottom w:val="single" w:sz="8" w:space="0" w:color="152935"/>
              <w:right w:val="nil"/>
            </w:tcBorders>
            <w:shd w:val="clear" w:color="auto" w:fill="FFFFFF"/>
            <w:vAlign w:val="bottom"/>
          </w:tcPr>
          <w:p w14:paraId="67328255" w14:textId="77777777" w:rsidR="00C505DE" w:rsidRPr="000711D0" w:rsidRDefault="00C505DE" w:rsidP="000711D0">
            <w:pPr>
              <w:adjustRightInd w:val="0"/>
              <w:spacing w:after="0" w:line="240" w:lineRule="auto"/>
              <w:ind w:left="60" w:right="60"/>
              <w:rPr>
                <w:rFonts w:ascii="Arial" w:hAnsi="Arial" w:cs="Arial"/>
                <w:i w:val="0"/>
                <w:color w:val="264A60"/>
                <w:sz w:val="18"/>
                <w:szCs w:val="18"/>
              </w:rPr>
            </w:pPr>
            <w:r w:rsidRPr="000711D0">
              <w:rPr>
                <w:rFonts w:ascii="Arial" w:hAnsi="Arial" w:cs="Arial"/>
                <w:i w:val="0"/>
                <w:color w:val="264A60"/>
                <w:sz w:val="18"/>
                <w:szCs w:val="18"/>
              </w:rPr>
              <w:t>Model</w:t>
            </w:r>
          </w:p>
        </w:tc>
        <w:tc>
          <w:tcPr>
            <w:tcW w:w="1024" w:type="dxa"/>
            <w:tcBorders>
              <w:top w:val="nil"/>
              <w:left w:val="nil"/>
              <w:bottom w:val="single" w:sz="8" w:space="0" w:color="152935"/>
              <w:right w:val="single" w:sz="8" w:space="0" w:color="E0E0E0"/>
            </w:tcBorders>
            <w:shd w:val="clear" w:color="auto" w:fill="FFFFFF"/>
            <w:vAlign w:val="bottom"/>
          </w:tcPr>
          <w:p w14:paraId="17BEF4E9" w14:textId="77777777" w:rsidR="00C505DE" w:rsidRPr="000711D0" w:rsidRDefault="00C505DE" w:rsidP="000711D0">
            <w:pPr>
              <w:adjustRightInd w:val="0"/>
              <w:spacing w:after="0" w:line="240" w:lineRule="auto"/>
              <w:ind w:left="60" w:right="60"/>
              <w:jc w:val="center"/>
              <w:rPr>
                <w:rFonts w:ascii="Arial" w:hAnsi="Arial" w:cs="Arial"/>
                <w:i w:val="0"/>
                <w:color w:val="264A60"/>
                <w:sz w:val="18"/>
                <w:szCs w:val="18"/>
              </w:rPr>
            </w:pPr>
            <w:r w:rsidRPr="000711D0">
              <w:rPr>
                <w:rFonts w:ascii="Arial" w:hAnsi="Arial" w:cs="Arial"/>
                <w:i w:val="0"/>
                <w:color w:val="264A60"/>
                <w:sz w:val="18"/>
                <w:szCs w:val="18"/>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13C6560E" w14:textId="77777777" w:rsidR="00C505DE" w:rsidRPr="000711D0" w:rsidRDefault="00C505DE" w:rsidP="000711D0">
            <w:pPr>
              <w:adjustRightInd w:val="0"/>
              <w:spacing w:after="0" w:line="240" w:lineRule="auto"/>
              <w:ind w:left="60" w:right="60"/>
              <w:jc w:val="center"/>
              <w:rPr>
                <w:rFonts w:ascii="Arial" w:hAnsi="Arial" w:cs="Arial"/>
                <w:i w:val="0"/>
                <w:color w:val="264A60"/>
                <w:sz w:val="18"/>
                <w:szCs w:val="18"/>
              </w:rPr>
            </w:pPr>
            <w:r w:rsidRPr="000711D0">
              <w:rPr>
                <w:rFonts w:ascii="Arial" w:hAnsi="Arial" w:cs="Arial"/>
                <w:i w:val="0"/>
                <w:color w:val="264A60"/>
                <w:sz w:val="18"/>
                <w:szCs w:val="18"/>
              </w:rPr>
              <w:t>R Square</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3AE00E89" w14:textId="77777777" w:rsidR="00C505DE" w:rsidRPr="000711D0" w:rsidRDefault="00C505DE" w:rsidP="000711D0">
            <w:pPr>
              <w:adjustRightInd w:val="0"/>
              <w:spacing w:after="0" w:line="240" w:lineRule="auto"/>
              <w:ind w:left="60" w:right="60"/>
              <w:jc w:val="center"/>
              <w:rPr>
                <w:rFonts w:ascii="Arial" w:hAnsi="Arial" w:cs="Arial"/>
                <w:i w:val="0"/>
                <w:color w:val="264A60"/>
                <w:sz w:val="18"/>
                <w:szCs w:val="18"/>
              </w:rPr>
            </w:pPr>
            <w:r w:rsidRPr="000711D0">
              <w:rPr>
                <w:rFonts w:ascii="Arial" w:hAnsi="Arial" w:cs="Arial"/>
                <w:i w:val="0"/>
                <w:color w:val="264A60"/>
                <w:sz w:val="18"/>
                <w:szCs w:val="18"/>
              </w:rPr>
              <w:t>Adjusted R Square</w:t>
            </w:r>
          </w:p>
        </w:tc>
        <w:tc>
          <w:tcPr>
            <w:tcW w:w="1469" w:type="dxa"/>
            <w:tcBorders>
              <w:top w:val="nil"/>
              <w:left w:val="single" w:sz="8" w:space="0" w:color="E0E0E0"/>
              <w:bottom w:val="single" w:sz="8" w:space="0" w:color="152935"/>
              <w:right w:val="nil"/>
            </w:tcBorders>
            <w:shd w:val="clear" w:color="auto" w:fill="FFFFFF"/>
            <w:vAlign w:val="bottom"/>
          </w:tcPr>
          <w:p w14:paraId="409A6121" w14:textId="77777777" w:rsidR="00C505DE" w:rsidRPr="000711D0" w:rsidRDefault="00C505DE" w:rsidP="000711D0">
            <w:pPr>
              <w:adjustRightInd w:val="0"/>
              <w:spacing w:after="0" w:line="240" w:lineRule="auto"/>
              <w:ind w:left="60" w:right="60"/>
              <w:jc w:val="center"/>
              <w:rPr>
                <w:rFonts w:ascii="Arial" w:hAnsi="Arial" w:cs="Arial"/>
                <w:i w:val="0"/>
                <w:color w:val="264A60"/>
                <w:sz w:val="18"/>
                <w:szCs w:val="18"/>
              </w:rPr>
            </w:pPr>
            <w:r w:rsidRPr="000711D0">
              <w:rPr>
                <w:rFonts w:ascii="Arial" w:hAnsi="Arial" w:cs="Arial"/>
                <w:i w:val="0"/>
                <w:color w:val="264A60"/>
                <w:sz w:val="18"/>
                <w:szCs w:val="18"/>
              </w:rPr>
              <w:t>Std. Error of the Estimate</w:t>
            </w:r>
          </w:p>
        </w:tc>
      </w:tr>
      <w:tr w:rsidR="00C505DE" w:rsidRPr="000711D0" w14:paraId="2BC753A4" w14:textId="77777777" w:rsidTr="00283179">
        <w:trPr>
          <w:cantSplit/>
          <w:jc w:val="center"/>
        </w:trPr>
        <w:tc>
          <w:tcPr>
            <w:tcW w:w="795" w:type="dxa"/>
            <w:tcBorders>
              <w:top w:val="single" w:sz="8" w:space="0" w:color="152935"/>
              <w:left w:val="nil"/>
              <w:bottom w:val="single" w:sz="8" w:space="0" w:color="152935"/>
              <w:right w:val="nil"/>
            </w:tcBorders>
            <w:shd w:val="clear" w:color="auto" w:fill="E0E0E0"/>
          </w:tcPr>
          <w:p w14:paraId="284A8B29" w14:textId="77777777" w:rsidR="00C505DE" w:rsidRPr="000711D0" w:rsidRDefault="00C505DE" w:rsidP="000711D0">
            <w:pPr>
              <w:adjustRightInd w:val="0"/>
              <w:spacing w:after="0" w:line="240" w:lineRule="auto"/>
              <w:ind w:left="60" w:right="60"/>
              <w:rPr>
                <w:rFonts w:ascii="Arial" w:hAnsi="Arial" w:cs="Arial"/>
                <w:i w:val="0"/>
                <w:color w:val="264A60"/>
                <w:sz w:val="18"/>
                <w:szCs w:val="18"/>
              </w:rPr>
            </w:pPr>
            <w:r w:rsidRPr="000711D0">
              <w:rPr>
                <w:rFonts w:ascii="Arial" w:hAnsi="Arial" w:cs="Arial"/>
                <w:i w:val="0"/>
                <w:color w:val="264A60"/>
                <w:sz w:val="18"/>
                <w:szCs w:val="18"/>
              </w:rPr>
              <w:t>1</w:t>
            </w:r>
          </w:p>
        </w:tc>
        <w:tc>
          <w:tcPr>
            <w:tcW w:w="1024" w:type="dxa"/>
            <w:tcBorders>
              <w:top w:val="single" w:sz="8" w:space="0" w:color="152935"/>
              <w:left w:val="nil"/>
              <w:bottom w:val="single" w:sz="8" w:space="0" w:color="152935"/>
              <w:right w:val="single" w:sz="8" w:space="0" w:color="E0E0E0"/>
            </w:tcBorders>
            <w:shd w:val="clear" w:color="auto" w:fill="FFFFFF"/>
          </w:tcPr>
          <w:p w14:paraId="4EC974E4" w14:textId="77777777" w:rsidR="00C505DE" w:rsidRPr="000711D0" w:rsidRDefault="00C505DE" w:rsidP="000711D0">
            <w:pPr>
              <w:adjustRightInd w:val="0"/>
              <w:spacing w:after="0" w:line="240" w:lineRule="auto"/>
              <w:ind w:left="60" w:right="60"/>
              <w:jc w:val="right"/>
              <w:rPr>
                <w:rFonts w:ascii="Arial" w:hAnsi="Arial" w:cs="Arial"/>
                <w:i w:val="0"/>
                <w:color w:val="010205"/>
                <w:sz w:val="18"/>
                <w:szCs w:val="18"/>
              </w:rPr>
            </w:pPr>
            <w:r w:rsidRPr="000711D0">
              <w:rPr>
                <w:rFonts w:ascii="Arial" w:hAnsi="Arial" w:cs="Arial"/>
                <w:i w:val="0"/>
                <w:color w:val="010205"/>
                <w:sz w:val="18"/>
                <w:szCs w:val="18"/>
              </w:rPr>
              <w:t>.996</w:t>
            </w:r>
            <w:r w:rsidRPr="000711D0">
              <w:rPr>
                <w:rFonts w:ascii="Arial" w:hAnsi="Arial" w:cs="Arial"/>
                <w:i w:val="0"/>
                <w:color w:val="010205"/>
                <w:sz w:val="18"/>
                <w:szCs w:val="18"/>
                <w:vertAlign w:val="superscript"/>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14:paraId="2196363B" w14:textId="77777777" w:rsidR="00C505DE" w:rsidRPr="000711D0" w:rsidRDefault="00C505DE" w:rsidP="000711D0">
            <w:pPr>
              <w:adjustRightInd w:val="0"/>
              <w:spacing w:after="0" w:line="240" w:lineRule="auto"/>
              <w:ind w:left="60" w:right="60"/>
              <w:jc w:val="right"/>
              <w:rPr>
                <w:rFonts w:ascii="Arial" w:hAnsi="Arial" w:cs="Arial"/>
                <w:i w:val="0"/>
                <w:color w:val="010205"/>
                <w:sz w:val="18"/>
                <w:szCs w:val="18"/>
              </w:rPr>
            </w:pPr>
            <w:r w:rsidRPr="000711D0">
              <w:rPr>
                <w:rFonts w:ascii="Arial" w:hAnsi="Arial" w:cs="Arial"/>
                <w:i w:val="0"/>
                <w:color w:val="010205"/>
                <w:sz w:val="18"/>
                <w:szCs w:val="18"/>
              </w:rPr>
              <w:t>.992</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1AAB4263" w14:textId="77777777" w:rsidR="00C505DE" w:rsidRPr="000711D0" w:rsidRDefault="00C505DE" w:rsidP="000711D0">
            <w:pPr>
              <w:adjustRightInd w:val="0"/>
              <w:spacing w:after="0" w:line="240" w:lineRule="auto"/>
              <w:ind w:left="60" w:right="60"/>
              <w:jc w:val="right"/>
              <w:rPr>
                <w:rFonts w:ascii="Arial" w:hAnsi="Arial" w:cs="Arial"/>
                <w:i w:val="0"/>
                <w:color w:val="010205"/>
                <w:sz w:val="18"/>
                <w:szCs w:val="18"/>
              </w:rPr>
            </w:pPr>
            <w:r w:rsidRPr="000711D0">
              <w:rPr>
                <w:rFonts w:ascii="Arial" w:hAnsi="Arial" w:cs="Arial"/>
                <w:i w:val="0"/>
                <w:color w:val="010205"/>
                <w:sz w:val="18"/>
                <w:szCs w:val="18"/>
              </w:rPr>
              <w:t>.992</w:t>
            </w:r>
          </w:p>
        </w:tc>
        <w:tc>
          <w:tcPr>
            <w:tcW w:w="1469" w:type="dxa"/>
            <w:tcBorders>
              <w:top w:val="single" w:sz="8" w:space="0" w:color="152935"/>
              <w:left w:val="single" w:sz="8" w:space="0" w:color="E0E0E0"/>
              <w:bottom w:val="single" w:sz="8" w:space="0" w:color="152935"/>
              <w:right w:val="nil"/>
            </w:tcBorders>
            <w:shd w:val="clear" w:color="auto" w:fill="FFFFFF"/>
          </w:tcPr>
          <w:p w14:paraId="371E9859" w14:textId="77777777" w:rsidR="00C505DE" w:rsidRPr="000711D0" w:rsidRDefault="00C505DE" w:rsidP="000711D0">
            <w:pPr>
              <w:adjustRightInd w:val="0"/>
              <w:spacing w:after="0" w:line="240" w:lineRule="auto"/>
              <w:ind w:left="60" w:right="60"/>
              <w:jc w:val="right"/>
              <w:rPr>
                <w:rFonts w:ascii="Arial" w:hAnsi="Arial" w:cs="Arial"/>
                <w:i w:val="0"/>
                <w:color w:val="010205"/>
                <w:sz w:val="18"/>
                <w:szCs w:val="18"/>
              </w:rPr>
            </w:pPr>
            <w:r w:rsidRPr="000711D0">
              <w:rPr>
                <w:rFonts w:ascii="Arial" w:hAnsi="Arial" w:cs="Arial"/>
                <w:i w:val="0"/>
                <w:color w:val="010205"/>
                <w:sz w:val="18"/>
                <w:szCs w:val="18"/>
              </w:rPr>
              <w:t>221.432</w:t>
            </w:r>
          </w:p>
        </w:tc>
      </w:tr>
      <w:tr w:rsidR="00C505DE" w:rsidRPr="008F298C" w14:paraId="7AC47D60" w14:textId="77777777" w:rsidTr="00283179">
        <w:trPr>
          <w:cantSplit/>
          <w:jc w:val="center"/>
        </w:trPr>
        <w:tc>
          <w:tcPr>
            <w:tcW w:w="5843" w:type="dxa"/>
            <w:gridSpan w:val="5"/>
            <w:tcBorders>
              <w:top w:val="nil"/>
              <w:left w:val="nil"/>
              <w:bottom w:val="nil"/>
              <w:right w:val="nil"/>
            </w:tcBorders>
            <w:shd w:val="clear" w:color="auto" w:fill="FFFFFF"/>
          </w:tcPr>
          <w:p w14:paraId="18E09518" w14:textId="77777777" w:rsidR="00C505DE" w:rsidRPr="000711D0" w:rsidRDefault="00C505DE" w:rsidP="000711D0">
            <w:pPr>
              <w:adjustRightInd w:val="0"/>
              <w:spacing w:after="0" w:line="320" w:lineRule="atLeast"/>
              <w:ind w:left="60" w:right="60"/>
              <w:rPr>
                <w:rFonts w:ascii="Arial" w:hAnsi="Arial" w:cs="Arial"/>
                <w:i w:val="0"/>
                <w:color w:val="010205"/>
                <w:sz w:val="18"/>
                <w:szCs w:val="18"/>
              </w:rPr>
            </w:pPr>
            <w:r w:rsidRPr="000711D0">
              <w:rPr>
                <w:rFonts w:ascii="Arial" w:hAnsi="Arial" w:cs="Arial"/>
                <w:i w:val="0"/>
                <w:color w:val="010205"/>
                <w:sz w:val="18"/>
                <w:szCs w:val="18"/>
              </w:rPr>
              <w:t>a. Predictors: (Constant), NI_DDM, NI_PBV</w:t>
            </w:r>
          </w:p>
        </w:tc>
      </w:tr>
    </w:tbl>
    <w:p w14:paraId="3746BB99" w14:textId="5F7C870D" w:rsidR="000711D0" w:rsidRDefault="00C505DE" w:rsidP="000711D0">
      <w:pPr>
        <w:spacing w:after="0" w:line="240" w:lineRule="auto"/>
        <w:jc w:val="both"/>
        <w:rPr>
          <w:rFonts w:ascii="Times New Roman" w:hAnsi="Times New Roman" w:cs="Times New Roman"/>
          <w:i w:val="0"/>
          <w:sz w:val="24"/>
        </w:rPr>
      </w:pPr>
      <w:r w:rsidRPr="000711D0">
        <w:rPr>
          <w:rFonts w:ascii="Times New Roman" w:hAnsi="Times New Roman" w:cs="Times New Roman"/>
          <w:i w:val="0"/>
          <w:sz w:val="24"/>
        </w:rPr>
        <w:t>Source: Processed data SPSS 25 (2021)</w:t>
      </w:r>
    </w:p>
    <w:p w14:paraId="3C638BAA" w14:textId="7F81F2A6" w:rsidR="00C505DE" w:rsidRPr="000711D0" w:rsidRDefault="00C505DE" w:rsidP="000711D0">
      <w:pPr>
        <w:spacing w:after="0" w:line="240" w:lineRule="auto"/>
        <w:jc w:val="both"/>
        <w:rPr>
          <w:rFonts w:ascii="Times New Roman" w:hAnsi="Times New Roman" w:cs="Times New Roman"/>
          <w:i w:val="0"/>
          <w:sz w:val="24"/>
        </w:rPr>
      </w:pPr>
      <w:r w:rsidRPr="000711D0">
        <w:rPr>
          <w:rFonts w:ascii="Times New Roman" w:hAnsi="Times New Roman" w:cs="Times New Roman"/>
          <w:i w:val="0"/>
          <w:sz w:val="24"/>
        </w:rPr>
        <w:t xml:space="preserve">Based on the output results in this table, it is known that the adjusted R Square value is 0.992, which means that 99.2% of the stock price can be explained by </w:t>
      </w:r>
      <w:proofErr w:type="spellStart"/>
      <w:r w:rsidRPr="000711D0">
        <w:rPr>
          <w:rFonts w:ascii="Times New Roman" w:hAnsi="Times New Roman" w:cs="Times New Roman"/>
          <w:i w:val="0"/>
          <w:sz w:val="24"/>
        </w:rPr>
        <w:t>intrinsics</w:t>
      </w:r>
      <w:proofErr w:type="spellEnd"/>
      <w:r w:rsidRPr="000711D0">
        <w:rPr>
          <w:rFonts w:ascii="Times New Roman" w:hAnsi="Times New Roman" w:cs="Times New Roman"/>
          <w:i w:val="0"/>
          <w:sz w:val="24"/>
        </w:rPr>
        <w:t xml:space="preserve"> with the PBV and DDM methods in companies affected by the COVID-19 pandemic. While the remaining 0.008 share prices are explained by variables outside the research model.</w:t>
      </w:r>
    </w:p>
    <w:p w14:paraId="504BF330" w14:textId="368B4C9D" w:rsidR="0050684C" w:rsidRDefault="0050684C" w:rsidP="008E0BC3">
      <w:pPr>
        <w:spacing w:after="0" w:line="240" w:lineRule="auto"/>
        <w:jc w:val="both"/>
        <w:rPr>
          <w:rFonts w:ascii="Times New Roman" w:hAnsi="Times New Roman" w:cs="Times New Roman"/>
          <w:b/>
          <w:i w:val="0"/>
          <w:sz w:val="24"/>
          <w:szCs w:val="24"/>
        </w:rPr>
      </w:pPr>
    </w:p>
    <w:p w14:paraId="7DC450BE" w14:textId="0B01C97D" w:rsidR="000711D0" w:rsidRPr="000711D0" w:rsidRDefault="000711D0" w:rsidP="00626641">
      <w:pPr>
        <w:spacing w:after="0" w:line="240" w:lineRule="auto"/>
        <w:jc w:val="both"/>
        <w:rPr>
          <w:rFonts w:ascii="Times New Roman" w:hAnsi="Times New Roman" w:cs="Times New Roman"/>
          <w:b/>
          <w:i w:val="0"/>
          <w:sz w:val="24"/>
        </w:rPr>
      </w:pPr>
      <w:r w:rsidRPr="000711D0">
        <w:rPr>
          <w:rFonts w:ascii="Times New Roman" w:hAnsi="Times New Roman" w:cs="Times New Roman"/>
          <w:b/>
          <w:i w:val="0"/>
          <w:sz w:val="24"/>
        </w:rPr>
        <w:t>D</w:t>
      </w:r>
      <w:r w:rsidR="00382582">
        <w:rPr>
          <w:rFonts w:ascii="Times New Roman" w:hAnsi="Times New Roman" w:cs="Times New Roman"/>
          <w:b/>
          <w:i w:val="0"/>
          <w:sz w:val="24"/>
        </w:rPr>
        <w:t xml:space="preserve">ISCUSSION </w:t>
      </w:r>
    </w:p>
    <w:p w14:paraId="103504B9" w14:textId="77777777" w:rsidR="000711D0" w:rsidRDefault="000711D0" w:rsidP="003A0DA7">
      <w:pPr>
        <w:spacing w:after="0" w:line="240" w:lineRule="auto"/>
        <w:ind w:firstLine="851"/>
        <w:jc w:val="both"/>
        <w:rPr>
          <w:rFonts w:ascii="Times New Roman" w:hAnsi="Times New Roman" w:cs="Times New Roman"/>
          <w:i w:val="0"/>
          <w:sz w:val="24"/>
        </w:rPr>
      </w:pPr>
      <w:r w:rsidRPr="000711D0">
        <w:rPr>
          <w:rFonts w:ascii="Times New Roman" w:hAnsi="Times New Roman" w:cs="Times New Roman"/>
          <w:i w:val="0"/>
          <w:sz w:val="24"/>
        </w:rPr>
        <w:t xml:space="preserve">Based on hypothesis testing using the paired samples t-test, it can be said that there is a difference between intrinsic value using the Dividend Discount Model (DDM) method, which means that the DDM method can evaluate stock prices correctly. Based on the Dividend </w:t>
      </w:r>
      <w:r w:rsidRPr="000711D0">
        <w:rPr>
          <w:rFonts w:ascii="Times New Roman" w:hAnsi="Times New Roman" w:cs="Times New Roman"/>
          <w:i w:val="0"/>
          <w:sz w:val="24"/>
        </w:rPr>
        <w:lastRenderedPageBreak/>
        <w:t xml:space="preserve">Discount model (DDM) method, stocks that are worth buying during the COVID-19 pandemic based on DDM are shares from the health sector, namely </w:t>
      </w:r>
      <w:proofErr w:type="spellStart"/>
      <w:r w:rsidRPr="000711D0">
        <w:rPr>
          <w:rFonts w:ascii="Times New Roman" w:hAnsi="Times New Roman" w:cs="Times New Roman"/>
          <w:i w:val="0"/>
          <w:sz w:val="24"/>
        </w:rPr>
        <w:t>Sido</w:t>
      </w:r>
      <w:proofErr w:type="spellEnd"/>
      <w:r w:rsidRPr="000711D0">
        <w:rPr>
          <w:rFonts w:ascii="Times New Roman" w:hAnsi="Times New Roman" w:cs="Times New Roman"/>
          <w:i w:val="0"/>
          <w:sz w:val="24"/>
        </w:rPr>
        <w:t xml:space="preserve"> </w:t>
      </w:r>
      <w:proofErr w:type="spellStart"/>
      <w:r w:rsidRPr="000711D0">
        <w:rPr>
          <w:rFonts w:ascii="Times New Roman" w:hAnsi="Times New Roman" w:cs="Times New Roman"/>
          <w:i w:val="0"/>
          <w:sz w:val="24"/>
        </w:rPr>
        <w:t>Muncul</w:t>
      </w:r>
      <w:proofErr w:type="spellEnd"/>
      <w:r w:rsidRPr="000711D0">
        <w:rPr>
          <w:rFonts w:ascii="Times New Roman" w:hAnsi="Times New Roman" w:cs="Times New Roman"/>
          <w:i w:val="0"/>
          <w:sz w:val="24"/>
        </w:rPr>
        <w:t xml:space="preserve"> </w:t>
      </w:r>
      <w:proofErr w:type="spellStart"/>
      <w:r w:rsidRPr="000711D0">
        <w:rPr>
          <w:rFonts w:ascii="Times New Roman" w:hAnsi="Times New Roman" w:cs="Times New Roman"/>
          <w:i w:val="0"/>
          <w:sz w:val="24"/>
        </w:rPr>
        <w:t>Tbk</w:t>
      </w:r>
      <w:proofErr w:type="spellEnd"/>
      <w:r w:rsidRPr="000711D0">
        <w:rPr>
          <w:rFonts w:ascii="Times New Roman" w:hAnsi="Times New Roman" w:cs="Times New Roman"/>
          <w:i w:val="0"/>
          <w:sz w:val="24"/>
        </w:rPr>
        <w:t xml:space="preserve"> (SIDO), Kalbe </w:t>
      </w:r>
      <w:proofErr w:type="spellStart"/>
      <w:r w:rsidRPr="000711D0">
        <w:rPr>
          <w:rFonts w:ascii="Times New Roman" w:hAnsi="Times New Roman" w:cs="Times New Roman"/>
          <w:i w:val="0"/>
          <w:sz w:val="24"/>
        </w:rPr>
        <w:t>Farma</w:t>
      </w:r>
      <w:proofErr w:type="spellEnd"/>
      <w:r w:rsidRPr="000711D0">
        <w:rPr>
          <w:rFonts w:ascii="Times New Roman" w:hAnsi="Times New Roman" w:cs="Times New Roman"/>
          <w:i w:val="0"/>
          <w:sz w:val="24"/>
        </w:rPr>
        <w:t xml:space="preserve"> </w:t>
      </w:r>
      <w:proofErr w:type="spellStart"/>
      <w:r w:rsidRPr="000711D0">
        <w:rPr>
          <w:rFonts w:ascii="Times New Roman" w:hAnsi="Times New Roman" w:cs="Times New Roman"/>
          <w:i w:val="0"/>
          <w:sz w:val="24"/>
        </w:rPr>
        <w:t>Tbk</w:t>
      </w:r>
      <w:proofErr w:type="spellEnd"/>
      <w:r w:rsidRPr="000711D0">
        <w:rPr>
          <w:rFonts w:ascii="Times New Roman" w:hAnsi="Times New Roman" w:cs="Times New Roman"/>
          <w:i w:val="0"/>
          <w:sz w:val="24"/>
        </w:rPr>
        <w:t xml:space="preserve"> (KLBF), Darya Varia </w:t>
      </w:r>
      <w:proofErr w:type="spellStart"/>
      <w:r w:rsidRPr="000711D0">
        <w:rPr>
          <w:rFonts w:ascii="Times New Roman" w:hAnsi="Times New Roman" w:cs="Times New Roman"/>
          <w:i w:val="0"/>
          <w:sz w:val="24"/>
        </w:rPr>
        <w:t>Tbk</w:t>
      </w:r>
      <w:proofErr w:type="spellEnd"/>
      <w:r w:rsidRPr="000711D0">
        <w:rPr>
          <w:rFonts w:ascii="Times New Roman" w:hAnsi="Times New Roman" w:cs="Times New Roman"/>
          <w:i w:val="0"/>
          <w:sz w:val="24"/>
        </w:rPr>
        <w:t xml:space="preserve"> due to the covid pandemic. </w:t>
      </w:r>
    </w:p>
    <w:p w14:paraId="40CB111E" w14:textId="77777777" w:rsidR="00626641" w:rsidRDefault="00626641" w:rsidP="000711D0">
      <w:pPr>
        <w:spacing w:after="0" w:line="240" w:lineRule="auto"/>
        <w:jc w:val="both"/>
        <w:rPr>
          <w:rFonts w:ascii="Times New Roman" w:hAnsi="Times New Roman" w:cs="Times New Roman"/>
          <w:i w:val="0"/>
          <w:sz w:val="24"/>
        </w:rPr>
      </w:pPr>
    </w:p>
    <w:p w14:paraId="6F5A8434" w14:textId="63DD6DD3" w:rsidR="000711D0" w:rsidRPr="000711D0" w:rsidRDefault="000711D0" w:rsidP="000711D0">
      <w:pPr>
        <w:spacing w:after="0" w:line="240" w:lineRule="auto"/>
        <w:jc w:val="both"/>
        <w:rPr>
          <w:rFonts w:ascii="Times New Roman" w:hAnsi="Times New Roman" w:cs="Times New Roman"/>
          <w:i w:val="0"/>
          <w:sz w:val="24"/>
        </w:rPr>
      </w:pPr>
      <w:r w:rsidRPr="000711D0">
        <w:rPr>
          <w:rFonts w:ascii="Times New Roman" w:hAnsi="Times New Roman" w:cs="Times New Roman"/>
          <w:i w:val="0"/>
          <w:sz w:val="24"/>
        </w:rPr>
        <w:t xml:space="preserve">These stocks have experienced an increase even though they are currently experiencing a weakening due to the slowing down of cases of the covid pandemic and many people who need vitamins and medicines. Shares from technology, namely </w:t>
      </w:r>
      <w:proofErr w:type="spellStart"/>
      <w:r w:rsidRPr="000711D0">
        <w:rPr>
          <w:rFonts w:ascii="Times New Roman" w:hAnsi="Times New Roman" w:cs="Times New Roman"/>
          <w:i w:val="0"/>
          <w:sz w:val="24"/>
        </w:rPr>
        <w:t>Metrodata</w:t>
      </w:r>
      <w:proofErr w:type="spellEnd"/>
      <w:r w:rsidRPr="000711D0">
        <w:rPr>
          <w:rFonts w:ascii="Times New Roman" w:hAnsi="Times New Roman" w:cs="Times New Roman"/>
          <w:i w:val="0"/>
          <w:sz w:val="24"/>
        </w:rPr>
        <w:t xml:space="preserve"> Electronics </w:t>
      </w:r>
      <w:proofErr w:type="spellStart"/>
      <w:r w:rsidRPr="000711D0">
        <w:rPr>
          <w:rFonts w:ascii="Times New Roman" w:hAnsi="Times New Roman" w:cs="Times New Roman"/>
          <w:i w:val="0"/>
          <w:sz w:val="24"/>
        </w:rPr>
        <w:t>Tbk</w:t>
      </w:r>
      <w:proofErr w:type="spellEnd"/>
      <w:r w:rsidRPr="000711D0">
        <w:rPr>
          <w:rFonts w:ascii="Times New Roman" w:hAnsi="Times New Roman" w:cs="Times New Roman"/>
          <w:i w:val="0"/>
          <w:sz w:val="24"/>
        </w:rPr>
        <w:t xml:space="preserve"> (MTDL) because during the Covid-19 pandemic, shares from the technology sector experienced an increase because almost all community activities were carried out based on technology, ranging from shopping, offices, and education.</w:t>
      </w:r>
    </w:p>
    <w:p w14:paraId="7E8EB067" w14:textId="77777777" w:rsidR="000711D0" w:rsidRPr="000711D0" w:rsidRDefault="000711D0" w:rsidP="000711D0">
      <w:pPr>
        <w:spacing w:after="0" w:line="240" w:lineRule="auto"/>
        <w:jc w:val="both"/>
        <w:rPr>
          <w:rFonts w:ascii="Times New Roman" w:hAnsi="Times New Roman" w:cs="Times New Roman"/>
          <w:i w:val="0"/>
          <w:sz w:val="24"/>
        </w:rPr>
      </w:pPr>
      <w:r w:rsidRPr="000711D0">
        <w:rPr>
          <w:rFonts w:ascii="Times New Roman" w:hAnsi="Times New Roman" w:cs="Times New Roman"/>
          <w:i w:val="0"/>
          <w:sz w:val="24"/>
        </w:rPr>
        <w:t xml:space="preserve">The shares that are not eligible to be purchased during the COVID-19 pandemic based on the DDM method are shares from the property sector, namely </w:t>
      </w:r>
      <w:proofErr w:type="spellStart"/>
      <w:r w:rsidRPr="000711D0">
        <w:rPr>
          <w:rFonts w:ascii="Times New Roman" w:hAnsi="Times New Roman" w:cs="Times New Roman"/>
          <w:i w:val="0"/>
          <w:sz w:val="24"/>
        </w:rPr>
        <w:t>Pakuwon</w:t>
      </w:r>
      <w:proofErr w:type="spellEnd"/>
      <w:r w:rsidRPr="000711D0">
        <w:rPr>
          <w:rFonts w:ascii="Times New Roman" w:hAnsi="Times New Roman" w:cs="Times New Roman"/>
          <w:i w:val="0"/>
          <w:sz w:val="24"/>
        </w:rPr>
        <w:t xml:space="preserve"> </w:t>
      </w:r>
      <w:proofErr w:type="spellStart"/>
      <w:r w:rsidRPr="000711D0">
        <w:rPr>
          <w:rFonts w:ascii="Times New Roman" w:hAnsi="Times New Roman" w:cs="Times New Roman"/>
          <w:i w:val="0"/>
          <w:sz w:val="24"/>
        </w:rPr>
        <w:t>Jati</w:t>
      </w:r>
      <w:proofErr w:type="spellEnd"/>
      <w:r w:rsidRPr="000711D0">
        <w:rPr>
          <w:rFonts w:ascii="Times New Roman" w:hAnsi="Times New Roman" w:cs="Times New Roman"/>
          <w:i w:val="0"/>
          <w:sz w:val="24"/>
        </w:rPr>
        <w:t xml:space="preserve"> </w:t>
      </w:r>
      <w:proofErr w:type="spellStart"/>
      <w:r w:rsidRPr="000711D0">
        <w:rPr>
          <w:rFonts w:ascii="Times New Roman" w:hAnsi="Times New Roman" w:cs="Times New Roman"/>
          <w:i w:val="0"/>
          <w:sz w:val="24"/>
        </w:rPr>
        <w:t>Tbk</w:t>
      </w:r>
      <w:proofErr w:type="spellEnd"/>
      <w:r w:rsidRPr="000711D0">
        <w:rPr>
          <w:rFonts w:ascii="Times New Roman" w:hAnsi="Times New Roman" w:cs="Times New Roman"/>
          <w:i w:val="0"/>
          <w:sz w:val="24"/>
        </w:rPr>
        <w:t xml:space="preserve"> (PWON). This is because there is still a Covid-19 pandemic situation that requires the government to implement PPKM and there is a lack of interest in buying property, then there is the non-primary consumer goods sector (retail trade), namely ACE Hardware Indonesia </w:t>
      </w:r>
      <w:proofErr w:type="spellStart"/>
      <w:r w:rsidRPr="000711D0">
        <w:rPr>
          <w:rFonts w:ascii="Times New Roman" w:hAnsi="Times New Roman" w:cs="Times New Roman"/>
          <w:i w:val="0"/>
          <w:sz w:val="24"/>
        </w:rPr>
        <w:t>Tbk</w:t>
      </w:r>
      <w:proofErr w:type="spellEnd"/>
      <w:r w:rsidRPr="000711D0">
        <w:rPr>
          <w:rFonts w:ascii="Times New Roman" w:hAnsi="Times New Roman" w:cs="Times New Roman"/>
          <w:i w:val="0"/>
          <w:sz w:val="24"/>
        </w:rPr>
        <w:t>, which is quiet about selling household goods. where PPKM is still in effect, the sales are not maximized.</w:t>
      </w:r>
    </w:p>
    <w:p w14:paraId="1906FF20" w14:textId="5D650505" w:rsidR="000711D0" w:rsidRDefault="000711D0" w:rsidP="008E0BC3">
      <w:pPr>
        <w:spacing w:after="0" w:line="240" w:lineRule="auto"/>
        <w:jc w:val="both"/>
        <w:rPr>
          <w:rFonts w:ascii="Times New Roman" w:hAnsi="Times New Roman" w:cs="Times New Roman"/>
          <w:b/>
          <w:i w:val="0"/>
          <w:sz w:val="24"/>
          <w:szCs w:val="24"/>
        </w:rPr>
      </w:pPr>
    </w:p>
    <w:p w14:paraId="7C0402D4" w14:textId="5F770F0E" w:rsidR="008E0BC3" w:rsidRPr="008E0BC3" w:rsidRDefault="008E0BC3" w:rsidP="008E0BC3">
      <w:pPr>
        <w:spacing w:after="0" w:line="240" w:lineRule="auto"/>
        <w:jc w:val="both"/>
        <w:rPr>
          <w:rFonts w:ascii="Times New Roman" w:hAnsi="Times New Roman" w:cs="Times New Roman"/>
          <w:b/>
          <w:i w:val="0"/>
          <w:sz w:val="24"/>
          <w:szCs w:val="24"/>
        </w:rPr>
      </w:pPr>
      <w:r w:rsidRPr="008E0BC3">
        <w:rPr>
          <w:rFonts w:ascii="Times New Roman" w:hAnsi="Times New Roman" w:cs="Times New Roman"/>
          <w:b/>
          <w:i w:val="0"/>
          <w:sz w:val="24"/>
          <w:szCs w:val="24"/>
        </w:rPr>
        <w:t>CONCLUSION</w:t>
      </w:r>
      <w:r w:rsidR="00B35105">
        <w:rPr>
          <w:rFonts w:ascii="Times New Roman" w:hAnsi="Times New Roman" w:cs="Times New Roman"/>
          <w:b/>
          <w:i w:val="0"/>
          <w:sz w:val="24"/>
          <w:szCs w:val="24"/>
        </w:rPr>
        <w:t xml:space="preserve"> </w:t>
      </w:r>
    </w:p>
    <w:p w14:paraId="1F42AC62" w14:textId="77777777" w:rsidR="000711D0" w:rsidRPr="000711D0" w:rsidRDefault="000711D0" w:rsidP="003A0DA7">
      <w:pPr>
        <w:spacing w:after="0" w:line="240" w:lineRule="auto"/>
        <w:ind w:firstLine="709"/>
        <w:jc w:val="both"/>
        <w:rPr>
          <w:rFonts w:ascii="Times New Roman" w:hAnsi="Times New Roman" w:cs="Times New Roman"/>
          <w:i w:val="0"/>
          <w:sz w:val="24"/>
          <w:szCs w:val="24"/>
          <w:lang w:val="id-ID"/>
        </w:rPr>
      </w:pPr>
      <w:r w:rsidRPr="000711D0">
        <w:rPr>
          <w:rFonts w:ascii="Times New Roman" w:hAnsi="Times New Roman" w:cs="Times New Roman"/>
          <w:i w:val="0"/>
          <w:sz w:val="24"/>
          <w:szCs w:val="24"/>
          <w:lang w:val="id-ID"/>
        </w:rPr>
        <w:t>Based on the results of stock valuation analysis using the Price to Book Value (PBV) and Dividend Discounted Model (DDM) methods, for companies affected by the COVID-19 pandemic, the following conclusions can be drawn:</w:t>
      </w:r>
    </w:p>
    <w:p w14:paraId="5BDBE5F8" w14:textId="77777777" w:rsidR="000711D0" w:rsidRPr="000711D0" w:rsidRDefault="000711D0" w:rsidP="000711D0">
      <w:pPr>
        <w:spacing w:after="0" w:line="240" w:lineRule="auto"/>
        <w:jc w:val="both"/>
        <w:rPr>
          <w:rFonts w:ascii="Times New Roman" w:hAnsi="Times New Roman" w:cs="Times New Roman"/>
          <w:i w:val="0"/>
          <w:sz w:val="24"/>
          <w:szCs w:val="24"/>
          <w:lang w:val="id-ID"/>
        </w:rPr>
      </w:pPr>
      <w:r w:rsidRPr="000711D0">
        <w:rPr>
          <w:rFonts w:ascii="Times New Roman" w:hAnsi="Times New Roman" w:cs="Times New Roman"/>
          <w:i w:val="0"/>
          <w:sz w:val="24"/>
          <w:szCs w:val="24"/>
          <w:lang w:val="id-ID"/>
        </w:rPr>
        <w:t>1. Based on Hypothesis Test, Price to Book Value (PBV) cannot properly evaluate stock prices. Making investment decisions using the PBV method is to buy 18 companies affected by the COVID-19 pandemic because the shares are undervalued or cheap and not to buy 9 companies affected by the COVID-19 pandemic because the shares are in an overvalued or overvalued condition. expensive. As well as 1 company that must hold back from selling or buying because the shares are in Correctly Valued or normal condition.</w:t>
      </w:r>
    </w:p>
    <w:p w14:paraId="1E12480B" w14:textId="77777777" w:rsidR="000711D0" w:rsidRPr="000711D0" w:rsidRDefault="000711D0" w:rsidP="000711D0">
      <w:pPr>
        <w:spacing w:after="0" w:line="240" w:lineRule="auto"/>
        <w:jc w:val="both"/>
        <w:rPr>
          <w:rFonts w:ascii="Times New Roman" w:hAnsi="Times New Roman" w:cs="Times New Roman"/>
          <w:i w:val="0"/>
          <w:sz w:val="24"/>
          <w:szCs w:val="24"/>
          <w:lang w:val="id-ID"/>
        </w:rPr>
      </w:pPr>
      <w:r w:rsidRPr="000711D0">
        <w:rPr>
          <w:rFonts w:ascii="Times New Roman" w:hAnsi="Times New Roman" w:cs="Times New Roman"/>
          <w:i w:val="0"/>
          <w:sz w:val="24"/>
          <w:szCs w:val="24"/>
          <w:lang w:val="id-ID"/>
        </w:rPr>
        <w:t>2. Based on the Dividend Discount Model (DDM) Hypothesis Testing, it is possible to properly evaluate stock prices. Making investment decisions using the DDM method is to buy 21 companies affected by the COVID-19 pandemic because the shares are undervalued or cheap and do not buy 5 companies affected by the COVID-19 pandemic because the shares are in an overvalued or overvalued condition. expensive. As well as 2 companies that have to withhold selling or buying because the shares are in Correctly Valued or normal condition.</w:t>
      </w:r>
    </w:p>
    <w:p w14:paraId="3E628585" w14:textId="77777777" w:rsidR="000711D0" w:rsidRPr="000711D0" w:rsidRDefault="000711D0" w:rsidP="000711D0">
      <w:pPr>
        <w:spacing w:after="0" w:line="240" w:lineRule="auto"/>
        <w:jc w:val="both"/>
        <w:rPr>
          <w:rFonts w:ascii="Times New Roman" w:hAnsi="Times New Roman" w:cs="Times New Roman"/>
          <w:i w:val="0"/>
          <w:sz w:val="24"/>
          <w:szCs w:val="24"/>
          <w:lang w:val="id-ID"/>
        </w:rPr>
      </w:pPr>
      <w:r w:rsidRPr="000711D0">
        <w:rPr>
          <w:rFonts w:ascii="Times New Roman" w:hAnsi="Times New Roman" w:cs="Times New Roman"/>
          <w:i w:val="0"/>
          <w:sz w:val="24"/>
          <w:szCs w:val="24"/>
          <w:lang w:val="id-ID"/>
        </w:rPr>
        <w:t>3. Based on hypothesis test, it can be concluded that the Dividend Discounted Model (DDM) method is the most appropriate in evaluating stock prices compared to the Price to Book Value (PBV) method.</w:t>
      </w:r>
    </w:p>
    <w:p w14:paraId="3EF8F046" w14:textId="2C479119" w:rsidR="000711D0" w:rsidRPr="000711D0" w:rsidRDefault="000711D0" w:rsidP="003A0DA7">
      <w:pPr>
        <w:spacing w:after="0" w:line="240" w:lineRule="auto"/>
        <w:ind w:firstLine="709"/>
        <w:jc w:val="both"/>
        <w:rPr>
          <w:rFonts w:ascii="Times New Roman" w:hAnsi="Times New Roman" w:cs="Times New Roman"/>
          <w:i w:val="0"/>
          <w:sz w:val="24"/>
          <w:lang w:val="id-ID"/>
        </w:rPr>
      </w:pPr>
      <w:r w:rsidRPr="000711D0">
        <w:rPr>
          <w:rFonts w:ascii="Times New Roman" w:hAnsi="Times New Roman" w:cs="Times New Roman"/>
          <w:i w:val="0"/>
          <w:sz w:val="24"/>
          <w:lang w:val="id-ID"/>
        </w:rPr>
        <w:t>Stock price valuation using the Price to Book Value (PBV) and Dividend Discount Model (DDM) method is not the only method in assessing stock prices, but this method can be used as a reference for investors in making investment decisions during the COVID-19 pandemic. The suggestions that can be given in this research are</w:t>
      </w:r>
      <w:r w:rsidR="00626641">
        <w:rPr>
          <w:rFonts w:ascii="Times New Roman" w:hAnsi="Times New Roman" w:cs="Times New Roman"/>
          <w:i w:val="0"/>
          <w:sz w:val="24"/>
        </w:rPr>
        <w:t xml:space="preserve"> </w:t>
      </w:r>
      <w:r w:rsidRPr="000711D0">
        <w:rPr>
          <w:rFonts w:ascii="Times New Roman" w:hAnsi="Times New Roman" w:cs="Times New Roman"/>
          <w:i w:val="0"/>
          <w:sz w:val="24"/>
          <w:lang w:val="id-ID"/>
        </w:rPr>
        <w:t>:</w:t>
      </w:r>
    </w:p>
    <w:p w14:paraId="6F26719D" w14:textId="77777777" w:rsidR="000711D0" w:rsidRPr="000711D0" w:rsidRDefault="000711D0" w:rsidP="000711D0">
      <w:pPr>
        <w:spacing w:after="0" w:line="240" w:lineRule="auto"/>
        <w:jc w:val="both"/>
        <w:rPr>
          <w:rFonts w:ascii="Times New Roman" w:hAnsi="Times New Roman" w:cs="Times New Roman"/>
          <w:i w:val="0"/>
          <w:sz w:val="24"/>
          <w:lang w:val="id-ID"/>
        </w:rPr>
      </w:pPr>
      <w:r w:rsidRPr="000711D0">
        <w:rPr>
          <w:rFonts w:ascii="Times New Roman" w:hAnsi="Times New Roman" w:cs="Times New Roman"/>
          <w:i w:val="0"/>
          <w:sz w:val="24"/>
          <w:lang w:val="id-ID"/>
        </w:rPr>
        <w:t>1. Investors should not only use the PBV and DDM methods in valuing stock prices, because the analysis used in these two methods is the result of an estimate of something that is uncertain and has the potential to contain errors. In addition, stock price valuation analysis is only based on on the company's fundamental conditions of a financial nature, so that it does not pay attention to technical analysis, macro conditions and others.</w:t>
      </w:r>
    </w:p>
    <w:p w14:paraId="6802C7BC" w14:textId="63963FD8" w:rsidR="000711D0" w:rsidRDefault="000711D0" w:rsidP="000711D0">
      <w:pPr>
        <w:spacing w:after="0" w:line="240" w:lineRule="auto"/>
        <w:jc w:val="both"/>
        <w:rPr>
          <w:rFonts w:ascii="Times New Roman" w:hAnsi="Times New Roman" w:cs="Times New Roman"/>
          <w:i w:val="0"/>
          <w:sz w:val="24"/>
          <w:lang w:val="id-ID"/>
        </w:rPr>
      </w:pPr>
      <w:r w:rsidRPr="000711D0">
        <w:rPr>
          <w:rFonts w:ascii="Times New Roman" w:hAnsi="Times New Roman" w:cs="Times New Roman"/>
          <w:i w:val="0"/>
          <w:sz w:val="24"/>
          <w:lang w:val="id-ID"/>
        </w:rPr>
        <w:t>Therefore, it is recommended to use other analyzes in order to have more accurate references and can assist in making investment decisions.</w:t>
      </w:r>
    </w:p>
    <w:p w14:paraId="161C3131" w14:textId="31942FCB" w:rsidR="000711D0" w:rsidRDefault="000711D0" w:rsidP="000711D0">
      <w:pPr>
        <w:spacing w:after="0" w:line="240" w:lineRule="auto"/>
        <w:jc w:val="both"/>
        <w:rPr>
          <w:rFonts w:ascii="Times New Roman" w:hAnsi="Times New Roman" w:cs="Times New Roman"/>
          <w:i w:val="0"/>
          <w:sz w:val="24"/>
          <w:lang w:val="id-ID"/>
        </w:rPr>
      </w:pPr>
    </w:p>
    <w:p w14:paraId="1CFA4F26" w14:textId="77777777" w:rsidR="000711D0" w:rsidRPr="000711D0" w:rsidRDefault="000711D0" w:rsidP="000711D0">
      <w:pPr>
        <w:spacing w:after="0" w:line="240" w:lineRule="auto"/>
        <w:jc w:val="both"/>
        <w:rPr>
          <w:rFonts w:ascii="Times New Roman" w:hAnsi="Times New Roman" w:cs="Times New Roman"/>
          <w:i w:val="0"/>
          <w:sz w:val="24"/>
          <w:lang w:val="id-ID"/>
        </w:rPr>
      </w:pPr>
    </w:p>
    <w:p w14:paraId="54F028B9" w14:textId="77777777" w:rsidR="000711D0" w:rsidRPr="000711D0" w:rsidRDefault="000711D0" w:rsidP="000711D0">
      <w:pPr>
        <w:spacing w:after="0" w:line="240" w:lineRule="auto"/>
        <w:jc w:val="both"/>
        <w:rPr>
          <w:rFonts w:ascii="Times New Roman" w:hAnsi="Times New Roman" w:cs="Times New Roman"/>
          <w:i w:val="0"/>
          <w:sz w:val="24"/>
          <w:lang w:val="id-ID"/>
        </w:rPr>
      </w:pPr>
      <w:r w:rsidRPr="000711D0">
        <w:rPr>
          <w:rFonts w:ascii="Times New Roman" w:hAnsi="Times New Roman" w:cs="Times New Roman"/>
          <w:i w:val="0"/>
          <w:sz w:val="24"/>
          <w:lang w:val="id-ID"/>
        </w:rPr>
        <w:t>2. It is recommended for further researchers to use other methods in evaluating stock prices such as the Free Cash Flow to Firm (FCFF), Free Cash Flow to Equity (FCFE) and Discount Cash Flow (DCF) methods. With the aim of completing previous research in order to describe the actual situation in stock price valuations, so that investors can be more careful in making investment decisions.</w:t>
      </w:r>
    </w:p>
    <w:p w14:paraId="555D4192" w14:textId="77777777" w:rsidR="000711D0" w:rsidRPr="008E0BC3" w:rsidRDefault="000711D0" w:rsidP="008E0BC3">
      <w:pPr>
        <w:spacing w:after="0" w:line="240" w:lineRule="auto"/>
        <w:jc w:val="both"/>
        <w:rPr>
          <w:rFonts w:ascii="Times New Roman" w:hAnsi="Times New Roman" w:cs="Times New Roman"/>
          <w:b/>
          <w:i w:val="0"/>
          <w:sz w:val="24"/>
          <w:szCs w:val="24"/>
        </w:rPr>
      </w:pPr>
    </w:p>
    <w:p w14:paraId="7EE8CB93" w14:textId="3A54E8FA" w:rsidR="0050684C" w:rsidRDefault="0050684C" w:rsidP="008E0BC3">
      <w:pPr>
        <w:spacing w:after="0" w:line="240" w:lineRule="auto"/>
        <w:jc w:val="both"/>
        <w:rPr>
          <w:rFonts w:ascii="Times New Roman" w:hAnsi="Times New Roman" w:cs="Times New Roman"/>
          <w:b/>
          <w:i w:val="0"/>
          <w:sz w:val="24"/>
          <w:szCs w:val="24"/>
        </w:rPr>
      </w:pPr>
    </w:p>
    <w:p w14:paraId="76D7411A" w14:textId="4718626A" w:rsidR="008E0BC3" w:rsidRPr="008E0BC3" w:rsidRDefault="003D6B56" w:rsidP="008E0BC3">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REFERENCE</w:t>
      </w:r>
      <w:r w:rsidR="00B35105">
        <w:rPr>
          <w:rFonts w:ascii="Times New Roman" w:hAnsi="Times New Roman" w:cs="Times New Roman"/>
          <w:b/>
          <w:i w:val="0"/>
          <w:sz w:val="24"/>
          <w:szCs w:val="24"/>
        </w:rPr>
        <w:t xml:space="preserve"> </w:t>
      </w:r>
    </w:p>
    <w:p w14:paraId="416A054C" w14:textId="4C19B771" w:rsidR="00674C2E" w:rsidRPr="00626641" w:rsidRDefault="00674C2E" w:rsidP="00674C2E">
      <w:pPr>
        <w:pStyle w:val="p0"/>
        <w:ind w:left="720" w:hanging="720"/>
        <w:jc w:val="both"/>
        <w:rPr>
          <w:lang w:val="id"/>
        </w:rPr>
      </w:pPr>
      <w:proofErr w:type="spellStart"/>
      <w:r>
        <w:t>Aldin</w:t>
      </w:r>
      <w:proofErr w:type="spellEnd"/>
      <w:r>
        <w:t>, I.U. (2020).</w:t>
      </w:r>
      <w:r w:rsidRPr="009E08DA">
        <w:t xml:space="preserve"> </w:t>
      </w:r>
      <w:r w:rsidRPr="00626641">
        <w:rPr>
          <w:lang w:val="id"/>
        </w:rPr>
        <w:t>Beberapa Perusahaan Publik Kebal dan Rai</w:t>
      </w:r>
      <w:r>
        <w:rPr>
          <w:lang w:val="id"/>
        </w:rPr>
        <w:t>h Untung saat Pandemi Covid-19.</w:t>
      </w:r>
      <w:r>
        <w:t xml:space="preserve"> </w:t>
      </w:r>
      <w:r w:rsidRPr="00674C2E">
        <w:rPr>
          <w:lang w:val="id"/>
        </w:rPr>
        <w:t>https://katadata.co.id/ekarina/finansial/5ecdde5b6d588/beberapaperusahaanpublik-kebal-dan-raih-untung-saat-pandemi-covid-19</w:t>
      </w:r>
    </w:p>
    <w:p w14:paraId="55E0815E" w14:textId="1B5A1E8F" w:rsidR="00626641" w:rsidRPr="00626641" w:rsidRDefault="00674C2E" w:rsidP="00674C2E">
      <w:pPr>
        <w:pStyle w:val="p0"/>
        <w:ind w:left="720" w:hanging="720"/>
        <w:jc w:val="both"/>
        <w:rPr>
          <w:lang w:val="id"/>
        </w:rPr>
      </w:pPr>
      <w:proofErr w:type="spellStart"/>
      <w:proofErr w:type="gramStart"/>
      <w:r>
        <w:t>Alhazami,L</w:t>
      </w:r>
      <w:proofErr w:type="spellEnd"/>
      <w:r>
        <w:t>.</w:t>
      </w:r>
      <w:proofErr w:type="gramEnd"/>
      <w:r>
        <w:t xml:space="preserve"> (2020) </w:t>
      </w:r>
      <w:r w:rsidRPr="00626641">
        <w:rPr>
          <w:lang w:val="id"/>
        </w:rPr>
        <w:t>Valuasi Saham yang Masih Layak untuk Dikoleksi di Bursa Efek Indonesia (BEI) pada Saat Pandemik Covid -19. Jurnal Ilmiah Akuntansi Dan Keuangan (JIAK), 9(2</w:t>
      </w:r>
      <w:r>
        <w:rPr>
          <w:lang w:val="id"/>
        </w:rPr>
        <w:t>), 139–149</w:t>
      </w:r>
      <w:r w:rsidR="00626641">
        <w:rPr>
          <w:lang w:val="id"/>
        </w:rPr>
        <w:t xml:space="preserve">. </w:t>
      </w:r>
    </w:p>
    <w:p w14:paraId="20CFCCEA" w14:textId="08FBDD05" w:rsidR="00626641" w:rsidRPr="00626641" w:rsidRDefault="00626641" w:rsidP="00626641">
      <w:pPr>
        <w:pStyle w:val="p0"/>
        <w:ind w:left="720" w:hanging="720"/>
        <w:jc w:val="both"/>
        <w:rPr>
          <w:lang w:val="id"/>
        </w:rPr>
      </w:pPr>
      <w:r w:rsidRPr="00626641">
        <w:rPr>
          <w:lang w:val="id"/>
        </w:rPr>
        <w:t xml:space="preserve">Bhat, R. B., &amp; Suresh, V. N. (2020). Inter-linkages and performance of Asian stock markets amidst COVID 2019. International Journal of Financial Engineering, 7(3), 1–10. </w:t>
      </w:r>
      <w:r w:rsidRPr="00674C2E">
        <w:rPr>
          <w:lang w:val="id"/>
        </w:rPr>
        <w:t>https://doi.org/10.1142/S2424786320500280</w:t>
      </w:r>
    </w:p>
    <w:p w14:paraId="5EF4F7B6" w14:textId="521E6D99" w:rsidR="00626641" w:rsidRPr="00626641" w:rsidRDefault="00626641" w:rsidP="00626641">
      <w:pPr>
        <w:pStyle w:val="p0"/>
        <w:ind w:left="720" w:hanging="720"/>
        <w:jc w:val="both"/>
        <w:rPr>
          <w:lang w:val="id"/>
        </w:rPr>
      </w:pPr>
      <w:r w:rsidRPr="00626641">
        <w:rPr>
          <w:lang w:val="id"/>
        </w:rPr>
        <w:t xml:space="preserve">Böni, P., &amp; Zimmermann, H. (2020). Are Stock Prices driven by Expected Growth rather than Discount Rates ? Evidence based on the Covid-19 crisis. SRSN Electronic Journal, 1–26. </w:t>
      </w:r>
      <w:r w:rsidRPr="00674C2E">
        <w:rPr>
          <w:lang w:val="id"/>
        </w:rPr>
        <w:t>https://doi.org/https://doi.org/10.2139/ssrn.3626959</w:t>
      </w:r>
      <w:r w:rsidRPr="00626641">
        <w:rPr>
          <w:lang w:val="id"/>
        </w:rPr>
        <w:t xml:space="preserve"> </w:t>
      </w:r>
    </w:p>
    <w:p w14:paraId="76CFDEA0" w14:textId="77777777" w:rsidR="00626641" w:rsidRPr="00626641" w:rsidRDefault="00626641" w:rsidP="00626641">
      <w:pPr>
        <w:pStyle w:val="p0"/>
        <w:ind w:left="720" w:hanging="720"/>
        <w:jc w:val="both"/>
        <w:rPr>
          <w:lang w:val="id"/>
        </w:rPr>
      </w:pPr>
      <w:r w:rsidRPr="00626641">
        <w:rPr>
          <w:lang w:val="id"/>
        </w:rPr>
        <w:t>Brigham, E. F., &amp; Houston, J. F. (2018). Fundamentals of Financial Management (14th ed.). Jakarta: Salemba Empat.</w:t>
      </w:r>
    </w:p>
    <w:p w14:paraId="1F9C9457" w14:textId="0992C5F4" w:rsidR="00626641" w:rsidRPr="00626641" w:rsidRDefault="00626641" w:rsidP="00626641">
      <w:pPr>
        <w:pStyle w:val="p0"/>
        <w:ind w:left="720" w:hanging="720"/>
        <w:jc w:val="both"/>
        <w:rPr>
          <w:u w:val="single"/>
          <w:lang w:val="id"/>
        </w:rPr>
      </w:pPr>
      <w:r w:rsidRPr="00626641">
        <w:rPr>
          <w:lang w:val="id"/>
        </w:rPr>
        <w:t xml:space="preserve">Chang, C., Mcaleer, M., &amp; Wong, W. (2020). Risk and Financial Management of COVID-19 in Business , Economics and Finance. Journal of Risk and Financial Management, 13(102), 1–7. </w:t>
      </w:r>
      <w:r w:rsidRPr="00674C2E">
        <w:rPr>
          <w:lang w:val="id"/>
        </w:rPr>
        <w:t>https://doi.org/10.3390/jrfm13050102</w:t>
      </w:r>
    </w:p>
    <w:p w14:paraId="54F39CF4" w14:textId="0EFADB6D" w:rsidR="00626641" w:rsidRPr="00626641" w:rsidRDefault="00626641" w:rsidP="00626641">
      <w:pPr>
        <w:pStyle w:val="p0"/>
        <w:ind w:left="811" w:hanging="811"/>
        <w:jc w:val="both"/>
        <w:rPr>
          <w:lang w:val="id"/>
        </w:rPr>
      </w:pPr>
      <w:r w:rsidRPr="00626641">
        <w:rPr>
          <w:lang w:val="id"/>
        </w:rPr>
        <w:t xml:space="preserve">Dea Natalia. (2019). </w:t>
      </w:r>
      <w:r w:rsidR="003A0DA7" w:rsidRPr="00626641">
        <w:rPr>
          <w:lang w:val="id"/>
        </w:rPr>
        <w:t>Stock Valuation Analysis Using The Dividend Discount Model, Price Earning Ratio And Price To Book Value For Investment Decisions</w:t>
      </w:r>
      <w:r w:rsidRPr="00626641">
        <w:rPr>
          <w:lang w:val="id"/>
        </w:rPr>
        <w:t>. Jurnal Ilmiah Manajemen. E-ISSN 2580-3743. Vol. 7, No. 3</w:t>
      </w:r>
    </w:p>
    <w:p w14:paraId="3D2630A5" w14:textId="77777777" w:rsidR="004229A3" w:rsidRPr="004229A3" w:rsidRDefault="004229A3" w:rsidP="004229A3">
      <w:pPr>
        <w:pStyle w:val="p0"/>
        <w:ind w:left="720" w:hanging="720"/>
        <w:jc w:val="both"/>
        <w:rPr>
          <w:lang w:val="id"/>
        </w:rPr>
      </w:pPr>
      <w:r w:rsidRPr="004229A3">
        <w:rPr>
          <w:lang w:val="id"/>
        </w:rPr>
        <w:t>Ghozali, Imam. (2016). Multivariete Analysis Application With IBM SPSS 23 Program (8th Edition). VIII Printing. Semarang : Diponegoro University Publishing Agency</w:t>
      </w:r>
    </w:p>
    <w:p w14:paraId="7D250E6B" w14:textId="77777777" w:rsidR="004229A3" w:rsidRPr="004229A3" w:rsidRDefault="004229A3" w:rsidP="004229A3">
      <w:pPr>
        <w:pStyle w:val="p0"/>
        <w:ind w:left="720" w:hanging="720"/>
        <w:jc w:val="both"/>
        <w:rPr>
          <w:lang w:val="id"/>
        </w:rPr>
      </w:pPr>
      <w:r w:rsidRPr="004229A3">
        <w:rPr>
          <w:lang w:val="id"/>
        </w:rPr>
        <w:t>Halim, A. (2018). Investment Analysis (2nd ed.). Jakarta: Salemba</w:t>
      </w:r>
    </w:p>
    <w:p w14:paraId="11A70EF8" w14:textId="77777777" w:rsidR="004229A3" w:rsidRPr="004229A3" w:rsidRDefault="004229A3" w:rsidP="004229A3">
      <w:pPr>
        <w:pStyle w:val="p0"/>
        <w:ind w:left="720" w:hanging="720"/>
        <w:jc w:val="both"/>
        <w:rPr>
          <w:lang w:val="id"/>
        </w:rPr>
      </w:pPr>
      <w:r w:rsidRPr="004229A3">
        <w:rPr>
          <w:lang w:val="id"/>
        </w:rPr>
        <w:t>Iriana Kusuma Dewi (2021). Stock Investment Analysis Using PER and PBV Approaches in LQ 45 Companies Listed on the IDX for the 2015 – 2019 Period. Madani Journal. ISSN : 2615-1995. Vol. 4, No. 2</w:t>
      </w:r>
    </w:p>
    <w:p w14:paraId="768BECC0" w14:textId="50F5E961" w:rsidR="00626641" w:rsidRPr="00626641" w:rsidRDefault="004229A3" w:rsidP="004229A3">
      <w:pPr>
        <w:pStyle w:val="p0"/>
        <w:ind w:left="720" w:hanging="720"/>
        <w:jc w:val="both"/>
        <w:rPr>
          <w:lang w:val="id"/>
        </w:rPr>
      </w:pPr>
      <w:r w:rsidRPr="004229A3">
        <w:rPr>
          <w:lang w:val="id"/>
        </w:rPr>
        <w:t>Jogiyanto, Hartono. (2018). Portfolio Theory and Investment Analysis. Eleventh Edition.Yogyakarta: UPP AMP YKPN.</w:t>
      </w:r>
      <w:r w:rsidR="00626641" w:rsidRPr="00626641">
        <w:rPr>
          <w:lang w:val="id"/>
        </w:rPr>
        <w:t xml:space="preserve">. </w:t>
      </w:r>
    </w:p>
    <w:p w14:paraId="71068685" w14:textId="77777777" w:rsidR="00626641" w:rsidRPr="00626641" w:rsidRDefault="00626641" w:rsidP="00626641">
      <w:pPr>
        <w:pStyle w:val="p0"/>
        <w:ind w:left="720" w:hanging="720"/>
        <w:jc w:val="both"/>
        <w:rPr>
          <w:lang w:val="id"/>
        </w:rPr>
      </w:pPr>
      <w:r w:rsidRPr="00626641">
        <w:rPr>
          <w:lang w:val="id"/>
        </w:rPr>
        <w:t>Ju, H., Yeon, J., &amp; Lee, S. (2021). International Journal of Hospitality Management Impact of the COVID-19 pandemic : Evidence from the U . S . restaurant industry. International Journal of Hospitality Management, 92, 1–7. https://doi.org/10.1016/j.ijhm.2020.102702</w:t>
      </w:r>
    </w:p>
    <w:p w14:paraId="58D6524F" w14:textId="77777777" w:rsidR="004229A3" w:rsidRDefault="00626641" w:rsidP="004229A3">
      <w:pPr>
        <w:pStyle w:val="p0"/>
        <w:ind w:left="811" w:hanging="811"/>
        <w:jc w:val="both"/>
        <w:rPr>
          <w:lang w:val="id"/>
        </w:rPr>
      </w:pPr>
      <w:r w:rsidRPr="00626641">
        <w:rPr>
          <w:lang w:val="id"/>
        </w:rPr>
        <w:t xml:space="preserve">Kasmir. </w:t>
      </w:r>
      <w:r w:rsidR="004229A3" w:rsidRPr="004229A3">
        <w:rPr>
          <w:lang w:val="id"/>
        </w:rPr>
        <w:t>(2017). Financial Statement Analysis. Jakarta: PT Raja Grafindo Persad</w:t>
      </w:r>
      <w:r w:rsidR="004229A3" w:rsidRPr="004229A3">
        <w:rPr>
          <w:lang w:val="id"/>
        </w:rPr>
        <w:t xml:space="preserve"> </w:t>
      </w:r>
    </w:p>
    <w:p w14:paraId="61B4F4DB" w14:textId="48A40EBD" w:rsidR="00626641" w:rsidRPr="00626641" w:rsidRDefault="00626641" w:rsidP="004229A3">
      <w:pPr>
        <w:pStyle w:val="p0"/>
        <w:ind w:left="811" w:hanging="811"/>
        <w:jc w:val="both"/>
        <w:rPr>
          <w:lang w:val="id"/>
        </w:rPr>
      </w:pPr>
      <w:r w:rsidRPr="00626641">
        <w:rPr>
          <w:lang w:val="id"/>
        </w:rPr>
        <w:t>Natalia, D., E.R, C. W., &amp; Yulita, I. K. (2019). Stock Valuation Analysis Using The Dividend Discount Model, Price Earning Ratio and Price to Book Valued for Investment Decisions. Procuratio: Jurnal Ilmiah Manajemen, 7(3), 276–285.</w:t>
      </w:r>
    </w:p>
    <w:p w14:paraId="7622619A" w14:textId="6D67A713" w:rsidR="00626641" w:rsidRPr="00626641" w:rsidRDefault="004229A3" w:rsidP="00626641">
      <w:pPr>
        <w:pStyle w:val="p0"/>
        <w:ind w:left="720" w:hanging="720"/>
        <w:jc w:val="both"/>
        <w:rPr>
          <w:lang w:val="id"/>
        </w:rPr>
      </w:pPr>
      <w:r w:rsidRPr="004229A3">
        <w:rPr>
          <w:lang w:val="id"/>
        </w:rPr>
        <w:t>Noor, M. S., &amp; Satyawan, M. D. (2014). Analisis Penilaian Harga Wajar Saham Studi Kasus Pada PT Multi Bintang Indonesia, Tbk. Jurnal Ilmu Manajemen, 2(3), 1095–1105</w:t>
      </w:r>
      <w:r w:rsidR="00626641" w:rsidRPr="00626641">
        <w:rPr>
          <w:lang w:val="id"/>
        </w:rPr>
        <w:t xml:space="preserve">. </w:t>
      </w:r>
    </w:p>
    <w:p w14:paraId="20074E4D" w14:textId="77777777" w:rsidR="00626641" w:rsidRPr="00626641" w:rsidRDefault="00626641" w:rsidP="00626641">
      <w:pPr>
        <w:pStyle w:val="p0"/>
        <w:ind w:left="720" w:hanging="720"/>
        <w:jc w:val="both"/>
        <w:rPr>
          <w:lang w:val="id"/>
        </w:rPr>
      </w:pPr>
      <w:r w:rsidRPr="00626641">
        <w:rPr>
          <w:lang w:val="id"/>
        </w:rPr>
        <w:lastRenderedPageBreak/>
        <w:t>Nugraha, D. P. (2021). Comparative Analysis of Risk and Return on Indonesian Islamic Stock Index Different Economic Conditions. Jurnal Ekonomi Dan Manajemen, 51–64.</w:t>
      </w:r>
    </w:p>
    <w:p w14:paraId="403FF9E7" w14:textId="77777777" w:rsidR="004229A3" w:rsidRPr="004229A3" w:rsidRDefault="004229A3" w:rsidP="004229A3">
      <w:pPr>
        <w:pStyle w:val="p0"/>
        <w:ind w:left="720" w:hanging="720"/>
        <w:jc w:val="both"/>
        <w:rPr>
          <w:lang w:val="id"/>
        </w:rPr>
      </w:pPr>
      <w:r w:rsidRPr="004229A3">
        <w:rPr>
          <w:lang w:val="id"/>
        </w:rPr>
        <w:t>Nurhaliza, S. (2020). Nine Sectors Worst Affected, No.2 Loss up to USD812 Million.</w:t>
      </w:r>
    </w:p>
    <w:p w14:paraId="7162F692" w14:textId="77777777" w:rsidR="004229A3" w:rsidRPr="004229A3" w:rsidRDefault="004229A3" w:rsidP="004229A3">
      <w:pPr>
        <w:pStyle w:val="p0"/>
        <w:ind w:left="720" w:hanging="720"/>
        <w:jc w:val="both"/>
        <w:rPr>
          <w:lang w:val="id"/>
        </w:rPr>
      </w:pPr>
      <w:r w:rsidRPr="004229A3">
        <w:rPr>
          <w:lang w:val="id"/>
        </w:rPr>
        <w:t>Perdana, D., Brilliand, E., &amp; Darmawan, A. (2015). Fundamental Analysis in Valuation of Stock Prices Using the Dividend Discounted Model and Price Earning Ratio Methods, 37(2), 206–211.</w:t>
      </w:r>
    </w:p>
    <w:p w14:paraId="48FC0387" w14:textId="7C9A2F34" w:rsidR="00626641" w:rsidRDefault="004229A3" w:rsidP="004229A3">
      <w:pPr>
        <w:pStyle w:val="p0"/>
        <w:ind w:left="720" w:hanging="720"/>
        <w:jc w:val="both"/>
        <w:rPr>
          <w:lang w:val="id"/>
        </w:rPr>
      </w:pPr>
      <w:r w:rsidRPr="004229A3">
        <w:rPr>
          <w:lang w:val="id"/>
        </w:rPr>
        <w:t xml:space="preserve">Rahma Cyntia Dewi, (2014). Dividend Discount Model (DDM) Analysis for Stock Price Valuation in Investment Decision Making. Journal of Business Administration. Vol 17, No.2 </w:t>
      </w:r>
      <w:r w:rsidR="00626641" w:rsidRPr="00626641">
        <w:rPr>
          <w:lang w:val="id"/>
        </w:rPr>
        <w:t xml:space="preserve"> </w:t>
      </w:r>
    </w:p>
    <w:p w14:paraId="1FDB329F" w14:textId="77777777" w:rsidR="0004350D" w:rsidRPr="0004350D" w:rsidRDefault="0004350D" w:rsidP="0004350D">
      <w:pPr>
        <w:pStyle w:val="p0"/>
        <w:ind w:left="720" w:hanging="720"/>
        <w:jc w:val="both"/>
        <w:rPr>
          <w:lang w:val="id"/>
        </w:rPr>
      </w:pPr>
      <w:r w:rsidRPr="0004350D">
        <w:rPr>
          <w:lang w:val="id"/>
        </w:rPr>
        <w:t>Risman, A., Subhani, M., &amp; Ushakov, D. (2021). Nexus between Financial Fundamentals and Automotive (Car) Industry. ARDL approach. E3S Web of Conferences, 244.</w:t>
      </w:r>
    </w:p>
    <w:p w14:paraId="3731BF53" w14:textId="77777777" w:rsidR="0004350D" w:rsidRPr="0004350D" w:rsidRDefault="0004350D" w:rsidP="0004350D">
      <w:pPr>
        <w:pStyle w:val="p0"/>
        <w:ind w:left="720" w:hanging="720"/>
        <w:jc w:val="both"/>
        <w:rPr>
          <w:lang w:val="id"/>
        </w:rPr>
      </w:pPr>
      <w:r w:rsidRPr="0004350D">
        <w:rPr>
          <w:lang w:val="id"/>
        </w:rPr>
        <w:t>Risman, A., Parwoto &amp; Sulaeman, A., (2020).. The Mediating Role of Firm’s Performance on The Relationship between Free Cash Flow and Capital Structure, Psychology and Education Journal, Vol. 58 No. 1: 1209-1216.</w:t>
      </w:r>
    </w:p>
    <w:p w14:paraId="44EB8237" w14:textId="77777777" w:rsidR="0004350D" w:rsidRPr="0004350D" w:rsidRDefault="0004350D" w:rsidP="0004350D">
      <w:pPr>
        <w:pStyle w:val="p0"/>
        <w:ind w:left="720" w:hanging="720"/>
        <w:jc w:val="both"/>
        <w:rPr>
          <w:lang w:val="id"/>
        </w:rPr>
      </w:pPr>
      <w:r w:rsidRPr="0004350D">
        <w:rPr>
          <w:lang w:val="id"/>
        </w:rPr>
        <w:t>Risman, Asep. (2015). The Causal Relationship between Stock Prices and Exchange Rates.  Jurnal Ilmiah Manajemen dan Bisnis, v. 1, n. 2, p. 220-224.</w:t>
      </w:r>
    </w:p>
    <w:p w14:paraId="072030E8" w14:textId="77777777" w:rsidR="00626641" w:rsidRPr="00626641" w:rsidRDefault="00626641" w:rsidP="00626641">
      <w:pPr>
        <w:pStyle w:val="p0"/>
        <w:ind w:left="720" w:hanging="720"/>
        <w:jc w:val="both"/>
        <w:rPr>
          <w:lang w:val="id"/>
        </w:rPr>
      </w:pPr>
      <w:r w:rsidRPr="00626641">
        <w:rPr>
          <w:lang w:val="id"/>
        </w:rPr>
        <w:t>Sartinah (2021). Analisis Keputusan Investasi Saham Dengan Pendekatan Price Earning Ratio. Jurnal Manajemen dan Ekonomi. Vol 4, No.2</w:t>
      </w:r>
    </w:p>
    <w:p w14:paraId="6B1BFAEB" w14:textId="77777777" w:rsidR="002E592C" w:rsidRPr="002E592C" w:rsidRDefault="002E592C" w:rsidP="002E592C">
      <w:pPr>
        <w:pStyle w:val="p0"/>
        <w:ind w:left="720" w:hanging="720"/>
        <w:jc w:val="both"/>
        <w:rPr>
          <w:lang w:val="id"/>
        </w:rPr>
      </w:pPr>
      <w:r w:rsidRPr="002E592C">
        <w:rPr>
          <w:lang w:val="id"/>
        </w:rPr>
        <w:t>Sugiyono, (2017). Quantitative, Qualitative, and R&amp;D Research Methods. Bandung: Alphabeta</w:t>
      </w:r>
    </w:p>
    <w:p w14:paraId="2B7600A9" w14:textId="77777777" w:rsidR="002E592C" w:rsidRPr="002E592C" w:rsidRDefault="002E592C" w:rsidP="002E592C">
      <w:pPr>
        <w:pStyle w:val="p0"/>
        <w:ind w:left="720" w:hanging="720"/>
        <w:jc w:val="both"/>
        <w:rPr>
          <w:lang w:val="id"/>
        </w:rPr>
      </w:pPr>
      <w:r w:rsidRPr="002E592C">
        <w:rPr>
          <w:lang w:val="id"/>
        </w:rPr>
        <w:t>Sunariyah. 2012. Introduction to Capital Market Knowledge, Fourth Edition. Yogyakarta : AMP YKPN Publishing and Printing Unit.</w:t>
      </w:r>
    </w:p>
    <w:p w14:paraId="3C55A49A" w14:textId="26A5FB58" w:rsidR="00626641" w:rsidRPr="00626641" w:rsidRDefault="002E592C" w:rsidP="002E592C">
      <w:pPr>
        <w:pStyle w:val="p0"/>
        <w:ind w:left="720" w:hanging="720"/>
        <w:jc w:val="both"/>
      </w:pPr>
      <w:r w:rsidRPr="002E592C">
        <w:rPr>
          <w:lang w:val="id"/>
        </w:rPr>
        <w:t>Supriyatna, I., &amp; Djailani, M. F. (2020). The Pharmaceutical Industry Makes Big Profits Amid the Covid-19 Pandemic</w:t>
      </w:r>
      <w:r w:rsidR="00626641">
        <w:t xml:space="preserve">. </w:t>
      </w:r>
    </w:p>
    <w:p w14:paraId="3C986DEE" w14:textId="77777777" w:rsidR="00626641" w:rsidRPr="00626641" w:rsidRDefault="00626641" w:rsidP="00626641">
      <w:pPr>
        <w:pStyle w:val="p0"/>
        <w:ind w:left="720" w:hanging="720"/>
        <w:jc w:val="both"/>
        <w:rPr>
          <w:lang w:val="id"/>
        </w:rPr>
      </w:pPr>
      <w:r w:rsidRPr="00626641">
        <w:rPr>
          <w:lang w:val="id"/>
        </w:rPr>
        <w:t>Suryanto. (2016). Stock Valuation by Using Price Earning Ratio (PER) in Stock Index LQ45. Jurnal AdBispreneur, 1(2), 137–144.</w:t>
      </w:r>
    </w:p>
    <w:p w14:paraId="50A1D9AC" w14:textId="77777777" w:rsidR="002E592C" w:rsidRPr="002E592C" w:rsidRDefault="002E592C" w:rsidP="002E592C">
      <w:pPr>
        <w:pStyle w:val="p0"/>
        <w:ind w:left="720" w:hanging="720"/>
        <w:jc w:val="both"/>
        <w:rPr>
          <w:lang w:val="id"/>
        </w:rPr>
      </w:pPr>
      <w:r w:rsidRPr="002E592C">
        <w:rPr>
          <w:lang w:val="id"/>
        </w:rPr>
        <w:t>Tambunan, A. P. (2007). Assessing the Fair Price of Shares. Jakarta: PT. Elex Media Komputindo.</w:t>
      </w:r>
    </w:p>
    <w:p w14:paraId="6C28867B" w14:textId="77777777" w:rsidR="002E592C" w:rsidRPr="002E592C" w:rsidRDefault="002E592C" w:rsidP="002E592C">
      <w:pPr>
        <w:pStyle w:val="p0"/>
        <w:ind w:left="720" w:hanging="720"/>
        <w:jc w:val="both"/>
        <w:rPr>
          <w:lang w:val="id"/>
        </w:rPr>
      </w:pPr>
      <w:r w:rsidRPr="002E592C">
        <w:rPr>
          <w:lang w:val="id"/>
        </w:rPr>
        <w:t>Tandelilin, E. (2017). Capital Markets Portfolio &amp; Investment Management. Yogyakarta: Kanisius.</w:t>
      </w:r>
    </w:p>
    <w:p w14:paraId="311D1BF2" w14:textId="69BC0535" w:rsidR="00626641" w:rsidRPr="00626641" w:rsidRDefault="002E592C" w:rsidP="002E592C">
      <w:pPr>
        <w:pStyle w:val="p0"/>
        <w:ind w:left="720" w:hanging="720"/>
        <w:jc w:val="both"/>
        <w:rPr>
          <w:lang w:val="id"/>
        </w:rPr>
      </w:pPr>
      <w:r w:rsidRPr="002E592C">
        <w:rPr>
          <w:lang w:val="id"/>
        </w:rPr>
        <w:t>Ulfah, F. U. (2021). IDX Technology Sector Rises Sharply, Investors Must Be Careful</w:t>
      </w:r>
      <w:r w:rsidR="00626641" w:rsidRPr="00626641">
        <w:rPr>
          <w:lang w:val="id"/>
        </w:rPr>
        <w:t>.</w:t>
      </w:r>
      <w:r w:rsidR="00626641">
        <w:rPr>
          <w:lang w:val="id"/>
        </w:rPr>
        <w:t xml:space="preserve"> </w:t>
      </w:r>
    </w:p>
    <w:p w14:paraId="44C5D946" w14:textId="47C9F1C4" w:rsidR="00626641" w:rsidRPr="00626641" w:rsidRDefault="00626641" w:rsidP="00626641">
      <w:pPr>
        <w:pStyle w:val="p0"/>
        <w:ind w:left="720" w:hanging="720"/>
        <w:jc w:val="both"/>
        <w:rPr>
          <w:lang w:val="id"/>
        </w:rPr>
      </w:pPr>
      <w:r w:rsidRPr="00626641">
        <w:rPr>
          <w:lang w:val="id"/>
        </w:rPr>
        <w:t xml:space="preserve">Zeren, F., &amp; Hizarci, A. E. (2020). </w:t>
      </w:r>
      <w:r w:rsidR="002E592C" w:rsidRPr="00626641">
        <w:rPr>
          <w:lang w:val="id"/>
        </w:rPr>
        <w:t>The Impact Of Covid-19 Coronavirus On Stock Markets : Evidence</w:t>
      </w:r>
      <w:r w:rsidRPr="00626641">
        <w:rPr>
          <w:lang w:val="id"/>
        </w:rPr>
        <w:t xml:space="preserve">. Muhasebe Ve Finans Incelemeleri Dergisi, 3(1), 78–84. https://doi.org/10.32951/mufider.706159 </w:t>
      </w:r>
    </w:p>
    <w:p w14:paraId="752D1B68" w14:textId="77777777" w:rsidR="00626641" w:rsidRPr="00626641" w:rsidRDefault="00626641" w:rsidP="00626641">
      <w:pPr>
        <w:pStyle w:val="p0"/>
        <w:ind w:left="720" w:hanging="720"/>
        <w:jc w:val="both"/>
        <w:rPr>
          <w:b/>
          <w:lang w:val="id"/>
        </w:rPr>
      </w:pPr>
      <w:r w:rsidRPr="00626641">
        <w:rPr>
          <w:lang w:val="id"/>
        </w:rPr>
        <w:t>Zhou, Q., &amp; Liu, Y. (2021). The Effectiveness of the Value Investment Theory During the COVID-19 Pandemic : Using the Heavy Asset Industry as an Example. International Conference on Enterprise Management and Economic Development (ICEMED 2021), 178, 211–220.</w:t>
      </w:r>
    </w:p>
    <w:p w14:paraId="311AF6A6" w14:textId="77777777" w:rsidR="00AB0D07" w:rsidRPr="00573525" w:rsidRDefault="00AB0D07" w:rsidP="0001776F">
      <w:pPr>
        <w:pStyle w:val="p0"/>
        <w:ind w:left="811" w:hanging="811"/>
        <w:jc w:val="both"/>
        <w:rPr>
          <w:lang w:val="es-AR"/>
        </w:rPr>
      </w:pPr>
    </w:p>
    <w:sectPr w:rsidR="00AB0D07" w:rsidRPr="00573525" w:rsidSect="007B42C2">
      <w:headerReference w:type="even" r:id="rId18"/>
      <w:headerReference w:type="default" r:id="rId19"/>
      <w:footerReference w:type="even" r:id="rId20"/>
      <w:footerReference w:type="default" r:id="rId21"/>
      <w:headerReference w:type="first" r:id="rId22"/>
      <w:footerReference w:type="first" r:id="rId23"/>
      <w:pgSz w:w="11906" w:h="16838" w:code="9"/>
      <w:pgMar w:top="1701" w:right="1418" w:bottom="1701" w:left="1418" w:header="709" w:footer="567" w:gutter="0"/>
      <w:pgNumType w:start="1"/>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5534D" w14:textId="77777777" w:rsidR="00451D69" w:rsidRDefault="00451D69">
      <w:pPr>
        <w:spacing w:after="0" w:line="240" w:lineRule="auto"/>
      </w:pPr>
      <w:r>
        <w:separator/>
      </w:r>
    </w:p>
  </w:endnote>
  <w:endnote w:type="continuationSeparator" w:id="0">
    <w:p w14:paraId="76C4948E" w14:textId="77777777" w:rsidR="00451D69" w:rsidRDefault="00451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1"/>
      <w:gridCol w:w="8319"/>
    </w:tblGrid>
    <w:tr w:rsidR="001745FA" w:rsidRPr="00EF7480" w14:paraId="5BC8C780" w14:textId="77777777" w:rsidTr="00C769AA">
      <w:trPr>
        <w:jc w:val="center"/>
      </w:trPr>
      <w:tc>
        <w:tcPr>
          <w:tcW w:w="414" w:type="pct"/>
          <w:vAlign w:val="center"/>
        </w:tcPr>
        <w:p w14:paraId="4756A41E" w14:textId="737367F5" w:rsidR="001745FA" w:rsidRPr="00EF7480" w:rsidRDefault="00451D69" w:rsidP="00EF7480">
          <w:pPr>
            <w:pStyle w:val="Footer"/>
            <w:tabs>
              <w:tab w:val="right" w:pos="7938"/>
            </w:tabs>
            <w:spacing w:after="0" w:line="240" w:lineRule="auto"/>
            <w:rPr>
              <w:rFonts w:ascii="Tahoma" w:hAnsi="Tahoma" w:cs="Tahoma"/>
              <w:i w:val="0"/>
              <w:iCs w:val="0"/>
              <w:sz w:val="24"/>
              <w:szCs w:val="24"/>
            </w:rPr>
          </w:pPr>
          <w:sdt>
            <w:sdtPr>
              <w:rPr>
                <w:rFonts w:ascii="Tahoma" w:hAnsi="Tahoma" w:cs="Tahoma"/>
                <w:i w:val="0"/>
                <w:iCs w:val="0"/>
                <w:sz w:val="24"/>
                <w:szCs w:val="24"/>
              </w:rPr>
              <w:id w:val="707462928"/>
              <w:docPartObj>
                <w:docPartGallery w:val="Page Numbers (Bottom of Page)"/>
                <w:docPartUnique/>
              </w:docPartObj>
            </w:sdtPr>
            <w:sdtEndPr>
              <w:rPr>
                <w:b/>
                <w:bCs/>
                <w:noProof/>
              </w:rPr>
            </w:sdtEndPr>
            <w:sdtContent>
              <w:r w:rsidR="001745FA" w:rsidRPr="00EF7480">
                <w:rPr>
                  <w:rFonts w:ascii="Tahoma" w:hAnsi="Tahoma" w:cs="Tahoma"/>
                  <w:b/>
                  <w:bCs/>
                  <w:i w:val="0"/>
                  <w:iCs w:val="0"/>
                  <w:sz w:val="24"/>
                  <w:szCs w:val="24"/>
                </w:rPr>
                <w:fldChar w:fldCharType="begin"/>
              </w:r>
              <w:r w:rsidR="001745FA" w:rsidRPr="00EF7480">
                <w:rPr>
                  <w:rFonts w:ascii="Tahoma" w:hAnsi="Tahoma" w:cs="Tahoma"/>
                  <w:b/>
                  <w:bCs/>
                  <w:i w:val="0"/>
                  <w:iCs w:val="0"/>
                  <w:sz w:val="24"/>
                  <w:szCs w:val="24"/>
                </w:rPr>
                <w:instrText xml:space="preserve"> PAGE   \* MERGEFORMAT </w:instrText>
              </w:r>
              <w:r w:rsidR="001745FA" w:rsidRPr="00EF7480">
                <w:rPr>
                  <w:rFonts w:ascii="Tahoma" w:hAnsi="Tahoma" w:cs="Tahoma"/>
                  <w:b/>
                  <w:bCs/>
                  <w:i w:val="0"/>
                  <w:iCs w:val="0"/>
                  <w:sz w:val="24"/>
                  <w:szCs w:val="24"/>
                </w:rPr>
                <w:fldChar w:fldCharType="separate"/>
              </w:r>
              <w:r w:rsidR="00623F92">
                <w:rPr>
                  <w:rFonts w:ascii="Tahoma" w:hAnsi="Tahoma" w:cs="Tahoma"/>
                  <w:b/>
                  <w:bCs/>
                  <w:i w:val="0"/>
                  <w:iCs w:val="0"/>
                  <w:noProof/>
                  <w:sz w:val="24"/>
                  <w:szCs w:val="24"/>
                </w:rPr>
                <w:t>16</w:t>
              </w:r>
              <w:r w:rsidR="001745FA" w:rsidRPr="00EF7480">
                <w:rPr>
                  <w:rFonts w:ascii="Tahoma" w:hAnsi="Tahoma" w:cs="Tahoma"/>
                  <w:b/>
                  <w:bCs/>
                  <w:i w:val="0"/>
                  <w:iCs w:val="0"/>
                  <w:noProof/>
                  <w:sz w:val="24"/>
                  <w:szCs w:val="24"/>
                </w:rPr>
                <w:fldChar w:fldCharType="end"/>
              </w:r>
            </w:sdtContent>
          </w:sdt>
        </w:p>
      </w:tc>
      <w:tc>
        <w:tcPr>
          <w:tcW w:w="4586" w:type="pct"/>
          <w:vAlign w:val="center"/>
        </w:tcPr>
        <w:p w14:paraId="61E2FB1F" w14:textId="3BD58680" w:rsidR="001745FA" w:rsidRPr="00EF7480" w:rsidRDefault="007F4CA7" w:rsidP="00EF7480">
          <w:pPr>
            <w:pStyle w:val="Footer"/>
            <w:tabs>
              <w:tab w:val="right" w:pos="7938"/>
            </w:tabs>
            <w:spacing w:after="0" w:line="240" w:lineRule="auto"/>
            <w:rPr>
              <w:rFonts w:ascii="Tahoma" w:hAnsi="Tahoma" w:cs="Tahoma"/>
              <w:i w:val="0"/>
              <w:iCs w:val="0"/>
            </w:rPr>
          </w:pPr>
          <w:r w:rsidRPr="007F4CA7">
            <w:rPr>
              <w:rFonts w:ascii="Arial Narrow" w:hAnsi="Arial Narrow"/>
              <w:b/>
              <w:i w:val="0"/>
              <w:iCs w:val="0"/>
            </w:rPr>
            <w:t>https://publikasi.mercubuana.ac.id/index.php/indikator</w:t>
          </w:r>
        </w:p>
      </w:tc>
    </w:tr>
  </w:tbl>
  <w:p w14:paraId="409A6147" w14:textId="77777777" w:rsidR="001745FA" w:rsidRPr="00EF7480" w:rsidRDefault="001745FA" w:rsidP="00EF7480">
    <w:pPr>
      <w:pStyle w:val="Footer"/>
      <w:tabs>
        <w:tab w:val="right" w:pos="7938"/>
      </w:tabs>
      <w:spacing w:after="0" w:line="240" w:lineRule="auto"/>
      <w:jc w:val="both"/>
      <w:rPr>
        <w:i w:val="0"/>
        <w:i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321"/>
      <w:gridCol w:w="749"/>
    </w:tblGrid>
    <w:tr w:rsidR="001745FA" w14:paraId="0519B44F" w14:textId="77777777" w:rsidTr="00C769AA">
      <w:trPr>
        <w:jc w:val="center"/>
      </w:trPr>
      <w:tc>
        <w:tcPr>
          <w:tcW w:w="4587" w:type="pct"/>
          <w:vAlign w:val="center"/>
        </w:tcPr>
        <w:p w14:paraId="7E9926D8" w14:textId="37CD2063" w:rsidR="001745FA" w:rsidRPr="00EF7480" w:rsidRDefault="00451D69" w:rsidP="00EF7480">
          <w:pPr>
            <w:pStyle w:val="Footer"/>
            <w:tabs>
              <w:tab w:val="right" w:pos="7938"/>
            </w:tabs>
            <w:spacing w:after="0" w:line="240" w:lineRule="auto"/>
            <w:jc w:val="right"/>
            <w:rPr>
              <w:rFonts w:ascii="Tahoma" w:hAnsi="Tahoma" w:cs="Tahoma"/>
              <w:i w:val="0"/>
              <w:iCs w:val="0"/>
            </w:rPr>
          </w:pPr>
          <w:sdt>
            <w:sdtPr>
              <w:rPr>
                <w:rFonts w:ascii="Tahoma" w:hAnsi="Tahoma" w:cs="Tahoma"/>
                <w:i w:val="0"/>
                <w:iCs w:val="0"/>
              </w:rPr>
              <w:id w:val="-1039360419"/>
              <w:docPartObj>
                <w:docPartGallery w:val="Page Numbers (Bottom of Page)"/>
                <w:docPartUnique/>
              </w:docPartObj>
            </w:sdtPr>
            <w:sdtEndPr>
              <w:rPr>
                <w:b/>
                <w:bCs/>
                <w:noProof/>
              </w:rPr>
            </w:sdtEndPr>
            <w:sdtContent>
              <w:r w:rsidR="001745FA" w:rsidRPr="00EF7480">
                <w:rPr>
                  <w:rFonts w:ascii="Arial Narrow" w:hAnsi="Arial Narrow"/>
                  <w:b/>
                  <w:i w:val="0"/>
                  <w:iCs w:val="0"/>
                </w:rPr>
                <w:t>http://dx.doi.org/</w:t>
              </w:r>
              <w:r w:rsidR="00E80419" w:rsidRPr="00E80419">
                <w:rPr>
                  <w:rFonts w:ascii="Arial Narrow" w:hAnsi="Arial Narrow"/>
                  <w:b/>
                  <w:i w:val="0"/>
                  <w:iCs w:val="0"/>
                </w:rPr>
                <w:t>10.22441/indikator.v</w:t>
              </w:r>
              <w:r w:rsidR="006D1435">
                <w:rPr>
                  <w:rFonts w:ascii="Arial Narrow" w:hAnsi="Arial Narrow"/>
                  <w:b/>
                  <w:i w:val="0"/>
                  <w:iCs w:val="0"/>
                </w:rPr>
                <w:t>6</w:t>
              </w:r>
            </w:sdtContent>
          </w:sdt>
        </w:p>
      </w:tc>
      <w:tc>
        <w:tcPr>
          <w:tcW w:w="413" w:type="pct"/>
          <w:vAlign w:val="center"/>
        </w:tcPr>
        <w:p w14:paraId="54741A17" w14:textId="353B1D88" w:rsidR="001745FA" w:rsidRPr="00EF7480" w:rsidRDefault="00451D69" w:rsidP="00EF7480">
          <w:pPr>
            <w:pStyle w:val="Footer"/>
            <w:tabs>
              <w:tab w:val="right" w:pos="7938"/>
            </w:tabs>
            <w:spacing w:after="0" w:line="240" w:lineRule="auto"/>
            <w:jc w:val="right"/>
            <w:rPr>
              <w:rFonts w:ascii="Tahoma" w:hAnsi="Tahoma" w:cs="Tahoma"/>
              <w:i w:val="0"/>
              <w:iCs w:val="0"/>
              <w:sz w:val="24"/>
              <w:szCs w:val="24"/>
            </w:rPr>
          </w:pPr>
          <w:sdt>
            <w:sdtPr>
              <w:rPr>
                <w:rFonts w:ascii="Tahoma" w:hAnsi="Tahoma" w:cs="Tahoma"/>
                <w:i w:val="0"/>
                <w:iCs w:val="0"/>
                <w:sz w:val="24"/>
                <w:szCs w:val="24"/>
              </w:rPr>
              <w:id w:val="-1071962407"/>
              <w:docPartObj>
                <w:docPartGallery w:val="Page Numbers (Bottom of Page)"/>
                <w:docPartUnique/>
              </w:docPartObj>
            </w:sdtPr>
            <w:sdtEndPr>
              <w:rPr>
                <w:b/>
                <w:bCs/>
                <w:noProof/>
              </w:rPr>
            </w:sdtEndPr>
            <w:sdtContent>
              <w:r w:rsidR="001745FA" w:rsidRPr="00EF7480">
                <w:rPr>
                  <w:rFonts w:ascii="Tahoma" w:hAnsi="Tahoma" w:cs="Tahoma"/>
                  <w:b/>
                  <w:bCs/>
                  <w:i w:val="0"/>
                  <w:iCs w:val="0"/>
                  <w:sz w:val="24"/>
                  <w:szCs w:val="24"/>
                </w:rPr>
                <w:fldChar w:fldCharType="begin"/>
              </w:r>
              <w:r w:rsidR="001745FA" w:rsidRPr="00EF7480">
                <w:rPr>
                  <w:rFonts w:ascii="Tahoma" w:hAnsi="Tahoma" w:cs="Tahoma"/>
                  <w:b/>
                  <w:bCs/>
                  <w:i w:val="0"/>
                  <w:iCs w:val="0"/>
                  <w:sz w:val="24"/>
                  <w:szCs w:val="24"/>
                </w:rPr>
                <w:instrText xml:space="preserve"> PAGE   \* MERGEFORMAT </w:instrText>
              </w:r>
              <w:r w:rsidR="001745FA" w:rsidRPr="00EF7480">
                <w:rPr>
                  <w:rFonts w:ascii="Tahoma" w:hAnsi="Tahoma" w:cs="Tahoma"/>
                  <w:b/>
                  <w:bCs/>
                  <w:i w:val="0"/>
                  <w:iCs w:val="0"/>
                  <w:sz w:val="24"/>
                  <w:szCs w:val="24"/>
                </w:rPr>
                <w:fldChar w:fldCharType="separate"/>
              </w:r>
              <w:r w:rsidR="00623F92">
                <w:rPr>
                  <w:rFonts w:ascii="Tahoma" w:hAnsi="Tahoma" w:cs="Tahoma"/>
                  <w:b/>
                  <w:bCs/>
                  <w:i w:val="0"/>
                  <w:iCs w:val="0"/>
                  <w:noProof/>
                  <w:sz w:val="24"/>
                  <w:szCs w:val="24"/>
                </w:rPr>
                <w:t>15</w:t>
              </w:r>
              <w:r w:rsidR="001745FA" w:rsidRPr="00EF7480">
                <w:rPr>
                  <w:rFonts w:ascii="Tahoma" w:hAnsi="Tahoma" w:cs="Tahoma"/>
                  <w:b/>
                  <w:bCs/>
                  <w:i w:val="0"/>
                  <w:iCs w:val="0"/>
                  <w:noProof/>
                  <w:sz w:val="24"/>
                  <w:szCs w:val="24"/>
                </w:rPr>
                <w:fldChar w:fldCharType="end"/>
              </w:r>
            </w:sdtContent>
          </w:sdt>
        </w:p>
      </w:tc>
    </w:tr>
  </w:tbl>
  <w:p w14:paraId="4626E6E8" w14:textId="77777777" w:rsidR="001745FA" w:rsidRPr="00750B04" w:rsidRDefault="001745FA" w:rsidP="007B42C2">
    <w:pPr>
      <w:pStyle w:val="Footer"/>
      <w:tabs>
        <w:tab w:val="right" w:pos="7938"/>
      </w:tabs>
      <w:jc w:val="both"/>
      <w:rPr>
        <w:i w:val="0"/>
        <w:i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8321"/>
      <w:gridCol w:w="749"/>
    </w:tblGrid>
    <w:tr w:rsidR="001745FA" w14:paraId="2A94ADC4" w14:textId="77777777" w:rsidTr="00BC34C3">
      <w:trPr>
        <w:trHeight w:val="284"/>
        <w:jc w:val="center"/>
      </w:trPr>
      <w:tc>
        <w:tcPr>
          <w:tcW w:w="4587" w:type="pct"/>
          <w:shd w:val="clear" w:color="auto" w:fill="auto"/>
          <w:vAlign w:val="center"/>
        </w:tcPr>
        <w:p w14:paraId="21582184" w14:textId="2101C7D5" w:rsidR="001745FA" w:rsidRPr="00FD5BDB" w:rsidRDefault="001A18F9" w:rsidP="003D04EE">
          <w:pPr>
            <w:pStyle w:val="Footer"/>
            <w:tabs>
              <w:tab w:val="right" w:pos="7938"/>
            </w:tabs>
            <w:spacing w:after="0" w:line="240" w:lineRule="auto"/>
            <w:jc w:val="both"/>
            <w:rPr>
              <w:rFonts w:ascii="Tahoma" w:hAnsi="Tahoma" w:cs="Tahoma"/>
              <w:i w:val="0"/>
              <w:iCs w:val="0"/>
            </w:rPr>
          </w:pPr>
          <w:proofErr w:type="spellStart"/>
          <w:r>
            <w:rPr>
              <w:rFonts w:ascii="Tahoma" w:hAnsi="Tahoma"/>
              <w:i w:val="0"/>
            </w:rPr>
            <w:t>Indikator</w:t>
          </w:r>
          <w:proofErr w:type="spellEnd"/>
          <w:r>
            <w:rPr>
              <w:rFonts w:ascii="Tahoma" w:hAnsi="Tahoma"/>
              <w:i w:val="0"/>
            </w:rPr>
            <w:t>, journal Vol.6 No. 1, January 2022</w:t>
          </w:r>
        </w:p>
      </w:tc>
      <w:tc>
        <w:tcPr>
          <w:tcW w:w="413" w:type="pct"/>
          <w:shd w:val="clear" w:color="auto" w:fill="auto"/>
          <w:vAlign w:val="center"/>
        </w:tcPr>
        <w:p w14:paraId="4D0A98CC" w14:textId="2F0A375B" w:rsidR="001745FA" w:rsidRPr="00FD5BDB" w:rsidRDefault="001745FA" w:rsidP="003D04EE">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623F92">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14:paraId="24DB0202" w14:textId="77777777" w:rsidR="001745FA" w:rsidRPr="00750B04" w:rsidRDefault="001745FA" w:rsidP="003D04EE">
    <w:pPr>
      <w:pStyle w:val="Footer"/>
      <w:tabs>
        <w:tab w:val="right" w:pos="7938"/>
      </w:tabs>
      <w:jc w:val="both"/>
      <w:rPr>
        <w:i w:val="0"/>
        <w:i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8E3E1" w14:textId="77777777" w:rsidR="00451D69" w:rsidRDefault="00451D69">
      <w:pPr>
        <w:spacing w:after="0" w:line="240" w:lineRule="auto"/>
      </w:pPr>
      <w:r>
        <w:separator/>
      </w:r>
    </w:p>
  </w:footnote>
  <w:footnote w:type="continuationSeparator" w:id="0">
    <w:p w14:paraId="45D11B1C" w14:textId="77777777" w:rsidR="00451D69" w:rsidRDefault="00451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1745FA" w14:paraId="3A6094C5" w14:textId="77777777" w:rsidTr="008D6EC4">
      <w:trPr>
        <w:trHeight w:val="284"/>
        <w:jc w:val="center"/>
      </w:trPr>
      <w:tc>
        <w:tcPr>
          <w:tcW w:w="4063" w:type="pct"/>
          <w:vAlign w:val="center"/>
        </w:tcPr>
        <w:sdt>
          <w:sdtPr>
            <w:rPr>
              <w:rFonts w:ascii="Tahoma" w:hAnsi="Tahoma" w:cs="Tahoma"/>
              <w:i w:val="0"/>
              <w:iCs w:val="0"/>
            </w:rPr>
            <w:id w:val="-817573846"/>
            <w:docPartObj>
              <w:docPartGallery w:val="Page Numbers (Bottom of Page)"/>
              <w:docPartUnique/>
            </w:docPartObj>
          </w:sdtPr>
          <w:sdtEndPr>
            <w:rPr>
              <w:b/>
              <w:bCs/>
              <w:noProof/>
            </w:rPr>
          </w:sdtEndPr>
          <w:sdtContent>
            <w:p w14:paraId="69F01F6A" w14:textId="7F95025B" w:rsidR="001745FA" w:rsidRPr="00EF7480" w:rsidRDefault="001745FA" w:rsidP="00D50408">
              <w:pPr>
                <w:pStyle w:val="Footer"/>
                <w:tabs>
                  <w:tab w:val="center" w:pos="1171"/>
                  <w:tab w:val="right" w:pos="7260"/>
                </w:tabs>
                <w:spacing w:after="0" w:line="240" w:lineRule="auto"/>
                <w:jc w:val="both"/>
                <w:rPr>
                  <w:rFonts w:ascii="Tahoma" w:hAnsi="Tahoma" w:cs="Tahoma"/>
                  <w:i w:val="0"/>
                  <w:iCs w:val="0"/>
                </w:rPr>
              </w:pPr>
              <w:r>
                <w:tab/>
              </w:r>
              <w:r w:rsidR="008D6EC4">
                <w:rPr>
                  <w:noProof/>
                  <w:lang w:bidi="ar-SA"/>
                </w:rPr>
                <w:drawing>
                  <wp:inline distT="0" distB="0" distL="0" distR="0" wp14:anchorId="2204FE48" wp14:editId="349BC821">
                    <wp:extent cx="1694815" cy="42672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426720"/>
                            </a:xfrm>
                            <a:prstGeom prst="rect">
                              <a:avLst/>
                            </a:prstGeom>
                            <a:noFill/>
                          </pic:spPr>
                        </pic:pic>
                      </a:graphicData>
                    </a:graphic>
                  </wp:inline>
                </w:drawing>
              </w:r>
              <w:r w:rsidR="008D6EC4" w:rsidRPr="00F46C80">
                <w:rPr>
                  <w:rFonts w:ascii="Arial Narrow" w:hAnsi="Arial Narrow" w:cs="Tahoma"/>
                  <w:b/>
                  <w:i w:val="0"/>
                  <w:iCs w:val="0"/>
                  <w:lang w:val="id-ID"/>
                </w:rPr>
                <w:t xml:space="preserve"> </w:t>
              </w:r>
              <w:r w:rsidR="008D6EC4">
                <w:rPr>
                  <w:rFonts w:ascii="Arial Narrow" w:hAnsi="Arial Narrow" w:cs="Tahoma"/>
                  <w:b/>
                  <w:i w:val="0"/>
                  <w:iCs w:val="0"/>
                </w:rPr>
                <w:t xml:space="preserve">   </w:t>
              </w:r>
              <w:r w:rsidR="008D6EC4" w:rsidRPr="00F46C80">
                <w:rPr>
                  <w:rFonts w:ascii="Arial Narrow" w:hAnsi="Arial Narrow" w:cs="Tahoma"/>
                  <w:b/>
                  <w:i w:val="0"/>
                  <w:iCs w:val="0"/>
                  <w:lang w:val="id-ID"/>
                </w:rPr>
                <w:t>Vol</w:t>
              </w:r>
              <w:r w:rsidR="008D6EC4">
                <w:rPr>
                  <w:rFonts w:ascii="Arial Narrow" w:hAnsi="Arial Narrow" w:cs="Tahoma"/>
                  <w:b/>
                  <w:i w:val="0"/>
                  <w:iCs w:val="0"/>
                </w:rPr>
                <w:t>.</w:t>
              </w:r>
              <w:r w:rsidR="008D6EC4">
                <w:rPr>
                  <w:rFonts w:ascii="Arial Narrow" w:hAnsi="Arial Narrow" w:cs="Tahoma"/>
                  <w:b/>
                  <w:i w:val="0"/>
                  <w:iCs w:val="0"/>
                  <w:lang w:val="id-ID"/>
                </w:rPr>
                <w:t xml:space="preserve"> </w:t>
              </w:r>
              <w:r w:rsidR="008D6EC4">
                <w:rPr>
                  <w:rFonts w:ascii="Arial Narrow" w:hAnsi="Arial Narrow" w:cs="Tahoma"/>
                  <w:b/>
                  <w:i w:val="0"/>
                  <w:iCs w:val="0"/>
                </w:rPr>
                <w:t>6</w:t>
              </w:r>
              <w:r w:rsidR="008D6EC4" w:rsidRPr="00F46C80">
                <w:rPr>
                  <w:rFonts w:ascii="Arial Narrow" w:hAnsi="Arial Narrow" w:cs="Tahoma"/>
                  <w:b/>
                  <w:i w:val="0"/>
                  <w:iCs w:val="0"/>
                  <w:lang w:val="id-ID"/>
                </w:rPr>
                <w:t xml:space="preserve"> No</w:t>
              </w:r>
              <w:r w:rsidR="008D6EC4">
                <w:rPr>
                  <w:rFonts w:ascii="Arial Narrow" w:hAnsi="Arial Narrow" w:cs="Tahoma"/>
                  <w:b/>
                  <w:i w:val="0"/>
                  <w:iCs w:val="0"/>
                </w:rPr>
                <w:t>.</w:t>
              </w:r>
              <w:r w:rsidR="008D6EC4" w:rsidRPr="00F46C80">
                <w:rPr>
                  <w:rFonts w:ascii="Arial Narrow" w:hAnsi="Arial Narrow" w:cs="Tahoma"/>
                  <w:b/>
                  <w:i w:val="0"/>
                  <w:iCs w:val="0"/>
                  <w:lang w:val="id-ID"/>
                </w:rPr>
                <w:t xml:space="preserve"> </w:t>
              </w:r>
              <w:r w:rsidR="008D6EC4">
                <w:rPr>
                  <w:rFonts w:ascii="Arial Narrow" w:hAnsi="Arial Narrow" w:cs="Tahoma"/>
                  <w:b/>
                  <w:i w:val="0"/>
                  <w:iCs w:val="0"/>
                </w:rPr>
                <w:t>1</w:t>
              </w:r>
              <w:r w:rsidR="008D6EC4">
                <w:rPr>
                  <w:rFonts w:ascii="Arial Narrow" w:hAnsi="Arial Narrow" w:cs="Tahoma"/>
                  <w:b/>
                  <w:i w:val="0"/>
                  <w:iCs w:val="0"/>
                  <w:lang w:val="id-ID"/>
                </w:rPr>
                <w:t xml:space="preserve"> | </w:t>
              </w:r>
              <w:r w:rsidR="008D6EC4">
                <w:rPr>
                  <w:rFonts w:ascii="Arial Narrow" w:hAnsi="Arial Narrow" w:cs="Tahoma"/>
                  <w:b/>
                  <w:i w:val="0"/>
                  <w:iCs w:val="0"/>
                </w:rPr>
                <w:t xml:space="preserve">January </w:t>
              </w:r>
              <w:r w:rsidR="008D6EC4" w:rsidRPr="00F46C80">
                <w:rPr>
                  <w:rFonts w:ascii="Arial Narrow" w:hAnsi="Arial Narrow" w:cs="Tahoma"/>
                  <w:b/>
                  <w:i w:val="0"/>
                  <w:iCs w:val="0"/>
                  <w:lang w:val="id-ID"/>
                </w:rPr>
                <w:t xml:space="preserve"> 20</w:t>
              </w:r>
              <w:r w:rsidR="008D6EC4">
                <w:rPr>
                  <w:rFonts w:ascii="Arial Narrow" w:hAnsi="Arial Narrow" w:cs="Tahoma"/>
                  <w:b/>
                  <w:i w:val="0"/>
                  <w:iCs w:val="0"/>
                </w:rPr>
                <w:t>2</w:t>
              </w:r>
              <w:r w:rsidR="001A18F9">
                <w:rPr>
                  <w:rFonts w:ascii="Arial Narrow" w:hAnsi="Arial Narrow" w:cs="Tahoma"/>
                  <w:b/>
                  <w:i w:val="0"/>
                  <w:iCs w:val="0"/>
                </w:rPr>
                <w:t>2</w:t>
              </w:r>
            </w:p>
          </w:sdtContent>
        </w:sdt>
      </w:tc>
      <w:tc>
        <w:tcPr>
          <w:tcW w:w="937" w:type="pct"/>
          <w:vAlign w:val="center"/>
        </w:tcPr>
        <w:sdt>
          <w:sdtPr>
            <w:rPr>
              <w:rFonts w:ascii="Tahoma" w:hAnsi="Tahoma" w:cs="Tahoma"/>
              <w:i w:val="0"/>
              <w:iCs w:val="0"/>
              <w:sz w:val="24"/>
              <w:szCs w:val="24"/>
            </w:rPr>
            <w:id w:val="1184324895"/>
            <w:docPartObj>
              <w:docPartGallery w:val="Page Numbers (Bottom of Page)"/>
              <w:docPartUnique/>
            </w:docPartObj>
          </w:sdtPr>
          <w:sdtEndPr>
            <w:rPr>
              <w:b/>
              <w:bCs/>
              <w:noProof/>
            </w:rPr>
          </w:sdtEndPr>
          <w:sdtContent>
            <w:p w14:paraId="3BF21C1F" w14:textId="16534EF0" w:rsidR="001745FA" w:rsidRDefault="001745FA" w:rsidP="00D50408">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001A18F9" w:rsidRPr="001A18F9">
                <w:rPr>
                  <w:rFonts w:ascii="Arial Narrow" w:hAnsi="Arial Narrow"/>
                  <w:b/>
                  <w:i w:val="0"/>
                </w:rPr>
                <w:t>2598-6783</w:t>
              </w:r>
            </w:p>
            <w:p w14:paraId="522D9958" w14:textId="3AE82C6D" w:rsidR="001745FA" w:rsidRPr="00EF7480" w:rsidRDefault="001745FA" w:rsidP="00D50408">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w:t>
              </w:r>
              <w:r w:rsidR="001A18F9" w:rsidRPr="001A18F9">
                <w:rPr>
                  <w:rFonts w:ascii="Arial Narrow" w:hAnsi="Arial Narrow"/>
                  <w:b/>
                  <w:i w:val="0"/>
                </w:rPr>
                <w:t xml:space="preserve"> 2598-4888</w:t>
              </w:r>
            </w:p>
          </w:sdtContent>
        </w:sdt>
      </w:tc>
    </w:tr>
  </w:tbl>
  <w:p w14:paraId="26380E34" w14:textId="77777777" w:rsidR="001745FA" w:rsidRPr="007F4CA7" w:rsidRDefault="001745FA" w:rsidP="00D50408">
    <w:pPr>
      <w:pStyle w:val="Footer"/>
      <w:tabs>
        <w:tab w:val="right" w:pos="7938"/>
      </w:tabs>
      <w:jc w:val="both"/>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Look w:val="04A0" w:firstRow="1" w:lastRow="0" w:firstColumn="1" w:lastColumn="0" w:noHBand="0" w:noVBand="1"/>
    </w:tblPr>
    <w:tblGrid>
      <w:gridCol w:w="7362"/>
      <w:gridCol w:w="1698"/>
    </w:tblGrid>
    <w:tr w:rsidR="001745FA" w14:paraId="392A91C4" w14:textId="77777777" w:rsidTr="007F4CA7">
      <w:trPr>
        <w:jc w:val="center"/>
      </w:trPr>
      <w:tc>
        <w:tcPr>
          <w:tcW w:w="4063" w:type="pct"/>
          <w:vAlign w:val="center"/>
        </w:tcPr>
        <w:sdt>
          <w:sdtPr>
            <w:rPr>
              <w:rFonts w:ascii="Tahoma" w:hAnsi="Tahoma" w:cs="Tahoma"/>
              <w:i w:val="0"/>
              <w:iCs w:val="0"/>
            </w:rPr>
            <w:id w:val="996773282"/>
            <w:docPartObj>
              <w:docPartGallery w:val="Page Numbers (Bottom of Page)"/>
              <w:docPartUnique/>
            </w:docPartObj>
          </w:sdtPr>
          <w:sdtEndPr>
            <w:rPr>
              <w:b/>
              <w:bCs/>
              <w:noProof/>
            </w:rPr>
          </w:sdtEndPr>
          <w:sdtContent>
            <w:p w14:paraId="5A4A833F" w14:textId="2F9B81ED" w:rsidR="001745FA" w:rsidRPr="00EF7480" w:rsidRDefault="001745FA" w:rsidP="00D50408">
              <w:pPr>
                <w:pStyle w:val="Footer"/>
                <w:tabs>
                  <w:tab w:val="center" w:pos="1171"/>
                  <w:tab w:val="right" w:pos="7260"/>
                </w:tabs>
                <w:spacing w:after="0" w:line="240" w:lineRule="auto"/>
                <w:jc w:val="both"/>
                <w:rPr>
                  <w:rFonts w:ascii="Tahoma" w:hAnsi="Tahoma" w:cs="Tahoma"/>
                  <w:i w:val="0"/>
                  <w:iCs w:val="0"/>
                </w:rPr>
              </w:pPr>
              <w:r>
                <w:tab/>
              </w:r>
              <w:r w:rsidR="007F4CA7">
                <w:rPr>
                  <w:noProof/>
                  <w:lang w:bidi="ar-SA"/>
                </w:rPr>
                <w:drawing>
                  <wp:inline distT="0" distB="0" distL="0" distR="0" wp14:anchorId="7BD439CF" wp14:editId="17BABCCD">
                    <wp:extent cx="1694815" cy="42672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426720"/>
                            </a:xfrm>
                            <a:prstGeom prst="rect">
                              <a:avLst/>
                            </a:prstGeom>
                            <a:noFill/>
                          </pic:spPr>
                        </pic:pic>
                      </a:graphicData>
                    </a:graphic>
                  </wp:inline>
                </w:drawing>
              </w:r>
              <w:r w:rsidR="007F4CA7">
                <w:t xml:space="preserve">   </w:t>
              </w:r>
              <w:r w:rsidR="007F4CA7" w:rsidRPr="00F46C80">
                <w:rPr>
                  <w:rFonts w:ascii="Arial Narrow" w:hAnsi="Arial Narrow" w:cs="Tahoma"/>
                  <w:b/>
                  <w:i w:val="0"/>
                  <w:iCs w:val="0"/>
                  <w:lang w:val="id-ID"/>
                </w:rPr>
                <w:t>Vol</w:t>
              </w:r>
              <w:r w:rsidR="007F4CA7">
                <w:rPr>
                  <w:rFonts w:ascii="Arial Narrow" w:hAnsi="Arial Narrow" w:cs="Tahoma"/>
                  <w:b/>
                  <w:i w:val="0"/>
                  <w:iCs w:val="0"/>
                </w:rPr>
                <w:t>.</w:t>
              </w:r>
              <w:r w:rsidR="007F4CA7">
                <w:rPr>
                  <w:rFonts w:ascii="Arial Narrow" w:hAnsi="Arial Narrow" w:cs="Tahoma"/>
                  <w:b/>
                  <w:i w:val="0"/>
                  <w:iCs w:val="0"/>
                  <w:lang w:val="id-ID"/>
                </w:rPr>
                <w:t xml:space="preserve"> </w:t>
              </w:r>
              <w:r w:rsidR="007F4CA7">
                <w:rPr>
                  <w:rFonts w:ascii="Arial Narrow" w:hAnsi="Arial Narrow" w:cs="Tahoma"/>
                  <w:b/>
                  <w:i w:val="0"/>
                  <w:iCs w:val="0"/>
                </w:rPr>
                <w:t>6</w:t>
              </w:r>
              <w:r w:rsidR="007F4CA7" w:rsidRPr="00F46C80">
                <w:rPr>
                  <w:rFonts w:ascii="Arial Narrow" w:hAnsi="Arial Narrow" w:cs="Tahoma"/>
                  <w:b/>
                  <w:i w:val="0"/>
                  <w:iCs w:val="0"/>
                  <w:lang w:val="id-ID"/>
                </w:rPr>
                <w:t xml:space="preserve"> No</w:t>
              </w:r>
              <w:r w:rsidR="007F4CA7">
                <w:rPr>
                  <w:rFonts w:ascii="Arial Narrow" w:hAnsi="Arial Narrow" w:cs="Tahoma"/>
                  <w:b/>
                  <w:i w:val="0"/>
                  <w:iCs w:val="0"/>
                </w:rPr>
                <w:t>.</w:t>
              </w:r>
              <w:r w:rsidR="007F4CA7" w:rsidRPr="00F46C80">
                <w:rPr>
                  <w:rFonts w:ascii="Arial Narrow" w:hAnsi="Arial Narrow" w:cs="Tahoma"/>
                  <w:b/>
                  <w:i w:val="0"/>
                  <w:iCs w:val="0"/>
                  <w:lang w:val="id-ID"/>
                </w:rPr>
                <w:t xml:space="preserve"> </w:t>
              </w:r>
              <w:r w:rsidR="007F4CA7">
                <w:rPr>
                  <w:rFonts w:ascii="Arial Narrow" w:hAnsi="Arial Narrow" w:cs="Tahoma"/>
                  <w:b/>
                  <w:i w:val="0"/>
                  <w:iCs w:val="0"/>
                </w:rPr>
                <w:t>1</w:t>
              </w:r>
              <w:r w:rsidR="007F4CA7">
                <w:rPr>
                  <w:rFonts w:ascii="Arial Narrow" w:hAnsi="Arial Narrow" w:cs="Tahoma"/>
                  <w:b/>
                  <w:i w:val="0"/>
                  <w:iCs w:val="0"/>
                  <w:lang w:val="id-ID"/>
                </w:rPr>
                <w:t xml:space="preserve"> | </w:t>
              </w:r>
              <w:r w:rsidR="007F4CA7">
                <w:rPr>
                  <w:rFonts w:ascii="Arial Narrow" w:hAnsi="Arial Narrow" w:cs="Tahoma"/>
                  <w:b/>
                  <w:i w:val="0"/>
                  <w:iCs w:val="0"/>
                </w:rPr>
                <w:t xml:space="preserve">January </w:t>
              </w:r>
              <w:r w:rsidR="007F4CA7" w:rsidRPr="00F46C80">
                <w:rPr>
                  <w:rFonts w:ascii="Arial Narrow" w:hAnsi="Arial Narrow" w:cs="Tahoma"/>
                  <w:b/>
                  <w:i w:val="0"/>
                  <w:iCs w:val="0"/>
                  <w:lang w:val="id-ID"/>
                </w:rPr>
                <w:t xml:space="preserve"> 20</w:t>
              </w:r>
              <w:r w:rsidR="007F4CA7">
                <w:rPr>
                  <w:rFonts w:ascii="Arial Narrow" w:hAnsi="Arial Narrow" w:cs="Tahoma"/>
                  <w:b/>
                  <w:i w:val="0"/>
                  <w:iCs w:val="0"/>
                </w:rPr>
                <w:t>22</w:t>
              </w:r>
            </w:p>
          </w:sdtContent>
        </w:sdt>
      </w:tc>
      <w:tc>
        <w:tcPr>
          <w:tcW w:w="937" w:type="pct"/>
          <w:vAlign w:val="center"/>
        </w:tcPr>
        <w:sdt>
          <w:sdtPr>
            <w:rPr>
              <w:rFonts w:ascii="Tahoma" w:hAnsi="Tahoma" w:cs="Tahoma"/>
              <w:i w:val="0"/>
              <w:iCs w:val="0"/>
              <w:sz w:val="24"/>
              <w:szCs w:val="24"/>
            </w:rPr>
            <w:id w:val="-579681514"/>
            <w:docPartObj>
              <w:docPartGallery w:val="Page Numbers (Bottom of Page)"/>
              <w:docPartUnique/>
            </w:docPartObj>
          </w:sdtPr>
          <w:sdtEndPr>
            <w:rPr>
              <w:b/>
              <w:bCs/>
              <w:noProof/>
            </w:rPr>
          </w:sdtEndPr>
          <w:sdtContent>
            <w:sdt>
              <w:sdtPr>
                <w:rPr>
                  <w:rFonts w:ascii="Tahoma" w:hAnsi="Tahoma" w:cs="Tahoma"/>
                  <w:i w:val="0"/>
                  <w:iCs w:val="0"/>
                  <w:sz w:val="24"/>
                  <w:szCs w:val="24"/>
                </w:rPr>
                <w:id w:val="-723757241"/>
                <w:docPartObj>
                  <w:docPartGallery w:val="Page Numbers (Bottom of Page)"/>
                  <w:docPartUnique/>
                </w:docPartObj>
              </w:sdtPr>
              <w:sdtEndPr>
                <w:rPr>
                  <w:b/>
                  <w:bCs/>
                  <w:noProof/>
                </w:rPr>
              </w:sdtEndPr>
              <w:sdtContent>
                <w:p w14:paraId="4A7AFB9F" w14:textId="77777777" w:rsidR="001A18F9" w:rsidRDefault="001A18F9" w:rsidP="001A18F9">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Pr="001A18F9">
                    <w:rPr>
                      <w:rFonts w:ascii="Arial Narrow" w:hAnsi="Arial Narrow"/>
                      <w:b/>
                      <w:i w:val="0"/>
                    </w:rPr>
                    <w:t>2598-6783</w:t>
                  </w:r>
                </w:p>
                <w:p w14:paraId="68F925C3" w14:textId="25CEBFE4" w:rsidR="001745FA" w:rsidRPr="001A18F9" w:rsidRDefault="001A18F9" w:rsidP="001A18F9">
                  <w:pPr>
                    <w:pStyle w:val="Footer"/>
                    <w:tabs>
                      <w:tab w:val="right" w:pos="7938"/>
                    </w:tabs>
                    <w:spacing w:after="0" w:line="240" w:lineRule="auto"/>
                    <w:jc w:val="right"/>
                    <w:rPr>
                      <w:rFonts w:ascii="Tahoma" w:hAnsi="Tahoma" w:cs="Tahoma"/>
                      <w:b/>
                      <w:bCs/>
                      <w:i w:val="0"/>
                      <w:iCs w:val="0"/>
                      <w:noProof/>
                      <w:sz w:val="24"/>
                      <w:szCs w:val="24"/>
                    </w:rPr>
                  </w:pPr>
                  <w:r w:rsidRPr="007B70B1">
                    <w:rPr>
                      <w:rFonts w:ascii="Arial Narrow" w:hAnsi="Arial Narrow"/>
                      <w:b/>
                      <w:i w:val="0"/>
                    </w:rPr>
                    <w:t>e-ISSN:</w:t>
                  </w:r>
                  <w:r w:rsidRPr="001A18F9">
                    <w:rPr>
                      <w:rFonts w:ascii="Arial Narrow" w:hAnsi="Arial Narrow"/>
                      <w:b/>
                      <w:i w:val="0"/>
                    </w:rPr>
                    <w:t xml:space="preserve"> 2598-4888</w:t>
                  </w:r>
                </w:p>
              </w:sdtContent>
            </w:sdt>
          </w:sdtContent>
        </w:sdt>
      </w:tc>
    </w:tr>
  </w:tbl>
  <w:p w14:paraId="3126E392" w14:textId="77777777" w:rsidR="001745FA" w:rsidRPr="007F4CA7" w:rsidRDefault="001745FA" w:rsidP="00D50408">
    <w:pPr>
      <w:pStyle w:val="Footer"/>
      <w:tabs>
        <w:tab w:val="right" w:pos="7938"/>
      </w:tabs>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Look w:val="04A0" w:firstRow="1" w:lastRow="0" w:firstColumn="1" w:lastColumn="0" w:noHBand="0" w:noVBand="1"/>
    </w:tblPr>
    <w:tblGrid>
      <w:gridCol w:w="7362"/>
      <w:gridCol w:w="1698"/>
    </w:tblGrid>
    <w:tr w:rsidR="001745FA" w14:paraId="0BEF758D" w14:textId="77777777" w:rsidTr="00BC34C3">
      <w:trPr>
        <w:trHeight w:val="699"/>
        <w:jc w:val="center"/>
      </w:trPr>
      <w:tc>
        <w:tcPr>
          <w:tcW w:w="4063" w:type="pct"/>
          <w:vAlign w:val="center"/>
        </w:tcPr>
        <w:sdt>
          <w:sdtPr>
            <w:rPr>
              <w:rFonts w:ascii="Tahoma" w:hAnsi="Tahoma" w:cs="Tahoma"/>
              <w:i w:val="0"/>
              <w:iCs w:val="0"/>
            </w:rPr>
            <w:id w:val="-1354027274"/>
            <w:docPartObj>
              <w:docPartGallery w:val="Page Numbers (Bottom of Page)"/>
              <w:docPartUnique/>
            </w:docPartObj>
          </w:sdtPr>
          <w:sdtEndPr>
            <w:rPr>
              <w:b/>
              <w:bCs/>
              <w:noProof/>
            </w:rPr>
          </w:sdtEndPr>
          <w:sdtContent>
            <w:p w14:paraId="4A2FA6CF" w14:textId="24FC0535" w:rsidR="001745FA" w:rsidRPr="00E92575" w:rsidRDefault="001745FA" w:rsidP="00E92575">
              <w:pPr>
                <w:pStyle w:val="Header"/>
                <w:tabs>
                  <w:tab w:val="clear" w:pos="4513"/>
                  <w:tab w:val="clear" w:pos="9026"/>
                  <w:tab w:val="center" w:pos="1171"/>
                  <w:tab w:val="right" w:pos="9070"/>
                </w:tabs>
                <w:spacing w:after="0" w:line="240" w:lineRule="auto"/>
                <w:jc w:val="both"/>
              </w:pPr>
              <w:r>
                <w:tab/>
              </w:r>
              <w:r w:rsidR="00E92575">
                <w:rPr>
                  <w:noProof/>
                  <w:lang w:bidi="ar-SA"/>
                </w:rPr>
                <w:drawing>
                  <wp:inline distT="0" distB="0" distL="0" distR="0" wp14:anchorId="4E8E5F0F" wp14:editId="46E19DDD">
                    <wp:extent cx="1694815" cy="42672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426720"/>
                            </a:xfrm>
                            <a:prstGeom prst="rect">
                              <a:avLst/>
                            </a:prstGeom>
                            <a:noFill/>
                          </pic:spPr>
                        </pic:pic>
                      </a:graphicData>
                    </a:graphic>
                  </wp:inline>
                </w:drawing>
              </w:r>
              <w:r w:rsidR="00BC34C3">
                <w:t xml:space="preserve">   </w:t>
              </w:r>
              <w:r w:rsidR="00BC34C3" w:rsidRPr="00F46C80">
                <w:rPr>
                  <w:rFonts w:ascii="Arial Narrow" w:hAnsi="Arial Narrow" w:cs="Tahoma"/>
                  <w:b/>
                  <w:i w:val="0"/>
                  <w:iCs w:val="0"/>
                  <w:lang w:val="id-ID"/>
                </w:rPr>
                <w:t>Vol</w:t>
              </w:r>
              <w:r w:rsidR="00BC34C3">
                <w:rPr>
                  <w:rFonts w:ascii="Arial Narrow" w:hAnsi="Arial Narrow" w:cs="Tahoma"/>
                  <w:b/>
                  <w:i w:val="0"/>
                  <w:iCs w:val="0"/>
                </w:rPr>
                <w:t>.</w:t>
              </w:r>
              <w:r w:rsidR="00BC34C3">
                <w:rPr>
                  <w:rFonts w:ascii="Arial Narrow" w:hAnsi="Arial Narrow" w:cs="Tahoma"/>
                  <w:b/>
                  <w:i w:val="0"/>
                  <w:iCs w:val="0"/>
                  <w:lang w:val="id-ID"/>
                </w:rPr>
                <w:t xml:space="preserve"> </w:t>
              </w:r>
              <w:r w:rsidR="00BC34C3">
                <w:rPr>
                  <w:rFonts w:ascii="Arial Narrow" w:hAnsi="Arial Narrow" w:cs="Tahoma"/>
                  <w:b/>
                  <w:i w:val="0"/>
                  <w:iCs w:val="0"/>
                </w:rPr>
                <w:t>6</w:t>
              </w:r>
              <w:r w:rsidR="00BC34C3" w:rsidRPr="00F46C80">
                <w:rPr>
                  <w:rFonts w:ascii="Arial Narrow" w:hAnsi="Arial Narrow" w:cs="Tahoma"/>
                  <w:b/>
                  <w:i w:val="0"/>
                  <w:iCs w:val="0"/>
                  <w:lang w:val="id-ID"/>
                </w:rPr>
                <w:t xml:space="preserve"> No</w:t>
              </w:r>
              <w:r w:rsidR="00BC34C3">
                <w:rPr>
                  <w:rFonts w:ascii="Arial Narrow" w:hAnsi="Arial Narrow" w:cs="Tahoma"/>
                  <w:b/>
                  <w:i w:val="0"/>
                  <w:iCs w:val="0"/>
                </w:rPr>
                <w:t>.</w:t>
              </w:r>
              <w:r w:rsidR="00BC34C3" w:rsidRPr="00F46C80">
                <w:rPr>
                  <w:rFonts w:ascii="Arial Narrow" w:hAnsi="Arial Narrow" w:cs="Tahoma"/>
                  <w:b/>
                  <w:i w:val="0"/>
                  <w:iCs w:val="0"/>
                  <w:lang w:val="id-ID"/>
                </w:rPr>
                <w:t xml:space="preserve"> </w:t>
              </w:r>
              <w:r w:rsidR="00BC34C3">
                <w:rPr>
                  <w:rFonts w:ascii="Arial Narrow" w:hAnsi="Arial Narrow" w:cs="Tahoma"/>
                  <w:b/>
                  <w:i w:val="0"/>
                  <w:iCs w:val="0"/>
                </w:rPr>
                <w:t>1</w:t>
              </w:r>
              <w:r w:rsidR="00BC34C3">
                <w:rPr>
                  <w:rFonts w:ascii="Arial Narrow" w:hAnsi="Arial Narrow" w:cs="Tahoma"/>
                  <w:b/>
                  <w:i w:val="0"/>
                  <w:iCs w:val="0"/>
                  <w:lang w:val="id-ID"/>
                </w:rPr>
                <w:t xml:space="preserve"> | </w:t>
              </w:r>
              <w:r w:rsidR="00BC34C3" w:rsidRPr="00E80419">
                <w:rPr>
                  <w:rFonts w:ascii="Arial Narrow" w:hAnsi="Arial Narrow" w:cs="Tahoma"/>
                  <w:b/>
                  <w:i w:val="0"/>
                  <w:iCs w:val="0"/>
                </w:rPr>
                <w:t xml:space="preserve">January </w:t>
              </w:r>
              <w:r w:rsidR="00BC34C3" w:rsidRPr="00E80419">
                <w:rPr>
                  <w:rFonts w:ascii="Arial Narrow" w:hAnsi="Arial Narrow" w:cs="Tahoma"/>
                  <w:b/>
                  <w:i w:val="0"/>
                  <w:iCs w:val="0"/>
                  <w:lang w:val="id-ID"/>
                </w:rPr>
                <w:t xml:space="preserve"> 20</w:t>
              </w:r>
              <w:r w:rsidR="00BC34C3" w:rsidRPr="00E80419">
                <w:rPr>
                  <w:rFonts w:ascii="Arial Narrow" w:hAnsi="Arial Narrow" w:cs="Tahoma"/>
                  <w:b/>
                  <w:i w:val="0"/>
                  <w:iCs w:val="0"/>
                </w:rPr>
                <w:t>2</w:t>
              </w:r>
              <w:r w:rsidR="001A18F9" w:rsidRPr="00E80419">
                <w:rPr>
                  <w:rFonts w:ascii="Arial Narrow" w:hAnsi="Arial Narrow" w:cs="Tahoma"/>
                  <w:b/>
                  <w:i w:val="0"/>
                  <w:iCs w:val="0"/>
                </w:rPr>
                <w:t>2</w:t>
              </w:r>
            </w:p>
          </w:sdtContent>
        </w:sdt>
      </w:tc>
      <w:tc>
        <w:tcPr>
          <w:tcW w:w="937" w:type="pct"/>
          <w:vAlign w:val="center"/>
        </w:tcPr>
        <w:sdt>
          <w:sdtPr>
            <w:rPr>
              <w:rFonts w:ascii="Tahoma" w:hAnsi="Tahoma" w:cs="Tahoma"/>
              <w:i w:val="0"/>
              <w:iCs w:val="0"/>
              <w:sz w:val="24"/>
              <w:szCs w:val="24"/>
            </w:rPr>
            <w:id w:val="-167942648"/>
            <w:docPartObj>
              <w:docPartGallery w:val="Page Numbers (Bottom of Page)"/>
              <w:docPartUnique/>
            </w:docPartObj>
          </w:sdtPr>
          <w:sdtEndPr>
            <w:rPr>
              <w:b/>
              <w:bCs/>
              <w:noProof/>
            </w:rPr>
          </w:sdtEndPr>
          <w:sdtContent>
            <w:p w14:paraId="211F41B8" w14:textId="0486B896" w:rsidR="001745FA" w:rsidRDefault="001745FA" w:rsidP="00DF424F">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001A18F9" w:rsidRPr="001A18F9">
                <w:rPr>
                  <w:rFonts w:ascii="Arial Narrow" w:hAnsi="Arial Narrow"/>
                  <w:b/>
                  <w:i w:val="0"/>
                </w:rPr>
                <w:t>2598-6783</w:t>
              </w:r>
              <w:r w:rsidRPr="007B70B1">
                <w:rPr>
                  <w:rFonts w:ascii="Arial Narrow" w:hAnsi="Arial Narrow"/>
                  <w:b/>
                  <w:i w:val="0"/>
                </w:rPr>
                <w:t xml:space="preserve"> </w:t>
              </w:r>
            </w:p>
            <w:p w14:paraId="4729069C" w14:textId="4D4A38C2" w:rsidR="001745FA" w:rsidRPr="00EF7480" w:rsidRDefault="001745FA" w:rsidP="00DF424F">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 xml:space="preserve">e-ISSN: </w:t>
              </w:r>
              <w:r w:rsidR="001A18F9" w:rsidRPr="001A18F9">
                <w:rPr>
                  <w:rFonts w:ascii="Arial Narrow" w:hAnsi="Arial Narrow"/>
                  <w:b/>
                  <w:i w:val="0"/>
                </w:rPr>
                <w:t>2598-4888</w:t>
              </w:r>
            </w:p>
          </w:sdtContent>
        </w:sdt>
      </w:tc>
    </w:tr>
  </w:tbl>
  <w:p w14:paraId="7C7D64C1" w14:textId="77777777" w:rsidR="001745FA" w:rsidRPr="00E92575" w:rsidRDefault="001745FA" w:rsidP="00E92575">
    <w:pPr>
      <w:pStyle w:val="Footer"/>
      <w:tabs>
        <w:tab w:val="right" w:pos="7938"/>
      </w:tabs>
      <w:jc w:val="both"/>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15:restartNumberingAfterBreak="0">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15:restartNumberingAfterBreak="0">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15:restartNumberingAfterBreak="0">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15:restartNumberingAfterBreak="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15:restartNumberingAfterBreak="0">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15:restartNumberingAfterBreak="0">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15:restartNumberingAfterBreak="0">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15:restartNumberingAfterBreak="0">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15:restartNumberingAfterBreak="0">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15:restartNumberingAfterBreak="0">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15:restartNumberingAfterBreak="0">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15:restartNumberingAfterBreak="0">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15:restartNumberingAfterBreak="0">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15:restartNumberingAfterBreak="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15:restartNumberingAfterBreak="0">
    <w:nsid w:val="04642400"/>
    <w:multiLevelType w:val="hybridMultilevel"/>
    <w:tmpl w:val="2FF4EBAE"/>
    <w:lvl w:ilvl="0" w:tplc="9DEAA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1957747"/>
    <w:multiLevelType w:val="hybridMultilevel"/>
    <w:tmpl w:val="334EBF52"/>
    <w:lvl w:ilvl="0" w:tplc="28B651B8">
      <w:start w:val="1"/>
      <w:numFmt w:val="lowerLetter"/>
      <w:lvlText w:val="%1."/>
      <w:lvlJc w:val="left"/>
      <w:pPr>
        <w:ind w:left="1080" w:hanging="360"/>
      </w:pPr>
      <w:rPr>
        <w:rFonts w:ascii="Segoe UI" w:hAnsi="Segoe UI" w:cs="Segoe U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1E62777"/>
    <w:multiLevelType w:val="hybridMultilevel"/>
    <w:tmpl w:val="929CD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6" w15:restartNumberingAfterBreak="0">
    <w:nsid w:val="485934C0"/>
    <w:multiLevelType w:val="hybridMultilevel"/>
    <w:tmpl w:val="3A32041A"/>
    <w:lvl w:ilvl="0" w:tplc="1AEC19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5"/>
  </w:num>
  <w:num w:numId="3">
    <w:abstractNumId w:val="24"/>
  </w:num>
  <w:num w:numId="4">
    <w:abstractNumId w:val="25"/>
  </w:num>
  <w:num w:numId="5">
    <w:abstractNumId w:val="23"/>
  </w:num>
  <w:num w:numId="6">
    <w:abstractNumId w:val="22"/>
  </w:num>
  <w:num w:numId="7">
    <w:abstractNumId w:val="26"/>
  </w:num>
  <w:num w:numId="8">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65B"/>
    <w:rsid w:val="000012D4"/>
    <w:rsid w:val="000019C6"/>
    <w:rsid w:val="000022C9"/>
    <w:rsid w:val="00005085"/>
    <w:rsid w:val="00010A81"/>
    <w:rsid w:val="0001776F"/>
    <w:rsid w:val="000202D6"/>
    <w:rsid w:val="00020611"/>
    <w:rsid w:val="00021B1A"/>
    <w:rsid w:val="00022086"/>
    <w:rsid w:val="000234C1"/>
    <w:rsid w:val="00023A60"/>
    <w:rsid w:val="00033854"/>
    <w:rsid w:val="00033D3B"/>
    <w:rsid w:val="00035519"/>
    <w:rsid w:val="00036133"/>
    <w:rsid w:val="00036A2B"/>
    <w:rsid w:val="000405D2"/>
    <w:rsid w:val="0004126F"/>
    <w:rsid w:val="000426C8"/>
    <w:rsid w:val="0004350D"/>
    <w:rsid w:val="00050439"/>
    <w:rsid w:val="00050B59"/>
    <w:rsid w:val="00051484"/>
    <w:rsid w:val="00055BF7"/>
    <w:rsid w:val="00063E73"/>
    <w:rsid w:val="00065B48"/>
    <w:rsid w:val="00065FAD"/>
    <w:rsid w:val="00067624"/>
    <w:rsid w:val="000711D0"/>
    <w:rsid w:val="0007179B"/>
    <w:rsid w:val="00072C6C"/>
    <w:rsid w:val="00073F22"/>
    <w:rsid w:val="00077797"/>
    <w:rsid w:val="00081140"/>
    <w:rsid w:val="00083960"/>
    <w:rsid w:val="00086A3D"/>
    <w:rsid w:val="00086EB6"/>
    <w:rsid w:val="00087EFF"/>
    <w:rsid w:val="000922D1"/>
    <w:rsid w:val="00095B51"/>
    <w:rsid w:val="00096854"/>
    <w:rsid w:val="000A123C"/>
    <w:rsid w:val="000A6B7D"/>
    <w:rsid w:val="000A7DE1"/>
    <w:rsid w:val="000A7FC2"/>
    <w:rsid w:val="000B00B0"/>
    <w:rsid w:val="000B1BF9"/>
    <w:rsid w:val="000B2D14"/>
    <w:rsid w:val="000C2A6A"/>
    <w:rsid w:val="000C3E7D"/>
    <w:rsid w:val="000C4F78"/>
    <w:rsid w:val="000D7EB9"/>
    <w:rsid w:val="000E4F48"/>
    <w:rsid w:val="000F03B4"/>
    <w:rsid w:val="000F3870"/>
    <w:rsid w:val="000F3D98"/>
    <w:rsid w:val="000F4DEE"/>
    <w:rsid w:val="00102FC7"/>
    <w:rsid w:val="00106191"/>
    <w:rsid w:val="00110054"/>
    <w:rsid w:val="00110BDE"/>
    <w:rsid w:val="0011125C"/>
    <w:rsid w:val="00113416"/>
    <w:rsid w:val="00113FE5"/>
    <w:rsid w:val="00114875"/>
    <w:rsid w:val="001173F2"/>
    <w:rsid w:val="00124A6E"/>
    <w:rsid w:val="00127046"/>
    <w:rsid w:val="00136B06"/>
    <w:rsid w:val="00137AFC"/>
    <w:rsid w:val="00141B33"/>
    <w:rsid w:val="00145302"/>
    <w:rsid w:val="00147305"/>
    <w:rsid w:val="001532AD"/>
    <w:rsid w:val="00155D5C"/>
    <w:rsid w:val="001745FA"/>
    <w:rsid w:val="00176658"/>
    <w:rsid w:val="00177799"/>
    <w:rsid w:val="001804E4"/>
    <w:rsid w:val="001816EE"/>
    <w:rsid w:val="001936B7"/>
    <w:rsid w:val="00193F21"/>
    <w:rsid w:val="00196C2F"/>
    <w:rsid w:val="001A18F9"/>
    <w:rsid w:val="001B3357"/>
    <w:rsid w:val="001B453F"/>
    <w:rsid w:val="001B4DE4"/>
    <w:rsid w:val="001C6BBE"/>
    <w:rsid w:val="001C7693"/>
    <w:rsid w:val="001C7CA1"/>
    <w:rsid w:val="001E4A6A"/>
    <w:rsid w:val="001F0084"/>
    <w:rsid w:val="0021047B"/>
    <w:rsid w:val="002106D9"/>
    <w:rsid w:val="00214A9A"/>
    <w:rsid w:val="00217FAE"/>
    <w:rsid w:val="0023054B"/>
    <w:rsid w:val="0024017D"/>
    <w:rsid w:val="00241F80"/>
    <w:rsid w:val="002527E7"/>
    <w:rsid w:val="00256356"/>
    <w:rsid w:val="002570F1"/>
    <w:rsid w:val="0026049F"/>
    <w:rsid w:val="00260DCD"/>
    <w:rsid w:val="00264282"/>
    <w:rsid w:val="00271886"/>
    <w:rsid w:val="0027597A"/>
    <w:rsid w:val="002818E5"/>
    <w:rsid w:val="002819F0"/>
    <w:rsid w:val="00282435"/>
    <w:rsid w:val="00286207"/>
    <w:rsid w:val="00293AB6"/>
    <w:rsid w:val="002A71FA"/>
    <w:rsid w:val="002B194A"/>
    <w:rsid w:val="002B74AF"/>
    <w:rsid w:val="002C0037"/>
    <w:rsid w:val="002C3E7C"/>
    <w:rsid w:val="002C402F"/>
    <w:rsid w:val="002D080C"/>
    <w:rsid w:val="002D5C52"/>
    <w:rsid w:val="002E26CC"/>
    <w:rsid w:val="002E592C"/>
    <w:rsid w:val="002F0841"/>
    <w:rsid w:val="002F2064"/>
    <w:rsid w:val="002F3EB0"/>
    <w:rsid w:val="003024A8"/>
    <w:rsid w:val="00306030"/>
    <w:rsid w:val="0030623E"/>
    <w:rsid w:val="00306405"/>
    <w:rsid w:val="00306B8E"/>
    <w:rsid w:val="00313CEB"/>
    <w:rsid w:val="00314524"/>
    <w:rsid w:val="0031528F"/>
    <w:rsid w:val="00323594"/>
    <w:rsid w:val="00335EFA"/>
    <w:rsid w:val="00336827"/>
    <w:rsid w:val="003374BE"/>
    <w:rsid w:val="00341689"/>
    <w:rsid w:val="0035708A"/>
    <w:rsid w:val="00360B28"/>
    <w:rsid w:val="00367A6D"/>
    <w:rsid w:val="00367C80"/>
    <w:rsid w:val="003712A6"/>
    <w:rsid w:val="00380B3F"/>
    <w:rsid w:val="00382582"/>
    <w:rsid w:val="00386C14"/>
    <w:rsid w:val="00387F4C"/>
    <w:rsid w:val="003913B1"/>
    <w:rsid w:val="003925BF"/>
    <w:rsid w:val="00394770"/>
    <w:rsid w:val="003961BA"/>
    <w:rsid w:val="003A0DA7"/>
    <w:rsid w:val="003A218F"/>
    <w:rsid w:val="003A516E"/>
    <w:rsid w:val="003A5234"/>
    <w:rsid w:val="003A657E"/>
    <w:rsid w:val="003C0440"/>
    <w:rsid w:val="003C1163"/>
    <w:rsid w:val="003C11BF"/>
    <w:rsid w:val="003C292F"/>
    <w:rsid w:val="003C6C62"/>
    <w:rsid w:val="003D04EE"/>
    <w:rsid w:val="003D3973"/>
    <w:rsid w:val="003D6B56"/>
    <w:rsid w:val="003D705B"/>
    <w:rsid w:val="003E085A"/>
    <w:rsid w:val="003E2C71"/>
    <w:rsid w:val="003E6D43"/>
    <w:rsid w:val="003F0611"/>
    <w:rsid w:val="003F3455"/>
    <w:rsid w:val="003F4DB4"/>
    <w:rsid w:val="00401D6D"/>
    <w:rsid w:val="00402E3C"/>
    <w:rsid w:val="0041443F"/>
    <w:rsid w:val="00414559"/>
    <w:rsid w:val="00422203"/>
    <w:rsid w:val="004229A3"/>
    <w:rsid w:val="004231A8"/>
    <w:rsid w:val="0043022B"/>
    <w:rsid w:val="00433EAB"/>
    <w:rsid w:val="00436697"/>
    <w:rsid w:val="00444348"/>
    <w:rsid w:val="00451D2D"/>
    <w:rsid w:val="00451D69"/>
    <w:rsid w:val="00457FFB"/>
    <w:rsid w:val="0046089A"/>
    <w:rsid w:val="004624E3"/>
    <w:rsid w:val="004631BC"/>
    <w:rsid w:val="004635CF"/>
    <w:rsid w:val="00464A19"/>
    <w:rsid w:val="00471CD1"/>
    <w:rsid w:val="00472C88"/>
    <w:rsid w:val="00474DC3"/>
    <w:rsid w:val="004762DE"/>
    <w:rsid w:val="004767A5"/>
    <w:rsid w:val="00481C8F"/>
    <w:rsid w:val="004905C0"/>
    <w:rsid w:val="00490C1F"/>
    <w:rsid w:val="0049114D"/>
    <w:rsid w:val="0049189F"/>
    <w:rsid w:val="00492AC9"/>
    <w:rsid w:val="004955CA"/>
    <w:rsid w:val="004964CF"/>
    <w:rsid w:val="00496B03"/>
    <w:rsid w:val="004A12EB"/>
    <w:rsid w:val="004A2114"/>
    <w:rsid w:val="004B19FC"/>
    <w:rsid w:val="004B433B"/>
    <w:rsid w:val="004B7732"/>
    <w:rsid w:val="004C67D2"/>
    <w:rsid w:val="004D0F6A"/>
    <w:rsid w:val="004D216A"/>
    <w:rsid w:val="004D6955"/>
    <w:rsid w:val="004D779C"/>
    <w:rsid w:val="004E2C75"/>
    <w:rsid w:val="004E3390"/>
    <w:rsid w:val="004E47F5"/>
    <w:rsid w:val="004E6798"/>
    <w:rsid w:val="004F0385"/>
    <w:rsid w:val="005042FC"/>
    <w:rsid w:val="0050684C"/>
    <w:rsid w:val="005108DB"/>
    <w:rsid w:val="00516B50"/>
    <w:rsid w:val="00524A50"/>
    <w:rsid w:val="00526576"/>
    <w:rsid w:val="00527B79"/>
    <w:rsid w:val="00531437"/>
    <w:rsid w:val="00531827"/>
    <w:rsid w:val="0053225F"/>
    <w:rsid w:val="005334E3"/>
    <w:rsid w:val="00540076"/>
    <w:rsid w:val="005468A3"/>
    <w:rsid w:val="0055783C"/>
    <w:rsid w:val="00561F3E"/>
    <w:rsid w:val="005673DF"/>
    <w:rsid w:val="00571D5F"/>
    <w:rsid w:val="00580016"/>
    <w:rsid w:val="005868C8"/>
    <w:rsid w:val="00592F3B"/>
    <w:rsid w:val="005941ED"/>
    <w:rsid w:val="00597B15"/>
    <w:rsid w:val="005A4562"/>
    <w:rsid w:val="005A5AA6"/>
    <w:rsid w:val="005B0E75"/>
    <w:rsid w:val="005B73D0"/>
    <w:rsid w:val="005B7D6C"/>
    <w:rsid w:val="005C61CA"/>
    <w:rsid w:val="005C745D"/>
    <w:rsid w:val="005E0288"/>
    <w:rsid w:val="005E15A6"/>
    <w:rsid w:val="005F57C0"/>
    <w:rsid w:val="005F6440"/>
    <w:rsid w:val="00601923"/>
    <w:rsid w:val="006033DA"/>
    <w:rsid w:val="006143A8"/>
    <w:rsid w:val="0061455A"/>
    <w:rsid w:val="006145C1"/>
    <w:rsid w:val="006205DC"/>
    <w:rsid w:val="006232F7"/>
    <w:rsid w:val="00623F2A"/>
    <w:rsid w:val="00623F92"/>
    <w:rsid w:val="00625C59"/>
    <w:rsid w:val="00626641"/>
    <w:rsid w:val="00626E22"/>
    <w:rsid w:val="006308E9"/>
    <w:rsid w:val="0063241A"/>
    <w:rsid w:val="006328AA"/>
    <w:rsid w:val="0063596D"/>
    <w:rsid w:val="0063640C"/>
    <w:rsid w:val="0064025E"/>
    <w:rsid w:val="00647FAA"/>
    <w:rsid w:val="00655B39"/>
    <w:rsid w:val="0066720D"/>
    <w:rsid w:val="00674992"/>
    <w:rsid w:val="00674C2E"/>
    <w:rsid w:val="00674DC2"/>
    <w:rsid w:val="006778A9"/>
    <w:rsid w:val="00681EC4"/>
    <w:rsid w:val="006837B4"/>
    <w:rsid w:val="006856BD"/>
    <w:rsid w:val="00694498"/>
    <w:rsid w:val="00695A98"/>
    <w:rsid w:val="006A02C8"/>
    <w:rsid w:val="006A08C0"/>
    <w:rsid w:val="006A1AC6"/>
    <w:rsid w:val="006A3703"/>
    <w:rsid w:val="006A4988"/>
    <w:rsid w:val="006A50CF"/>
    <w:rsid w:val="006B08CA"/>
    <w:rsid w:val="006B7ADD"/>
    <w:rsid w:val="006B7C0D"/>
    <w:rsid w:val="006C6FEA"/>
    <w:rsid w:val="006D0A5D"/>
    <w:rsid w:val="006D1435"/>
    <w:rsid w:val="006D2553"/>
    <w:rsid w:val="006D6234"/>
    <w:rsid w:val="006E47DF"/>
    <w:rsid w:val="006F546A"/>
    <w:rsid w:val="00702BF8"/>
    <w:rsid w:val="00710E86"/>
    <w:rsid w:val="00712C3E"/>
    <w:rsid w:val="0071577B"/>
    <w:rsid w:val="007159DB"/>
    <w:rsid w:val="00715E35"/>
    <w:rsid w:val="0071640F"/>
    <w:rsid w:val="007214EB"/>
    <w:rsid w:val="0072190A"/>
    <w:rsid w:val="00722AF2"/>
    <w:rsid w:val="007232CF"/>
    <w:rsid w:val="00725562"/>
    <w:rsid w:val="00726C4B"/>
    <w:rsid w:val="0073256B"/>
    <w:rsid w:val="00733FE8"/>
    <w:rsid w:val="007415FE"/>
    <w:rsid w:val="007429A1"/>
    <w:rsid w:val="00743847"/>
    <w:rsid w:val="007450B1"/>
    <w:rsid w:val="007569DF"/>
    <w:rsid w:val="00757D4E"/>
    <w:rsid w:val="00760DF9"/>
    <w:rsid w:val="0076335E"/>
    <w:rsid w:val="0076680A"/>
    <w:rsid w:val="00775541"/>
    <w:rsid w:val="00790F07"/>
    <w:rsid w:val="0079181F"/>
    <w:rsid w:val="00794EA4"/>
    <w:rsid w:val="007A1E8B"/>
    <w:rsid w:val="007A212C"/>
    <w:rsid w:val="007A2C84"/>
    <w:rsid w:val="007A30A6"/>
    <w:rsid w:val="007A3DB6"/>
    <w:rsid w:val="007A56E2"/>
    <w:rsid w:val="007A746D"/>
    <w:rsid w:val="007B373E"/>
    <w:rsid w:val="007B42C2"/>
    <w:rsid w:val="007B682E"/>
    <w:rsid w:val="007C0356"/>
    <w:rsid w:val="007C4184"/>
    <w:rsid w:val="007C5E26"/>
    <w:rsid w:val="007C6722"/>
    <w:rsid w:val="007D0A0B"/>
    <w:rsid w:val="007E29D2"/>
    <w:rsid w:val="007E2EC8"/>
    <w:rsid w:val="007E3242"/>
    <w:rsid w:val="007E58AC"/>
    <w:rsid w:val="007E5D79"/>
    <w:rsid w:val="007F1157"/>
    <w:rsid w:val="007F1BDA"/>
    <w:rsid w:val="007F4CA7"/>
    <w:rsid w:val="007F55CA"/>
    <w:rsid w:val="008031FB"/>
    <w:rsid w:val="00810422"/>
    <w:rsid w:val="008127EE"/>
    <w:rsid w:val="00814D8A"/>
    <w:rsid w:val="008310E8"/>
    <w:rsid w:val="00836C64"/>
    <w:rsid w:val="008445AF"/>
    <w:rsid w:val="008460EF"/>
    <w:rsid w:val="008502D3"/>
    <w:rsid w:val="008560C6"/>
    <w:rsid w:val="00857C28"/>
    <w:rsid w:val="00874711"/>
    <w:rsid w:val="0087651F"/>
    <w:rsid w:val="008846FC"/>
    <w:rsid w:val="0089349F"/>
    <w:rsid w:val="008A4BA9"/>
    <w:rsid w:val="008A4DE6"/>
    <w:rsid w:val="008B200A"/>
    <w:rsid w:val="008C169D"/>
    <w:rsid w:val="008C63C1"/>
    <w:rsid w:val="008D2B16"/>
    <w:rsid w:val="008D347E"/>
    <w:rsid w:val="008D3578"/>
    <w:rsid w:val="008D3B0E"/>
    <w:rsid w:val="008D5F14"/>
    <w:rsid w:val="008D6EC4"/>
    <w:rsid w:val="008D72FA"/>
    <w:rsid w:val="008E0BC3"/>
    <w:rsid w:val="008E12E3"/>
    <w:rsid w:val="008F16D8"/>
    <w:rsid w:val="008F3A78"/>
    <w:rsid w:val="008F61F5"/>
    <w:rsid w:val="008F6A05"/>
    <w:rsid w:val="00900DE2"/>
    <w:rsid w:val="00902A54"/>
    <w:rsid w:val="00905A83"/>
    <w:rsid w:val="0091238B"/>
    <w:rsid w:val="00922F4F"/>
    <w:rsid w:val="0092592D"/>
    <w:rsid w:val="00934248"/>
    <w:rsid w:val="009367F4"/>
    <w:rsid w:val="009419E9"/>
    <w:rsid w:val="00943537"/>
    <w:rsid w:val="00945A2C"/>
    <w:rsid w:val="00950103"/>
    <w:rsid w:val="009515DE"/>
    <w:rsid w:val="00952459"/>
    <w:rsid w:val="009524B2"/>
    <w:rsid w:val="00961D2B"/>
    <w:rsid w:val="00966020"/>
    <w:rsid w:val="00967847"/>
    <w:rsid w:val="009746CD"/>
    <w:rsid w:val="009757DC"/>
    <w:rsid w:val="009767FC"/>
    <w:rsid w:val="0098530E"/>
    <w:rsid w:val="00985688"/>
    <w:rsid w:val="00987A0D"/>
    <w:rsid w:val="00992056"/>
    <w:rsid w:val="009A0D60"/>
    <w:rsid w:val="009A1BB7"/>
    <w:rsid w:val="009A4119"/>
    <w:rsid w:val="009A42CA"/>
    <w:rsid w:val="009A4D07"/>
    <w:rsid w:val="009A57C9"/>
    <w:rsid w:val="009B0BE9"/>
    <w:rsid w:val="009B2A2E"/>
    <w:rsid w:val="009B32A1"/>
    <w:rsid w:val="009B5C12"/>
    <w:rsid w:val="009C4A9F"/>
    <w:rsid w:val="009D2044"/>
    <w:rsid w:val="009E54D6"/>
    <w:rsid w:val="009E5C94"/>
    <w:rsid w:val="009E7A1E"/>
    <w:rsid w:val="009F0E2D"/>
    <w:rsid w:val="009F2E02"/>
    <w:rsid w:val="00A07616"/>
    <w:rsid w:val="00A11412"/>
    <w:rsid w:val="00A129E3"/>
    <w:rsid w:val="00A13496"/>
    <w:rsid w:val="00A16467"/>
    <w:rsid w:val="00A211AE"/>
    <w:rsid w:val="00A222CC"/>
    <w:rsid w:val="00A25ECB"/>
    <w:rsid w:val="00A32E06"/>
    <w:rsid w:val="00A3707D"/>
    <w:rsid w:val="00A503F0"/>
    <w:rsid w:val="00A51C68"/>
    <w:rsid w:val="00A53F13"/>
    <w:rsid w:val="00A64876"/>
    <w:rsid w:val="00A67BDD"/>
    <w:rsid w:val="00A82A8E"/>
    <w:rsid w:val="00A82C82"/>
    <w:rsid w:val="00A85364"/>
    <w:rsid w:val="00A8581C"/>
    <w:rsid w:val="00A86BEF"/>
    <w:rsid w:val="00A94AD2"/>
    <w:rsid w:val="00AA4510"/>
    <w:rsid w:val="00AA70C3"/>
    <w:rsid w:val="00AB0D07"/>
    <w:rsid w:val="00AB143C"/>
    <w:rsid w:val="00AB1F41"/>
    <w:rsid w:val="00AB424B"/>
    <w:rsid w:val="00AC318B"/>
    <w:rsid w:val="00AD0801"/>
    <w:rsid w:val="00AD29B4"/>
    <w:rsid w:val="00AE2177"/>
    <w:rsid w:val="00AE2330"/>
    <w:rsid w:val="00AE362C"/>
    <w:rsid w:val="00AE78BB"/>
    <w:rsid w:val="00AF443A"/>
    <w:rsid w:val="00AF683F"/>
    <w:rsid w:val="00B03EC7"/>
    <w:rsid w:val="00B05DC8"/>
    <w:rsid w:val="00B069F6"/>
    <w:rsid w:val="00B152B3"/>
    <w:rsid w:val="00B25871"/>
    <w:rsid w:val="00B328CA"/>
    <w:rsid w:val="00B34900"/>
    <w:rsid w:val="00B35105"/>
    <w:rsid w:val="00B468B0"/>
    <w:rsid w:val="00B51F0D"/>
    <w:rsid w:val="00B541A8"/>
    <w:rsid w:val="00B5499F"/>
    <w:rsid w:val="00B54D90"/>
    <w:rsid w:val="00B54FD9"/>
    <w:rsid w:val="00B564B2"/>
    <w:rsid w:val="00B57FAD"/>
    <w:rsid w:val="00B64D45"/>
    <w:rsid w:val="00B7408A"/>
    <w:rsid w:val="00B75C56"/>
    <w:rsid w:val="00B768B0"/>
    <w:rsid w:val="00B85CC9"/>
    <w:rsid w:val="00B86D83"/>
    <w:rsid w:val="00B87253"/>
    <w:rsid w:val="00BA5D90"/>
    <w:rsid w:val="00BB20E9"/>
    <w:rsid w:val="00BC34C3"/>
    <w:rsid w:val="00BD4905"/>
    <w:rsid w:val="00BD4A35"/>
    <w:rsid w:val="00BD55B6"/>
    <w:rsid w:val="00BD6105"/>
    <w:rsid w:val="00BD6A83"/>
    <w:rsid w:val="00BE407D"/>
    <w:rsid w:val="00BE67AE"/>
    <w:rsid w:val="00BE7933"/>
    <w:rsid w:val="00BF6C5C"/>
    <w:rsid w:val="00BF7672"/>
    <w:rsid w:val="00BF7688"/>
    <w:rsid w:val="00C03B44"/>
    <w:rsid w:val="00C05251"/>
    <w:rsid w:val="00C05B99"/>
    <w:rsid w:val="00C05DD8"/>
    <w:rsid w:val="00C07A26"/>
    <w:rsid w:val="00C13729"/>
    <w:rsid w:val="00C1481B"/>
    <w:rsid w:val="00C17707"/>
    <w:rsid w:val="00C17773"/>
    <w:rsid w:val="00C20DD3"/>
    <w:rsid w:val="00C23A37"/>
    <w:rsid w:val="00C2675F"/>
    <w:rsid w:val="00C27039"/>
    <w:rsid w:val="00C35726"/>
    <w:rsid w:val="00C35994"/>
    <w:rsid w:val="00C36851"/>
    <w:rsid w:val="00C40895"/>
    <w:rsid w:val="00C40983"/>
    <w:rsid w:val="00C4102C"/>
    <w:rsid w:val="00C42477"/>
    <w:rsid w:val="00C505DE"/>
    <w:rsid w:val="00C51B9A"/>
    <w:rsid w:val="00C555F2"/>
    <w:rsid w:val="00C603AA"/>
    <w:rsid w:val="00C64F8A"/>
    <w:rsid w:val="00C7053D"/>
    <w:rsid w:val="00C70EF8"/>
    <w:rsid w:val="00C769AA"/>
    <w:rsid w:val="00C80871"/>
    <w:rsid w:val="00C80CF3"/>
    <w:rsid w:val="00C84084"/>
    <w:rsid w:val="00C901B6"/>
    <w:rsid w:val="00C90F13"/>
    <w:rsid w:val="00C9250C"/>
    <w:rsid w:val="00C97DF6"/>
    <w:rsid w:val="00CA6620"/>
    <w:rsid w:val="00CA7244"/>
    <w:rsid w:val="00CA7D07"/>
    <w:rsid w:val="00CB4E56"/>
    <w:rsid w:val="00CC13F9"/>
    <w:rsid w:val="00CC201C"/>
    <w:rsid w:val="00CD44C5"/>
    <w:rsid w:val="00CD6EB6"/>
    <w:rsid w:val="00CD73CB"/>
    <w:rsid w:val="00CE4D98"/>
    <w:rsid w:val="00CE66AB"/>
    <w:rsid w:val="00CF1156"/>
    <w:rsid w:val="00CF2CE0"/>
    <w:rsid w:val="00D13ECE"/>
    <w:rsid w:val="00D1745C"/>
    <w:rsid w:val="00D22784"/>
    <w:rsid w:val="00D22832"/>
    <w:rsid w:val="00D2397B"/>
    <w:rsid w:val="00D304D6"/>
    <w:rsid w:val="00D33023"/>
    <w:rsid w:val="00D36BE5"/>
    <w:rsid w:val="00D40348"/>
    <w:rsid w:val="00D43C7C"/>
    <w:rsid w:val="00D44340"/>
    <w:rsid w:val="00D50408"/>
    <w:rsid w:val="00D5640F"/>
    <w:rsid w:val="00D614C0"/>
    <w:rsid w:val="00D61DEA"/>
    <w:rsid w:val="00D667CE"/>
    <w:rsid w:val="00D857DF"/>
    <w:rsid w:val="00D87298"/>
    <w:rsid w:val="00D92247"/>
    <w:rsid w:val="00DA060A"/>
    <w:rsid w:val="00DA1D6B"/>
    <w:rsid w:val="00DA2187"/>
    <w:rsid w:val="00DA281F"/>
    <w:rsid w:val="00DA4F45"/>
    <w:rsid w:val="00DB2F7C"/>
    <w:rsid w:val="00DC6504"/>
    <w:rsid w:val="00DC6F37"/>
    <w:rsid w:val="00DD128C"/>
    <w:rsid w:val="00DD76A3"/>
    <w:rsid w:val="00DE020B"/>
    <w:rsid w:val="00DE1CC8"/>
    <w:rsid w:val="00DE265B"/>
    <w:rsid w:val="00DE2A75"/>
    <w:rsid w:val="00DE4857"/>
    <w:rsid w:val="00DE5CC0"/>
    <w:rsid w:val="00DF2617"/>
    <w:rsid w:val="00DF424F"/>
    <w:rsid w:val="00DF679C"/>
    <w:rsid w:val="00E0029F"/>
    <w:rsid w:val="00E1047C"/>
    <w:rsid w:val="00E16BCB"/>
    <w:rsid w:val="00E203D0"/>
    <w:rsid w:val="00E23209"/>
    <w:rsid w:val="00E24575"/>
    <w:rsid w:val="00E41CDC"/>
    <w:rsid w:val="00E45580"/>
    <w:rsid w:val="00E4613B"/>
    <w:rsid w:val="00E462F8"/>
    <w:rsid w:val="00E46EBC"/>
    <w:rsid w:val="00E5192D"/>
    <w:rsid w:val="00E52BC1"/>
    <w:rsid w:val="00E548CA"/>
    <w:rsid w:val="00E5793A"/>
    <w:rsid w:val="00E60505"/>
    <w:rsid w:val="00E634AE"/>
    <w:rsid w:val="00E65F33"/>
    <w:rsid w:val="00E67786"/>
    <w:rsid w:val="00E72827"/>
    <w:rsid w:val="00E73F9F"/>
    <w:rsid w:val="00E740EC"/>
    <w:rsid w:val="00E80419"/>
    <w:rsid w:val="00E81243"/>
    <w:rsid w:val="00E835A8"/>
    <w:rsid w:val="00E83B2A"/>
    <w:rsid w:val="00E841C6"/>
    <w:rsid w:val="00E845BC"/>
    <w:rsid w:val="00E8574A"/>
    <w:rsid w:val="00E92575"/>
    <w:rsid w:val="00EA05B9"/>
    <w:rsid w:val="00EA6C83"/>
    <w:rsid w:val="00EA71D0"/>
    <w:rsid w:val="00EB28C9"/>
    <w:rsid w:val="00EB61E0"/>
    <w:rsid w:val="00EB7B2E"/>
    <w:rsid w:val="00EC0052"/>
    <w:rsid w:val="00EC013E"/>
    <w:rsid w:val="00EC04D7"/>
    <w:rsid w:val="00EC1F03"/>
    <w:rsid w:val="00ED0324"/>
    <w:rsid w:val="00ED7B7E"/>
    <w:rsid w:val="00EE1496"/>
    <w:rsid w:val="00EE4BD4"/>
    <w:rsid w:val="00EE5FD1"/>
    <w:rsid w:val="00EE67D3"/>
    <w:rsid w:val="00EF00B7"/>
    <w:rsid w:val="00EF04C2"/>
    <w:rsid w:val="00EF71B8"/>
    <w:rsid w:val="00EF7480"/>
    <w:rsid w:val="00F02085"/>
    <w:rsid w:val="00F04EC3"/>
    <w:rsid w:val="00F220E0"/>
    <w:rsid w:val="00F22D65"/>
    <w:rsid w:val="00F22FE9"/>
    <w:rsid w:val="00F23C98"/>
    <w:rsid w:val="00F2414A"/>
    <w:rsid w:val="00F24A3F"/>
    <w:rsid w:val="00F2621E"/>
    <w:rsid w:val="00F26AB7"/>
    <w:rsid w:val="00F3224D"/>
    <w:rsid w:val="00F32C4D"/>
    <w:rsid w:val="00F46C80"/>
    <w:rsid w:val="00F514E3"/>
    <w:rsid w:val="00F52CA8"/>
    <w:rsid w:val="00F54D51"/>
    <w:rsid w:val="00F60134"/>
    <w:rsid w:val="00F60DB7"/>
    <w:rsid w:val="00F61DFA"/>
    <w:rsid w:val="00F62474"/>
    <w:rsid w:val="00F6538C"/>
    <w:rsid w:val="00F65999"/>
    <w:rsid w:val="00F65E31"/>
    <w:rsid w:val="00F70650"/>
    <w:rsid w:val="00F73CF7"/>
    <w:rsid w:val="00F7416F"/>
    <w:rsid w:val="00F778DE"/>
    <w:rsid w:val="00F77E82"/>
    <w:rsid w:val="00F804E3"/>
    <w:rsid w:val="00F82A9A"/>
    <w:rsid w:val="00F83586"/>
    <w:rsid w:val="00F84FAD"/>
    <w:rsid w:val="00F95848"/>
    <w:rsid w:val="00F9587C"/>
    <w:rsid w:val="00F96ABB"/>
    <w:rsid w:val="00FA01A1"/>
    <w:rsid w:val="00FA2289"/>
    <w:rsid w:val="00FA3918"/>
    <w:rsid w:val="00FA45B1"/>
    <w:rsid w:val="00FB0B31"/>
    <w:rsid w:val="00FB1EEC"/>
    <w:rsid w:val="00FD5C78"/>
    <w:rsid w:val="00FD6FC6"/>
    <w:rsid w:val="00FD71CB"/>
    <w:rsid w:val="00FE36B2"/>
    <w:rsid w:val="00FE4C2E"/>
    <w:rsid w:val="00FE6185"/>
    <w:rsid w:val="00FF0DC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6D3CF67"/>
  <w15:docId w15:val="{46C6C83E-D719-4A3E-ABD6-4A5DC9A1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506528090">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42951814">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893346112">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9065580">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894466410">
          <w:marLeft w:val="0"/>
          <w:marRight w:val="0"/>
          <w:marTop w:val="0"/>
          <w:marBottom w:val="0"/>
          <w:divBdr>
            <w:top w:val="none" w:sz="0" w:space="0" w:color="auto"/>
            <w:left w:val="none" w:sz="0" w:space="0" w:color="auto"/>
            <w:bottom w:val="none" w:sz="0" w:space="0" w:color="auto"/>
            <w:right w:val="none" w:sz="0" w:space="0" w:color="auto"/>
          </w:divBdr>
        </w:div>
        <w:div w:id="4719002">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sman\Downloads\template_artikel_profita_en%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9B2CC4-6F39-47C4-A2E5-FE366FC3F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template_artikel_profita_en (3)</Template>
  <TotalTime>2</TotalTime>
  <Pages>16</Pages>
  <Words>6636</Words>
  <Characters>37831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Profita: Komunikasi Ilmiah Akuntansi dan Perpajakan</vt:lpstr>
    </vt:vector>
  </TitlesOfParts>
  <Company/>
  <LinksUpToDate>false</LinksUpToDate>
  <CharactersWithSpaces>44379</CharactersWithSpaces>
  <SharedDoc>false</SharedDoc>
  <HLinks>
    <vt:vector size="24" baseType="variant">
      <vt:variant>
        <vt:i4>2162739</vt:i4>
      </vt:variant>
      <vt:variant>
        <vt:i4>51</vt:i4>
      </vt:variant>
      <vt:variant>
        <vt:i4>0</vt:i4>
      </vt:variant>
      <vt:variant>
        <vt:i4>5</vt:i4>
      </vt:variant>
      <vt:variant>
        <vt:lpwstr>http://www.google.com/</vt:lpwstr>
      </vt:variant>
      <vt:variant>
        <vt:lpwstr/>
      </vt:variant>
      <vt:variant>
        <vt:i4>1638408</vt:i4>
      </vt:variant>
      <vt:variant>
        <vt:i4>48</vt:i4>
      </vt:variant>
      <vt:variant>
        <vt:i4>0</vt:i4>
      </vt:variant>
      <vt:variant>
        <vt:i4>5</vt:i4>
      </vt:variant>
      <vt:variant>
        <vt:lpwstr>http://www.lps.go.id/</vt:lpwstr>
      </vt:variant>
      <vt:variant>
        <vt:lpwstr/>
      </vt:variant>
      <vt:variant>
        <vt:i4>4915223</vt:i4>
      </vt:variant>
      <vt:variant>
        <vt:i4>24</vt:i4>
      </vt:variant>
      <vt:variant>
        <vt:i4>0</vt:i4>
      </vt:variant>
      <vt:variant>
        <vt:i4>5</vt:i4>
      </vt:variant>
      <vt:variant>
        <vt:lpwstr>http://www.bi.go.id/2015</vt:lpwstr>
      </vt:variant>
      <vt:variant>
        <vt:lpwstr/>
      </vt:variant>
      <vt:variant>
        <vt:i4>4915223</vt:i4>
      </vt:variant>
      <vt:variant>
        <vt:i4>0</vt:i4>
      </vt:variant>
      <vt:variant>
        <vt:i4>0</vt:i4>
      </vt:variant>
      <vt:variant>
        <vt:i4>5</vt:i4>
      </vt:variant>
      <vt:variant>
        <vt:lpwstr>http://www.bi.go.id/2015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Profita: Komunikasi Ilmiah Akuntansi dan Perpajakan</dc:title>
  <dc:creator>Asep Risman</dc:creator>
  <cp:lastModifiedBy>Asep Risman</cp:lastModifiedBy>
  <cp:revision>2</cp:revision>
  <cp:lastPrinted>2021-12-30T06:20:00Z</cp:lastPrinted>
  <dcterms:created xsi:type="dcterms:W3CDTF">2022-01-13T04:04:00Z</dcterms:created>
  <dcterms:modified xsi:type="dcterms:W3CDTF">2022-01-13T04:04:00Z</dcterms:modified>
</cp:coreProperties>
</file>