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D1A95E" w14:textId="4DD307B2" w:rsidR="00127046" w:rsidRPr="00A65F17" w:rsidRDefault="00A65F17" w:rsidP="00CE66AB">
      <w:pPr>
        <w:spacing w:after="0" w:line="240" w:lineRule="auto"/>
        <w:jc w:val="center"/>
        <w:rPr>
          <w:rFonts w:ascii="Times New Roman" w:hAnsi="Times New Roman" w:cs="Times New Roman"/>
          <w:b/>
          <w:i w:val="0"/>
          <w:sz w:val="24"/>
          <w:szCs w:val="24"/>
        </w:rPr>
      </w:pPr>
      <w:r w:rsidRPr="00A65F17">
        <w:rPr>
          <w:rFonts w:ascii="Times New Roman" w:hAnsi="Times New Roman" w:cs="Times New Roman"/>
          <w:b/>
          <w:i w:val="0"/>
          <w:sz w:val="28"/>
          <w:szCs w:val="24"/>
        </w:rPr>
        <w:t xml:space="preserve">Performance Analysis of Protected Fund and Equity Fund Using Sharpe, Treynor, Jensen  </w:t>
      </w:r>
    </w:p>
    <w:p w14:paraId="675B6E50" w14:textId="77777777" w:rsidR="009B32A1" w:rsidRPr="00A65F17" w:rsidRDefault="009B32A1" w:rsidP="009B32A1">
      <w:pPr>
        <w:tabs>
          <w:tab w:val="left" w:pos="5730"/>
        </w:tabs>
        <w:spacing w:after="0" w:line="240" w:lineRule="auto"/>
        <w:jc w:val="both"/>
        <w:rPr>
          <w:rFonts w:ascii="Times New Roman" w:hAnsi="Times New Roman" w:cs="Times New Roman"/>
          <w:b/>
          <w:i w:val="0"/>
          <w:sz w:val="24"/>
          <w:szCs w:val="24"/>
        </w:rPr>
      </w:pPr>
      <w:r w:rsidRPr="00A65F17">
        <w:rPr>
          <w:rFonts w:ascii="Times New Roman" w:hAnsi="Times New Roman" w:cs="Times New Roman"/>
          <w:b/>
          <w:i w:val="0"/>
          <w:sz w:val="24"/>
          <w:szCs w:val="24"/>
        </w:rPr>
        <w:tab/>
      </w:r>
    </w:p>
    <w:p w14:paraId="39A3D3DF" w14:textId="279170CE" w:rsidR="009B32A1" w:rsidRPr="00A65F17" w:rsidRDefault="000F4BAA" w:rsidP="009B32A1">
      <w:pPr>
        <w:spacing w:after="0" w:line="240" w:lineRule="auto"/>
        <w:jc w:val="both"/>
        <w:rPr>
          <w:rFonts w:ascii="Times New Roman" w:hAnsi="Times New Roman" w:cs="Times New Roman"/>
          <w:b/>
          <w:i w:val="0"/>
        </w:rPr>
      </w:pPr>
      <w:proofErr w:type="spellStart"/>
      <w:r w:rsidRPr="00A65F17">
        <w:rPr>
          <w:rFonts w:ascii="Times New Roman" w:hAnsi="Times New Roman" w:cs="Times New Roman"/>
          <w:b/>
          <w:i w:val="0"/>
        </w:rPr>
        <w:t>Mersa</w:t>
      </w:r>
      <w:proofErr w:type="spellEnd"/>
      <w:r w:rsidRPr="00A65F17">
        <w:rPr>
          <w:rFonts w:ascii="Times New Roman" w:hAnsi="Times New Roman" w:cs="Times New Roman"/>
          <w:b/>
          <w:i w:val="0"/>
        </w:rPr>
        <w:t xml:space="preserve"> Lestari </w:t>
      </w:r>
      <w:proofErr w:type="spellStart"/>
      <w:r w:rsidRPr="00A65F17">
        <w:rPr>
          <w:rFonts w:ascii="Times New Roman" w:hAnsi="Times New Roman" w:cs="Times New Roman"/>
          <w:b/>
          <w:i w:val="0"/>
        </w:rPr>
        <w:t>Ningrum</w:t>
      </w:r>
      <w:proofErr w:type="spellEnd"/>
      <w:r w:rsidR="004E2C75" w:rsidRPr="00A65F17">
        <w:rPr>
          <w:rFonts w:ascii="Times New Roman" w:hAnsi="Times New Roman" w:cs="Times New Roman"/>
          <w:b/>
          <w:i w:val="0"/>
        </w:rPr>
        <w:t xml:space="preserve"> </w:t>
      </w:r>
      <w:r w:rsidR="009B32A1" w:rsidRPr="00A65F17">
        <w:rPr>
          <w:rFonts w:ascii="Times New Roman" w:hAnsi="Times New Roman" w:cs="Times New Roman"/>
          <w:b/>
          <w:i w:val="0"/>
          <w:vertAlign w:val="superscript"/>
        </w:rPr>
        <w:t>1)</w:t>
      </w:r>
      <w:r w:rsidR="009B32A1" w:rsidRPr="00A65F17">
        <w:rPr>
          <w:rFonts w:ascii="Times New Roman" w:hAnsi="Times New Roman" w:cs="Times New Roman"/>
          <w:b/>
          <w:i w:val="0"/>
        </w:rPr>
        <w:t xml:space="preserve">; </w:t>
      </w:r>
      <w:r w:rsidRPr="00A65F17">
        <w:rPr>
          <w:rFonts w:ascii="Times New Roman" w:hAnsi="Times New Roman" w:cs="Times New Roman"/>
          <w:b/>
          <w:i w:val="0"/>
        </w:rPr>
        <w:t>Asep Risman</w:t>
      </w:r>
      <w:r w:rsidR="004E2C75" w:rsidRPr="00A65F17">
        <w:rPr>
          <w:rFonts w:ascii="Times New Roman" w:hAnsi="Times New Roman" w:cs="Times New Roman"/>
          <w:b/>
          <w:i w:val="0"/>
        </w:rPr>
        <w:t xml:space="preserve"> </w:t>
      </w:r>
      <w:r w:rsidR="009B32A1" w:rsidRPr="00A65F17">
        <w:rPr>
          <w:rFonts w:ascii="Times New Roman" w:hAnsi="Times New Roman" w:cs="Times New Roman"/>
          <w:b/>
          <w:i w:val="0"/>
          <w:vertAlign w:val="superscript"/>
        </w:rPr>
        <w:t>2)</w:t>
      </w:r>
    </w:p>
    <w:p w14:paraId="5D03DF90" w14:textId="77777777" w:rsidR="009B32A1" w:rsidRPr="00A65F17" w:rsidRDefault="009B32A1" w:rsidP="009B32A1">
      <w:pPr>
        <w:spacing w:after="0" w:line="240" w:lineRule="auto"/>
        <w:jc w:val="both"/>
        <w:rPr>
          <w:rFonts w:ascii="Times New Roman" w:hAnsi="Times New Roman" w:cs="Times New Roman"/>
          <w:b/>
          <w:bCs/>
          <w:sz w:val="24"/>
          <w:szCs w:val="24"/>
          <w:vertAlign w:val="superscript"/>
        </w:rPr>
      </w:pPr>
    </w:p>
    <w:p w14:paraId="78A47113" w14:textId="323EC41E" w:rsidR="009B32A1" w:rsidRPr="00A65F17" w:rsidRDefault="009B32A1" w:rsidP="00674992">
      <w:pPr>
        <w:spacing w:after="0" w:line="240" w:lineRule="auto"/>
        <w:jc w:val="both"/>
        <w:rPr>
          <w:rFonts w:ascii="Times New Roman" w:hAnsi="Times New Roman" w:cs="Times New Roman"/>
          <w:sz w:val="18"/>
          <w:szCs w:val="18"/>
        </w:rPr>
      </w:pPr>
      <w:r w:rsidRPr="00A65F17">
        <w:rPr>
          <w:rFonts w:ascii="Times New Roman" w:hAnsi="Times New Roman" w:cs="Times New Roman"/>
          <w:b/>
          <w:bCs/>
          <w:sz w:val="18"/>
          <w:szCs w:val="18"/>
          <w:vertAlign w:val="superscript"/>
        </w:rPr>
        <w:t>1)</w:t>
      </w:r>
      <w:r w:rsidRPr="00A65F17">
        <w:rPr>
          <w:rFonts w:ascii="Times New Roman" w:hAnsi="Times New Roman" w:cs="Times New Roman"/>
          <w:b/>
          <w:bCs/>
          <w:sz w:val="18"/>
          <w:szCs w:val="18"/>
        </w:rPr>
        <w:t xml:space="preserve"> </w:t>
      </w:r>
      <w:r w:rsidR="000F4BAA" w:rsidRPr="00A65F17">
        <w:rPr>
          <w:rFonts w:ascii="Times New Roman" w:hAnsi="Times New Roman" w:cs="Times New Roman"/>
          <w:b/>
          <w:bCs/>
          <w:sz w:val="18"/>
          <w:szCs w:val="18"/>
        </w:rPr>
        <w:t>mersalestari@gmail.com</w:t>
      </w:r>
      <w:r w:rsidRPr="00A65F17">
        <w:rPr>
          <w:rFonts w:ascii="Times New Roman" w:hAnsi="Times New Roman" w:cs="Times New Roman"/>
          <w:b/>
          <w:bCs/>
          <w:sz w:val="18"/>
          <w:szCs w:val="18"/>
        </w:rPr>
        <w:t xml:space="preserve">, </w:t>
      </w:r>
      <w:r w:rsidR="000F4BAA" w:rsidRPr="00A65F17">
        <w:rPr>
          <w:rFonts w:ascii="Times New Roman" w:hAnsi="Times New Roman" w:cs="Times New Roman"/>
          <w:b/>
          <w:bCs/>
          <w:sz w:val="18"/>
          <w:szCs w:val="18"/>
        </w:rPr>
        <w:t xml:space="preserve">Faculty of Economics and Business, Universitas </w:t>
      </w:r>
      <w:proofErr w:type="spellStart"/>
      <w:r w:rsidR="000F4BAA" w:rsidRPr="00A65F17">
        <w:rPr>
          <w:rFonts w:ascii="Times New Roman" w:hAnsi="Times New Roman" w:cs="Times New Roman"/>
          <w:b/>
          <w:bCs/>
          <w:sz w:val="18"/>
          <w:szCs w:val="18"/>
        </w:rPr>
        <w:t>Mercu</w:t>
      </w:r>
      <w:proofErr w:type="spellEnd"/>
      <w:r w:rsidR="000F4BAA" w:rsidRPr="00A65F17">
        <w:rPr>
          <w:rFonts w:ascii="Times New Roman" w:hAnsi="Times New Roman" w:cs="Times New Roman"/>
          <w:b/>
          <w:bCs/>
          <w:sz w:val="18"/>
          <w:szCs w:val="18"/>
        </w:rPr>
        <w:t xml:space="preserve"> </w:t>
      </w:r>
      <w:proofErr w:type="spellStart"/>
      <w:r w:rsidR="000F4BAA" w:rsidRPr="00A65F17">
        <w:rPr>
          <w:rFonts w:ascii="Times New Roman" w:hAnsi="Times New Roman" w:cs="Times New Roman"/>
          <w:b/>
          <w:bCs/>
          <w:sz w:val="18"/>
          <w:szCs w:val="18"/>
        </w:rPr>
        <w:t>Buana</w:t>
      </w:r>
      <w:proofErr w:type="spellEnd"/>
      <w:r w:rsidR="000F4BAA" w:rsidRPr="00A65F17">
        <w:rPr>
          <w:rFonts w:ascii="Times New Roman" w:hAnsi="Times New Roman" w:cs="Times New Roman"/>
          <w:b/>
          <w:bCs/>
          <w:sz w:val="18"/>
          <w:szCs w:val="18"/>
        </w:rPr>
        <w:t>, Indonesia</w:t>
      </w:r>
    </w:p>
    <w:p w14:paraId="5792D6F8" w14:textId="4DB0A89F" w:rsidR="009B32A1" w:rsidRPr="00A65F17" w:rsidRDefault="009B32A1" w:rsidP="009B32A1">
      <w:pPr>
        <w:spacing w:after="0" w:line="240" w:lineRule="auto"/>
        <w:jc w:val="both"/>
        <w:rPr>
          <w:rFonts w:ascii="Times New Roman" w:hAnsi="Times New Roman" w:cs="Times New Roman"/>
          <w:b/>
          <w:bCs/>
          <w:sz w:val="18"/>
          <w:szCs w:val="18"/>
        </w:rPr>
      </w:pPr>
      <w:r w:rsidRPr="00A65F17">
        <w:rPr>
          <w:rFonts w:ascii="Times New Roman" w:hAnsi="Times New Roman" w:cs="Times New Roman"/>
          <w:b/>
          <w:bCs/>
          <w:sz w:val="18"/>
          <w:szCs w:val="18"/>
          <w:vertAlign w:val="superscript"/>
        </w:rPr>
        <w:t>2)</w:t>
      </w:r>
      <w:r w:rsidRPr="00A65F17">
        <w:rPr>
          <w:rFonts w:ascii="Times New Roman" w:hAnsi="Times New Roman" w:cs="Times New Roman"/>
          <w:b/>
          <w:bCs/>
          <w:sz w:val="18"/>
          <w:szCs w:val="18"/>
        </w:rPr>
        <w:t xml:space="preserve"> </w:t>
      </w:r>
      <w:r w:rsidR="000F4BAA" w:rsidRPr="00A65F17">
        <w:rPr>
          <w:rFonts w:ascii="Times New Roman" w:hAnsi="Times New Roman" w:cs="Times New Roman"/>
          <w:b/>
          <w:bCs/>
          <w:sz w:val="18"/>
          <w:szCs w:val="18"/>
        </w:rPr>
        <w:t>asep.risman@mercubuana.ac.id</w:t>
      </w:r>
      <w:r w:rsidR="00674992" w:rsidRPr="00A65F17">
        <w:rPr>
          <w:rFonts w:ascii="Times New Roman" w:hAnsi="Times New Roman" w:cs="Times New Roman"/>
          <w:b/>
          <w:bCs/>
          <w:sz w:val="18"/>
          <w:szCs w:val="18"/>
        </w:rPr>
        <w:t xml:space="preserve">, </w:t>
      </w:r>
      <w:r w:rsidR="000F4BAA" w:rsidRPr="00A65F17">
        <w:rPr>
          <w:rFonts w:ascii="Times New Roman" w:hAnsi="Times New Roman" w:cs="Times New Roman"/>
          <w:b/>
          <w:bCs/>
          <w:sz w:val="18"/>
          <w:szCs w:val="18"/>
        </w:rPr>
        <w:t xml:space="preserve">Faculty of Economics and Business, Universitas </w:t>
      </w:r>
      <w:proofErr w:type="spellStart"/>
      <w:r w:rsidR="000F4BAA" w:rsidRPr="00A65F17">
        <w:rPr>
          <w:rFonts w:ascii="Times New Roman" w:hAnsi="Times New Roman" w:cs="Times New Roman"/>
          <w:b/>
          <w:bCs/>
          <w:sz w:val="18"/>
          <w:szCs w:val="18"/>
        </w:rPr>
        <w:t>Mercu</w:t>
      </w:r>
      <w:proofErr w:type="spellEnd"/>
      <w:r w:rsidR="000F4BAA" w:rsidRPr="00A65F17">
        <w:rPr>
          <w:rFonts w:ascii="Times New Roman" w:hAnsi="Times New Roman" w:cs="Times New Roman"/>
          <w:b/>
          <w:bCs/>
          <w:sz w:val="18"/>
          <w:szCs w:val="18"/>
        </w:rPr>
        <w:t xml:space="preserve"> </w:t>
      </w:r>
      <w:proofErr w:type="spellStart"/>
      <w:r w:rsidR="000F4BAA" w:rsidRPr="00A65F17">
        <w:rPr>
          <w:rFonts w:ascii="Times New Roman" w:hAnsi="Times New Roman" w:cs="Times New Roman"/>
          <w:b/>
          <w:bCs/>
          <w:sz w:val="18"/>
          <w:szCs w:val="18"/>
        </w:rPr>
        <w:t>Buana</w:t>
      </w:r>
      <w:proofErr w:type="spellEnd"/>
      <w:r w:rsidR="000F4BAA" w:rsidRPr="00A65F17">
        <w:rPr>
          <w:rFonts w:ascii="Times New Roman" w:hAnsi="Times New Roman" w:cs="Times New Roman"/>
          <w:b/>
          <w:bCs/>
          <w:sz w:val="18"/>
          <w:szCs w:val="18"/>
        </w:rPr>
        <w:t>, Indonesia</w:t>
      </w:r>
    </w:p>
    <w:p w14:paraId="374DC5AE" w14:textId="0D41AB57" w:rsidR="009B32A1" w:rsidRPr="00A65F17" w:rsidRDefault="009B32A1" w:rsidP="009B32A1">
      <w:pPr>
        <w:spacing w:after="0" w:line="240" w:lineRule="auto"/>
        <w:jc w:val="both"/>
        <w:rPr>
          <w:rFonts w:ascii="Times New Roman" w:hAnsi="Times New Roman" w:cs="Times New Roman"/>
          <w:b/>
          <w:bCs/>
          <w:i w:val="0"/>
          <w:sz w:val="18"/>
          <w:szCs w:val="18"/>
        </w:rPr>
      </w:pPr>
    </w:p>
    <w:p w14:paraId="3DA57908" w14:textId="77777777" w:rsidR="009B32A1" w:rsidRPr="00A65F17"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A65F17"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A65F17" w:rsidRDefault="009B32A1" w:rsidP="001745FA">
            <w:pPr>
              <w:spacing w:after="0" w:line="240" w:lineRule="auto"/>
              <w:jc w:val="both"/>
              <w:rPr>
                <w:rFonts w:ascii="Times New Roman" w:hAnsi="Times New Roman" w:cs="Times New Roman"/>
                <w:b/>
                <w:i w:val="0"/>
                <w:sz w:val="18"/>
                <w:szCs w:val="18"/>
              </w:rPr>
            </w:pPr>
          </w:p>
          <w:p w14:paraId="5B196768" w14:textId="7C5B35EC" w:rsidR="009B32A1" w:rsidRPr="00A65F17" w:rsidRDefault="009B32A1" w:rsidP="001745FA">
            <w:pPr>
              <w:spacing w:after="0" w:line="240" w:lineRule="auto"/>
              <w:ind w:right="170"/>
              <w:jc w:val="both"/>
              <w:rPr>
                <w:rFonts w:ascii="Times New Roman" w:hAnsi="Times New Roman" w:cs="Times New Roman"/>
                <w:b/>
                <w:i w:val="0"/>
              </w:rPr>
            </w:pPr>
            <w:r w:rsidRPr="00A65F17">
              <w:rPr>
                <w:rFonts w:ascii="Times New Roman" w:hAnsi="Times New Roman" w:cs="Times New Roman"/>
                <w:b/>
                <w:i w:val="0"/>
              </w:rPr>
              <w:t>Article Info</w:t>
            </w:r>
            <w:r w:rsidR="00B152B3" w:rsidRPr="00A65F17">
              <w:rPr>
                <w:rFonts w:ascii="Times New Roman" w:hAnsi="Times New Roman" w:cs="Times New Roman"/>
                <w:b/>
                <w:i w:val="0"/>
              </w:rPr>
              <w:t>rmati</w:t>
            </w:r>
            <w:r w:rsidR="002100EB" w:rsidRPr="00A65F17">
              <w:rPr>
                <w:rFonts w:ascii="Times New Roman" w:hAnsi="Times New Roman" w:cs="Times New Roman"/>
                <w:b/>
                <w:i w:val="0"/>
              </w:rPr>
              <w:t>o</w:t>
            </w:r>
            <w:r w:rsidR="00B152B3" w:rsidRPr="00A65F17">
              <w:rPr>
                <w:rFonts w:ascii="Times New Roman" w:hAnsi="Times New Roman" w:cs="Times New Roman"/>
                <w:b/>
                <w:i w:val="0"/>
              </w:rPr>
              <w:t>n</w:t>
            </w:r>
            <w:r w:rsidRPr="00A65F17">
              <w:rPr>
                <w:rFonts w:ascii="Times New Roman" w:hAnsi="Times New Roman" w:cs="Times New Roman"/>
                <w:b/>
                <w:i w:val="0"/>
              </w:rPr>
              <w:t>:</w:t>
            </w:r>
          </w:p>
          <w:p w14:paraId="78A0DC44" w14:textId="77777777" w:rsidR="009B32A1" w:rsidRPr="00A65F17"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A65F17"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A65F17"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A65F17">
              <w:rPr>
                <w:rFonts w:ascii="Times New Roman" w:hAnsi="Times New Roman" w:cs="Times New Roman"/>
                <w:b/>
                <w:bCs/>
                <w:sz w:val="14"/>
                <w:szCs w:val="14"/>
              </w:rPr>
              <w:t xml:space="preserve">Keywords: </w:t>
            </w:r>
          </w:p>
          <w:p w14:paraId="45CF6F3B" w14:textId="77777777" w:rsidR="00B222BB" w:rsidRPr="00A65F17" w:rsidRDefault="00B222BB" w:rsidP="001745FA">
            <w:pPr>
              <w:pBdr>
                <w:bottom w:val="single" w:sz="8" w:space="1" w:color="auto"/>
              </w:pBdr>
              <w:spacing w:after="0" w:line="240" w:lineRule="auto"/>
              <w:ind w:right="170"/>
              <w:jc w:val="both"/>
              <w:rPr>
                <w:rFonts w:ascii="Times New Roman" w:hAnsi="Times New Roman" w:cs="Times New Roman"/>
                <w:b/>
                <w:bCs/>
                <w:sz w:val="14"/>
                <w:szCs w:val="14"/>
              </w:rPr>
            </w:pPr>
            <w:r w:rsidRPr="00A65F17">
              <w:rPr>
                <w:rFonts w:ascii="Times New Roman" w:hAnsi="Times New Roman" w:cs="Times New Roman"/>
                <w:b/>
                <w:bCs/>
                <w:sz w:val="14"/>
                <w:szCs w:val="14"/>
              </w:rPr>
              <w:t>Capital protected fund;</w:t>
            </w:r>
          </w:p>
          <w:p w14:paraId="259CD69F" w14:textId="77777777" w:rsidR="00B222BB" w:rsidRPr="00A65F17" w:rsidRDefault="00B222BB" w:rsidP="001745FA">
            <w:pPr>
              <w:pBdr>
                <w:bottom w:val="single" w:sz="8" w:space="1" w:color="auto"/>
              </w:pBdr>
              <w:spacing w:after="0" w:line="240" w:lineRule="auto"/>
              <w:ind w:right="170"/>
              <w:jc w:val="both"/>
              <w:rPr>
                <w:rFonts w:ascii="Times New Roman" w:hAnsi="Times New Roman" w:cs="Times New Roman"/>
                <w:b/>
                <w:bCs/>
                <w:sz w:val="14"/>
                <w:szCs w:val="14"/>
              </w:rPr>
            </w:pPr>
            <w:r w:rsidRPr="00A65F17">
              <w:rPr>
                <w:rFonts w:ascii="Times New Roman" w:hAnsi="Times New Roman" w:cs="Times New Roman"/>
                <w:b/>
                <w:bCs/>
                <w:sz w:val="14"/>
                <w:szCs w:val="14"/>
              </w:rPr>
              <w:t>Equity fund;</w:t>
            </w:r>
          </w:p>
          <w:p w14:paraId="3B519B0F" w14:textId="77777777" w:rsidR="00B222BB" w:rsidRPr="00A65F17" w:rsidRDefault="00B222BB" w:rsidP="001745FA">
            <w:pPr>
              <w:pBdr>
                <w:bottom w:val="single" w:sz="8" w:space="1" w:color="auto"/>
              </w:pBdr>
              <w:spacing w:after="0" w:line="240" w:lineRule="auto"/>
              <w:ind w:right="170"/>
              <w:jc w:val="both"/>
              <w:rPr>
                <w:rFonts w:ascii="Times New Roman" w:hAnsi="Times New Roman" w:cs="Times New Roman"/>
                <w:b/>
                <w:bCs/>
                <w:sz w:val="14"/>
                <w:szCs w:val="14"/>
              </w:rPr>
            </w:pPr>
            <w:r w:rsidRPr="00A65F17">
              <w:rPr>
                <w:rFonts w:ascii="Times New Roman" w:hAnsi="Times New Roman" w:cs="Times New Roman"/>
                <w:b/>
                <w:bCs/>
                <w:sz w:val="14"/>
                <w:szCs w:val="14"/>
              </w:rPr>
              <w:t>Sharpe;</w:t>
            </w:r>
          </w:p>
          <w:p w14:paraId="07080D7B" w14:textId="77777777" w:rsidR="00B222BB" w:rsidRPr="00A65F17" w:rsidRDefault="00B222BB" w:rsidP="001745FA">
            <w:pPr>
              <w:pBdr>
                <w:bottom w:val="single" w:sz="8" w:space="1" w:color="auto"/>
              </w:pBdr>
              <w:spacing w:after="0" w:line="240" w:lineRule="auto"/>
              <w:ind w:right="170"/>
              <w:jc w:val="both"/>
              <w:rPr>
                <w:rFonts w:ascii="Times New Roman" w:hAnsi="Times New Roman" w:cs="Times New Roman"/>
                <w:b/>
                <w:bCs/>
                <w:sz w:val="14"/>
                <w:szCs w:val="14"/>
              </w:rPr>
            </w:pPr>
            <w:r w:rsidRPr="00A65F17">
              <w:rPr>
                <w:rFonts w:ascii="Times New Roman" w:hAnsi="Times New Roman" w:cs="Times New Roman"/>
                <w:b/>
                <w:bCs/>
                <w:sz w:val="14"/>
                <w:szCs w:val="14"/>
              </w:rPr>
              <w:t>Treynor;</w:t>
            </w:r>
          </w:p>
          <w:p w14:paraId="5F5EB83B" w14:textId="4144E3F1" w:rsidR="009B32A1" w:rsidRPr="00A65F17" w:rsidRDefault="00B222BB" w:rsidP="001745FA">
            <w:pPr>
              <w:pBdr>
                <w:bottom w:val="single" w:sz="8" w:space="1" w:color="auto"/>
              </w:pBdr>
              <w:spacing w:after="0" w:line="240" w:lineRule="auto"/>
              <w:ind w:right="170"/>
              <w:jc w:val="both"/>
              <w:rPr>
                <w:rFonts w:ascii="Times New Roman" w:hAnsi="Times New Roman" w:cs="Times New Roman"/>
                <w:b/>
                <w:bCs/>
                <w:sz w:val="14"/>
                <w:szCs w:val="14"/>
              </w:rPr>
            </w:pPr>
            <w:r w:rsidRPr="00A65F17">
              <w:rPr>
                <w:rFonts w:ascii="Times New Roman" w:hAnsi="Times New Roman" w:cs="Times New Roman"/>
                <w:b/>
                <w:bCs/>
                <w:sz w:val="14"/>
                <w:szCs w:val="14"/>
              </w:rPr>
              <w:t>Jensen;</w:t>
            </w:r>
          </w:p>
          <w:p w14:paraId="4FCEA5F8" w14:textId="77777777" w:rsidR="009B32A1" w:rsidRPr="00A65F17" w:rsidRDefault="009B32A1" w:rsidP="001745FA">
            <w:pPr>
              <w:spacing w:after="0" w:line="240" w:lineRule="auto"/>
              <w:ind w:right="170"/>
              <w:jc w:val="both"/>
              <w:rPr>
                <w:rFonts w:ascii="Times New Roman" w:hAnsi="Times New Roman" w:cs="Times New Roman"/>
                <w:b/>
                <w:i w:val="0"/>
                <w:sz w:val="14"/>
                <w:szCs w:val="14"/>
              </w:rPr>
            </w:pPr>
          </w:p>
          <w:p w14:paraId="45C20292" w14:textId="77777777" w:rsidR="009B32A1" w:rsidRPr="00A65F17" w:rsidRDefault="009B32A1" w:rsidP="001745FA">
            <w:pPr>
              <w:spacing w:after="0" w:line="240" w:lineRule="auto"/>
              <w:ind w:right="170"/>
              <w:jc w:val="both"/>
              <w:rPr>
                <w:rFonts w:ascii="Times New Roman" w:hAnsi="Times New Roman" w:cs="Times New Roman"/>
                <w:b/>
                <w:i w:val="0"/>
                <w:sz w:val="14"/>
                <w:szCs w:val="14"/>
              </w:rPr>
            </w:pPr>
            <w:r w:rsidRPr="00A65F17">
              <w:rPr>
                <w:rFonts w:ascii="Times New Roman" w:hAnsi="Times New Roman" w:cs="Times New Roman"/>
                <w:b/>
                <w:i w:val="0"/>
                <w:sz w:val="14"/>
                <w:szCs w:val="14"/>
              </w:rPr>
              <w:t>Article History:</w:t>
            </w:r>
          </w:p>
          <w:p w14:paraId="5FD9462B" w14:textId="55B90F30" w:rsidR="00C253C6" w:rsidRPr="00223E8B" w:rsidRDefault="00C253C6" w:rsidP="00C253C6">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proofErr w:type="gramStart"/>
            <w:r w:rsidRPr="00FD5BDB">
              <w:rPr>
                <w:rFonts w:ascii="Times New Roman" w:eastAsia="Times New Roman" w:hAnsi="Times New Roman" w:cs="Times New Roman"/>
                <w:i w:val="0"/>
                <w:iCs w:val="0"/>
                <w:sz w:val="14"/>
                <w:szCs w:val="14"/>
                <w:lang w:bidi="ar-SA"/>
              </w:rPr>
              <w:t>Received</w:t>
            </w:r>
            <w:r>
              <w:rPr>
                <w:rFonts w:ascii="Times New Roman" w:hAnsi="Times New Roman" w:cs="Times New Roman"/>
                <w:i w:val="0"/>
                <w:sz w:val="14"/>
                <w:szCs w:val="14"/>
              </w:rPr>
              <w:t xml:space="preserve"> </w:t>
            </w:r>
            <w:r w:rsidRPr="00FD5BDB">
              <w:rPr>
                <w:rFonts w:ascii="Times New Roman" w:hAnsi="Times New Roman" w:cs="Times New Roman"/>
                <w:i w:val="0"/>
                <w:sz w:val="14"/>
                <w:szCs w:val="14"/>
              </w:rPr>
              <w:t>:</w:t>
            </w:r>
            <w:proofErr w:type="gramEnd"/>
            <w:r w:rsidRPr="00FD5BDB">
              <w:rPr>
                <w:rFonts w:ascii="Times New Roman" w:hAnsi="Times New Roman" w:cs="Times New Roman"/>
                <w:i w:val="0"/>
                <w:sz w:val="14"/>
                <w:szCs w:val="14"/>
              </w:rPr>
              <w:t xml:space="preserve"> </w:t>
            </w:r>
            <w:r>
              <w:rPr>
                <w:rFonts w:ascii="Times New Roman" w:hAnsi="Times New Roman" w:cs="Times New Roman"/>
                <w:i w:val="0"/>
                <w:sz w:val="14"/>
                <w:szCs w:val="14"/>
              </w:rPr>
              <w:t>December</w:t>
            </w:r>
            <w:r w:rsidRPr="00FD5BDB">
              <w:rPr>
                <w:rFonts w:ascii="Times New Roman" w:hAnsi="Times New Roman" w:cs="Times New Roman"/>
                <w:i w:val="0"/>
                <w:sz w:val="14"/>
                <w:szCs w:val="14"/>
              </w:rPr>
              <w:t xml:space="preserve"> </w:t>
            </w:r>
            <w:r>
              <w:rPr>
                <w:rFonts w:ascii="Times New Roman" w:hAnsi="Times New Roman" w:cs="Times New Roman"/>
                <w:i w:val="0"/>
                <w:sz w:val="14"/>
                <w:szCs w:val="14"/>
              </w:rPr>
              <w:t>19</w:t>
            </w:r>
            <w:r w:rsidRPr="00FD5BDB">
              <w:rPr>
                <w:rFonts w:ascii="Times New Roman" w:hAnsi="Times New Roman" w:cs="Times New Roman"/>
                <w:i w:val="0"/>
                <w:sz w:val="14"/>
                <w:szCs w:val="14"/>
              </w:rPr>
              <w:t>, 20</w:t>
            </w:r>
            <w:r>
              <w:rPr>
                <w:rFonts w:ascii="Times New Roman" w:hAnsi="Times New Roman" w:cs="Times New Roman"/>
                <w:i w:val="0"/>
                <w:sz w:val="14"/>
                <w:szCs w:val="14"/>
              </w:rPr>
              <w:t>21</w:t>
            </w:r>
          </w:p>
          <w:p w14:paraId="2D65BB1C" w14:textId="0BDCAA66" w:rsidR="00C253C6" w:rsidRPr="00CA20FB" w:rsidRDefault="00C253C6" w:rsidP="00C253C6">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proofErr w:type="gramStart"/>
            <w:r w:rsidRPr="00FD5BDB">
              <w:rPr>
                <w:rFonts w:ascii="Times New Roman" w:eastAsia="Times New Roman" w:hAnsi="Times New Roman" w:cs="Times New Roman"/>
                <w:i w:val="0"/>
                <w:iCs w:val="0"/>
                <w:sz w:val="14"/>
                <w:szCs w:val="14"/>
                <w:lang w:bidi="ar-SA"/>
              </w:rPr>
              <w:t xml:space="preserve">Revised </w:t>
            </w:r>
            <w:r>
              <w:rPr>
                <w:rFonts w:ascii="Times New Roman" w:hAnsi="Times New Roman" w:cs="Times New Roman"/>
                <w:i w:val="0"/>
                <w:sz w:val="14"/>
                <w:szCs w:val="14"/>
              </w:rPr>
              <w:t xml:space="preserve"> </w:t>
            </w:r>
            <w:r>
              <w:rPr>
                <w:rFonts w:ascii="Times New Roman" w:hAnsi="Times New Roman" w:cs="Times New Roman"/>
                <w:i w:val="0"/>
                <w:sz w:val="14"/>
                <w:szCs w:val="14"/>
              </w:rPr>
              <w:t>:</w:t>
            </w:r>
            <w:proofErr w:type="gramEnd"/>
            <w:r>
              <w:rPr>
                <w:rFonts w:ascii="Times New Roman" w:hAnsi="Times New Roman" w:cs="Times New Roman"/>
                <w:i w:val="0"/>
                <w:sz w:val="14"/>
                <w:szCs w:val="14"/>
              </w:rPr>
              <w:t xml:space="preserve"> December</w:t>
            </w:r>
            <w:r w:rsidRPr="00FD5BDB">
              <w:rPr>
                <w:rFonts w:ascii="Times New Roman" w:hAnsi="Times New Roman" w:cs="Times New Roman"/>
                <w:i w:val="0"/>
                <w:sz w:val="14"/>
                <w:szCs w:val="14"/>
              </w:rPr>
              <w:t xml:space="preserve"> </w:t>
            </w:r>
            <w:r>
              <w:rPr>
                <w:rFonts w:ascii="Times New Roman" w:hAnsi="Times New Roman" w:cs="Times New Roman"/>
                <w:i w:val="0"/>
                <w:sz w:val="14"/>
                <w:szCs w:val="14"/>
              </w:rPr>
              <w:t>24</w:t>
            </w:r>
            <w:r w:rsidRPr="00FD5BDB">
              <w:rPr>
                <w:rFonts w:ascii="Times New Roman" w:hAnsi="Times New Roman" w:cs="Times New Roman"/>
                <w:i w:val="0"/>
                <w:sz w:val="14"/>
                <w:szCs w:val="14"/>
              </w:rPr>
              <w:t>, 20</w:t>
            </w:r>
            <w:r>
              <w:rPr>
                <w:rFonts w:ascii="Times New Roman" w:hAnsi="Times New Roman" w:cs="Times New Roman"/>
                <w:i w:val="0"/>
                <w:sz w:val="14"/>
                <w:szCs w:val="14"/>
              </w:rPr>
              <w:t>21</w:t>
            </w:r>
          </w:p>
          <w:p w14:paraId="32C7F2B2" w14:textId="2A5D85C1" w:rsidR="00C253C6" w:rsidRPr="00CA20FB" w:rsidRDefault="00C253C6" w:rsidP="00C253C6">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proofErr w:type="gramStart"/>
            <w:r w:rsidRPr="00FD5BDB">
              <w:rPr>
                <w:rFonts w:ascii="Times New Roman" w:eastAsia="Times New Roman" w:hAnsi="Times New Roman" w:cs="Times New Roman"/>
                <w:i w:val="0"/>
                <w:iCs w:val="0"/>
                <w:sz w:val="14"/>
                <w:szCs w:val="14"/>
                <w:lang w:bidi="ar-SA"/>
              </w:rPr>
              <w:t xml:space="preserve">Accepted </w:t>
            </w:r>
            <w:r>
              <w:rPr>
                <w:rFonts w:ascii="Times New Roman" w:hAnsi="Times New Roman" w:cs="Times New Roman"/>
                <w:i w:val="0"/>
                <w:sz w:val="14"/>
                <w:szCs w:val="14"/>
              </w:rPr>
              <w:t xml:space="preserve"> </w:t>
            </w:r>
            <w:r w:rsidRPr="00FD5BDB">
              <w:rPr>
                <w:rFonts w:ascii="Times New Roman" w:hAnsi="Times New Roman" w:cs="Times New Roman"/>
                <w:i w:val="0"/>
                <w:sz w:val="14"/>
                <w:szCs w:val="14"/>
              </w:rPr>
              <w:t>:</w:t>
            </w:r>
            <w:proofErr w:type="gramEnd"/>
            <w:r w:rsidRPr="00FD5BDB">
              <w:rPr>
                <w:rFonts w:ascii="Times New Roman" w:hAnsi="Times New Roman" w:cs="Times New Roman"/>
                <w:i w:val="0"/>
                <w:sz w:val="14"/>
                <w:szCs w:val="14"/>
              </w:rPr>
              <w:t xml:space="preserve"> </w:t>
            </w:r>
            <w:r>
              <w:rPr>
                <w:rFonts w:ascii="Times New Roman" w:hAnsi="Times New Roman" w:cs="Times New Roman"/>
                <w:i w:val="0"/>
                <w:sz w:val="14"/>
                <w:szCs w:val="14"/>
              </w:rPr>
              <w:t>December</w:t>
            </w:r>
            <w:r w:rsidRPr="00FD5BDB">
              <w:rPr>
                <w:rFonts w:ascii="Times New Roman" w:hAnsi="Times New Roman" w:cs="Times New Roman"/>
                <w:i w:val="0"/>
                <w:sz w:val="14"/>
                <w:szCs w:val="14"/>
              </w:rPr>
              <w:t xml:space="preserve"> </w:t>
            </w:r>
            <w:r>
              <w:rPr>
                <w:rFonts w:ascii="Times New Roman" w:hAnsi="Times New Roman" w:cs="Times New Roman"/>
                <w:i w:val="0"/>
                <w:sz w:val="14"/>
                <w:szCs w:val="14"/>
              </w:rPr>
              <w:t>27</w:t>
            </w:r>
            <w:r w:rsidRPr="00FD5BDB">
              <w:rPr>
                <w:rFonts w:ascii="Times New Roman" w:hAnsi="Times New Roman" w:cs="Times New Roman"/>
                <w:i w:val="0"/>
                <w:sz w:val="14"/>
                <w:szCs w:val="14"/>
              </w:rPr>
              <w:t>, 20</w:t>
            </w:r>
            <w:r>
              <w:rPr>
                <w:rFonts w:ascii="Times New Roman" w:hAnsi="Times New Roman" w:cs="Times New Roman"/>
                <w:i w:val="0"/>
                <w:sz w:val="14"/>
                <w:szCs w:val="14"/>
              </w:rPr>
              <w:t>21</w:t>
            </w:r>
          </w:p>
          <w:p w14:paraId="50F28BFA" w14:textId="77777777" w:rsidR="009B32A1" w:rsidRPr="00A65F17"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A65F17" w:rsidRDefault="009B32A1" w:rsidP="001745FA">
            <w:pPr>
              <w:spacing w:after="0" w:line="240" w:lineRule="auto"/>
              <w:ind w:right="170"/>
              <w:jc w:val="both"/>
              <w:rPr>
                <w:rFonts w:ascii="Times New Roman" w:hAnsi="Times New Roman" w:cs="Times New Roman"/>
                <w:b/>
                <w:i w:val="0"/>
                <w:sz w:val="14"/>
                <w:szCs w:val="14"/>
              </w:rPr>
            </w:pPr>
          </w:p>
          <w:p w14:paraId="4D0CB3BA" w14:textId="77777777" w:rsidR="0009280F" w:rsidRPr="00A65F17" w:rsidRDefault="0009280F" w:rsidP="0009280F">
            <w:pPr>
              <w:spacing w:after="0" w:line="240" w:lineRule="auto"/>
              <w:ind w:right="170"/>
              <w:jc w:val="both"/>
              <w:rPr>
                <w:rFonts w:ascii="Times New Roman" w:hAnsi="Times New Roman" w:cs="Times New Roman"/>
                <w:b/>
                <w:i w:val="0"/>
                <w:sz w:val="14"/>
                <w:szCs w:val="14"/>
              </w:rPr>
            </w:pPr>
            <w:r w:rsidRPr="00A65F17">
              <w:rPr>
                <w:rFonts w:ascii="Times New Roman" w:hAnsi="Times New Roman" w:cs="Times New Roman"/>
                <w:b/>
                <w:i w:val="0"/>
                <w:sz w:val="14"/>
                <w:szCs w:val="14"/>
              </w:rPr>
              <w:t>Article Doi:</w:t>
            </w:r>
          </w:p>
          <w:p w14:paraId="0913F605" w14:textId="16722256" w:rsidR="009B32A1" w:rsidRPr="00A65F17" w:rsidRDefault="0009280F" w:rsidP="001745FA">
            <w:pPr>
              <w:spacing w:after="0" w:line="240" w:lineRule="auto"/>
              <w:ind w:right="170"/>
              <w:jc w:val="both"/>
              <w:rPr>
                <w:rFonts w:ascii="Times New Roman" w:hAnsi="Times New Roman" w:cs="Times New Roman"/>
                <w:b/>
                <w:i w:val="0"/>
                <w:sz w:val="18"/>
                <w:szCs w:val="18"/>
              </w:rPr>
            </w:pPr>
            <w:r w:rsidRPr="00A65F17">
              <w:rPr>
                <w:rFonts w:ascii="Times New Roman" w:hAnsi="Times New Roman" w:cs="Times New Roman"/>
                <w:bCs/>
                <w:i w:val="0"/>
                <w:sz w:val="14"/>
                <w:szCs w:val="14"/>
              </w:rPr>
              <w:t>http://doi.org/10.22441/profita.2020.v13i1.001</w:t>
            </w:r>
          </w:p>
          <w:p w14:paraId="5DD1D5F0" w14:textId="77777777" w:rsidR="009B32A1" w:rsidRPr="00A65F17"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A65F17" w:rsidRDefault="009B32A1" w:rsidP="001745FA">
            <w:pPr>
              <w:spacing w:after="0" w:line="240" w:lineRule="auto"/>
              <w:jc w:val="both"/>
              <w:rPr>
                <w:rFonts w:ascii="Times New Roman" w:hAnsi="Times New Roman" w:cs="Times New Roman"/>
                <w:b/>
                <w:i w:val="0"/>
                <w:sz w:val="18"/>
                <w:szCs w:val="18"/>
              </w:rPr>
            </w:pPr>
          </w:p>
          <w:p w14:paraId="3A18E4FB" w14:textId="05223875" w:rsidR="009B32A1" w:rsidRPr="00A65F17" w:rsidRDefault="009B32A1" w:rsidP="001745FA">
            <w:pPr>
              <w:spacing w:after="0" w:line="240" w:lineRule="auto"/>
              <w:ind w:left="170"/>
              <w:jc w:val="both"/>
              <w:rPr>
                <w:rFonts w:ascii="Times New Roman" w:hAnsi="Times New Roman" w:cs="Times New Roman"/>
                <w:b/>
                <w:i w:val="0"/>
              </w:rPr>
            </w:pPr>
            <w:r w:rsidRPr="00A65F17">
              <w:rPr>
                <w:rFonts w:ascii="Times New Roman" w:hAnsi="Times New Roman" w:cs="Times New Roman"/>
                <w:b/>
                <w:bCs/>
              </w:rPr>
              <w:t>Abstract</w:t>
            </w:r>
            <w:r w:rsidR="00F778DE" w:rsidRPr="00A65F17">
              <w:rPr>
                <w:rFonts w:ascii="Times New Roman" w:hAnsi="Times New Roman" w:cs="Times New Roman"/>
                <w:b/>
                <w:bCs/>
              </w:rPr>
              <w:t xml:space="preserve"> </w:t>
            </w:r>
            <w:r w:rsidR="00B152B3" w:rsidRPr="00A65F17">
              <w:rPr>
                <w:rFonts w:ascii="Times New Roman" w:hAnsi="Times New Roman" w:cs="Times New Roman"/>
                <w:b/>
                <w:bCs/>
              </w:rPr>
              <w:t xml:space="preserve">in </w:t>
            </w:r>
            <w:r w:rsidR="00F778DE" w:rsidRPr="00A65F17">
              <w:rPr>
                <w:rFonts w:ascii="Times New Roman" w:hAnsi="Times New Roman" w:cs="Times New Roman"/>
                <w:b/>
                <w:bCs/>
              </w:rPr>
              <w:t>English</w:t>
            </w:r>
          </w:p>
          <w:p w14:paraId="681556A2" w14:textId="77777777" w:rsidR="009B32A1" w:rsidRPr="00A65F17"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A65F17" w:rsidRDefault="009B32A1" w:rsidP="001745FA">
            <w:pPr>
              <w:spacing w:after="0" w:line="240" w:lineRule="auto"/>
              <w:ind w:left="170"/>
              <w:jc w:val="both"/>
              <w:rPr>
                <w:rFonts w:ascii="Times New Roman" w:hAnsi="Times New Roman" w:cs="Times New Roman"/>
                <w:b/>
                <w:i w:val="0"/>
                <w:sz w:val="18"/>
                <w:szCs w:val="18"/>
              </w:rPr>
            </w:pPr>
          </w:p>
          <w:p w14:paraId="230BFFA4" w14:textId="3FF256B0" w:rsidR="009B32A1" w:rsidRPr="00A65F17" w:rsidRDefault="00B222BB" w:rsidP="00966020">
            <w:pPr>
              <w:spacing w:after="0" w:line="240" w:lineRule="auto"/>
              <w:ind w:left="171" w:right="166"/>
              <w:jc w:val="both"/>
              <w:rPr>
                <w:rFonts w:ascii="Times New Roman" w:hAnsi="Times New Roman" w:cs="Times New Roman"/>
                <w:bCs/>
                <w:iCs w:val="0"/>
              </w:rPr>
            </w:pPr>
            <w:r w:rsidRPr="00A65F17">
              <w:rPr>
                <w:rFonts w:ascii="Times New Roman" w:eastAsia="Times New Roman" w:hAnsi="Times New Roman" w:cs="Times New Roman"/>
                <w:lang w:eastAsia="id-ID" w:bidi="ar-SA"/>
              </w:rPr>
              <w:t>This study was conducted to determine the mutual funds' performance of capital-protected and equity funds from February 2021 to August 2021. Return, risk, Sharpe index, Treynor index, and Jensen index are all used to evaluate mutual fund performance. Sample data consisted of 462 capital-protected fund products and 273 equity fund products. The performance of equities funds outperforms that of capital-protected funds, according to the average Sharpe index. The Treynor index showed that capital-protected funds outperformed the market. The Jensen index shows that capital-protected funds outperform equity funds. In March, April, and May, capital-protected funds outperform the market (JCI), whereas equities funds outperform in April and August. In April, capital-protected funds outpaced risk-free investments, whereas equity funds outperformed in February, July, and August. The Independent T-Test is the statistical approach used to test the hypothesis. The findings revealed no substantial differences between capital-protected funds and equity funds, allowing investors to invest in one or both</w:t>
            </w:r>
            <w:r w:rsidR="000F4BAA" w:rsidRPr="00A65F17">
              <w:rPr>
                <w:rFonts w:ascii="Times New Roman" w:eastAsia="Times New Roman" w:hAnsi="Times New Roman" w:cs="Times New Roman"/>
                <w:lang w:eastAsia="id-ID" w:bidi="ar-SA"/>
              </w:rPr>
              <w:t xml:space="preserve">. </w:t>
            </w:r>
            <w:r w:rsidR="00966020" w:rsidRPr="00A65F17">
              <w:rPr>
                <w:rFonts w:ascii="Times New Roman" w:hAnsi="Times New Roman" w:cs="Times New Roman"/>
                <w:bCs/>
                <w:iCs w:val="0"/>
              </w:rPr>
              <w:t xml:space="preserve"> </w:t>
            </w:r>
            <w:r w:rsidR="009B32A1" w:rsidRPr="00A65F17">
              <w:rPr>
                <w:rFonts w:ascii="Times New Roman" w:hAnsi="Times New Roman" w:cs="Times New Roman"/>
                <w:bCs/>
                <w:iCs w:val="0"/>
              </w:rPr>
              <w:t xml:space="preserve"> </w:t>
            </w:r>
          </w:p>
          <w:p w14:paraId="1E5AF226" w14:textId="77777777" w:rsidR="009B32A1" w:rsidRPr="00A65F17" w:rsidRDefault="009B32A1" w:rsidP="001745FA">
            <w:pPr>
              <w:spacing w:after="0" w:line="240" w:lineRule="auto"/>
              <w:ind w:left="171" w:right="166"/>
              <w:jc w:val="both"/>
              <w:rPr>
                <w:rFonts w:ascii="Times New Roman" w:hAnsi="Times New Roman" w:cs="Times New Roman"/>
                <w:b/>
                <w:i w:val="0"/>
                <w:sz w:val="18"/>
                <w:szCs w:val="18"/>
              </w:rPr>
            </w:pPr>
          </w:p>
        </w:tc>
      </w:tr>
    </w:tbl>
    <w:p w14:paraId="3629540F" w14:textId="77777777" w:rsidR="009B32A1" w:rsidRPr="00A65F17" w:rsidRDefault="009B32A1" w:rsidP="009B32A1">
      <w:pPr>
        <w:spacing w:after="0" w:line="240" w:lineRule="auto"/>
        <w:jc w:val="both"/>
        <w:rPr>
          <w:rFonts w:ascii="Times New Roman" w:hAnsi="Times New Roman" w:cs="Times New Roman"/>
          <w:b/>
          <w:i w:val="0"/>
          <w:sz w:val="24"/>
          <w:szCs w:val="24"/>
        </w:rPr>
      </w:pPr>
    </w:p>
    <w:p w14:paraId="12C2B966" w14:textId="2EAE70F1" w:rsidR="007C4184" w:rsidRPr="00A65F17" w:rsidRDefault="00702BF8" w:rsidP="004D6955">
      <w:pPr>
        <w:spacing w:after="0" w:line="240" w:lineRule="auto"/>
        <w:jc w:val="both"/>
        <w:rPr>
          <w:rFonts w:ascii="Times New Roman" w:hAnsi="Times New Roman" w:cs="Times New Roman"/>
          <w:b/>
          <w:i w:val="0"/>
          <w:sz w:val="24"/>
          <w:szCs w:val="24"/>
        </w:rPr>
      </w:pPr>
      <w:r w:rsidRPr="00A65F17">
        <w:rPr>
          <w:rFonts w:ascii="Times New Roman" w:hAnsi="Times New Roman" w:cs="Times New Roman"/>
          <w:b/>
          <w:i w:val="0"/>
          <w:sz w:val="24"/>
          <w:szCs w:val="24"/>
        </w:rPr>
        <w:t>INTRODUCTION</w:t>
      </w:r>
    </w:p>
    <w:p w14:paraId="29DB9649" w14:textId="6B4F6494" w:rsidR="00690865" w:rsidRPr="00A65F17" w:rsidRDefault="00B222BB" w:rsidP="00B222BB">
      <w:pPr>
        <w:pStyle w:val="BodyText"/>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Mutual funds are one type of investment that novice investors can choose, with this type of investment fund being professionally managed by an investment manager. Mutual fund products are classified into various categories based on their investing aims and risks, including capital-protected funds and equity funds. Capital-protected funds are lower-risk mutual funds that use a buy-and-hold strategy on investment instruments such as debt securities or bonds to protect investors' initial investment value. Equity funds are higher-risk mutual funds that invest at least 80% of their assets in stocks.</w:t>
      </w:r>
      <w:r w:rsidR="00A252D0" w:rsidRPr="00A65F17">
        <w:rPr>
          <w:rFonts w:ascii="Times New Roman" w:hAnsi="Times New Roman" w:cs="Times New Roman"/>
          <w:i w:val="0"/>
          <w:iCs w:val="0"/>
          <w:sz w:val="24"/>
          <w:szCs w:val="24"/>
        </w:rPr>
        <w:t xml:space="preserve"> </w:t>
      </w:r>
      <w:r w:rsidRPr="00A65F17">
        <w:rPr>
          <w:rFonts w:ascii="Times New Roman" w:hAnsi="Times New Roman" w:cs="Times New Roman"/>
          <w:i w:val="0"/>
          <w:iCs w:val="0"/>
          <w:sz w:val="24"/>
          <w:szCs w:val="24"/>
        </w:rPr>
        <w:t xml:space="preserve">Return is the most crucial measure for investment decisions, according to </w:t>
      </w:r>
      <w:proofErr w:type="spellStart"/>
      <w:r w:rsidRPr="00A65F17">
        <w:rPr>
          <w:rFonts w:ascii="Times New Roman" w:hAnsi="Times New Roman" w:cs="Times New Roman"/>
          <w:i w:val="0"/>
          <w:iCs w:val="0"/>
          <w:sz w:val="24"/>
          <w:szCs w:val="24"/>
        </w:rPr>
        <w:t>Putro</w:t>
      </w:r>
      <w:proofErr w:type="spellEnd"/>
      <w:r w:rsidRPr="00A65F17">
        <w:rPr>
          <w:rFonts w:ascii="Times New Roman" w:hAnsi="Times New Roman" w:cs="Times New Roman"/>
          <w:i w:val="0"/>
          <w:iCs w:val="0"/>
          <w:sz w:val="24"/>
          <w:szCs w:val="24"/>
        </w:rPr>
        <w:t xml:space="preserve"> &amp; Risman (2021). Risk and expected earnings (return) from assets are taken into account while making investment decisions (Risman et al, 2017). Where are the mutual funds with more active management, higher expenditure ratios, and greater turnover ratios, according to Livingston et al. (2019), are riskier. </w:t>
      </w:r>
    </w:p>
    <w:p w14:paraId="5A61C22C" w14:textId="03FE1F5A" w:rsidR="00B222BB" w:rsidRPr="00A65F17" w:rsidRDefault="00B222BB" w:rsidP="00B222BB">
      <w:pPr>
        <w:pStyle w:val="BodyText"/>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According to Kim et al (2002), the three accessible indexes to quantify portfolio performance based on risk-adjusted are the Treynor index, Sharpe index, and Jensen index. Haugen (1997) recommends utilizing risk-adjusted-performance assessment.</w:t>
      </w:r>
      <w:r w:rsidR="000B3213">
        <w:rPr>
          <w:rFonts w:ascii="Times New Roman" w:hAnsi="Times New Roman" w:cs="Times New Roman"/>
          <w:i w:val="0"/>
          <w:iCs w:val="0"/>
          <w:sz w:val="24"/>
          <w:szCs w:val="24"/>
        </w:rPr>
        <w:t xml:space="preserve"> </w:t>
      </w:r>
      <w:r w:rsidRPr="00A65F17">
        <w:rPr>
          <w:rFonts w:ascii="Times New Roman" w:hAnsi="Times New Roman" w:cs="Times New Roman"/>
          <w:i w:val="0"/>
          <w:iCs w:val="0"/>
          <w:sz w:val="24"/>
          <w:szCs w:val="24"/>
        </w:rPr>
        <w:t xml:space="preserve">According to Wang et al (2020), mutual funds risk the market system to obtain excess gains in a short cycle, but they employ other elements to generate excess profits in long cycles and trends. Based on this problem, research is carried out with the aim to determine the performance of capital-protected funds and equity funds using the Sharpe, Treynor, and Jensen methods. This research will use this strategy to evaluate the performance of capital-protected funds and equity funds to the BI Rate as risk-free investments. Investing in mutual funds is more beneficial than risk-free </w:t>
      </w:r>
      <w:r w:rsidRPr="00A65F17">
        <w:rPr>
          <w:rFonts w:ascii="Times New Roman" w:hAnsi="Times New Roman" w:cs="Times New Roman"/>
          <w:i w:val="0"/>
          <w:iCs w:val="0"/>
          <w:sz w:val="24"/>
          <w:szCs w:val="24"/>
        </w:rPr>
        <w:lastRenderedPageBreak/>
        <w:t>investments if the mutual fund's performance is favorable. Next, compare the mutual fund's performance to its benchmark, the JCI, and present the findings of the number and product of capital-protected funds and which equity funds outperform the market (JCI).</w:t>
      </w:r>
    </w:p>
    <w:p w14:paraId="7A41E47B" w14:textId="092D2CC7" w:rsidR="00C769AA" w:rsidRPr="00A65F17" w:rsidRDefault="00C769AA" w:rsidP="00C769AA">
      <w:pPr>
        <w:spacing w:after="0" w:line="240" w:lineRule="auto"/>
        <w:jc w:val="center"/>
        <w:rPr>
          <w:rFonts w:ascii="Times New Roman" w:hAnsi="Times New Roman" w:cs="Times New Roman"/>
          <w:b/>
          <w:bCs/>
          <w:i w:val="0"/>
          <w:iCs w:val="0"/>
          <w:sz w:val="24"/>
          <w:szCs w:val="24"/>
        </w:rPr>
      </w:pPr>
    </w:p>
    <w:p w14:paraId="5D03E6F9" w14:textId="57E09362" w:rsidR="004D6955" w:rsidRPr="00A65F17" w:rsidRDefault="006A50CF" w:rsidP="004D6955">
      <w:pPr>
        <w:spacing w:after="0" w:line="240" w:lineRule="auto"/>
        <w:jc w:val="both"/>
        <w:rPr>
          <w:rFonts w:ascii="Times New Roman" w:hAnsi="Times New Roman" w:cs="Times New Roman"/>
          <w:b/>
          <w:i w:val="0"/>
          <w:sz w:val="24"/>
          <w:szCs w:val="24"/>
        </w:rPr>
      </w:pPr>
      <w:r w:rsidRPr="00A65F17">
        <w:rPr>
          <w:rFonts w:ascii="Times New Roman" w:hAnsi="Times New Roman" w:cs="Times New Roman"/>
          <w:b/>
          <w:i w:val="0"/>
          <w:sz w:val="24"/>
          <w:szCs w:val="24"/>
        </w:rPr>
        <w:t>LITERATURE REVIEW</w:t>
      </w:r>
    </w:p>
    <w:p w14:paraId="3A7E9C04" w14:textId="32A9ED49" w:rsidR="00617BE2" w:rsidRPr="00A65F17" w:rsidRDefault="00B222BB" w:rsidP="00617BE2">
      <w:pPr>
        <w:pStyle w:val="BodyText"/>
        <w:spacing w:after="0" w:line="240" w:lineRule="auto"/>
        <w:ind w:firstLine="720"/>
        <w:jc w:val="both"/>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Risk-Return Perspective</w:t>
      </w:r>
      <w:r w:rsidR="00617BE2" w:rsidRPr="00A65F17">
        <w:rPr>
          <w:rFonts w:ascii="Times New Roman" w:hAnsi="Times New Roman" w:cs="Times New Roman"/>
          <w:b/>
          <w:bCs/>
          <w:i w:val="0"/>
          <w:iCs w:val="0"/>
          <w:sz w:val="24"/>
          <w:szCs w:val="24"/>
        </w:rPr>
        <w:t>.</w:t>
      </w:r>
    </w:p>
    <w:p w14:paraId="263429C9" w14:textId="1B4A114F" w:rsidR="00617BE2" w:rsidRPr="00A65F17" w:rsidRDefault="00B222BB" w:rsidP="00617BE2">
      <w:pPr>
        <w:pStyle w:val="BodyText"/>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The volatility of the return spread between long and short positions captures the amount of factor risk. As a result, we would anticipate a component with a big standard deviation in its related spread relative to the benchmark to have a strong widespread influence on stock returns (Chan et al, 1998). Portfolio and capital market theories provide a framework for defining and measuring investment risk, building correlations between expected security returns and risk, and evaluating the performance of managed portfolios such as mutual funds and pension funds (Modigliani &amp; Pogue, 1974).</w:t>
      </w:r>
    </w:p>
    <w:p w14:paraId="3A33BFD0" w14:textId="77777777" w:rsidR="00617BE2" w:rsidRPr="00A65F17" w:rsidRDefault="00617BE2" w:rsidP="00617BE2">
      <w:pPr>
        <w:pStyle w:val="BodyText"/>
        <w:spacing w:after="0" w:line="240" w:lineRule="auto"/>
        <w:ind w:firstLine="720"/>
        <w:jc w:val="both"/>
        <w:rPr>
          <w:rFonts w:ascii="Times New Roman" w:hAnsi="Times New Roman" w:cs="Times New Roman"/>
          <w:i w:val="0"/>
          <w:iCs w:val="0"/>
          <w:sz w:val="24"/>
          <w:szCs w:val="24"/>
        </w:rPr>
      </w:pPr>
    </w:p>
    <w:p w14:paraId="6E526673" w14:textId="551E0EE1" w:rsidR="00617BE2" w:rsidRPr="00A65F17" w:rsidRDefault="00B222BB" w:rsidP="00617BE2">
      <w:pPr>
        <w:pStyle w:val="BodyText"/>
        <w:spacing w:after="0" w:line="240" w:lineRule="auto"/>
        <w:ind w:firstLine="720"/>
        <w:jc w:val="both"/>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Sharpe Index</w:t>
      </w:r>
      <w:r w:rsidR="00617BE2" w:rsidRPr="00A65F17">
        <w:rPr>
          <w:rFonts w:ascii="Times New Roman" w:hAnsi="Times New Roman" w:cs="Times New Roman"/>
          <w:b/>
          <w:bCs/>
          <w:i w:val="0"/>
          <w:iCs w:val="0"/>
          <w:sz w:val="24"/>
          <w:szCs w:val="24"/>
        </w:rPr>
        <w:t>.</w:t>
      </w:r>
    </w:p>
    <w:p w14:paraId="6A314C73" w14:textId="0386B9E0" w:rsidR="00617BE2" w:rsidRPr="00A65F17" w:rsidRDefault="00B222BB" w:rsidP="00617BE2">
      <w:pPr>
        <w:pStyle w:val="BodyText"/>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The expected return per unit of risk is calculated using the Sharpe ratio. The outcome of such a strategy is the difference in the returns on two investment assets (Sharpe, 1994). Sharpe's ratio is calculated by dividing the average portfolio excess return over the sample period by the standard deviation of those returns. It calculates the investment's (total) volatility trade-offs (Bodie et al, 2014).</w:t>
      </w:r>
    </w:p>
    <w:p w14:paraId="004ECF98" w14:textId="77777777" w:rsidR="00617BE2" w:rsidRPr="00A65F17" w:rsidRDefault="00617BE2" w:rsidP="00617BE2">
      <w:pPr>
        <w:pStyle w:val="BodyText"/>
        <w:spacing w:after="0" w:line="240" w:lineRule="auto"/>
        <w:ind w:firstLine="720"/>
        <w:jc w:val="both"/>
        <w:rPr>
          <w:rFonts w:ascii="Times New Roman" w:hAnsi="Times New Roman" w:cs="Times New Roman"/>
          <w:i w:val="0"/>
          <w:iCs w:val="0"/>
          <w:sz w:val="24"/>
          <w:szCs w:val="24"/>
        </w:rPr>
      </w:pPr>
    </w:p>
    <w:p w14:paraId="6A7E9856" w14:textId="3DA779AC" w:rsidR="00617BE2" w:rsidRPr="00A65F17" w:rsidRDefault="00B222BB" w:rsidP="00617BE2">
      <w:pPr>
        <w:pStyle w:val="BodyText"/>
        <w:spacing w:after="0" w:line="240" w:lineRule="auto"/>
        <w:ind w:firstLine="720"/>
        <w:jc w:val="both"/>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Treynor Index</w:t>
      </w:r>
      <w:r w:rsidR="00617BE2" w:rsidRPr="00A65F17">
        <w:rPr>
          <w:rFonts w:ascii="Times New Roman" w:hAnsi="Times New Roman" w:cs="Times New Roman"/>
          <w:b/>
          <w:bCs/>
          <w:i w:val="0"/>
          <w:iCs w:val="0"/>
          <w:sz w:val="24"/>
          <w:szCs w:val="24"/>
        </w:rPr>
        <w:t>.</w:t>
      </w:r>
    </w:p>
    <w:p w14:paraId="41807262" w14:textId="77A30D0B" w:rsidR="007C69EE" w:rsidRPr="00A65F17" w:rsidRDefault="00B222BB" w:rsidP="00617BE2">
      <w:pPr>
        <w:pStyle w:val="BodyText"/>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The Treynor measure produces larger returns per unit of risk since it concentrates on systematic risk rather than total risk (Bodie et al, 2014). The Treynor ratio is a straightforward modification of the Sharpe ratio that eliminates the first constraint by substituting total risk for beta risk (</w:t>
      </w:r>
      <w:proofErr w:type="spellStart"/>
      <w:r w:rsidRPr="00A65F17">
        <w:rPr>
          <w:rFonts w:ascii="Times New Roman" w:hAnsi="Times New Roman" w:cs="Times New Roman"/>
          <w:i w:val="0"/>
          <w:iCs w:val="0"/>
          <w:sz w:val="24"/>
          <w:szCs w:val="24"/>
        </w:rPr>
        <w:t>Sarker</w:t>
      </w:r>
      <w:proofErr w:type="spellEnd"/>
      <w:r w:rsidRPr="00A65F17">
        <w:rPr>
          <w:rFonts w:ascii="Times New Roman" w:hAnsi="Times New Roman" w:cs="Times New Roman"/>
          <w:i w:val="0"/>
          <w:iCs w:val="0"/>
          <w:sz w:val="24"/>
          <w:szCs w:val="24"/>
        </w:rPr>
        <w:t>, 2015).</w:t>
      </w:r>
    </w:p>
    <w:p w14:paraId="5AAB1E27" w14:textId="77777777" w:rsidR="00B222BB" w:rsidRPr="00A65F17" w:rsidRDefault="00B222BB" w:rsidP="00B222BB">
      <w:pPr>
        <w:pStyle w:val="BodyText"/>
        <w:spacing w:after="0" w:line="240" w:lineRule="auto"/>
        <w:ind w:firstLine="720"/>
        <w:jc w:val="both"/>
        <w:rPr>
          <w:rFonts w:ascii="Times New Roman" w:hAnsi="Times New Roman" w:cs="Times New Roman"/>
          <w:i w:val="0"/>
          <w:iCs w:val="0"/>
          <w:sz w:val="24"/>
          <w:szCs w:val="24"/>
        </w:rPr>
      </w:pPr>
    </w:p>
    <w:p w14:paraId="71B09322" w14:textId="1A011C17" w:rsidR="00B222BB" w:rsidRPr="00A65F17" w:rsidRDefault="00B222BB" w:rsidP="00B222BB">
      <w:pPr>
        <w:pStyle w:val="BodyText"/>
        <w:spacing w:after="0" w:line="240" w:lineRule="auto"/>
        <w:ind w:firstLine="720"/>
        <w:jc w:val="both"/>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Jensen Index.</w:t>
      </w:r>
    </w:p>
    <w:p w14:paraId="1E097ECF" w14:textId="1F3E728D" w:rsidR="00B222BB" w:rsidRPr="00A65F17" w:rsidRDefault="00B222BB" w:rsidP="00B222BB">
      <w:pPr>
        <w:pStyle w:val="BodyText"/>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Jensen Alpha is the average return on a portfolio that exceeds the CAPM's prediction given the portfolio beta and average market return given the portfolio beta and average market return (Bodie et al, 2014). When measuring the performance of portfolios, the effects of varying degrees of risk on portfolio returns must be taken into account (Jensen, 1967).</w:t>
      </w:r>
    </w:p>
    <w:p w14:paraId="511B71F9" w14:textId="77777777" w:rsidR="007450B1" w:rsidRPr="00A65F17" w:rsidRDefault="007450B1" w:rsidP="004D6955">
      <w:pPr>
        <w:spacing w:after="0" w:line="240" w:lineRule="auto"/>
        <w:jc w:val="both"/>
        <w:rPr>
          <w:rFonts w:ascii="Times New Roman" w:hAnsi="Times New Roman" w:cs="Times New Roman"/>
          <w:i w:val="0"/>
          <w:sz w:val="24"/>
          <w:szCs w:val="24"/>
        </w:rPr>
      </w:pPr>
    </w:p>
    <w:p w14:paraId="24F02EAE" w14:textId="2D850437" w:rsidR="007450B1" w:rsidRPr="00A65F17" w:rsidRDefault="00FB0B31" w:rsidP="007450B1">
      <w:pPr>
        <w:spacing w:after="0" w:line="240" w:lineRule="auto"/>
        <w:jc w:val="both"/>
        <w:rPr>
          <w:rFonts w:ascii="Times New Roman" w:hAnsi="Times New Roman" w:cs="Times New Roman"/>
          <w:b/>
          <w:i w:val="0"/>
          <w:sz w:val="24"/>
          <w:szCs w:val="24"/>
        </w:rPr>
      </w:pPr>
      <w:r w:rsidRPr="00A65F17">
        <w:rPr>
          <w:rFonts w:ascii="Times New Roman" w:hAnsi="Times New Roman" w:cs="Times New Roman"/>
          <w:b/>
          <w:i w:val="0"/>
          <w:sz w:val="24"/>
          <w:szCs w:val="24"/>
        </w:rPr>
        <w:t>METHOD</w:t>
      </w:r>
    </w:p>
    <w:p w14:paraId="6C477C57" w14:textId="38FE4818" w:rsidR="000F4BAA" w:rsidRPr="00A65F17" w:rsidRDefault="00D275CD" w:rsidP="000F4BAA">
      <w:pPr>
        <w:spacing w:after="0" w:line="240" w:lineRule="auto"/>
        <w:ind w:firstLine="720"/>
        <w:jc w:val="both"/>
        <w:rPr>
          <w:rFonts w:ascii="Times New Roman" w:hAnsi="Times New Roman" w:cs="Times New Roman"/>
          <w:i w:val="0"/>
          <w:sz w:val="24"/>
          <w:szCs w:val="24"/>
        </w:rPr>
      </w:pPr>
      <w:r w:rsidRPr="00A65F17">
        <w:rPr>
          <w:rFonts w:ascii="Times New Roman" w:hAnsi="Times New Roman" w:cs="Times New Roman"/>
          <w:i w:val="0"/>
          <w:sz w:val="24"/>
          <w:szCs w:val="24"/>
        </w:rPr>
        <w:t>This research is a descriptive study with a quantitative approach. Quantitative data used is information on the sample's positive Net Asset Value (NAV), the Composite Stock Price Index (JCI), and Bank Indonesia Interest Rates (BI Rate) from February 2021 to August 2021. The data population contains 462 capital-protected fund products from 45 investment managers and 273 equity fund products from 68 investment managers. The Sharpe, Treynor, and Jensen indexes are used as a comparison factor for the performance of the mutual fund portfolio in this study's data analysis technique</w:t>
      </w:r>
      <w:r w:rsidR="000F4BAA" w:rsidRPr="00A65F17">
        <w:rPr>
          <w:rFonts w:ascii="Times New Roman" w:hAnsi="Times New Roman" w:cs="Times New Roman"/>
          <w:i w:val="0"/>
          <w:sz w:val="24"/>
          <w:szCs w:val="24"/>
        </w:rPr>
        <w:t>.</w:t>
      </w:r>
    </w:p>
    <w:p w14:paraId="32E0C5B9" w14:textId="740E11E9" w:rsidR="003723E1" w:rsidRPr="00A65F17" w:rsidRDefault="003723E1" w:rsidP="000F4BAA">
      <w:pPr>
        <w:spacing w:after="0" w:line="240" w:lineRule="auto"/>
        <w:ind w:firstLine="720"/>
        <w:jc w:val="both"/>
        <w:rPr>
          <w:rFonts w:ascii="Times New Roman" w:hAnsi="Times New Roman" w:cs="Times New Roman"/>
          <w:i w:val="0"/>
          <w:sz w:val="24"/>
          <w:szCs w:val="24"/>
        </w:rPr>
      </w:pPr>
    </w:p>
    <w:p w14:paraId="50540EC0" w14:textId="1B9FE6FA" w:rsidR="00901BEF"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1</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Pr="00A65F17">
        <w:rPr>
          <w:rFonts w:ascii="Times New Roman" w:hAnsi="Times New Roman" w:cs="Times New Roman"/>
          <w:i w:val="0"/>
          <w:color w:val="auto"/>
          <w:sz w:val="24"/>
          <w:szCs w:val="24"/>
        </w:rPr>
        <w:t>Variable Calculation Using Market Model</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0"/>
        <w:gridCol w:w="3780"/>
      </w:tblGrid>
      <w:tr w:rsidR="00D275CD" w:rsidRPr="00A65F17" w14:paraId="45FEB091" w14:textId="77777777" w:rsidTr="00D275CD">
        <w:trPr>
          <w:trHeight w:val="50"/>
        </w:trPr>
        <w:tc>
          <w:tcPr>
            <w:tcW w:w="540" w:type="dxa"/>
            <w:shd w:val="clear" w:color="auto" w:fill="auto"/>
            <w:noWrap/>
            <w:hideMark/>
          </w:tcPr>
          <w:p w14:paraId="4A65B6BD"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No</w:t>
            </w:r>
          </w:p>
        </w:tc>
        <w:tc>
          <w:tcPr>
            <w:tcW w:w="4590" w:type="dxa"/>
            <w:shd w:val="clear" w:color="auto" w:fill="auto"/>
            <w:noWrap/>
            <w:hideMark/>
          </w:tcPr>
          <w:p w14:paraId="3B205763"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Description</w:t>
            </w:r>
          </w:p>
        </w:tc>
        <w:tc>
          <w:tcPr>
            <w:tcW w:w="3780" w:type="dxa"/>
            <w:shd w:val="clear" w:color="auto" w:fill="auto"/>
            <w:noWrap/>
            <w:hideMark/>
          </w:tcPr>
          <w:p w14:paraId="62C54BED"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Formula</w:t>
            </w:r>
          </w:p>
        </w:tc>
      </w:tr>
      <w:tr w:rsidR="00D275CD" w:rsidRPr="00A65F17" w14:paraId="591BF8AE" w14:textId="77777777" w:rsidTr="00D275CD">
        <w:trPr>
          <w:trHeight w:val="471"/>
        </w:trPr>
        <w:tc>
          <w:tcPr>
            <w:tcW w:w="540" w:type="dxa"/>
            <w:shd w:val="clear" w:color="auto" w:fill="auto"/>
            <w:noWrap/>
            <w:hideMark/>
          </w:tcPr>
          <w:p w14:paraId="56C892FA"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1</w:t>
            </w:r>
          </w:p>
        </w:tc>
        <w:tc>
          <w:tcPr>
            <w:tcW w:w="4590" w:type="dxa"/>
            <w:shd w:val="clear" w:color="auto" w:fill="auto"/>
            <w:noWrap/>
            <w:hideMark/>
          </w:tcPr>
          <w:p w14:paraId="67BB54AA"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themeColor="text1"/>
                <w:sz w:val="24"/>
                <w:szCs w:val="24"/>
              </w:rPr>
              <w:t xml:space="preserve">Calculating actual return from the mutual fund </w:t>
            </w:r>
            <w:r w:rsidRPr="00A65F17">
              <w:rPr>
                <w:rFonts w:ascii="Times New Roman" w:hAnsi="Times New Roman" w:cs="Times New Roman"/>
                <w:i w:val="0"/>
                <w:iCs w:val="0"/>
                <w:color w:val="000000"/>
                <w:sz w:val="24"/>
                <w:szCs w:val="24"/>
              </w:rPr>
              <w:t>(Ri)</w:t>
            </w:r>
          </w:p>
        </w:tc>
        <w:tc>
          <w:tcPr>
            <w:tcW w:w="3780" w:type="dxa"/>
            <w:shd w:val="clear" w:color="auto" w:fill="auto"/>
            <w:noWrap/>
            <w:hideMark/>
          </w:tcPr>
          <w:p w14:paraId="18ABE16A" w14:textId="734D94E9"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 xml:space="preserve">Ri = </w:t>
            </w:r>
            <m:oMath>
              <m:f>
                <m:fPr>
                  <m:ctrlPr>
                    <w:rPr>
                      <w:rFonts w:ascii="Cambria Math" w:hAnsi="Cambria Math" w:cs="Times New Roman"/>
                      <w:i w:val="0"/>
                      <w:iCs w:val="0"/>
                      <w:color w:val="000000"/>
                      <w:sz w:val="24"/>
                      <w:szCs w:val="24"/>
                    </w:rPr>
                  </m:ctrlPr>
                </m:fPr>
                <m:num>
                  <m:r>
                    <w:rPr>
                      <w:rFonts w:ascii="Cambria Math" w:hAnsi="Cambria Math" w:cs="Times New Roman"/>
                      <w:color w:val="000000"/>
                      <w:sz w:val="24"/>
                      <w:szCs w:val="24"/>
                    </w:rPr>
                    <m:t>NABt-NABt-1</m:t>
                  </m:r>
                </m:num>
                <m:den>
                  <m:r>
                    <w:rPr>
                      <w:rFonts w:ascii="Cambria Math" w:hAnsi="Cambria Math" w:cs="Times New Roman"/>
                      <w:color w:val="000000"/>
                      <w:sz w:val="24"/>
                      <w:szCs w:val="24"/>
                    </w:rPr>
                    <m:t>NABt-1</m:t>
                  </m:r>
                </m:den>
              </m:f>
            </m:oMath>
          </w:p>
          <w:p w14:paraId="14F36951"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p>
        </w:tc>
      </w:tr>
      <w:tr w:rsidR="00D275CD" w:rsidRPr="00A65F17" w14:paraId="1DE2BA6C" w14:textId="77777777" w:rsidTr="00D275CD">
        <w:trPr>
          <w:trHeight w:val="444"/>
        </w:trPr>
        <w:tc>
          <w:tcPr>
            <w:tcW w:w="540" w:type="dxa"/>
            <w:shd w:val="clear" w:color="auto" w:fill="auto"/>
            <w:noWrap/>
            <w:hideMark/>
          </w:tcPr>
          <w:p w14:paraId="21200427"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2</w:t>
            </w:r>
          </w:p>
        </w:tc>
        <w:tc>
          <w:tcPr>
            <w:tcW w:w="4590" w:type="dxa"/>
            <w:shd w:val="clear" w:color="auto" w:fill="auto"/>
            <w:noWrap/>
            <w:hideMark/>
          </w:tcPr>
          <w:p w14:paraId="644C16F2"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themeColor="text1"/>
                <w:sz w:val="24"/>
                <w:szCs w:val="24"/>
              </w:rPr>
              <w:t xml:space="preserve">Calculating the level of risk of mutual funds </w:t>
            </w:r>
            <w:r w:rsidRPr="00A65F17">
              <w:rPr>
                <w:rFonts w:ascii="Times New Roman" w:hAnsi="Times New Roman" w:cs="Times New Roman"/>
                <w:i w:val="0"/>
                <w:iCs w:val="0"/>
                <w:color w:val="000000"/>
                <w:sz w:val="24"/>
                <w:szCs w:val="24"/>
              </w:rPr>
              <w:t>(σ)</w:t>
            </w:r>
          </w:p>
        </w:tc>
        <w:tc>
          <w:tcPr>
            <w:tcW w:w="3780" w:type="dxa"/>
            <w:shd w:val="clear" w:color="auto" w:fill="auto"/>
            <w:noWrap/>
          </w:tcPr>
          <w:p w14:paraId="56192664" w14:textId="0057648F" w:rsidR="00D275CD" w:rsidRPr="00A65F17" w:rsidRDefault="00D275CD" w:rsidP="00690865">
            <w:pPr>
              <w:spacing w:after="0" w:line="240" w:lineRule="auto"/>
              <w:rPr>
                <w:rFonts w:ascii="Times New Roman" w:hAnsi="Times New Roman" w:cs="Times New Roman"/>
                <w:i w:val="0"/>
                <w:iCs w:val="0"/>
                <w:color w:val="000000"/>
                <w:sz w:val="24"/>
                <w:szCs w:val="24"/>
              </w:rPr>
            </w:pPr>
            <m:oMath>
              <m:r>
                <w:rPr>
                  <w:rFonts w:ascii="Cambria Math" w:hAnsi="Cambria Math" w:cs="Times New Roman"/>
                  <w:color w:val="000000"/>
                  <w:sz w:val="24"/>
                  <w:szCs w:val="24"/>
                </w:rPr>
                <m:t xml:space="preserve">σ= </m:t>
              </m:r>
              <m:rad>
                <m:radPr>
                  <m:degHide m:val="1"/>
                  <m:ctrlPr>
                    <w:rPr>
                      <w:rFonts w:ascii="Cambria Math" w:hAnsi="Cambria Math" w:cs="Times New Roman"/>
                      <w:i w:val="0"/>
                      <w:iCs w:val="0"/>
                      <w:color w:val="000000"/>
                      <w:sz w:val="24"/>
                      <w:szCs w:val="24"/>
                    </w:rPr>
                  </m:ctrlPr>
                </m:radPr>
                <m:deg/>
                <m:e>
                  <m:f>
                    <m:fPr>
                      <m:ctrlPr>
                        <w:rPr>
                          <w:rFonts w:ascii="Cambria Math" w:hAnsi="Cambria Math" w:cs="Times New Roman"/>
                          <w:i w:val="0"/>
                          <w:iCs w:val="0"/>
                          <w:color w:val="000000"/>
                          <w:sz w:val="24"/>
                          <w:szCs w:val="24"/>
                        </w:rPr>
                      </m:ctrlPr>
                    </m:fPr>
                    <m:num>
                      <m:nary>
                        <m:naryPr>
                          <m:chr m:val="∑"/>
                          <m:limLoc m:val="undOvr"/>
                          <m:subHide m:val="1"/>
                          <m:supHide m:val="1"/>
                          <m:ctrlPr>
                            <w:rPr>
                              <w:rFonts w:ascii="Cambria Math" w:hAnsi="Cambria Math" w:cs="Times New Roman"/>
                              <w:i w:val="0"/>
                              <w:iCs w:val="0"/>
                              <w:color w:val="000000"/>
                              <w:sz w:val="24"/>
                              <w:szCs w:val="24"/>
                            </w:rPr>
                          </m:ctrlPr>
                        </m:naryPr>
                        <m:sub/>
                        <m:sup/>
                        <m:e>
                          <m:r>
                            <w:rPr>
                              <w:rFonts w:ascii="Cambria Math" w:hAnsi="Cambria Math" w:cs="Times New Roman"/>
                              <w:color w:val="000000"/>
                              <w:sz w:val="24"/>
                              <w:szCs w:val="24"/>
                            </w:rPr>
                            <m:t xml:space="preserve">(Ri- </m:t>
                          </m:r>
                          <m:sSup>
                            <m:sSupPr>
                              <m:ctrlPr>
                                <w:rPr>
                                  <w:rFonts w:ascii="Cambria Math" w:hAnsi="Cambria Math" w:cs="Times New Roman"/>
                                  <w:i w:val="0"/>
                                  <w:iCs w:val="0"/>
                                  <w:color w:val="000000"/>
                                  <w:sz w:val="24"/>
                                  <w:szCs w:val="24"/>
                                </w:rPr>
                              </m:ctrlPr>
                            </m:sSupPr>
                            <m:e>
                              <m:acc>
                                <m:accPr>
                                  <m:chr m:val="̅"/>
                                  <m:ctrlPr>
                                    <w:rPr>
                                      <w:rFonts w:ascii="Cambria Math" w:hAnsi="Cambria Math" w:cs="Times New Roman"/>
                                      <w:i w:val="0"/>
                                      <w:iCs w:val="0"/>
                                      <w:color w:val="000000"/>
                                      <w:sz w:val="24"/>
                                      <w:szCs w:val="24"/>
                                    </w:rPr>
                                  </m:ctrlPr>
                                </m:accPr>
                                <m:e>
                                  <m:r>
                                    <w:rPr>
                                      <w:rFonts w:ascii="Cambria Math" w:hAnsi="Cambria Math" w:cs="Times New Roman"/>
                                      <w:color w:val="000000"/>
                                      <w:sz w:val="24"/>
                                      <w:szCs w:val="24"/>
                                    </w:rPr>
                                    <m:t>Ri)</m:t>
                                  </m:r>
                                </m:e>
                              </m:acc>
                            </m:e>
                            <m:sup>
                              <m:r>
                                <w:rPr>
                                  <w:rFonts w:ascii="Cambria Math" w:hAnsi="Cambria Math" w:cs="Times New Roman"/>
                                  <w:color w:val="000000"/>
                                  <w:sz w:val="24"/>
                                  <w:szCs w:val="24"/>
                                </w:rPr>
                                <m:t>2</m:t>
                              </m:r>
                            </m:sup>
                          </m:sSup>
                        </m:e>
                      </m:nary>
                    </m:num>
                    <m:den>
                      <m:r>
                        <w:rPr>
                          <w:rFonts w:ascii="Cambria Math" w:hAnsi="Cambria Math" w:cs="Times New Roman"/>
                          <w:color w:val="000000"/>
                          <w:sz w:val="24"/>
                          <w:szCs w:val="24"/>
                        </w:rPr>
                        <m:t>n-1</m:t>
                      </m:r>
                    </m:den>
                  </m:f>
                </m:e>
              </m:rad>
            </m:oMath>
            <w:r w:rsidRPr="00A65F17">
              <w:rPr>
                <w:rFonts w:ascii="Times New Roman" w:hAnsi="Times New Roman" w:cs="Times New Roman"/>
                <w:i w:val="0"/>
                <w:iCs w:val="0"/>
                <w:color w:val="000000"/>
                <w:sz w:val="24"/>
                <w:szCs w:val="24"/>
              </w:rPr>
              <w:t xml:space="preserve"> </w:t>
            </w:r>
          </w:p>
        </w:tc>
      </w:tr>
      <w:tr w:rsidR="00D275CD" w:rsidRPr="00A65F17" w14:paraId="09E37F66" w14:textId="77777777" w:rsidTr="00D275CD">
        <w:trPr>
          <w:trHeight w:val="280"/>
        </w:trPr>
        <w:tc>
          <w:tcPr>
            <w:tcW w:w="540" w:type="dxa"/>
            <w:shd w:val="clear" w:color="auto" w:fill="auto"/>
            <w:noWrap/>
            <w:hideMark/>
          </w:tcPr>
          <w:p w14:paraId="1E1690E3"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lastRenderedPageBreak/>
              <w:t>3</w:t>
            </w:r>
          </w:p>
        </w:tc>
        <w:tc>
          <w:tcPr>
            <w:tcW w:w="4590" w:type="dxa"/>
            <w:shd w:val="clear" w:color="auto" w:fill="auto"/>
            <w:noWrap/>
            <w:hideMark/>
          </w:tcPr>
          <w:p w14:paraId="62C10B29"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themeColor="text1"/>
                <w:sz w:val="24"/>
                <w:szCs w:val="24"/>
              </w:rPr>
              <w:t>Calculating the systematic risk of mutual funds</w:t>
            </w:r>
            <w:r w:rsidRPr="00A65F17">
              <w:rPr>
                <w:rFonts w:ascii="Times New Roman" w:hAnsi="Times New Roman" w:cs="Times New Roman"/>
                <w:i w:val="0"/>
                <w:iCs w:val="0"/>
                <w:color w:val="000000"/>
                <w:sz w:val="24"/>
                <w:szCs w:val="24"/>
              </w:rPr>
              <w:t xml:space="preserve"> (β)</w:t>
            </w:r>
          </w:p>
        </w:tc>
        <w:tc>
          <w:tcPr>
            <w:tcW w:w="3780" w:type="dxa"/>
            <w:shd w:val="clear" w:color="auto" w:fill="auto"/>
            <w:noWrap/>
          </w:tcPr>
          <w:p w14:paraId="22D614AA" w14:textId="3D75E19C"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 xml:space="preserve">β = </w:t>
            </w:r>
            <m:oMath>
              <m:f>
                <m:fPr>
                  <m:ctrlPr>
                    <w:rPr>
                      <w:rFonts w:ascii="Cambria Math" w:hAnsi="Cambria Math" w:cs="Times New Roman"/>
                      <w:i w:val="0"/>
                      <w:iCs w:val="0"/>
                      <w:color w:val="000000"/>
                      <w:sz w:val="24"/>
                      <w:szCs w:val="24"/>
                    </w:rPr>
                  </m:ctrlPr>
                </m:fPr>
                <m:num>
                  <m:r>
                    <w:rPr>
                      <w:rFonts w:ascii="Cambria Math" w:hAnsi="Cambria Math" w:cs="Times New Roman"/>
                      <w:color w:val="000000"/>
                      <w:sz w:val="24"/>
                      <w:szCs w:val="24"/>
                    </w:rPr>
                    <m:t>COVim</m:t>
                  </m:r>
                </m:num>
                <m:den>
                  <m:sSup>
                    <m:sSupPr>
                      <m:ctrlPr>
                        <w:rPr>
                          <w:rFonts w:ascii="Cambria Math" w:hAnsi="Cambria Math" w:cs="Times New Roman"/>
                          <w:i w:val="0"/>
                          <w:iCs w:val="0"/>
                          <w:color w:val="000000"/>
                          <w:sz w:val="24"/>
                          <w:szCs w:val="24"/>
                        </w:rPr>
                      </m:ctrlPr>
                    </m:sSupPr>
                    <m:e>
                      <m:r>
                        <w:rPr>
                          <w:rFonts w:ascii="Cambria Math" w:hAnsi="Cambria Math" w:cs="Times New Roman"/>
                          <w:color w:val="000000"/>
                          <w:sz w:val="24"/>
                          <w:szCs w:val="24"/>
                        </w:rPr>
                        <m:t>σ</m:t>
                      </m:r>
                    </m:e>
                    <m:sup>
                      <m:r>
                        <w:rPr>
                          <w:rFonts w:ascii="Cambria Math" w:hAnsi="Cambria Math" w:cs="Times New Roman"/>
                          <w:color w:val="000000"/>
                          <w:sz w:val="24"/>
                          <w:szCs w:val="24"/>
                        </w:rPr>
                        <m:t>2</m:t>
                      </m:r>
                    </m:sup>
                  </m:sSup>
                  <m:r>
                    <w:rPr>
                      <w:rFonts w:ascii="Cambria Math" w:hAnsi="Cambria Math" w:cs="Times New Roman"/>
                      <w:color w:val="000000"/>
                      <w:sz w:val="24"/>
                      <w:szCs w:val="24"/>
                    </w:rPr>
                    <m:t>m</m:t>
                  </m:r>
                </m:den>
              </m:f>
            </m:oMath>
          </w:p>
        </w:tc>
      </w:tr>
      <w:tr w:rsidR="00D275CD" w:rsidRPr="00A65F17" w14:paraId="7FD7A529" w14:textId="77777777" w:rsidTr="00D275CD">
        <w:trPr>
          <w:trHeight w:val="280"/>
        </w:trPr>
        <w:tc>
          <w:tcPr>
            <w:tcW w:w="540" w:type="dxa"/>
            <w:shd w:val="clear" w:color="auto" w:fill="auto"/>
            <w:noWrap/>
          </w:tcPr>
          <w:p w14:paraId="779B2406"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4</w:t>
            </w:r>
          </w:p>
        </w:tc>
        <w:tc>
          <w:tcPr>
            <w:tcW w:w="4590" w:type="dxa"/>
            <w:shd w:val="clear" w:color="auto" w:fill="auto"/>
            <w:noWrap/>
          </w:tcPr>
          <w:p w14:paraId="15C1EE52"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themeColor="text1"/>
                <w:sz w:val="24"/>
                <w:szCs w:val="24"/>
              </w:rPr>
              <w:t>Calculating the Sharpe Index (</w:t>
            </w:r>
            <w:r w:rsidRPr="00A65F17">
              <w:rPr>
                <w:rFonts w:ascii="Times New Roman" w:hAnsi="Times New Roman" w:cs="Times New Roman"/>
                <w:i w:val="0"/>
                <w:iCs w:val="0"/>
                <w:sz w:val="24"/>
                <w:szCs w:val="24"/>
              </w:rPr>
              <w:t>Si</w:t>
            </w:r>
            <w:r w:rsidRPr="00A65F17">
              <w:rPr>
                <w:rFonts w:ascii="Times New Roman" w:hAnsi="Times New Roman" w:cs="Times New Roman"/>
                <w:i w:val="0"/>
                <w:iCs w:val="0"/>
                <w:color w:val="000000" w:themeColor="text1"/>
                <w:sz w:val="24"/>
                <w:szCs w:val="24"/>
              </w:rPr>
              <w:t xml:space="preserve">) </w:t>
            </w:r>
          </w:p>
        </w:tc>
        <w:tc>
          <w:tcPr>
            <w:tcW w:w="3780" w:type="dxa"/>
            <w:shd w:val="clear" w:color="auto" w:fill="auto"/>
            <w:noWrap/>
          </w:tcPr>
          <w:p w14:paraId="4BE0883F" w14:textId="77B00A20"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sz w:val="24"/>
                <w:szCs w:val="24"/>
              </w:rPr>
              <w:t xml:space="preserve">Si = </w:t>
            </w:r>
            <m:oMath>
              <m:f>
                <m:fPr>
                  <m:ctrlPr>
                    <w:rPr>
                      <w:rFonts w:ascii="Cambria Math" w:hAnsi="Cambria Math" w:cs="Times New Roman"/>
                      <w:i w:val="0"/>
                      <w:iCs w:val="0"/>
                      <w:color w:val="000000"/>
                      <w:sz w:val="24"/>
                      <w:szCs w:val="24"/>
                    </w:rPr>
                  </m:ctrlPr>
                </m:fPr>
                <m:num>
                  <m:r>
                    <w:rPr>
                      <w:rFonts w:ascii="Cambria Math" w:hAnsi="Cambria Math" w:cs="Times New Roman"/>
                      <w:color w:val="000000"/>
                      <w:sz w:val="24"/>
                      <w:szCs w:val="24"/>
                    </w:rPr>
                    <m:t xml:space="preserve">Rit- Rf </m:t>
                  </m:r>
                </m:num>
                <m:den>
                  <m:r>
                    <w:rPr>
                      <w:rFonts w:ascii="Cambria Math" w:hAnsi="Cambria Math" w:cs="Times New Roman"/>
                      <w:color w:val="000000"/>
                      <w:sz w:val="24"/>
                      <w:szCs w:val="24"/>
                    </w:rPr>
                    <m:t>σit</m:t>
                  </m:r>
                </m:den>
              </m:f>
            </m:oMath>
            <w:r w:rsidRPr="00A65F17">
              <w:rPr>
                <w:rFonts w:ascii="Times New Roman" w:hAnsi="Times New Roman" w:cs="Times New Roman"/>
                <w:i w:val="0"/>
                <w:iCs w:val="0"/>
                <w:sz w:val="24"/>
                <w:szCs w:val="24"/>
              </w:rPr>
              <w:t xml:space="preserve"> </w:t>
            </w:r>
          </w:p>
        </w:tc>
      </w:tr>
      <w:tr w:rsidR="00D275CD" w:rsidRPr="00A65F17" w14:paraId="2B2432A7" w14:textId="77777777" w:rsidTr="00D275CD">
        <w:trPr>
          <w:trHeight w:val="280"/>
        </w:trPr>
        <w:tc>
          <w:tcPr>
            <w:tcW w:w="540" w:type="dxa"/>
            <w:shd w:val="clear" w:color="auto" w:fill="auto"/>
            <w:noWrap/>
          </w:tcPr>
          <w:p w14:paraId="0EE812A7"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5</w:t>
            </w:r>
          </w:p>
        </w:tc>
        <w:tc>
          <w:tcPr>
            <w:tcW w:w="4590" w:type="dxa"/>
            <w:shd w:val="clear" w:color="auto" w:fill="auto"/>
            <w:noWrap/>
          </w:tcPr>
          <w:p w14:paraId="782054C6"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themeColor="text1"/>
                <w:sz w:val="24"/>
                <w:szCs w:val="24"/>
              </w:rPr>
              <w:t>Calculating the Treynor Index (</w:t>
            </w:r>
            <w:proofErr w:type="spellStart"/>
            <w:r w:rsidRPr="00A65F17">
              <w:rPr>
                <w:rFonts w:ascii="Times New Roman" w:hAnsi="Times New Roman" w:cs="Times New Roman"/>
                <w:i w:val="0"/>
                <w:iCs w:val="0"/>
                <w:sz w:val="24"/>
                <w:szCs w:val="24"/>
              </w:rPr>
              <w:t>Ti</w:t>
            </w:r>
            <w:proofErr w:type="spellEnd"/>
            <w:r w:rsidRPr="00A65F17">
              <w:rPr>
                <w:rFonts w:ascii="Times New Roman" w:hAnsi="Times New Roman" w:cs="Times New Roman"/>
                <w:i w:val="0"/>
                <w:iCs w:val="0"/>
                <w:color w:val="000000" w:themeColor="text1"/>
                <w:sz w:val="24"/>
                <w:szCs w:val="24"/>
              </w:rPr>
              <w:t>)</w:t>
            </w:r>
          </w:p>
        </w:tc>
        <w:tc>
          <w:tcPr>
            <w:tcW w:w="3780" w:type="dxa"/>
            <w:shd w:val="clear" w:color="auto" w:fill="auto"/>
            <w:noWrap/>
          </w:tcPr>
          <w:p w14:paraId="0B613468" w14:textId="5219378C" w:rsidR="00D275CD" w:rsidRPr="00A65F17" w:rsidRDefault="00D275CD" w:rsidP="00690865">
            <w:pPr>
              <w:spacing w:after="0" w:line="240" w:lineRule="auto"/>
              <w:rPr>
                <w:rFonts w:ascii="Times New Roman" w:hAnsi="Times New Roman" w:cs="Times New Roman"/>
                <w:i w:val="0"/>
                <w:iCs w:val="0"/>
                <w:color w:val="000000"/>
                <w:sz w:val="24"/>
                <w:szCs w:val="24"/>
              </w:rPr>
            </w:pPr>
            <w:proofErr w:type="spellStart"/>
            <w:r w:rsidRPr="00A65F17">
              <w:rPr>
                <w:rFonts w:ascii="Times New Roman" w:hAnsi="Times New Roman" w:cs="Times New Roman"/>
                <w:i w:val="0"/>
                <w:iCs w:val="0"/>
                <w:sz w:val="24"/>
                <w:szCs w:val="24"/>
              </w:rPr>
              <w:t>Ti</w:t>
            </w:r>
            <w:proofErr w:type="spellEnd"/>
            <w:r w:rsidRPr="00A65F17">
              <w:rPr>
                <w:rFonts w:ascii="Times New Roman" w:hAnsi="Times New Roman" w:cs="Times New Roman"/>
                <w:i w:val="0"/>
                <w:iCs w:val="0"/>
                <w:sz w:val="24"/>
                <w:szCs w:val="24"/>
              </w:rPr>
              <w:t xml:space="preserve"> = </w:t>
            </w:r>
            <m:oMath>
              <m:f>
                <m:fPr>
                  <m:ctrlPr>
                    <w:rPr>
                      <w:rFonts w:ascii="Cambria Math" w:hAnsi="Cambria Math" w:cs="Times New Roman"/>
                      <w:i w:val="0"/>
                      <w:iCs w:val="0"/>
                      <w:color w:val="000000"/>
                      <w:sz w:val="24"/>
                      <w:szCs w:val="24"/>
                    </w:rPr>
                  </m:ctrlPr>
                </m:fPr>
                <m:num>
                  <m:r>
                    <w:rPr>
                      <w:rFonts w:ascii="Cambria Math" w:hAnsi="Cambria Math" w:cs="Times New Roman"/>
                      <w:color w:val="000000"/>
                      <w:sz w:val="24"/>
                      <w:szCs w:val="24"/>
                    </w:rPr>
                    <m:t>Rit -Rf</m:t>
                  </m:r>
                  <m:r>
                    <w:rPr>
                      <w:rFonts w:ascii="Cambria Math" w:hAnsi="Cambria Math" w:cs="Times New Roman"/>
                      <w:sz w:val="24"/>
                      <w:szCs w:val="24"/>
                    </w:rPr>
                    <m:t xml:space="preserve"> </m:t>
                  </m:r>
                </m:num>
                <m:den>
                  <m:r>
                    <w:rPr>
                      <w:rFonts w:ascii="Cambria Math" w:hAnsi="Cambria Math" w:cs="Times New Roman"/>
                      <w:sz w:val="24"/>
                      <w:szCs w:val="24"/>
                    </w:rPr>
                    <m:t>β</m:t>
                  </m:r>
                </m:den>
              </m:f>
            </m:oMath>
          </w:p>
        </w:tc>
      </w:tr>
      <w:tr w:rsidR="00D275CD" w:rsidRPr="00A65F17" w14:paraId="3D8F6226" w14:textId="77777777" w:rsidTr="00D275CD">
        <w:trPr>
          <w:trHeight w:val="50"/>
        </w:trPr>
        <w:tc>
          <w:tcPr>
            <w:tcW w:w="540" w:type="dxa"/>
            <w:shd w:val="clear" w:color="auto" w:fill="auto"/>
            <w:noWrap/>
          </w:tcPr>
          <w:p w14:paraId="26B80557" w14:textId="77777777" w:rsidR="00D275CD" w:rsidRPr="00A65F17" w:rsidRDefault="00D275CD" w:rsidP="00690865">
            <w:pPr>
              <w:spacing w:after="0" w:line="240" w:lineRule="auto"/>
              <w:jc w:val="center"/>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sz w:val="24"/>
                <w:szCs w:val="24"/>
              </w:rPr>
              <w:t>6</w:t>
            </w:r>
          </w:p>
        </w:tc>
        <w:tc>
          <w:tcPr>
            <w:tcW w:w="4590" w:type="dxa"/>
            <w:shd w:val="clear" w:color="auto" w:fill="auto"/>
            <w:noWrap/>
          </w:tcPr>
          <w:p w14:paraId="7CB197D2"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r w:rsidRPr="00A65F17">
              <w:rPr>
                <w:rFonts w:ascii="Times New Roman" w:hAnsi="Times New Roman" w:cs="Times New Roman"/>
                <w:i w:val="0"/>
                <w:iCs w:val="0"/>
                <w:color w:val="000000" w:themeColor="text1"/>
                <w:sz w:val="24"/>
                <w:szCs w:val="24"/>
              </w:rPr>
              <w:t xml:space="preserve">Calculating Jensen's Alpha </w:t>
            </w:r>
            <w:r w:rsidRPr="00A65F17">
              <w:rPr>
                <w:rFonts w:ascii="Times New Roman" w:hAnsi="Times New Roman" w:cs="Times New Roman"/>
                <w:i w:val="0"/>
                <w:iCs w:val="0"/>
                <w:color w:val="000000"/>
                <w:sz w:val="24"/>
                <w:szCs w:val="24"/>
              </w:rPr>
              <w:t>(αp)</w:t>
            </w:r>
          </w:p>
        </w:tc>
        <w:tc>
          <w:tcPr>
            <w:tcW w:w="3780" w:type="dxa"/>
            <w:shd w:val="clear" w:color="auto" w:fill="auto"/>
            <w:noWrap/>
          </w:tcPr>
          <w:p w14:paraId="441A3C7D" w14:textId="77777777" w:rsidR="00D275CD" w:rsidRPr="00A65F17" w:rsidRDefault="00D275CD" w:rsidP="00690865">
            <w:pPr>
              <w:spacing w:after="0" w:line="240" w:lineRule="auto"/>
              <w:rPr>
                <w:rFonts w:ascii="Times New Roman" w:hAnsi="Times New Roman" w:cs="Times New Roman"/>
                <w:i w:val="0"/>
                <w:iCs w:val="0"/>
                <w:color w:val="000000"/>
                <w:sz w:val="24"/>
                <w:szCs w:val="24"/>
              </w:rPr>
            </w:pPr>
            <w:proofErr w:type="spellStart"/>
            <w:r w:rsidRPr="00A65F17">
              <w:rPr>
                <w:rFonts w:ascii="Times New Roman" w:hAnsi="Times New Roman" w:cs="Times New Roman"/>
                <w:i w:val="0"/>
                <w:iCs w:val="0"/>
                <w:color w:val="000000"/>
                <w:sz w:val="24"/>
                <w:szCs w:val="24"/>
              </w:rPr>
              <w:t>Rit</w:t>
            </w:r>
            <w:proofErr w:type="spellEnd"/>
            <w:r w:rsidRPr="00A65F17">
              <w:rPr>
                <w:rFonts w:ascii="Times New Roman" w:hAnsi="Times New Roman" w:cs="Times New Roman"/>
                <w:i w:val="0"/>
                <w:iCs w:val="0"/>
                <w:color w:val="000000"/>
                <w:sz w:val="24"/>
                <w:szCs w:val="24"/>
              </w:rPr>
              <w:t xml:space="preserve"> – </w:t>
            </w:r>
            <w:proofErr w:type="spellStart"/>
            <w:r w:rsidRPr="00A65F17">
              <w:rPr>
                <w:rFonts w:ascii="Times New Roman" w:hAnsi="Times New Roman" w:cs="Times New Roman"/>
                <w:i w:val="0"/>
                <w:iCs w:val="0"/>
                <w:color w:val="000000"/>
                <w:sz w:val="24"/>
                <w:szCs w:val="24"/>
              </w:rPr>
              <w:t>Rft</w:t>
            </w:r>
            <w:proofErr w:type="spellEnd"/>
            <w:r w:rsidRPr="00A65F17">
              <w:rPr>
                <w:rFonts w:ascii="Times New Roman" w:hAnsi="Times New Roman" w:cs="Times New Roman"/>
                <w:i w:val="0"/>
                <w:iCs w:val="0"/>
                <w:color w:val="000000"/>
                <w:sz w:val="24"/>
                <w:szCs w:val="24"/>
              </w:rPr>
              <w:t xml:space="preserve"> = αp + βp(</w:t>
            </w:r>
            <w:proofErr w:type="spellStart"/>
            <w:r w:rsidRPr="00A65F17">
              <w:rPr>
                <w:rFonts w:ascii="Times New Roman" w:hAnsi="Times New Roman" w:cs="Times New Roman"/>
                <w:i w:val="0"/>
                <w:iCs w:val="0"/>
                <w:color w:val="000000"/>
                <w:sz w:val="24"/>
                <w:szCs w:val="24"/>
              </w:rPr>
              <w:t>Rmt</w:t>
            </w:r>
            <w:proofErr w:type="spellEnd"/>
            <w:r w:rsidRPr="00A65F17">
              <w:rPr>
                <w:rFonts w:ascii="Times New Roman" w:hAnsi="Times New Roman" w:cs="Times New Roman"/>
                <w:i w:val="0"/>
                <w:iCs w:val="0"/>
                <w:color w:val="000000"/>
                <w:sz w:val="24"/>
                <w:szCs w:val="24"/>
              </w:rPr>
              <w:t xml:space="preserve"> – </w:t>
            </w:r>
            <w:proofErr w:type="spellStart"/>
            <w:r w:rsidRPr="00A65F17">
              <w:rPr>
                <w:rFonts w:ascii="Times New Roman" w:hAnsi="Times New Roman" w:cs="Times New Roman"/>
                <w:i w:val="0"/>
                <w:iCs w:val="0"/>
                <w:color w:val="000000"/>
                <w:sz w:val="24"/>
                <w:szCs w:val="24"/>
              </w:rPr>
              <w:t>Rft</w:t>
            </w:r>
            <w:proofErr w:type="spellEnd"/>
            <w:r w:rsidRPr="00A65F17">
              <w:rPr>
                <w:rFonts w:ascii="Times New Roman" w:hAnsi="Times New Roman" w:cs="Times New Roman"/>
                <w:i w:val="0"/>
                <w:iCs w:val="0"/>
                <w:color w:val="000000"/>
                <w:sz w:val="24"/>
                <w:szCs w:val="24"/>
              </w:rPr>
              <w:t>) + µt</w:t>
            </w:r>
          </w:p>
        </w:tc>
      </w:tr>
    </w:tbl>
    <w:p w14:paraId="3E42A567" w14:textId="270D2DC7" w:rsidR="00D275CD" w:rsidRPr="00A65F17" w:rsidRDefault="008D372C" w:rsidP="008D372C">
      <w:pPr>
        <w:spacing w:after="0" w:line="240" w:lineRule="auto"/>
        <w:jc w:val="both"/>
        <w:rPr>
          <w:rFonts w:ascii="Times New Roman" w:eastAsia="Times New Roman" w:hAnsi="Times New Roman" w:cs="Times New Roman"/>
          <w:i w:val="0"/>
          <w:iCs w:val="0"/>
          <w:sz w:val="22"/>
          <w:szCs w:val="22"/>
        </w:rPr>
      </w:pPr>
      <w:r w:rsidRPr="00A65F17">
        <w:rPr>
          <w:rFonts w:ascii="Times New Roman" w:eastAsia="Times New Roman" w:hAnsi="Times New Roman" w:cs="Times New Roman"/>
          <w:i w:val="0"/>
          <w:iCs w:val="0"/>
          <w:sz w:val="22"/>
          <w:szCs w:val="22"/>
        </w:rPr>
        <w:t xml:space="preserve">Source: Hamzah &amp; </w:t>
      </w:r>
      <w:proofErr w:type="spellStart"/>
      <w:r w:rsidRPr="00A65F17">
        <w:rPr>
          <w:rFonts w:ascii="Times New Roman" w:eastAsia="Times New Roman" w:hAnsi="Times New Roman" w:cs="Times New Roman"/>
          <w:i w:val="0"/>
          <w:iCs w:val="0"/>
          <w:sz w:val="22"/>
          <w:szCs w:val="22"/>
        </w:rPr>
        <w:t>Yohanes</w:t>
      </w:r>
      <w:proofErr w:type="spellEnd"/>
      <w:r w:rsidRPr="00A65F17">
        <w:rPr>
          <w:rFonts w:ascii="Times New Roman" w:eastAsia="Times New Roman" w:hAnsi="Times New Roman" w:cs="Times New Roman"/>
          <w:i w:val="0"/>
          <w:iCs w:val="0"/>
          <w:sz w:val="22"/>
          <w:szCs w:val="22"/>
        </w:rPr>
        <w:t xml:space="preserve"> (2014)</w:t>
      </w:r>
    </w:p>
    <w:p w14:paraId="3FA1EECE" w14:textId="77777777" w:rsidR="008D372C" w:rsidRPr="00A65F17" w:rsidRDefault="008D372C" w:rsidP="003723E1">
      <w:pPr>
        <w:spacing w:after="0" w:line="240" w:lineRule="auto"/>
        <w:ind w:firstLine="720"/>
        <w:jc w:val="center"/>
        <w:rPr>
          <w:rFonts w:ascii="Times New Roman" w:hAnsi="Times New Roman" w:cs="Times New Roman"/>
          <w:b/>
          <w:bCs/>
          <w:i w:val="0"/>
          <w:sz w:val="24"/>
          <w:szCs w:val="24"/>
        </w:rPr>
      </w:pPr>
    </w:p>
    <w:p w14:paraId="6EB909AB" w14:textId="77777777" w:rsidR="00D275CD" w:rsidRPr="00A65F17" w:rsidRDefault="00D275CD" w:rsidP="0041789E">
      <w:pPr>
        <w:spacing w:after="0" w:line="240" w:lineRule="auto"/>
        <w:ind w:firstLine="720"/>
        <w:jc w:val="both"/>
        <w:rPr>
          <w:rFonts w:ascii="Times New Roman" w:hAnsi="Times New Roman" w:cs="Times New Roman"/>
          <w:i w:val="0"/>
          <w:sz w:val="24"/>
          <w:szCs w:val="24"/>
        </w:rPr>
      </w:pPr>
      <w:r w:rsidRPr="00A65F17">
        <w:rPr>
          <w:rFonts w:ascii="Times New Roman" w:hAnsi="Times New Roman" w:cs="Times New Roman"/>
          <w:i w:val="0"/>
          <w:sz w:val="24"/>
          <w:szCs w:val="24"/>
        </w:rPr>
        <w:t xml:space="preserve">This research study uses path analysis along with the model: </w:t>
      </w:r>
    </w:p>
    <w:p w14:paraId="4BB4D55D" w14:textId="77777777" w:rsidR="00D275CD" w:rsidRPr="00A65F17" w:rsidRDefault="00D275CD" w:rsidP="0041789E">
      <w:pPr>
        <w:spacing w:after="0" w:line="240" w:lineRule="auto"/>
        <w:ind w:firstLine="720"/>
        <w:jc w:val="both"/>
        <w:rPr>
          <w:rFonts w:ascii="Times New Roman" w:hAnsi="Times New Roman" w:cs="Times New Roman"/>
          <w:i w:val="0"/>
          <w:sz w:val="24"/>
          <w:szCs w:val="24"/>
        </w:rPr>
      </w:pPr>
      <w:r w:rsidRPr="00A65F17">
        <w:rPr>
          <w:rFonts w:ascii="Times New Roman" w:hAnsi="Times New Roman" w:cs="Times New Roman"/>
          <w:i w:val="0"/>
          <w:sz w:val="24"/>
          <w:szCs w:val="24"/>
        </w:rPr>
        <w:t>H</w:t>
      </w:r>
      <w:r w:rsidRPr="00A65F17">
        <w:rPr>
          <w:rFonts w:ascii="Times New Roman" w:hAnsi="Times New Roman" w:cs="Times New Roman"/>
          <w:i w:val="0"/>
          <w:sz w:val="24"/>
          <w:szCs w:val="24"/>
          <w:vertAlign w:val="subscript"/>
        </w:rPr>
        <w:t>1</w:t>
      </w:r>
      <w:r w:rsidRPr="00A65F17">
        <w:rPr>
          <w:rFonts w:ascii="Times New Roman" w:hAnsi="Times New Roman" w:cs="Times New Roman"/>
          <w:i w:val="0"/>
          <w:sz w:val="24"/>
          <w:szCs w:val="24"/>
        </w:rPr>
        <w:t>: In terms of return and risk, capital protected funds and equity funds perform significantly differently.</w:t>
      </w:r>
    </w:p>
    <w:p w14:paraId="736A2E85" w14:textId="77777777" w:rsidR="00D275CD" w:rsidRPr="00A65F17" w:rsidRDefault="00D275CD" w:rsidP="0041789E">
      <w:pPr>
        <w:spacing w:after="0" w:line="240" w:lineRule="auto"/>
        <w:ind w:firstLine="720"/>
        <w:jc w:val="both"/>
        <w:rPr>
          <w:rFonts w:ascii="Times New Roman" w:hAnsi="Times New Roman" w:cs="Times New Roman"/>
          <w:i w:val="0"/>
          <w:sz w:val="24"/>
          <w:szCs w:val="24"/>
        </w:rPr>
      </w:pPr>
      <w:r w:rsidRPr="00A65F17">
        <w:rPr>
          <w:rFonts w:ascii="Times New Roman" w:hAnsi="Times New Roman" w:cs="Times New Roman"/>
          <w:i w:val="0"/>
          <w:sz w:val="24"/>
          <w:szCs w:val="24"/>
        </w:rPr>
        <w:t>H</w:t>
      </w:r>
      <w:r w:rsidRPr="00A65F17">
        <w:rPr>
          <w:rFonts w:ascii="Times New Roman" w:hAnsi="Times New Roman" w:cs="Times New Roman"/>
          <w:i w:val="0"/>
          <w:sz w:val="24"/>
          <w:szCs w:val="24"/>
          <w:vertAlign w:val="subscript"/>
        </w:rPr>
        <w:t>2</w:t>
      </w:r>
      <w:r w:rsidRPr="00A65F17">
        <w:rPr>
          <w:rFonts w:ascii="Times New Roman" w:hAnsi="Times New Roman" w:cs="Times New Roman"/>
          <w:i w:val="0"/>
          <w:sz w:val="24"/>
          <w:szCs w:val="24"/>
        </w:rPr>
        <w:t>: The Sharpe, Treynor, and Jensen index measurement models reveal that capital protected funds and equity funds perform very differently.</w:t>
      </w:r>
    </w:p>
    <w:p w14:paraId="23BDA669" w14:textId="2955A6F7" w:rsidR="003723E1" w:rsidRPr="00A65F17" w:rsidRDefault="00D275CD" w:rsidP="0041789E">
      <w:pPr>
        <w:spacing w:after="0" w:line="240" w:lineRule="auto"/>
        <w:ind w:firstLine="720"/>
        <w:jc w:val="both"/>
        <w:rPr>
          <w:rFonts w:ascii="Times New Roman" w:hAnsi="Times New Roman" w:cs="Times New Roman"/>
          <w:i w:val="0"/>
          <w:sz w:val="24"/>
          <w:szCs w:val="24"/>
        </w:rPr>
      </w:pPr>
      <w:r w:rsidRPr="00A65F17">
        <w:rPr>
          <w:rFonts w:ascii="Times New Roman" w:hAnsi="Times New Roman" w:cs="Times New Roman"/>
          <w:i w:val="0"/>
          <w:sz w:val="24"/>
          <w:szCs w:val="24"/>
        </w:rPr>
        <w:t>The difference t-test was used to examine if two unconnected samples had different mean values and a significant difference between the two independent samples at the 5% confidence level, assuming the data were normally distributed. If the significance value is less than 5%, the two samples are said to be significantly different</w:t>
      </w:r>
      <w:r w:rsidR="00444014" w:rsidRPr="00A65F17">
        <w:rPr>
          <w:rFonts w:ascii="Times New Roman" w:hAnsi="Times New Roman" w:cs="Times New Roman"/>
          <w:i w:val="0"/>
          <w:sz w:val="24"/>
          <w:szCs w:val="24"/>
        </w:rPr>
        <w:t>.</w:t>
      </w:r>
    </w:p>
    <w:p w14:paraId="7B5AEF78" w14:textId="77777777" w:rsidR="00087EFF" w:rsidRPr="00A65F17" w:rsidRDefault="00087EFF" w:rsidP="007450B1">
      <w:pPr>
        <w:pStyle w:val="Default"/>
        <w:jc w:val="center"/>
        <w:rPr>
          <w:rFonts w:ascii="Times New Roman" w:hAnsi="Times New Roman" w:cs="Times New Roman"/>
          <w:b/>
        </w:rPr>
      </w:pPr>
    </w:p>
    <w:p w14:paraId="6AA1DA68" w14:textId="250F7654" w:rsidR="008460EF" w:rsidRPr="00A65F17" w:rsidRDefault="00E841C6" w:rsidP="008460EF">
      <w:pPr>
        <w:spacing w:after="0" w:line="240" w:lineRule="auto"/>
        <w:jc w:val="both"/>
        <w:rPr>
          <w:rFonts w:ascii="Times New Roman" w:hAnsi="Times New Roman" w:cs="Times New Roman"/>
          <w:b/>
          <w:i w:val="0"/>
          <w:sz w:val="24"/>
          <w:szCs w:val="24"/>
        </w:rPr>
      </w:pPr>
      <w:r w:rsidRPr="00A65F17">
        <w:rPr>
          <w:rFonts w:ascii="Times New Roman" w:hAnsi="Times New Roman" w:cs="Times New Roman"/>
          <w:b/>
          <w:i w:val="0"/>
          <w:sz w:val="24"/>
          <w:szCs w:val="24"/>
        </w:rPr>
        <w:t>RESULTS AND DISCUSSION</w:t>
      </w:r>
    </w:p>
    <w:p w14:paraId="48318575" w14:textId="0CD7D08D" w:rsidR="00D275CD" w:rsidRPr="00A65F17" w:rsidRDefault="00D275CD" w:rsidP="00D275CD">
      <w:pPr>
        <w:pStyle w:val="Normal1"/>
        <w:spacing w:after="0" w:line="240" w:lineRule="auto"/>
        <w:ind w:firstLine="567"/>
        <w:jc w:val="both"/>
        <w:rPr>
          <w:rFonts w:ascii="Times New Roman" w:eastAsia="Times New Roman" w:hAnsi="Times New Roman" w:cs="Times New Roman"/>
          <w:b/>
          <w:bCs/>
          <w:sz w:val="24"/>
          <w:szCs w:val="24"/>
        </w:rPr>
      </w:pPr>
      <w:r w:rsidRPr="00A65F17">
        <w:rPr>
          <w:rFonts w:ascii="Times New Roman" w:eastAsia="Times New Roman" w:hAnsi="Times New Roman" w:cs="Times New Roman"/>
          <w:b/>
          <w:bCs/>
          <w:sz w:val="24"/>
          <w:szCs w:val="24"/>
        </w:rPr>
        <w:t xml:space="preserve">The Performance of Mutual Funds </w:t>
      </w:r>
      <w:r w:rsidR="00A65F17">
        <w:rPr>
          <w:rFonts w:ascii="Times New Roman" w:eastAsia="Times New Roman" w:hAnsi="Times New Roman" w:cs="Times New Roman"/>
          <w:b/>
          <w:bCs/>
          <w:sz w:val="24"/>
          <w:szCs w:val="24"/>
        </w:rPr>
        <w:t>i</w:t>
      </w:r>
      <w:r w:rsidRPr="00A65F17">
        <w:rPr>
          <w:rFonts w:ascii="Times New Roman" w:eastAsia="Times New Roman" w:hAnsi="Times New Roman" w:cs="Times New Roman"/>
          <w:b/>
          <w:bCs/>
          <w:sz w:val="24"/>
          <w:szCs w:val="24"/>
        </w:rPr>
        <w:t>s Based on Their Average Return and Risk.</w:t>
      </w:r>
    </w:p>
    <w:p w14:paraId="726895A0" w14:textId="15EBBC95" w:rsidR="00D275CD" w:rsidRDefault="00D275CD" w:rsidP="00690865">
      <w:pPr>
        <w:pStyle w:val="Normal1"/>
        <w:spacing w:after="0" w:line="240" w:lineRule="auto"/>
        <w:ind w:firstLine="567"/>
        <w:jc w:val="both"/>
        <w:rPr>
          <w:rFonts w:ascii="Times New Roman" w:eastAsia="Times New Roman" w:hAnsi="Times New Roman" w:cs="Times New Roman"/>
          <w:sz w:val="24"/>
          <w:szCs w:val="24"/>
        </w:rPr>
      </w:pPr>
      <w:r w:rsidRPr="00A65F17">
        <w:rPr>
          <w:rFonts w:ascii="Times New Roman" w:eastAsia="Times New Roman" w:hAnsi="Times New Roman" w:cs="Times New Roman"/>
          <w:sz w:val="24"/>
          <w:szCs w:val="24"/>
        </w:rPr>
        <w:t>The average return generated by the mutual fund portfolio can be compared to its market return (JCI) benchmark to determine mutual fund performance. According to Table 2, the average market return is positive for the months of February, April, June, July, and August. Capital protected funds and equity funds, on the other hand, follow a different path. The market's highest average return (JCI) is 0.73 percent, and the average return for equity funds is higher than the average return for capital protection funds, according to the average return. If mutual fund returns are compared with market returns, it is known that capital-protected funds outperform the market in March, April, and May, while other months are still below the market (underperform). Meanwhile, equity fund mutual funds outperformed the market in April and August and underperformed in additional months.</w:t>
      </w:r>
    </w:p>
    <w:p w14:paraId="0FAE6823" w14:textId="77777777" w:rsidR="00A65F17" w:rsidRPr="00A65F17" w:rsidRDefault="00A65F17" w:rsidP="00690865">
      <w:pPr>
        <w:pStyle w:val="Normal1"/>
        <w:spacing w:after="0" w:line="240" w:lineRule="auto"/>
        <w:ind w:firstLine="567"/>
        <w:jc w:val="both"/>
        <w:rPr>
          <w:i/>
          <w:iCs/>
          <w:sz w:val="24"/>
          <w:szCs w:val="24"/>
        </w:rPr>
      </w:pPr>
    </w:p>
    <w:p w14:paraId="314122E5" w14:textId="20A5B746" w:rsidR="00D275CD"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2</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8D372C" w:rsidRPr="00A65F17">
        <w:rPr>
          <w:rFonts w:ascii="Times New Roman" w:hAnsi="Times New Roman" w:cs="Times New Roman"/>
          <w:i w:val="0"/>
          <w:iCs w:val="0"/>
          <w:color w:val="auto"/>
          <w:sz w:val="24"/>
          <w:szCs w:val="24"/>
        </w:rPr>
        <w:t>A</w:t>
      </w:r>
      <w:r w:rsidR="00D275CD" w:rsidRPr="00A65F17">
        <w:rPr>
          <w:rFonts w:ascii="Times New Roman" w:hAnsi="Times New Roman" w:cs="Times New Roman"/>
          <w:i w:val="0"/>
          <w:iCs w:val="0"/>
          <w:color w:val="auto"/>
          <w:sz w:val="24"/>
          <w:szCs w:val="24"/>
        </w:rPr>
        <w:t>verage Return of Capital Protected Funds, Equity Funds, and Markets</w:t>
      </w:r>
    </w:p>
    <w:tbl>
      <w:tblPr>
        <w:tblStyle w:val="TableGrid"/>
        <w:tblW w:w="9108" w:type="dxa"/>
        <w:tblLayout w:type="fixed"/>
        <w:tblLook w:val="04A0" w:firstRow="1" w:lastRow="0" w:firstColumn="1" w:lastColumn="0" w:noHBand="0" w:noVBand="1"/>
      </w:tblPr>
      <w:tblGrid>
        <w:gridCol w:w="1638"/>
        <w:gridCol w:w="990"/>
        <w:gridCol w:w="900"/>
        <w:gridCol w:w="810"/>
        <w:gridCol w:w="900"/>
        <w:gridCol w:w="900"/>
        <w:gridCol w:w="900"/>
        <w:gridCol w:w="900"/>
        <w:gridCol w:w="1170"/>
      </w:tblGrid>
      <w:tr w:rsidR="00D275CD" w:rsidRPr="00A65F17" w14:paraId="3A7BBF15" w14:textId="77777777" w:rsidTr="006C528B">
        <w:tc>
          <w:tcPr>
            <w:tcW w:w="1638" w:type="dxa"/>
          </w:tcPr>
          <w:p w14:paraId="6D2408B8" w14:textId="77777777" w:rsidR="00D275CD" w:rsidRPr="00A65F17" w:rsidRDefault="00D275CD" w:rsidP="00A252D0">
            <w:pPr>
              <w:spacing w:after="0" w:line="240" w:lineRule="auto"/>
              <w:jc w:val="center"/>
              <w:rPr>
                <w:rFonts w:ascii="Times New Roman" w:hAnsi="Times New Roman" w:cs="Times New Roman"/>
                <w:i w:val="0"/>
                <w:iCs w:val="0"/>
              </w:rPr>
            </w:pPr>
          </w:p>
        </w:tc>
        <w:tc>
          <w:tcPr>
            <w:tcW w:w="990" w:type="dxa"/>
          </w:tcPr>
          <w:p w14:paraId="1A6F628C"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February</w:t>
            </w:r>
          </w:p>
        </w:tc>
        <w:tc>
          <w:tcPr>
            <w:tcW w:w="900" w:type="dxa"/>
          </w:tcPr>
          <w:p w14:paraId="3E245752"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March</w:t>
            </w:r>
          </w:p>
        </w:tc>
        <w:tc>
          <w:tcPr>
            <w:tcW w:w="810" w:type="dxa"/>
          </w:tcPr>
          <w:p w14:paraId="1336C30D"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April</w:t>
            </w:r>
          </w:p>
        </w:tc>
        <w:tc>
          <w:tcPr>
            <w:tcW w:w="900" w:type="dxa"/>
          </w:tcPr>
          <w:p w14:paraId="36E59088"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May</w:t>
            </w:r>
          </w:p>
        </w:tc>
        <w:tc>
          <w:tcPr>
            <w:tcW w:w="900" w:type="dxa"/>
          </w:tcPr>
          <w:p w14:paraId="1FE67DD6"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June</w:t>
            </w:r>
          </w:p>
        </w:tc>
        <w:tc>
          <w:tcPr>
            <w:tcW w:w="900" w:type="dxa"/>
          </w:tcPr>
          <w:p w14:paraId="687638B5"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July</w:t>
            </w:r>
          </w:p>
        </w:tc>
        <w:tc>
          <w:tcPr>
            <w:tcW w:w="900" w:type="dxa"/>
          </w:tcPr>
          <w:p w14:paraId="1A6A59EA"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August</w:t>
            </w:r>
          </w:p>
        </w:tc>
        <w:tc>
          <w:tcPr>
            <w:tcW w:w="1170" w:type="dxa"/>
          </w:tcPr>
          <w:p w14:paraId="7D081788"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Average</w:t>
            </w:r>
          </w:p>
        </w:tc>
      </w:tr>
      <w:tr w:rsidR="00D275CD" w:rsidRPr="00A65F17" w14:paraId="5BAA3406" w14:textId="77777777" w:rsidTr="006C528B">
        <w:tc>
          <w:tcPr>
            <w:tcW w:w="1638" w:type="dxa"/>
          </w:tcPr>
          <w:p w14:paraId="385E5A14"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Capital Protected Fund</w:t>
            </w:r>
          </w:p>
        </w:tc>
        <w:tc>
          <w:tcPr>
            <w:tcW w:w="990" w:type="dxa"/>
          </w:tcPr>
          <w:p w14:paraId="16B275C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-0.0036</w:t>
            </w:r>
          </w:p>
        </w:tc>
        <w:tc>
          <w:tcPr>
            <w:tcW w:w="900" w:type="dxa"/>
          </w:tcPr>
          <w:p w14:paraId="575C2156"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-0.0108</w:t>
            </w:r>
          </w:p>
        </w:tc>
        <w:tc>
          <w:tcPr>
            <w:tcW w:w="810" w:type="dxa"/>
          </w:tcPr>
          <w:p w14:paraId="0477D13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0.0035</w:t>
            </w:r>
          </w:p>
        </w:tc>
        <w:tc>
          <w:tcPr>
            <w:tcW w:w="900" w:type="dxa"/>
          </w:tcPr>
          <w:p w14:paraId="03A2C158"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-0.0014</w:t>
            </w:r>
          </w:p>
        </w:tc>
        <w:tc>
          <w:tcPr>
            <w:tcW w:w="900" w:type="dxa"/>
          </w:tcPr>
          <w:p w14:paraId="15DFF89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-0.0138</w:t>
            </w:r>
          </w:p>
        </w:tc>
        <w:tc>
          <w:tcPr>
            <w:tcW w:w="900" w:type="dxa"/>
          </w:tcPr>
          <w:p w14:paraId="4C5014A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-0.0050</w:t>
            </w:r>
          </w:p>
        </w:tc>
        <w:tc>
          <w:tcPr>
            <w:tcW w:w="900" w:type="dxa"/>
          </w:tcPr>
          <w:p w14:paraId="3735A1D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-0.0133</w:t>
            </w:r>
          </w:p>
        </w:tc>
        <w:tc>
          <w:tcPr>
            <w:tcW w:w="1170" w:type="dxa"/>
          </w:tcPr>
          <w:p w14:paraId="1F8F688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-0.0064</w:t>
            </w:r>
          </w:p>
        </w:tc>
      </w:tr>
      <w:tr w:rsidR="00D275CD" w:rsidRPr="00A65F17" w14:paraId="0D3B497E" w14:textId="77777777" w:rsidTr="006C528B">
        <w:tc>
          <w:tcPr>
            <w:tcW w:w="1638" w:type="dxa"/>
          </w:tcPr>
          <w:p w14:paraId="2B9AA55E"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Equity Fund</w:t>
            </w:r>
          </w:p>
        </w:tc>
        <w:tc>
          <w:tcPr>
            <w:tcW w:w="990" w:type="dxa"/>
          </w:tcPr>
          <w:p w14:paraId="66C6E329"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0.0367</w:t>
            </w:r>
          </w:p>
        </w:tc>
        <w:tc>
          <w:tcPr>
            <w:tcW w:w="900" w:type="dxa"/>
          </w:tcPr>
          <w:p w14:paraId="770577D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-0.0415</w:t>
            </w:r>
          </w:p>
        </w:tc>
        <w:tc>
          <w:tcPr>
            <w:tcW w:w="810" w:type="dxa"/>
          </w:tcPr>
          <w:p w14:paraId="27D2FB59"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0.0031</w:t>
            </w:r>
          </w:p>
        </w:tc>
        <w:tc>
          <w:tcPr>
            <w:tcW w:w="900" w:type="dxa"/>
          </w:tcPr>
          <w:p w14:paraId="64015E9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-0.0086</w:t>
            </w:r>
          </w:p>
        </w:tc>
        <w:tc>
          <w:tcPr>
            <w:tcW w:w="900" w:type="dxa"/>
          </w:tcPr>
          <w:p w14:paraId="2395EDB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-0.0198</w:t>
            </w:r>
          </w:p>
        </w:tc>
        <w:tc>
          <w:tcPr>
            <w:tcW w:w="900" w:type="dxa"/>
          </w:tcPr>
          <w:p w14:paraId="49CC734C"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0.0032</w:t>
            </w:r>
          </w:p>
        </w:tc>
        <w:tc>
          <w:tcPr>
            <w:tcW w:w="900" w:type="dxa"/>
          </w:tcPr>
          <w:p w14:paraId="436FF5D6"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0.0257</w:t>
            </w:r>
          </w:p>
        </w:tc>
        <w:tc>
          <w:tcPr>
            <w:tcW w:w="1170" w:type="dxa"/>
          </w:tcPr>
          <w:p w14:paraId="3936FAAB"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-0.0002</w:t>
            </w:r>
          </w:p>
        </w:tc>
      </w:tr>
      <w:tr w:rsidR="00D275CD" w:rsidRPr="00A65F17" w14:paraId="036EA31C" w14:textId="77777777" w:rsidTr="006C528B">
        <w:tc>
          <w:tcPr>
            <w:tcW w:w="1638" w:type="dxa"/>
          </w:tcPr>
          <w:p w14:paraId="367F124F"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JCI</w:t>
            </w:r>
          </w:p>
        </w:tc>
        <w:tc>
          <w:tcPr>
            <w:tcW w:w="990" w:type="dxa"/>
          </w:tcPr>
          <w:p w14:paraId="43EE28A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0.0647</w:t>
            </w:r>
          </w:p>
        </w:tc>
        <w:tc>
          <w:tcPr>
            <w:tcW w:w="900" w:type="dxa"/>
          </w:tcPr>
          <w:p w14:paraId="229990B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-0.0411</w:t>
            </w:r>
          </w:p>
        </w:tc>
        <w:tc>
          <w:tcPr>
            <w:tcW w:w="810" w:type="dxa"/>
          </w:tcPr>
          <w:p w14:paraId="7851895B"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0.0017</w:t>
            </w:r>
          </w:p>
        </w:tc>
        <w:tc>
          <w:tcPr>
            <w:tcW w:w="900" w:type="dxa"/>
          </w:tcPr>
          <w:p w14:paraId="6B0F4FD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-0.0080</w:t>
            </w:r>
          </w:p>
        </w:tc>
        <w:tc>
          <w:tcPr>
            <w:tcW w:w="900" w:type="dxa"/>
          </w:tcPr>
          <w:p w14:paraId="45768E3F"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0.0064</w:t>
            </w:r>
          </w:p>
        </w:tc>
        <w:tc>
          <w:tcPr>
            <w:tcW w:w="900" w:type="dxa"/>
          </w:tcPr>
          <w:p w14:paraId="703BE81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0.0141</w:t>
            </w:r>
          </w:p>
        </w:tc>
        <w:tc>
          <w:tcPr>
            <w:tcW w:w="900" w:type="dxa"/>
          </w:tcPr>
          <w:p w14:paraId="4542C49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0.0132</w:t>
            </w:r>
          </w:p>
        </w:tc>
        <w:tc>
          <w:tcPr>
            <w:tcW w:w="1170" w:type="dxa"/>
          </w:tcPr>
          <w:p w14:paraId="2D7BDA3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0.0073</w:t>
            </w:r>
          </w:p>
        </w:tc>
      </w:tr>
      <w:tr w:rsidR="00D275CD" w:rsidRPr="00A65F17" w14:paraId="2E18C033" w14:textId="77777777" w:rsidTr="006C528B">
        <w:tc>
          <w:tcPr>
            <w:tcW w:w="1638" w:type="dxa"/>
          </w:tcPr>
          <w:p w14:paraId="46740EB6"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BI Rate</w:t>
            </w:r>
          </w:p>
        </w:tc>
        <w:tc>
          <w:tcPr>
            <w:tcW w:w="990" w:type="dxa"/>
            <w:vAlign w:val="bottom"/>
          </w:tcPr>
          <w:p w14:paraId="6D65360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5ED6A98B"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810" w:type="dxa"/>
            <w:vAlign w:val="bottom"/>
          </w:tcPr>
          <w:p w14:paraId="6C33353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038CE176"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4EB23020"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24ED27AC"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3917C87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1170" w:type="dxa"/>
            <w:vAlign w:val="bottom"/>
          </w:tcPr>
          <w:p w14:paraId="6072C5B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r>
    </w:tbl>
    <w:p w14:paraId="29B4B46F" w14:textId="77777777" w:rsidR="008D372C" w:rsidRPr="00A65F17" w:rsidRDefault="008D372C" w:rsidP="008D372C">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06922485" w14:textId="77777777" w:rsidR="00D275CD" w:rsidRPr="0041789E" w:rsidRDefault="00D275CD" w:rsidP="0041789E">
      <w:pPr>
        <w:spacing w:after="0" w:line="240" w:lineRule="auto"/>
        <w:rPr>
          <w:rFonts w:ascii="Times New Roman" w:hAnsi="Times New Roman" w:cs="Times New Roman"/>
          <w:i w:val="0"/>
          <w:iCs w:val="0"/>
          <w:sz w:val="24"/>
          <w:szCs w:val="24"/>
        </w:rPr>
      </w:pPr>
    </w:p>
    <w:p w14:paraId="2F8FBA70" w14:textId="30DDCF8C" w:rsidR="00D275CD"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When a comparison is made with the BI Rate, it is known that capital-protected funds outperformed risk-free investments in April, while other months were still below risk-free investments (underperform). Meanwhile, equity funds outperformed risk-free investments in February, July, August, and additional underperforming months. Based on Table 3, it is known that, on average, an equity fund has a lower portfolio risk than the portfolio risk of a capital-protected fund. However, the capital-protected fund has less market risk than equity funds. By comparing portfolio risk with market risk, it can be seen that the capital-protected fund outperformed the market in the April period, and the rest underperformed the market. </w:t>
      </w:r>
      <w:r w:rsidRPr="00A65F17">
        <w:rPr>
          <w:rFonts w:ascii="Times New Roman" w:hAnsi="Times New Roman" w:cs="Times New Roman"/>
          <w:i w:val="0"/>
          <w:iCs w:val="0"/>
          <w:sz w:val="24"/>
          <w:szCs w:val="24"/>
        </w:rPr>
        <w:lastRenderedPageBreak/>
        <w:t>Meanwhile, equity funds outperformed the market in March, April, June, and August, and the rest underperformed the market.</w:t>
      </w:r>
    </w:p>
    <w:p w14:paraId="486FF69D" w14:textId="77777777" w:rsidR="00A65F17" w:rsidRPr="00A65F17" w:rsidRDefault="00A65F17" w:rsidP="00D275CD">
      <w:pPr>
        <w:spacing w:after="0" w:line="240" w:lineRule="auto"/>
        <w:ind w:firstLine="720"/>
        <w:jc w:val="both"/>
        <w:rPr>
          <w:rFonts w:ascii="Times New Roman" w:hAnsi="Times New Roman" w:cs="Times New Roman"/>
          <w:i w:val="0"/>
          <w:iCs w:val="0"/>
          <w:sz w:val="24"/>
          <w:szCs w:val="24"/>
        </w:rPr>
      </w:pPr>
    </w:p>
    <w:p w14:paraId="1563CD7C" w14:textId="4EED1F84" w:rsidR="00D275CD"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3</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8D372C" w:rsidRPr="00A65F17">
        <w:rPr>
          <w:rFonts w:ascii="Times New Roman" w:hAnsi="Times New Roman" w:cs="Times New Roman"/>
          <w:i w:val="0"/>
          <w:iCs w:val="0"/>
          <w:color w:val="auto"/>
          <w:sz w:val="24"/>
          <w:szCs w:val="24"/>
        </w:rPr>
        <w:t>M</w:t>
      </w:r>
      <w:r w:rsidR="00D275CD" w:rsidRPr="00A65F17">
        <w:rPr>
          <w:rFonts w:ascii="Times New Roman" w:hAnsi="Times New Roman" w:cs="Times New Roman"/>
          <w:i w:val="0"/>
          <w:iCs w:val="0"/>
          <w:color w:val="auto"/>
          <w:sz w:val="24"/>
          <w:szCs w:val="24"/>
        </w:rPr>
        <w:t>utual Fund Risk Comparison.</w:t>
      </w:r>
    </w:p>
    <w:tbl>
      <w:tblPr>
        <w:tblStyle w:val="TableGrid"/>
        <w:tblW w:w="9108" w:type="dxa"/>
        <w:tblLayout w:type="fixed"/>
        <w:tblLook w:val="04A0" w:firstRow="1" w:lastRow="0" w:firstColumn="1" w:lastColumn="0" w:noHBand="0" w:noVBand="1"/>
      </w:tblPr>
      <w:tblGrid>
        <w:gridCol w:w="1728"/>
        <w:gridCol w:w="990"/>
        <w:gridCol w:w="900"/>
        <w:gridCol w:w="810"/>
        <w:gridCol w:w="900"/>
        <w:gridCol w:w="900"/>
        <w:gridCol w:w="900"/>
        <w:gridCol w:w="990"/>
        <w:gridCol w:w="990"/>
      </w:tblGrid>
      <w:tr w:rsidR="00D275CD" w:rsidRPr="00A65F17" w14:paraId="26F459E5" w14:textId="77777777" w:rsidTr="006C528B">
        <w:tc>
          <w:tcPr>
            <w:tcW w:w="1728" w:type="dxa"/>
          </w:tcPr>
          <w:p w14:paraId="12A68A24" w14:textId="77777777" w:rsidR="00D275CD" w:rsidRPr="00A65F17" w:rsidRDefault="00D275CD" w:rsidP="00A252D0">
            <w:pPr>
              <w:spacing w:after="0" w:line="240" w:lineRule="auto"/>
              <w:jc w:val="center"/>
              <w:rPr>
                <w:rFonts w:ascii="Times New Roman" w:hAnsi="Times New Roman" w:cs="Times New Roman"/>
                <w:i w:val="0"/>
                <w:iCs w:val="0"/>
              </w:rPr>
            </w:pPr>
          </w:p>
        </w:tc>
        <w:tc>
          <w:tcPr>
            <w:tcW w:w="990" w:type="dxa"/>
          </w:tcPr>
          <w:p w14:paraId="1A0E42A6"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February</w:t>
            </w:r>
          </w:p>
        </w:tc>
        <w:tc>
          <w:tcPr>
            <w:tcW w:w="900" w:type="dxa"/>
          </w:tcPr>
          <w:p w14:paraId="301F9D4B"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March</w:t>
            </w:r>
          </w:p>
        </w:tc>
        <w:tc>
          <w:tcPr>
            <w:tcW w:w="810" w:type="dxa"/>
          </w:tcPr>
          <w:p w14:paraId="47E2088F"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April</w:t>
            </w:r>
          </w:p>
        </w:tc>
        <w:tc>
          <w:tcPr>
            <w:tcW w:w="900" w:type="dxa"/>
          </w:tcPr>
          <w:p w14:paraId="456F2646"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May</w:t>
            </w:r>
          </w:p>
        </w:tc>
        <w:tc>
          <w:tcPr>
            <w:tcW w:w="900" w:type="dxa"/>
          </w:tcPr>
          <w:p w14:paraId="541C1A7A"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June</w:t>
            </w:r>
          </w:p>
        </w:tc>
        <w:tc>
          <w:tcPr>
            <w:tcW w:w="900" w:type="dxa"/>
          </w:tcPr>
          <w:p w14:paraId="5530AC5C"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July</w:t>
            </w:r>
          </w:p>
        </w:tc>
        <w:tc>
          <w:tcPr>
            <w:tcW w:w="990" w:type="dxa"/>
          </w:tcPr>
          <w:p w14:paraId="475130CB"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August</w:t>
            </w:r>
          </w:p>
        </w:tc>
        <w:tc>
          <w:tcPr>
            <w:tcW w:w="990" w:type="dxa"/>
          </w:tcPr>
          <w:p w14:paraId="10C9C0C1"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Average</w:t>
            </w:r>
          </w:p>
        </w:tc>
      </w:tr>
      <w:tr w:rsidR="00D275CD" w:rsidRPr="00A65F17" w14:paraId="0D224511" w14:textId="77777777" w:rsidTr="006C528B">
        <w:tc>
          <w:tcPr>
            <w:tcW w:w="1728" w:type="dxa"/>
          </w:tcPr>
          <w:p w14:paraId="07297F5C"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Portfolio risk:</w:t>
            </w:r>
          </w:p>
          <w:p w14:paraId="5E07A5BE"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Capital Protected Fund</w:t>
            </w:r>
          </w:p>
        </w:tc>
        <w:tc>
          <w:tcPr>
            <w:tcW w:w="990" w:type="dxa"/>
          </w:tcPr>
          <w:p w14:paraId="666E422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0.0394</w:t>
            </w:r>
          </w:p>
        </w:tc>
        <w:tc>
          <w:tcPr>
            <w:tcW w:w="900" w:type="dxa"/>
          </w:tcPr>
          <w:p w14:paraId="2EEC29EF"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0.0769</w:t>
            </w:r>
          </w:p>
        </w:tc>
        <w:tc>
          <w:tcPr>
            <w:tcW w:w="810" w:type="dxa"/>
          </w:tcPr>
          <w:p w14:paraId="35117AE9"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0.1423</w:t>
            </w:r>
          </w:p>
        </w:tc>
        <w:tc>
          <w:tcPr>
            <w:tcW w:w="900" w:type="dxa"/>
          </w:tcPr>
          <w:p w14:paraId="7AA50240"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0.1112</w:t>
            </w:r>
          </w:p>
        </w:tc>
        <w:tc>
          <w:tcPr>
            <w:tcW w:w="900" w:type="dxa"/>
          </w:tcPr>
          <w:p w14:paraId="275447A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0.0853</w:t>
            </w:r>
          </w:p>
        </w:tc>
        <w:tc>
          <w:tcPr>
            <w:tcW w:w="900" w:type="dxa"/>
          </w:tcPr>
          <w:p w14:paraId="674D11C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0.0638</w:t>
            </w:r>
          </w:p>
        </w:tc>
        <w:tc>
          <w:tcPr>
            <w:tcW w:w="990" w:type="dxa"/>
          </w:tcPr>
          <w:p w14:paraId="12AEF54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0.0843</w:t>
            </w:r>
          </w:p>
        </w:tc>
        <w:tc>
          <w:tcPr>
            <w:tcW w:w="990" w:type="dxa"/>
          </w:tcPr>
          <w:p w14:paraId="5D04684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0.0862</w:t>
            </w:r>
          </w:p>
        </w:tc>
      </w:tr>
      <w:tr w:rsidR="00D275CD" w:rsidRPr="00A65F17" w14:paraId="2441BDE1" w14:textId="77777777" w:rsidTr="006C528B">
        <w:tc>
          <w:tcPr>
            <w:tcW w:w="1728" w:type="dxa"/>
          </w:tcPr>
          <w:p w14:paraId="76C050A6"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Portfolio risk: Equity Fund</w:t>
            </w:r>
          </w:p>
        </w:tc>
        <w:tc>
          <w:tcPr>
            <w:tcW w:w="990" w:type="dxa"/>
          </w:tcPr>
          <w:p w14:paraId="4AE2E85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0.0920</w:t>
            </w:r>
          </w:p>
        </w:tc>
        <w:tc>
          <w:tcPr>
            <w:tcW w:w="900" w:type="dxa"/>
          </w:tcPr>
          <w:p w14:paraId="7DF82B2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0.1001</w:t>
            </w:r>
          </w:p>
        </w:tc>
        <w:tc>
          <w:tcPr>
            <w:tcW w:w="810" w:type="dxa"/>
          </w:tcPr>
          <w:p w14:paraId="349C069B"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0.0727</w:t>
            </w:r>
          </w:p>
        </w:tc>
        <w:tc>
          <w:tcPr>
            <w:tcW w:w="900" w:type="dxa"/>
          </w:tcPr>
          <w:p w14:paraId="60B62BF8"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0.0444</w:t>
            </w:r>
          </w:p>
        </w:tc>
        <w:tc>
          <w:tcPr>
            <w:tcW w:w="900" w:type="dxa"/>
          </w:tcPr>
          <w:p w14:paraId="47C1A3C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0.0831</w:t>
            </w:r>
          </w:p>
        </w:tc>
        <w:tc>
          <w:tcPr>
            <w:tcW w:w="900" w:type="dxa"/>
          </w:tcPr>
          <w:p w14:paraId="6AB41B1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0.0477</w:t>
            </w:r>
          </w:p>
        </w:tc>
        <w:tc>
          <w:tcPr>
            <w:tcW w:w="990" w:type="dxa"/>
          </w:tcPr>
          <w:p w14:paraId="1A7F7A5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0.0866</w:t>
            </w:r>
          </w:p>
        </w:tc>
        <w:tc>
          <w:tcPr>
            <w:tcW w:w="990" w:type="dxa"/>
          </w:tcPr>
          <w:p w14:paraId="27849480"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0.0752</w:t>
            </w:r>
          </w:p>
        </w:tc>
      </w:tr>
      <w:tr w:rsidR="00D275CD" w:rsidRPr="00A65F17" w14:paraId="35BCDEF5" w14:textId="77777777" w:rsidTr="006C528B">
        <w:tc>
          <w:tcPr>
            <w:tcW w:w="1728" w:type="dxa"/>
          </w:tcPr>
          <w:p w14:paraId="091E303E"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Market risk:</w:t>
            </w:r>
          </w:p>
          <w:p w14:paraId="662D6348"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Capital Protected Fund</w:t>
            </w:r>
          </w:p>
        </w:tc>
        <w:tc>
          <w:tcPr>
            <w:tcW w:w="990" w:type="dxa"/>
          </w:tcPr>
          <w:p w14:paraId="7646BA2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0.0001</w:t>
            </w:r>
          </w:p>
        </w:tc>
        <w:tc>
          <w:tcPr>
            <w:tcW w:w="900" w:type="dxa"/>
          </w:tcPr>
          <w:p w14:paraId="1260C48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-0.0421</w:t>
            </w:r>
          </w:p>
        </w:tc>
        <w:tc>
          <w:tcPr>
            <w:tcW w:w="810" w:type="dxa"/>
          </w:tcPr>
          <w:p w14:paraId="255F94C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0.1811</w:t>
            </w:r>
          </w:p>
        </w:tc>
        <w:tc>
          <w:tcPr>
            <w:tcW w:w="900" w:type="dxa"/>
          </w:tcPr>
          <w:p w14:paraId="5EDA8EAC"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-0.0367</w:t>
            </w:r>
          </w:p>
        </w:tc>
        <w:tc>
          <w:tcPr>
            <w:tcW w:w="900" w:type="dxa"/>
          </w:tcPr>
          <w:p w14:paraId="01A03F2B"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-0.0742</w:t>
            </w:r>
          </w:p>
        </w:tc>
        <w:tc>
          <w:tcPr>
            <w:tcW w:w="900" w:type="dxa"/>
          </w:tcPr>
          <w:p w14:paraId="7BA4108F"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0.0121</w:t>
            </w:r>
          </w:p>
        </w:tc>
        <w:tc>
          <w:tcPr>
            <w:tcW w:w="990" w:type="dxa"/>
          </w:tcPr>
          <w:p w14:paraId="601C4A2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-0.0438</w:t>
            </w:r>
          </w:p>
        </w:tc>
        <w:tc>
          <w:tcPr>
            <w:tcW w:w="990" w:type="dxa"/>
          </w:tcPr>
          <w:p w14:paraId="385526C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-0.0005</w:t>
            </w:r>
          </w:p>
        </w:tc>
      </w:tr>
      <w:tr w:rsidR="00D275CD" w:rsidRPr="00A65F17" w14:paraId="7413B410" w14:textId="77777777" w:rsidTr="006C528B">
        <w:tc>
          <w:tcPr>
            <w:tcW w:w="1728" w:type="dxa"/>
          </w:tcPr>
          <w:p w14:paraId="29C227DC"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Market risk: Equity Fund</w:t>
            </w:r>
          </w:p>
        </w:tc>
        <w:tc>
          <w:tcPr>
            <w:tcW w:w="990" w:type="dxa"/>
          </w:tcPr>
          <w:p w14:paraId="187FE80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0.0413</w:t>
            </w:r>
          </w:p>
        </w:tc>
        <w:tc>
          <w:tcPr>
            <w:tcW w:w="900" w:type="dxa"/>
          </w:tcPr>
          <w:p w14:paraId="7DF45A5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0.1793</w:t>
            </w:r>
          </w:p>
        </w:tc>
        <w:tc>
          <w:tcPr>
            <w:tcW w:w="810" w:type="dxa"/>
          </w:tcPr>
          <w:p w14:paraId="223A654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0.7158</w:t>
            </w:r>
          </w:p>
        </w:tc>
        <w:tc>
          <w:tcPr>
            <w:tcW w:w="900" w:type="dxa"/>
          </w:tcPr>
          <w:p w14:paraId="354BBB3E"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0.0270</w:t>
            </w:r>
          </w:p>
        </w:tc>
        <w:tc>
          <w:tcPr>
            <w:tcW w:w="900" w:type="dxa"/>
          </w:tcPr>
          <w:p w14:paraId="355B15B0"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-1.2753</w:t>
            </w:r>
          </w:p>
        </w:tc>
        <w:tc>
          <w:tcPr>
            <w:tcW w:w="900" w:type="dxa"/>
          </w:tcPr>
          <w:p w14:paraId="025BC47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-0.0402</w:t>
            </w:r>
          </w:p>
        </w:tc>
        <w:tc>
          <w:tcPr>
            <w:tcW w:w="990" w:type="dxa"/>
          </w:tcPr>
          <w:p w14:paraId="158C3C8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0.5451</w:t>
            </w:r>
          </w:p>
        </w:tc>
        <w:tc>
          <w:tcPr>
            <w:tcW w:w="990" w:type="dxa"/>
          </w:tcPr>
          <w:p w14:paraId="3FF9FAB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0.0276</w:t>
            </w:r>
          </w:p>
        </w:tc>
      </w:tr>
    </w:tbl>
    <w:p w14:paraId="577F1C3E" w14:textId="77777777" w:rsidR="008D372C" w:rsidRPr="00A65F17" w:rsidRDefault="008D372C" w:rsidP="008D372C">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32EFC080" w14:textId="77777777" w:rsidR="00D275CD" w:rsidRPr="00A65F17" w:rsidRDefault="00D275CD" w:rsidP="00D275CD">
      <w:pPr>
        <w:spacing w:after="0" w:line="240" w:lineRule="auto"/>
        <w:jc w:val="both"/>
        <w:rPr>
          <w:rFonts w:ascii="Times New Roman" w:hAnsi="Times New Roman" w:cs="Times New Roman"/>
          <w:sz w:val="24"/>
          <w:szCs w:val="24"/>
        </w:rPr>
      </w:pPr>
    </w:p>
    <w:p w14:paraId="32B8BD8D" w14:textId="77777777" w:rsidR="00D275CD" w:rsidRPr="00A65F17" w:rsidRDefault="00D275CD" w:rsidP="00D275CD">
      <w:pPr>
        <w:spacing w:after="0" w:line="240" w:lineRule="auto"/>
        <w:ind w:firstLine="720"/>
        <w:jc w:val="both"/>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Sharpe, Treynor, and Jensen Indexes Were Used to Calculate Mutual Fund Performance.</w:t>
      </w:r>
    </w:p>
    <w:p w14:paraId="744C95E6" w14:textId="390169BA" w:rsidR="00D275CD" w:rsidRPr="00A65F17"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According to the Sharpe index value</w:t>
      </w:r>
      <w:r w:rsidR="000B3213">
        <w:rPr>
          <w:rFonts w:ascii="Times New Roman" w:hAnsi="Times New Roman" w:cs="Times New Roman"/>
          <w:i w:val="0"/>
          <w:iCs w:val="0"/>
          <w:sz w:val="24"/>
          <w:szCs w:val="24"/>
        </w:rPr>
        <w:t xml:space="preserve"> in Table 4</w:t>
      </w:r>
      <w:r w:rsidRPr="00A65F17">
        <w:rPr>
          <w:rFonts w:ascii="Times New Roman" w:hAnsi="Times New Roman" w:cs="Times New Roman"/>
          <w:i w:val="0"/>
          <w:iCs w:val="0"/>
          <w:sz w:val="24"/>
          <w:szCs w:val="24"/>
        </w:rPr>
        <w:t xml:space="preserve">, equities funds outperform capital-protected funds on average. From February to August, the capital-protected fund had a negative return, but it nevertheless outperformed equity funds in March, May, June, and July. The performance of the equities fund was favorable in April and August but negative in the remaining months. Despite the negative value, equities funds outperformed capital-protected funds in February and August. According to Hamid &amp; </w:t>
      </w:r>
      <w:proofErr w:type="spellStart"/>
      <w:r w:rsidRPr="00A65F17">
        <w:rPr>
          <w:rFonts w:ascii="Times New Roman" w:hAnsi="Times New Roman" w:cs="Times New Roman"/>
          <w:i w:val="0"/>
          <w:iCs w:val="0"/>
          <w:sz w:val="24"/>
          <w:szCs w:val="24"/>
        </w:rPr>
        <w:t>Cahyadi</w:t>
      </w:r>
      <w:proofErr w:type="spellEnd"/>
      <w:r w:rsidRPr="00A65F17">
        <w:rPr>
          <w:rFonts w:ascii="Times New Roman" w:hAnsi="Times New Roman" w:cs="Times New Roman"/>
          <w:i w:val="0"/>
          <w:iCs w:val="0"/>
          <w:sz w:val="24"/>
          <w:szCs w:val="24"/>
        </w:rPr>
        <w:t xml:space="preserve"> in </w:t>
      </w:r>
      <w:proofErr w:type="spellStart"/>
      <w:r w:rsidRPr="00A65F17">
        <w:rPr>
          <w:rFonts w:ascii="Times New Roman" w:hAnsi="Times New Roman" w:cs="Times New Roman"/>
          <w:i w:val="0"/>
          <w:iCs w:val="0"/>
          <w:sz w:val="24"/>
          <w:szCs w:val="24"/>
        </w:rPr>
        <w:t>Pratomo</w:t>
      </w:r>
      <w:proofErr w:type="spellEnd"/>
      <w:r w:rsidRPr="00A65F17">
        <w:rPr>
          <w:rFonts w:ascii="Times New Roman" w:hAnsi="Times New Roman" w:cs="Times New Roman"/>
          <w:i w:val="0"/>
          <w:iCs w:val="0"/>
          <w:sz w:val="24"/>
          <w:szCs w:val="24"/>
        </w:rPr>
        <w:t xml:space="preserve"> (2019), investment in mutual funds carries risks, but it is predicted to provide higher investment returns than risk-free investments. Sharpe calculates how much extra investment returns (risk premium) are earned for each unit of risk incurred. According to </w:t>
      </w:r>
      <w:proofErr w:type="spellStart"/>
      <w:r w:rsidRPr="00A65F17">
        <w:rPr>
          <w:rFonts w:ascii="Times New Roman" w:hAnsi="Times New Roman" w:cs="Times New Roman"/>
          <w:i w:val="0"/>
          <w:iCs w:val="0"/>
          <w:sz w:val="24"/>
          <w:szCs w:val="24"/>
        </w:rPr>
        <w:t>Rumintang</w:t>
      </w:r>
      <w:proofErr w:type="spellEnd"/>
      <w:r w:rsidRPr="00A65F17">
        <w:rPr>
          <w:rFonts w:ascii="Times New Roman" w:hAnsi="Times New Roman" w:cs="Times New Roman"/>
          <w:i w:val="0"/>
          <w:iCs w:val="0"/>
          <w:sz w:val="24"/>
          <w:szCs w:val="24"/>
        </w:rPr>
        <w:t xml:space="preserve"> &amp; </w:t>
      </w:r>
      <w:proofErr w:type="spellStart"/>
      <w:r w:rsidRPr="00A65F17">
        <w:rPr>
          <w:rFonts w:ascii="Times New Roman" w:hAnsi="Times New Roman" w:cs="Times New Roman"/>
          <w:i w:val="0"/>
          <w:iCs w:val="0"/>
          <w:sz w:val="24"/>
          <w:szCs w:val="24"/>
        </w:rPr>
        <w:t>Azhari</w:t>
      </w:r>
      <w:proofErr w:type="spellEnd"/>
      <w:r w:rsidRPr="00A65F17">
        <w:rPr>
          <w:rFonts w:ascii="Times New Roman" w:hAnsi="Times New Roman" w:cs="Times New Roman"/>
          <w:i w:val="0"/>
          <w:iCs w:val="0"/>
          <w:sz w:val="24"/>
          <w:szCs w:val="24"/>
        </w:rPr>
        <w:t xml:space="preserve"> (2015), this positive number in Sharpe shows that mutual funds' rates of return are higher than the risk-free rate of return, in this case, Indonesia Bank Certificates (SBI) and Indonesia Sharia Bank Certificates (SBIS).</w:t>
      </w:r>
    </w:p>
    <w:p w14:paraId="391F83ED" w14:textId="0A54CD30" w:rsidR="00D275CD"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If a comparison is made between capital-protected funds and equity funds with the JCI, it is known that equity funds outperformed the market in February and August. Meanwhile, no capital-protected funds exceed the market performance. If a comparison is made between capital-protected funds and equity funds with the BI rate, it is known that equity funds have higher performance than risk-free investments in February and August. Meanwhile, no capital-protected funds exceed risk-free investment performance.</w:t>
      </w:r>
    </w:p>
    <w:p w14:paraId="72507058" w14:textId="77777777" w:rsidR="00A65F17" w:rsidRPr="00A65F17" w:rsidRDefault="00A65F17" w:rsidP="00D275CD">
      <w:pPr>
        <w:spacing w:after="0" w:line="240" w:lineRule="auto"/>
        <w:ind w:firstLine="720"/>
        <w:jc w:val="both"/>
        <w:rPr>
          <w:rFonts w:ascii="Times New Roman" w:hAnsi="Times New Roman" w:cs="Times New Roman"/>
          <w:i w:val="0"/>
          <w:iCs w:val="0"/>
          <w:sz w:val="24"/>
          <w:szCs w:val="24"/>
        </w:rPr>
      </w:pPr>
    </w:p>
    <w:p w14:paraId="05B49977" w14:textId="7DDCD6F4" w:rsidR="00D275CD"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4</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D275CD" w:rsidRPr="00A65F17">
        <w:rPr>
          <w:rFonts w:ascii="Times New Roman" w:hAnsi="Times New Roman" w:cs="Times New Roman"/>
          <w:i w:val="0"/>
          <w:iCs w:val="0"/>
          <w:color w:val="auto"/>
          <w:sz w:val="24"/>
          <w:szCs w:val="24"/>
        </w:rPr>
        <w:t>Sharpe Index Mutual Funds</w:t>
      </w:r>
    </w:p>
    <w:tbl>
      <w:tblPr>
        <w:tblStyle w:val="TableGrid"/>
        <w:tblW w:w="9108" w:type="dxa"/>
        <w:tblLayout w:type="fixed"/>
        <w:tblLook w:val="04A0" w:firstRow="1" w:lastRow="0" w:firstColumn="1" w:lastColumn="0" w:noHBand="0" w:noVBand="1"/>
      </w:tblPr>
      <w:tblGrid>
        <w:gridCol w:w="1638"/>
        <w:gridCol w:w="990"/>
        <w:gridCol w:w="900"/>
        <w:gridCol w:w="900"/>
        <w:gridCol w:w="900"/>
        <w:gridCol w:w="990"/>
        <w:gridCol w:w="990"/>
        <w:gridCol w:w="900"/>
        <w:gridCol w:w="900"/>
      </w:tblGrid>
      <w:tr w:rsidR="00D275CD" w:rsidRPr="00A65F17" w14:paraId="72439EB3" w14:textId="77777777" w:rsidTr="006C528B">
        <w:tc>
          <w:tcPr>
            <w:tcW w:w="1638" w:type="dxa"/>
          </w:tcPr>
          <w:p w14:paraId="713B0822" w14:textId="77777777" w:rsidR="00D275CD" w:rsidRPr="00A65F17" w:rsidRDefault="00D275CD" w:rsidP="00A252D0">
            <w:pPr>
              <w:spacing w:after="0" w:line="240" w:lineRule="auto"/>
              <w:jc w:val="center"/>
              <w:rPr>
                <w:rFonts w:ascii="Times New Roman" w:hAnsi="Times New Roman" w:cs="Times New Roman"/>
                <w:i w:val="0"/>
                <w:iCs w:val="0"/>
              </w:rPr>
            </w:pPr>
          </w:p>
        </w:tc>
        <w:tc>
          <w:tcPr>
            <w:tcW w:w="990" w:type="dxa"/>
          </w:tcPr>
          <w:p w14:paraId="00B3EAFB"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February</w:t>
            </w:r>
          </w:p>
        </w:tc>
        <w:tc>
          <w:tcPr>
            <w:tcW w:w="900" w:type="dxa"/>
          </w:tcPr>
          <w:p w14:paraId="114A3E95"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March</w:t>
            </w:r>
          </w:p>
        </w:tc>
        <w:tc>
          <w:tcPr>
            <w:tcW w:w="900" w:type="dxa"/>
          </w:tcPr>
          <w:p w14:paraId="684F91BA"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April</w:t>
            </w:r>
          </w:p>
        </w:tc>
        <w:tc>
          <w:tcPr>
            <w:tcW w:w="900" w:type="dxa"/>
          </w:tcPr>
          <w:p w14:paraId="4F96695E"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May</w:t>
            </w:r>
          </w:p>
        </w:tc>
        <w:tc>
          <w:tcPr>
            <w:tcW w:w="990" w:type="dxa"/>
          </w:tcPr>
          <w:p w14:paraId="585526BF"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June</w:t>
            </w:r>
          </w:p>
        </w:tc>
        <w:tc>
          <w:tcPr>
            <w:tcW w:w="990" w:type="dxa"/>
          </w:tcPr>
          <w:p w14:paraId="55BC40EE"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July</w:t>
            </w:r>
          </w:p>
        </w:tc>
        <w:tc>
          <w:tcPr>
            <w:tcW w:w="900" w:type="dxa"/>
          </w:tcPr>
          <w:p w14:paraId="3213D89B"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August</w:t>
            </w:r>
          </w:p>
        </w:tc>
        <w:tc>
          <w:tcPr>
            <w:tcW w:w="900" w:type="dxa"/>
          </w:tcPr>
          <w:p w14:paraId="3E698C99"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Average</w:t>
            </w:r>
          </w:p>
        </w:tc>
      </w:tr>
      <w:tr w:rsidR="00D275CD" w:rsidRPr="00A65F17" w14:paraId="79E7A853" w14:textId="77777777" w:rsidTr="006C528B">
        <w:tc>
          <w:tcPr>
            <w:tcW w:w="1638" w:type="dxa"/>
          </w:tcPr>
          <w:p w14:paraId="272C200E"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Capital Protected Fund</w:t>
            </w:r>
          </w:p>
        </w:tc>
        <w:tc>
          <w:tcPr>
            <w:tcW w:w="990" w:type="dxa"/>
          </w:tcPr>
          <w:p w14:paraId="62D689A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-0.2383</w:t>
            </w:r>
          </w:p>
        </w:tc>
        <w:tc>
          <w:tcPr>
            <w:tcW w:w="900" w:type="dxa"/>
          </w:tcPr>
          <w:p w14:paraId="5B6AEFCE"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-0.3746</w:t>
            </w:r>
          </w:p>
        </w:tc>
        <w:tc>
          <w:tcPr>
            <w:tcW w:w="900" w:type="dxa"/>
          </w:tcPr>
          <w:p w14:paraId="307E978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-0.0507</w:t>
            </w:r>
          </w:p>
        </w:tc>
        <w:tc>
          <w:tcPr>
            <w:tcW w:w="900" w:type="dxa"/>
          </w:tcPr>
          <w:p w14:paraId="0387691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-0.1922</w:t>
            </w:r>
          </w:p>
        </w:tc>
        <w:tc>
          <w:tcPr>
            <w:tcW w:w="990" w:type="dxa"/>
          </w:tcPr>
          <w:p w14:paraId="7CD74B6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-0.3863</w:t>
            </w:r>
          </w:p>
        </w:tc>
        <w:tc>
          <w:tcPr>
            <w:tcW w:w="990" w:type="dxa"/>
          </w:tcPr>
          <w:p w14:paraId="6A759E0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-0.0604</w:t>
            </w:r>
          </w:p>
        </w:tc>
        <w:tc>
          <w:tcPr>
            <w:tcW w:w="900" w:type="dxa"/>
          </w:tcPr>
          <w:p w14:paraId="3D3BDE6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-0.2386</w:t>
            </w:r>
          </w:p>
        </w:tc>
        <w:tc>
          <w:tcPr>
            <w:tcW w:w="900" w:type="dxa"/>
          </w:tcPr>
          <w:p w14:paraId="3CCF5B20"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-0.2202</w:t>
            </w:r>
          </w:p>
        </w:tc>
      </w:tr>
      <w:tr w:rsidR="00D275CD" w:rsidRPr="00A65F17" w14:paraId="7E89348E" w14:textId="77777777" w:rsidTr="006C528B">
        <w:tc>
          <w:tcPr>
            <w:tcW w:w="1638" w:type="dxa"/>
          </w:tcPr>
          <w:p w14:paraId="47315FDA"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Equity Fund</w:t>
            </w:r>
          </w:p>
        </w:tc>
        <w:tc>
          <w:tcPr>
            <w:tcW w:w="990" w:type="dxa"/>
          </w:tcPr>
          <w:p w14:paraId="4C37170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0.7967</w:t>
            </w:r>
          </w:p>
        </w:tc>
        <w:tc>
          <w:tcPr>
            <w:tcW w:w="900" w:type="dxa"/>
          </w:tcPr>
          <w:p w14:paraId="787AF91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-1.1309</w:t>
            </w:r>
          </w:p>
        </w:tc>
        <w:tc>
          <w:tcPr>
            <w:tcW w:w="900" w:type="dxa"/>
          </w:tcPr>
          <w:p w14:paraId="20B23B1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-0.0074</w:t>
            </w:r>
          </w:p>
        </w:tc>
        <w:tc>
          <w:tcPr>
            <w:tcW w:w="900" w:type="dxa"/>
          </w:tcPr>
          <w:p w14:paraId="7091146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-0.3259</w:t>
            </w:r>
          </w:p>
        </w:tc>
        <w:tc>
          <w:tcPr>
            <w:tcW w:w="990" w:type="dxa"/>
          </w:tcPr>
          <w:p w14:paraId="08C89EB8"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-0.7664</w:t>
            </w:r>
          </w:p>
        </w:tc>
        <w:tc>
          <w:tcPr>
            <w:tcW w:w="990" w:type="dxa"/>
          </w:tcPr>
          <w:p w14:paraId="137DB08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-0.1341</w:t>
            </w:r>
          </w:p>
        </w:tc>
        <w:tc>
          <w:tcPr>
            <w:tcW w:w="900" w:type="dxa"/>
          </w:tcPr>
          <w:p w14:paraId="57E99038"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0.3283</w:t>
            </w:r>
          </w:p>
        </w:tc>
        <w:tc>
          <w:tcPr>
            <w:tcW w:w="900" w:type="dxa"/>
          </w:tcPr>
          <w:p w14:paraId="364E8D2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-0.1771</w:t>
            </w:r>
          </w:p>
        </w:tc>
      </w:tr>
      <w:tr w:rsidR="00D275CD" w:rsidRPr="00A65F17" w14:paraId="6DF7907B" w14:textId="77777777" w:rsidTr="006C528B">
        <w:tc>
          <w:tcPr>
            <w:tcW w:w="1638" w:type="dxa"/>
          </w:tcPr>
          <w:p w14:paraId="70B2184E"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JCI</w:t>
            </w:r>
          </w:p>
        </w:tc>
        <w:tc>
          <w:tcPr>
            <w:tcW w:w="990" w:type="dxa"/>
          </w:tcPr>
          <w:p w14:paraId="7B5B57C0"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0.0647</w:t>
            </w:r>
          </w:p>
        </w:tc>
        <w:tc>
          <w:tcPr>
            <w:tcW w:w="900" w:type="dxa"/>
          </w:tcPr>
          <w:p w14:paraId="7A4264D8"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-0.0411</w:t>
            </w:r>
          </w:p>
        </w:tc>
        <w:tc>
          <w:tcPr>
            <w:tcW w:w="900" w:type="dxa"/>
          </w:tcPr>
          <w:p w14:paraId="6023BBA9"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0.0017</w:t>
            </w:r>
          </w:p>
        </w:tc>
        <w:tc>
          <w:tcPr>
            <w:tcW w:w="900" w:type="dxa"/>
          </w:tcPr>
          <w:p w14:paraId="55E332B6"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-0.0080</w:t>
            </w:r>
          </w:p>
        </w:tc>
        <w:tc>
          <w:tcPr>
            <w:tcW w:w="990" w:type="dxa"/>
          </w:tcPr>
          <w:p w14:paraId="081D54A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0.0064</w:t>
            </w:r>
          </w:p>
        </w:tc>
        <w:tc>
          <w:tcPr>
            <w:tcW w:w="990" w:type="dxa"/>
          </w:tcPr>
          <w:p w14:paraId="68461B2E"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0.0141</w:t>
            </w:r>
          </w:p>
        </w:tc>
        <w:tc>
          <w:tcPr>
            <w:tcW w:w="900" w:type="dxa"/>
          </w:tcPr>
          <w:p w14:paraId="648DA59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0.0132</w:t>
            </w:r>
          </w:p>
        </w:tc>
        <w:tc>
          <w:tcPr>
            <w:tcW w:w="900" w:type="dxa"/>
          </w:tcPr>
          <w:p w14:paraId="2916E26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0.0073</w:t>
            </w:r>
          </w:p>
        </w:tc>
      </w:tr>
      <w:tr w:rsidR="00D275CD" w:rsidRPr="00A65F17" w14:paraId="340F8694" w14:textId="77777777" w:rsidTr="006C528B">
        <w:tc>
          <w:tcPr>
            <w:tcW w:w="1638" w:type="dxa"/>
          </w:tcPr>
          <w:p w14:paraId="4D6EB871"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BI Rate</w:t>
            </w:r>
          </w:p>
        </w:tc>
        <w:tc>
          <w:tcPr>
            <w:tcW w:w="990" w:type="dxa"/>
            <w:vAlign w:val="bottom"/>
          </w:tcPr>
          <w:p w14:paraId="2BA6A756"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336E516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2A34C67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45AF717E"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90" w:type="dxa"/>
            <w:vAlign w:val="bottom"/>
          </w:tcPr>
          <w:p w14:paraId="76A1BE9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90" w:type="dxa"/>
            <w:vAlign w:val="bottom"/>
          </w:tcPr>
          <w:p w14:paraId="3618D20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713E8BCB"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vAlign w:val="bottom"/>
          </w:tcPr>
          <w:p w14:paraId="0785D380"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r>
    </w:tbl>
    <w:p w14:paraId="0E4A67DC" w14:textId="77777777" w:rsidR="008D372C" w:rsidRPr="00A65F17" w:rsidRDefault="008D372C" w:rsidP="008D372C">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52AAB4A1" w14:textId="1EE2B3AE" w:rsidR="00D275CD" w:rsidRDefault="00D275CD" w:rsidP="00D275CD">
      <w:pPr>
        <w:spacing w:after="0" w:line="240" w:lineRule="auto"/>
        <w:ind w:firstLine="720"/>
        <w:jc w:val="both"/>
        <w:rPr>
          <w:rFonts w:ascii="Times New Roman" w:hAnsi="Times New Roman" w:cs="Times New Roman"/>
          <w:sz w:val="24"/>
          <w:szCs w:val="24"/>
        </w:rPr>
      </w:pPr>
    </w:p>
    <w:p w14:paraId="7A13E104" w14:textId="67AC493E" w:rsidR="00A8587D" w:rsidRDefault="00A8587D" w:rsidP="00D275CD">
      <w:pPr>
        <w:spacing w:after="0" w:line="240" w:lineRule="auto"/>
        <w:ind w:firstLine="720"/>
        <w:jc w:val="both"/>
        <w:rPr>
          <w:rFonts w:ascii="Times New Roman" w:hAnsi="Times New Roman" w:cs="Times New Roman"/>
          <w:sz w:val="24"/>
          <w:szCs w:val="24"/>
        </w:rPr>
      </w:pPr>
    </w:p>
    <w:p w14:paraId="5782B3DA" w14:textId="4C3A945A" w:rsidR="00A8587D" w:rsidRDefault="00A8587D" w:rsidP="00D275CD">
      <w:pPr>
        <w:spacing w:after="0" w:line="240" w:lineRule="auto"/>
        <w:ind w:firstLine="720"/>
        <w:jc w:val="both"/>
        <w:rPr>
          <w:rFonts w:ascii="Times New Roman" w:hAnsi="Times New Roman" w:cs="Times New Roman"/>
          <w:sz w:val="24"/>
          <w:szCs w:val="24"/>
        </w:rPr>
      </w:pPr>
    </w:p>
    <w:p w14:paraId="7E5A1895" w14:textId="77777777" w:rsidR="00A8587D" w:rsidRPr="00A65F17" w:rsidRDefault="00A8587D" w:rsidP="00D275CD">
      <w:pPr>
        <w:spacing w:after="0" w:line="240" w:lineRule="auto"/>
        <w:ind w:firstLine="720"/>
        <w:jc w:val="both"/>
        <w:rPr>
          <w:rFonts w:ascii="Times New Roman" w:hAnsi="Times New Roman" w:cs="Times New Roman"/>
          <w:sz w:val="24"/>
          <w:szCs w:val="24"/>
        </w:rPr>
      </w:pPr>
    </w:p>
    <w:p w14:paraId="79E06EA9" w14:textId="64810FE1" w:rsidR="00D275CD"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lastRenderedPageBreak/>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5</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D275CD" w:rsidRPr="00A65F17">
        <w:rPr>
          <w:rFonts w:ascii="Times New Roman" w:hAnsi="Times New Roman" w:cs="Times New Roman"/>
          <w:i w:val="0"/>
          <w:iCs w:val="0"/>
          <w:color w:val="auto"/>
          <w:sz w:val="24"/>
          <w:szCs w:val="24"/>
        </w:rPr>
        <w:t>Treynor Index Mutual Funds</w:t>
      </w:r>
    </w:p>
    <w:tbl>
      <w:tblPr>
        <w:tblStyle w:val="TableGrid"/>
        <w:tblW w:w="9108" w:type="dxa"/>
        <w:tblLayout w:type="fixed"/>
        <w:tblLook w:val="04A0" w:firstRow="1" w:lastRow="0" w:firstColumn="1" w:lastColumn="0" w:noHBand="0" w:noVBand="1"/>
      </w:tblPr>
      <w:tblGrid>
        <w:gridCol w:w="1638"/>
        <w:gridCol w:w="990"/>
        <w:gridCol w:w="900"/>
        <w:gridCol w:w="900"/>
        <w:gridCol w:w="900"/>
        <w:gridCol w:w="990"/>
        <w:gridCol w:w="990"/>
        <w:gridCol w:w="900"/>
        <w:gridCol w:w="900"/>
      </w:tblGrid>
      <w:tr w:rsidR="00D275CD" w:rsidRPr="00A65F17" w14:paraId="697C1F72" w14:textId="77777777" w:rsidTr="006C528B">
        <w:tc>
          <w:tcPr>
            <w:tcW w:w="1638" w:type="dxa"/>
          </w:tcPr>
          <w:p w14:paraId="7F78FF71" w14:textId="77777777" w:rsidR="00D275CD" w:rsidRPr="00A65F17" w:rsidRDefault="00D275CD" w:rsidP="00A252D0">
            <w:pPr>
              <w:spacing w:after="0" w:line="240" w:lineRule="auto"/>
              <w:jc w:val="center"/>
              <w:rPr>
                <w:rFonts w:ascii="Times New Roman" w:hAnsi="Times New Roman" w:cs="Times New Roman"/>
                <w:i w:val="0"/>
                <w:iCs w:val="0"/>
              </w:rPr>
            </w:pPr>
          </w:p>
        </w:tc>
        <w:tc>
          <w:tcPr>
            <w:tcW w:w="990" w:type="dxa"/>
          </w:tcPr>
          <w:p w14:paraId="5FEC83B7"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February</w:t>
            </w:r>
          </w:p>
        </w:tc>
        <w:tc>
          <w:tcPr>
            <w:tcW w:w="900" w:type="dxa"/>
          </w:tcPr>
          <w:p w14:paraId="0F85F274"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March</w:t>
            </w:r>
          </w:p>
        </w:tc>
        <w:tc>
          <w:tcPr>
            <w:tcW w:w="900" w:type="dxa"/>
          </w:tcPr>
          <w:p w14:paraId="20B2FFFE"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April</w:t>
            </w:r>
          </w:p>
        </w:tc>
        <w:tc>
          <w:tcPr>
            <w:tcW w:w="900" w:type="dxa"/>
          </w:tcPr>
          <w:p w14:paraId="0E13816D"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May</w:t>
            </w:r>
          </w:p>
        </w:tc>
        <w:tc>
          <w:tcPr>
            <w:tcW w:w="990" w:type="dxa"/>
          </w:tcPr>
          <w:p w14:paraId="1D58F762"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June</w:t>
            </w:r>
          </w:p>
        </w:tc>
        <w:tc>
          <w:tcPr>
            <w:tcW w:w="990" w:type="dxa"/>
          </w:tcPr>
          <w:p w14:paraId="79173AB2"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July</w:t>
            </w:r>
          </w:p>
        </w:tc>
        <w:tc>
          <w:tcPr>
            <w:tcW w:w="900" w:type="dxa"/>
          </w:tcPr>
          <w:p w14:paraId="0B33C58A"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August</w:t>
            </w:r>
          </w:p>
        </w:tc>
        <w:tc>
          <w:tcPr>
            <w:tcW w:w="900" w:type="dxa"/>
          </w:tcPr>
          <w:p w14:paraId="5C2DF0CF" w14:textId="77777777" w:rsidR="00D275CD" w:rsidRPr="00A65F17" w:rsidRDefault="00D275CD" w:rsidP="00A252D0">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Average</w:t>
            </w:r>
          </w:p>
        </w:tc>
      </w:tr>
      <w:tr w:rsidR="00D275CD" w:rsidRPr="00A65F17" w14:paraId="12AD4CB0" w14:textId="77777777" w:rsidTr="006C528B">
        <w:tc>
          <w:tcPr>
            <w:tcW w:w="1638" w:type="dxa"/>
          </w:tcPr>
          <w:p w14:paraId="59CF47FB"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Capital Protected Fund</w:t>
            </w:r>
          </w:p>
        </w:tc>
        <w:tc>
          <w:tcPr>
            <w:tcW w:w="990" w:type="dxa"/>
          </w:tcPr>
          <w:p w14:paraId="000953C9"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0.0477</w:t>
            </w:r>
          </w:p>
        </w:tc>
        <w:tc>
          <w:tcPr>
            <w:tcW w:w="900" w:type="dxa"/>
          </w:tcPr>
          <w:p w14:paraId="00DFF33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-0.0494</w:t>
            </w:r>
          </w:p>
        </w:tc>
        <w:tc>
          <w:tcPr>
            <w:tcW w:w="900" w:type="dxa"/>
          </w:tcPr>
          <w:p w14:paraId="2A81D9A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0.0058</w:t>
            </w:r>
          </w:p>
        </w:tc>
        <w:tc>
          <w:tcPr>
            <w:tcW w:w="900" w:type="dxa"/>
          </w:tcPr>
          <w:p w14:paraId="5288836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-0.0303</w:t>
            </w:r>
          </w:p>
        </w:tc>
        <w:tc>
          <w:tcPr>
            <w:tcW w:w="990" w:type="dxa"/>
          </w:tcPr>
          <w:p w14:paraId="5A26D6FF"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0.0560</w:t>
            </w:r>
          </w:p>
        </w:tc>
        <w:tc>
          <w:tcPr>
            <w:tcW w:w="990" w:type="dxa"/>
          </w:tcPr>
          <w:p w14:paraId="1F12CBC8"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0.0811</w:t>
            </w:r>
          </w:p>
        </w:tc>
        <w:tc>
          <w:tcPr>
            <w:tcW w:w="900" w:type="dxa"/>
          </w:tcPr>
          <w:p w14:paraId="2F2074A6"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-0.0133</w:t>
            </w:r>
          </w:p>
        </w:tc>
        <w:tc>
          <w:tcPr>
            <w:tcW w:w="900" w:type="dxa"/>
          </w:tcPr>
          <w:p w14:paraId="0B27D89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0.0114</w:t>
            </w:r>
          </w:p>
        </w:tc>
      </w:tr>
      <w:tr w:rsidR="00D275CD" w:rsidRPr="00A65F17" w14:paraId="797383CA" w14:textId="77777777" w:rsidTr="006C528B">
        <w:tc>
          <w:tcPr>
            <w:tcW w:w="1638" w:type="dxa"/>
          </w:tcPr>
          <w:p w14:paraId="1D63AD05"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Equity Fund</w:t>
            </w:r>
          </w:p>
        </w:tc>
        <w:tc>
          <w:tcPr>
            <w:tcW w:w="990" w:type="dxa"/>
          </w:tcPr>
          <w:p w14:paraId="13F14B52"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-0.0730</w:t>
            </w:r>
          </w:p>
        </w:tc>
        <w:tc>
          <w:tcPr>
            <w:tcW w:w="900" w:type="dxa"/>
          </w:tcPr>
          <w:p w14:paraId="2AE34C9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-0.1744</w:t>
            </w:r>
          </w:p>
        </w:tc>
        <w:tc>
          <w:tcPr>
            <w:tcW w:w="900" w:type="dxa"/>
          </w:tcPr>
          <w:p w14:paraId="6CFE722E"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-0.0319</w:t>
            </w:r>
          </w:p>
        </w:tc>
        <w:tc>
          <w:tcPr>
            <w:tcW w:w="900" w:type="dxa"/>
          </w:tcPr>
          <w:p w14:paraId="786F3E6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-0.0302</w:t>
            </w:r>
          </w:p>
        </w:tc>
        <w:tc>
          <w:tcPr>
            <w:tcW w:w="990" w:type="dxa"/>
          </w:tcPr>
          <w:p w14:paraId="5EBAD53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0.1089</w:t>
            </w:r>
          </w:p>
        </w:tc>
        <w:tc>
          <w:tcPr>
            <w:tcW w:w="990" w:type="dxa"/>
          </w:tcPr>
          <w:p w14:paraId="4092249A"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0.0453</w:t>
            </w:r>
          </w:p>
        </w:tc>
        <w:tc>
          <w:tcPr>
            <w:tcW w:w="900" w:type="dxa"/>
          </w:tcPr>
          <w:p w14:paraId="4192F353"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0.1500</w:t>
            </w:r>
          </w:p>
        </w:tc>
        <w:tc>
          <w:tcPr>
            <w:tcW w:w="900" w:type="dxa"/>
          </w:tcPr>
          <w:p w14:paraId="3D8D86A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-0.0008</w:t>
            </w:r>
          </w:p>
        </w:tc>
      </w:tr>
      <w:tr w:rsidR="00D275CD" w:rsidRPr="00A65F17" w14:paraId="1B2C5214" w14:textId="77777777" w:rsidTr="006C528B">
        <w:tc>
          <w:tcPr>
            <w:tcW w:w="1638" w:type="dxa"/>
          </w:tcPr>
          <w:p w14:paraId="5F93D564"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JCI</w:t>
            </w:r>
          </w:p>
        </w:tc>
        <w:tc>
          <w:tcPr>
            <w:tcW w:w="990" w:type="dxa"/>
          </w:tcPr>
          <w:p w14:paraId="456E44A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0.0647</w:t>
            </w:r>
          </w:p>
        </w:tc>
        <w:tc>
          <w:tcPr>
            <w:tcW w:w="900" w:type="dxa"/>
          </w:tcPr>
          <w:p w14:paraId="324CA70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-0.0411</w:t>
            </w:r>
          </w:p>
        </w:tc>
        <w:tc>
          <w:tcPr>
            <w:tcW w:w="900" w:type="dxa"/>
          </w:tcPr>
          <w:p w14:paraId="41B010F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0.0017</w:t>
            </w:r>
          </w:p>
        </w:tc>
        <w:tc>
          <w:tcPr>
            <w:tcW w:w="900" w:type="dxa"/>
          </w:tcPr>
          <w:p w14:paraId="1A874BF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-0.0080</w:t>
            </w:r>
          </w:p>
        </w:tc>
        <w:tc>
          <w:tcPr>
            <w:tcW w:w="990" w:type="dxa"/>
          </w:tcPr>
          <w:p w14:paraId="53791439"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0.0064</w:t>
            </w:r>
          </w:p>
        </w:tc>
        <w:tc>
          <w:tcPr>
            <w:tcW w:w="990" w:type="dxa"/>
          </w:tcPr>
          <w:p w14:paraId="6709A6F8"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0.0141</w:t>
            </w:r>
          </w:p>
        </w:tc>
        <w:tc>
          <w:tcPr>
            <w:tcW w:w="900" w:type="dxa"/>
          </w:tcPr>
          <w:p w14:paraId="7857773E"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0.0132</w:t>
            </w:r>
          </w:p>
        </w:tc>
        <w:tc>
          <w:tcPr>
            <w:tcW w:w="900" w:type="dxa"/>
          </w:tcPr>
          <w:p w14:paraId="4E868F1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0.0073</w:t>
            </w:r>
          </w:p>
        </w:tc>
      </w:tr>
      <w:tr w:rsidR="00D275CD" w:rsidRPr="00A65F17" w14:paraId="5F4D9A18" w14:textId="77777777" w:rsidTr="006C528B">
        <w:tc>
          <w:tcPr>
            <w:tcW w:w="1638" w:type="dxa"/>
          </w:tcPr>
          <w:p w14:paraId="0E559240" w14:textId="77777777" w:rsidR="00D275CD" w:rsidRPr="00A65F17" w:rsidRDefault="00D275CD" w:rsidP="00A252D0">
            <w:pPr>
              <w:spacing w:after="0" w:line="240" w:lineRule="auto"/>
              <w:rPr>
                <w:rFonts w:ascii="Times New Roman" w:hAnsi="Times New Roman" w:cs="Times New Roman"/>
                <w:i w:val="0"/>
                <w:iCs w:val="0"/>
              </w:rPr>
            </w:pPr>
            <w:r w:rsidRPr="00A65F17">
              <w:rPr>
                <w:rFonts w:ascii="Times New Roman" w:hAnsi="Times New Roman" w:cs="Times New Roman"/>
                <w:i w:val="0"/>
                <w:iCs w:val="0"/>
              </w:rPr>
              <w:t>BI Rate</w:t>
            </w:r>
          </w:p>
        </w:tc>
        <w:tc>
          <w:tcPr>
            <w:tcW w:w="990" w:type="dxa"/>
          </w:tcPr>
          <w:p w14:paraId="03D85195"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1CBE7AAD"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52750581"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6E610AB7"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90" w:type="dxa"/>
          </w:tcPr>
          <w:p w14:paraId="1BE4FB0E"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90" w:type="dxa"/>
          </w:tcPr>
          <w:p w14:paraId="3A800334"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5C07C7CB"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318891C9" w14:textId="77777777" w:rsidR="00D275CD" w:rsidRPr="00A65F17" w:rsidRDefault="00D275CD" w:rsidP="00A252D0">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r>
    </w:tbl>
    <w:p w14:paraId="673D6F0E" w14:textId="77777777" w:rsidR="00D275CD" w:rsidRPr="00A65F17" w:rsidRDefault="00D275CD" w:rsidP="00D275CD">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3F1D6EE6" w14:textId="77777777" w:rsidR="00D275CD" w:rsidRPr="00A65F17" w:rsidRDefault="00D275CD" w:rsidP="00D275CD">
      <w:pPr>
        <w:spacing w:after="0" w:line="240" w:lineRule="auto"/>
        <w:ind w:firstLine="720"/>
        <w:jc w:val="both"/>
        <w:rPr>
          <w:rFonts w:ascii="Times New Roman" w:hAnsi="Times New Roman" w:cs="Times New Roman"/>
          <w:sz w:val="24"/>
          <w:szCs w:val="24"/>
        </w:rPr>
      </w:pPr>
    </w:p>
    <w:p w14:paraId="673441C6" w14:textId="77777777" w:rsidR="00D275CD" w:rsidRPr="00A65F17"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Table 5 shows that, on average, capital-protected funds outperform the market and equity funds based on the Treynor index value. The average performance of capital-protected funds was positive in February, April, June, and July. Meanwhile, capital-protected funds underperformed in March, May, and August. Equity funds have performed well in June, July, and August but have struggled in other months. In May and August, the performance of equities funds was still stronger than that of capital-protected funds. Capital-protected funds beat the market (JCI) in April, June, July, and other disappointing months as compared to the market.</w:t>
      </w:r>
    </w:p>
    <w:p w14:paraId="5ACC2910" w14:textId="1D507C46" w:rsidR="00D275CD" w:rsidRPr="00A65F17"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Meanwhile, equity funds outperformed the market in June, July, August, and other underperforming months. According to </w:t>
      </w:r>
      <w:proofErr w:type="spellStart"/>
      <w:r w:rsidRPr="00A65F17">
        <w:rPr>
          <w:rFonts w:ascii="Times New Roman" w:hAnsi="Times New Roman" w:cs="Times New Roman"/>
          <w:i w:val="0"/>
          <w:iCs w:val="0"/>
          <w:sz w:val="24"/>
          <w:szCs w:val="24"/>
        </w:rPr>
        <w:t>Paranita</w:t>
      </w:r>
      <w:proofErr w:type="spellEnd"/>
      <w:r w:rsidRPr="00A65F17">
        <w:rPr>
          <w:rFonts w:ascii="Times New Roman" w:hAnsi="Times New Roman" w:cs="Times New Roman"/>
          <w:i w:val="0"/>
          <w:iCs w:val="0"/>
          <w:sz w:val="24"/>
          <w:szCs w:val="24"/>
        </w:rPr>
        <w:t xml:space="preserve"> et al (2015), this will provide stock mutual fund performance statistics compared to the BI Rate as a risk-free investment using the Sharpe and Treynor methods. If the performance of a stock mutual fund is good, investing in it is better than making a risk-free investment. Furthermore, comparing the performance of a stock mutual fund to its benchmark, the JCI, reveals the number and types of stock mutual funds that can outperform the market (JCI).</w:t>
      </w:r>
    </w:p>
    <w:p w14:paraId="6550265F" w14:textId="77777777" w:rsidR="00D275CD" w:rsidRPr="00A65F17"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If a comparison is made between capital-protected funds and equity funds with the BI rate, it is known that equity funds have higher performance than risk-free investments in June, July, and August. Meanwhile, capital-protected funds exceed risk-free investment performance in February, April, June, and July.</w:t>
      </w:r>
    </w:p>
    <w:p w14:paraId="1102B997" w14:textId="3C21761F" w:rsidR="00D275CD"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Based on the Jensen value in Table 6, it can be seen that, on average, capital-protected funds and equity funds have a negative value, which means that both mutual funds underperform. In April, the capital-protected fund had a positive performance, which means that the capital-protected fund outperformed the market. Meanwhile, equity funds in April and August had a positive Jensen index of 0.0011 and 0.0152. It implies that equities funds have outperformed the market. A positive Jensen index indicates that portfolio returns are higher than predicted, according to Putri &amp; </w:t>
      </w:r>
      <w:proofErr w:type="spellStart"/>
      <w:r w:rsidRPr="00A65F17">
        <w:rPr>
          <w:rFonts w:ascii="Times New Roman" w:hAnsi="Times New Roman" w:cs="Times New Roman"/>
          <w:i w:val="0"/>
          <w:iCs w:val="0"/>
          <w:sz w:val="24"/>
          <w:szCs w:val="24"/>
        </w:rPr>
        <w:t>Worokinasih</w:t>
      </w:r>
      <w:proofErr w:type="spellEnd"/>
      <w:r w:rsidRPr="00A65F17">
        <w:rPr>
          <w:rFonts w:ascii="Times New Roman" w:hAnsi="Times New Roman" w:cs="Times New Roman"/>
          <w:i w:val="0"/>
          <w:iCs w:val="0"/>
          <w:sz w:val="24"/>
          <w:szCs w:val="24"/>
        </w:rPr>
        <w:t xml:space="preserve"> (2018). If investors are confident in the investment manager's ability to outperform the market, they can use this index. The following criteria are used to evaluate the performance of mutual funds based on the Jensen model, according to </w:t>
      </w:r>
      <w:proofErr w:type="spellStart"/>
      <w:r w:rsidRPr="00A65F17">
        <w:rPr>
          <w:rFonts w:ascii="Times New Roman" w:hAnsi="Times New Roman" w:cs="Times New Roman"/>
          <w:i w:val="0"/>
          <w:iCs w:val="0"/>
          <w:sz w:val="24"/>
          <w:szCs w:val="24"/>
        </w:rPr>
        <w:t>Rofiq</w:t>
      </w:r>
      <w:proofErr w:type="spellEnd"/>
      <w:r w:rsidR="0041789E">
        <w:rPr>
          <w:rFonts w:ascii="Times New Roman" w:hAnsi="Times New Roman" w:cs="Times New Roman"/>
          <w:i w:val="0"/>
          <w:iCs w:val="0"/>
          <w:sz w:val="24"/>
          <w:szCs w:val="24"/>
        </w:rPr>
        <w:t xml:space="preserve"> &amp; Santoso</w:t>
      </w:r>
      <w:r w:rsidRPr="00A65F17">
        <w:rPr>
          <w:rFonts w:ascii="Times New Roman" w:hAnsi="Times New Roman" w:cs="Times New Roman"/>
          <w:i w:val="0"/>
          <w:iCs w:val="0"/>
          <w:sz w:val="24"/>
          <w:szCs w:val="24"/>
        </w:rPr>
        <w:t xml:space="preserve"> (2015): (a) if the resultant alpha value is positive, the mutual fund has outperformed the JCI; (b) if the resulting alpha value is negative, the mutual fund has underperformed the JCI; and (c) if the resulting alpha value is zero, then the mutual fund is said to have the same performance as the JCI.</w:t>
      </w:r>
    </w:p>
    <w:p w14:paraId="0783CCB5" w14:textId="77777777" w:rsidR="00A65F17" w:rsidRPr="00A65F17" w:rsidRDefault="00A65F17" w:rsidP="00D275CD">
      <w:pPr>
        <w:spacing w:after="0" w:line="240" w:lineRule="auto"/>
        <w:ind w:firstLine="720"/>
        <w:jc w:val="both"/>
        <w:rPr>
          <w:rFonts w:ascii="Times New Roman" w:hAnsi="Times New Roman" w:cs="Times New Roman"/>
          <w:i w:val="0"/>
          <w:iCs w:val="0"/>
          <w:sz w:val="24"/>
          <w:szCs w:val="24"/>
        </w:rPr>
      </w:pPr>
    </w:p>
    <w:p w14:paraId="067B9FA5" w14:textId="77777777" w:rsidR="00A252D0" w:rsidRPr="00A65F17" w:rsidRDefault="00A252D0" w:rsidP="00A252D0">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6</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Jensen Index Mutual Funds</w:t>
      </w:r>
    </w:p>
    <w:tbl>
      <w:tblPr>
        <w:tblStyle w:val="TableGrid"/>
        <w:tblW w:w="9108" w:type="dxa"/>
        <w:tblLayout w:type="fixed"/>
        <w:tblLook w:val="04A0" w:firstRow="1" w:lastRow="0" w:firstColumn="1" w:lastColumn="0" w:noHBand="0" w:noVBand="1"/>
      </w:tblPr>
      <w:tblGrid>
        <w:gridCol w:w="1548"/>
        <w:gridCol w:w="990"/>
        <w:gridCol w:w="900"/>
        <w:gridCol w:w="810"/>
        <w:gridCol w:w="900"/>
        <w:gridCol w:w="900"/>
        <w:gridCol w:w="900"/>
        <w:gridCol w:w="990"/>
        <w:gridCol w:w="1170"/>
      </w:tblGrid>
      <w:tr w:rsidR="00A252D0" w:rsidRPr="00A65F17" w14:paraId="3858F6DC" w14:textId="77777777" w:rsidTr="006C528B">
        <w:tc>
          <w:tcPr>
            <w:tcW w:w="1548" w:type="dxa"/>
          </w:tcPr>
          <w:p w14:paraId="4FA83D87" w14:textId="77777777" w:rsidR="00A252D0" w:rsidRPr="00A65F17" w:rsidRDefault="00A252D0" w:rsidP="006C528B">
            <w:pPr>
              <w:spacing w:after="0" w:line="240" w:lineRule="auto"/>
              <w:jc w:val="center"/>
              <w:rPr>
                <w:rFonts w:ascii="Times New Roman" w:hAnsi="Times New Roman" w:cs="Times New Roman"/>
                <w:i w:val="0"/>
                <w:iCs w:val="0"/>
              </w:rPr>
            </w:pPr>
          </w:p>
        </w:tc>
        <w:tc>
          <w:tcPr>
            <w:tcW w:w="990" w:type="dxa"/>
          </w:tcPr>
          <w:p w14:paraId="044D53EA"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February</w:t>
            </w:r>
          </w:p>
        </w:tc>
        <w:tc>
          <w:tcPr>
            <w:tcW w:w="900" w:type="dxa"/>
          </w:tcPr>
          <w:p w14:paraId="2598F2C1"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March</w:t>
            </w:r>
          </w:p>
        </w:tc>
        <w:tc>
          <w:tcPr>
            <w:tcW w:w="810" w:type="dxa"/>
          </w:tcPr>
          <w:p w14:paraId="77A5992C"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April</w:t>
            </w:r>
          </w:p>
        </w:tc>
        <w:tc>
          <w:tcPr>
            <w:tcW w:w="900" w:type="dxa"/>
          </w:tcPr>
          <w:p w14:paraId="26F21CA1"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May</w:t>
            </w:r>
          </w:p>
        </w:tc>
        <w:tc>
          <w:tcPr>
            <w:tcW w:w="900" w:type="dxa"/>
          </w:tcPr>
          <w:p w14:paraId="314118D7"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June</w:t>
            </w:r>
          </w:p>
        </w:tc>
        <w:tc>
          <w:tcPr>
            <w:tcW w:w="900" w:type="dxa"/>
          </w:tcPr>
          <w:p w14:paraId="2962CD78"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July</w:t>
            </w:r>
          </w:p>
        </w:tc>
        <w:tc>
          <w:tcPr>
            <w:tcW w:w="990" w:type="dxa"/>
          </w:tcPr>
          <w:p w14:paraId="4E713482"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August</w:t>
            </w:r>
          </w:p>
        </w:tc>
        <w:tc>
          <w:tcPr>
            <w:tcW w:w="1170" w:type="dxa"/>
          </w:tcPr>
          <w:p w14:paraId="67F836BE" w14:textId="77777777" w:rsidR="00A252D0" w:rsidRPr="00A65F17" w:rsidRDefault="00A252D0" w:rsidP="006C528B">
            <w:pPr>
              <w:spacing w:after="0" w:line="240" w:lineRule="auto"/>
              <w:jc w:val="center"/>
              <w:rPr>
                <w:rFonts w:ascii="Times New Roman" w:hAnsi="Times New Roman" w:cs="Times New Roman"/>
                <w:i w:val="0"/>
                <w:iCs w:val="0"/>
              </w:rPr>
            </w:pPr>
            <w:r w:rsidRPr="00A65F17">
              <w:rPr>
                <w:rFonts w:ascii="Times New Roman" w:hAnsi="Times New Roman" w:cs="Times New Roman"/>
                <w:i w:val="0"/>
                <w:iCs w:val="0"/>
              </w:rPr>
              <w:t>Average</w:t>
            </w:r>
          </w:p>
        </w:tc>
      </w:tr>
      <w:tr w:rsidR="00A252D0" w:rsidRPr="00A65F17" w14:paraId="2403ACF9" w14:textId="77777777" w:rsidTr="006C528B">
        <w:trPr>
          <w:trHeight w:val="50"/>
        </w:trPr>
        <w:tc>
          <w:tcPr>
            <w:tcW w:w="1548" w:type="dxa"/>
          </w:tcPr>
          <w:p w14:paraId="4803159C" w14:textId="77777777" w:rsidR="00A252D0" w:rsidRPr="00A65F17" w:rsidRDefault="00A252D0" w:rsidP="006C528B">
            <w:pPr>
              <w:spacing w:after="0" w:line="240" w:lineRule="auto"/>
              <w:rPr>
                <w:rFonts w:ascii="Times New Roman" w:hAnsi="Times New Roman" w:cs="Times New Roman"/>
                <w:i w:val="0"/>
                <w:iCs w:val="0"/>
              </w:rPr>
            </w:pPr>
            <w:r w:rsidRPr="00A65F17">
              <w:rPr>
                <w:rFonts w:ascii="Times New Roman" w:hAnsi="Times New Roman" w:cs="Times New Roman"/>
                <w:i w:val="0"/>
                <w:iCs w:val="0"/>
              </w:rPr>
              <w:t>Capital Protected Fund</w:t>
            </w:r>
          </w:p>
        </w:tc>
        <w:tc>
          <w:tcPr>
            <w:tcW w:w="990" w:type="dxa"/>
          </w:tcPr>
          <w:p w14:paraId="3960EAA6"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-0.0088</w:t>
            </w:r>
          </w:p>
        </w:tc>
        <w:tc>
          <w:tcPr>
            <w:tcW w:w="900" w:type="dxa"/>
          </w:tcPr>
          <w:p w14:paraId="5616A823"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-0.0122</w:t>
            </w:r>
          </w:p>
        </w:tc>
        <w:tc>
          <w:tcPr>
            <w:tcW w:w="810" w:type="dxa"/>
          </w:tcPr>
          <w:p w14:paraId="3E3D2BA5"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0.0006</w:t>
            </w:r>
          </w:p>
        </w:tc>
        <w:tc>
          <w:tcPr>
            <w:tcW w:w="900" w:type="dxa"/>
          </w:tcPr>
          <w:p w14:paraId="4BC0261E"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-0.0039</w:t>
            </w:r>
          </w:p>
        </w:tc>
        <w:tc>
          <w:tcPr>
            <w:tcW w:w="900" w:type="dxa"/>
          </w:tcPr>
          <w:p w14:paraId="25832A30"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-0.0169</w:t>
            </w:r>
          </w:p>
        </w:tc>
        <w:tc>
          <w:tcPr>
            <w:tcW w:w="900" w:type="dxa"/>
          </w:tcPr>
          <w:p w14:paraId="33F62C62"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-0.0083</w:t>
            </w:r>
          </w:p>
        </w:tc>
        <w:tc>
          <w:tcPr>
            <w:tcW w:w="990" w:type="dxa"/>
          </w:tcPr>
          <w:p w14:paraId="0611873E"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-0.0166</w:t>
            </w:r>
          </w:p>
        </w:tc>
        <w:tc>
          <w:tcPr>
            <w:tcW w:w="1170" w:type="dxa"/>
          </w:tcPr>
          <w:p w14:paraId="697E0E9E"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-0.0094</w:t>
            </w:r>
          </w:p>
        </w:tc>
      </w:tr>
      <w:tr w:rsidR="00A252D0" w:rsidRPr="00A65F17" w14:paraId="2FB6B326" w14:textId="77777777" w:rsidTr="006C528B">
        <w:tc>
          <w:tcPr>
            <w:tcW w:w="1548" w:type="dxa"/>
          </w:tcPr>
          <w:p w14:paraId="3C0FA3AD" w14:textId="77777777" w:rsidR="00A252D0" w:rsidRPr="00A65F17" w:rsidRDefault="00A252D0" w:rsidP="006C528B">
            <w:pPr>
              <w:spacing w:after="0" w:line="240" w:lineRule="auto"/>
              <w:rPr>
                <w:rFonts w:ascii="Times New Roman" w:hAnsi="Times New Roman" w:cs="Times New Roman"/>
                <w:i w:val="0"/>
                <w:iCs w:val="0"/>
              </w:rPr>
            </w:pPr>
            <w:r w:rsidRPr="00A65F17">
              <w:rPr>
                <w:rFonts w:ascii="Times New Roman" w:hAnsi="Times New Roman" w:cs="Times New Roman"/>
                <w:i w:val="0"/>
                <w:iCs w:val="0"/>
              </w:rPr>
              <w:t>Equity Fund</w:t>
            </w:r>
          </w:p>
        </w:tc>
        <w:tc>
          <w:tcPr>
            <w:tcW w:w="990" w:type="dxa"/>
          </w:tcPr>
          <w:p w14:paraId="3F06E7CF"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-0.0119</w:t>
            </w:r>
          </w:p>
        </w:tc>
        <w:tc>
          <w:tcPr>
            <w:tcW w:w="900" w:type="dxa"/>
          </w:tcPr>
          <w:p w14:paraId="06F7C060"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-0.0119</w:t>
            </w:r>
          </w:p>
        </w:tc>
        <w:tc>
          <w:tcPr>
            <w:tcW w:w="810" w:type="dxa"/>
          </w:tcPr>
          <w:p w14:paraId="699BE3FC"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0.0011</w:t>
            </w:r>
          </w:p>
        </w:tc>
        <w:tc>
          <w:tcPr>
            <w:tcW w:w="900" w:type="dxa"/>
          </w:tcPr>
          <w:p w14:paraId="1C8634D5"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-0.0035</w:t>
            </w:r>
          </w:p>
        </w:tc>
        <w:tc>
          <w:tcPr>
            <w:tcW w:w="900" w:type="dxa"/>
          </w:tcPr>
          <w:p w14:paraId="63A593A3"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-0.0253</w:t>
            </w:r>
          </w:p>
        </w:tc>
        <w:tc>
          <w:tcPr>
            <w:tcW w:w="900" w:type="dxa"/>
          </w:tcPr>
          <w:p w14:paraId="621DC042"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-0.0080</w:t>
            </w:r>
          </w:p>
        </w:tc>
        <w:tc>
          <w:tcPr>
            <w:tcW w:w="990" w:type="dxa"/>
          </w:tcPr>
          <w:p w14:paraId="2A65A155"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0.0152</w:t>
            </w:r>
          </w:p>
        </w:tc>
        <w:tc>
          <w:tcPr>
            <w:tcW w:w="1170" w:type="dxa"/>
          </w:tcPr>
          <w:p w14:paraId="17EB0F4D"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-0.0063</w:t>
            </w:r>
          </w:p>
        </w:tc>
      </w:tr>
      <w:tr w:rsidR="00A252D0" w:rsidRPr="00A65F17" w14:paraId="130053AA" w14:textId="77777777" w:rsidTr="006C528B">
        <w:tc>
          <w:tcPr>
            <w:tcW w:w="1548" w:type="dxa"/>
          </w:tcPr>
          <w:p w14:paraId="0F0378CC" w14:textId="77777777" w:rsidR="00A252D0" w:rsidRPr="00A65F17" w:rsidRDefault="00A252D0" w:rsidP="006C528B">
            <w:pPr>
              <w:spacing w:after="0" w:line="240" w:lineRule="auto"/>
              <w:rPr>
                <w:rFonts w:ascii="Times New Roman" w:hAnsi="Times New Roman" w:cs="Times New Roman"/>
                <w:i w:val="0"/>
                <w:iCs w:val="0"/>
              </w:rPr>
            </w:pPr>
            <w:r w:rsidRPr="00A65F17">
              <w:rPr>
                <w:rFonts w:ascii="Times New Roman" w:hAnsi="Times New Roman" w:cs="Times New Roman"/>
                <w:i w:val="0"/>
                <w:iCs w:val="0"/>
              </w:rPr>
              <w:t>JCI</w:t>
            </w:r>
          </w:p>
        </w:tc>
        <w:tc>
          <w:tcPr>
            <w:tcW w:w="990" w:type="dxa"/>
          </w:tcPr>
          <w:p w14:paraId="133DE23C"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0.0647</w:t>
            </w:r>
          </w:p>
        </w:tc>
        <w:tc>
          <w:tcPr>
            <w:tcW w:w="900" w:type="dxa"/>
          </w:tcPr>
          <w:p w14:paraId="481CCD25"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-0.0411</w:t>
            </w:r>
          </w:p>
        </w:tc>
        <w:tc>
          <w:tcPr>
            <w:tcW w:w="810" w:type="dxa"/>
          </w:tcPr>
          <w:p w14:paraId="13F6EADF"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0.0017</w:t>
            </w:r>
          </w:p>
        </w:tc>
        <w:tc>
          <w:tcPr>
            <w:tcW w:w="900" w:type="dxa"/>
          </w:tcPr>
          <w:p w14:paraId="029D2C1B"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-0.0080</w:t>
            </w:r>
          </w:p>
        </w:tc>
        <w:tc>
          <w:tcPr>
            <w:tcW w:w="900" w:type="dxa"/>
          </w:tcPr>
          <w:p w14:paraId="62B1B909"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0.0064</w:t>
            </w:r>
          </w:p>
        </w:tc>
        <w:tc>
          <w:tcPr>
            <w:tcW w:w="900" w:type="dxa"/>
          </w:tcPr>
          <w:p w14:paraId="57147513"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0.0141</w:t>
            </w:r>
          </w:p>
        </w:tc>
        <w:tc>
          <w:tcPr>
            <w:tcW w:w="990" w:type="dxa"/>
          </w:tcPr>
          <w:p w14:paraId="46DC2C79"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0.0132</w:t>
            </w:r>
          </w:p>
        </w:tc>
        <w:tc>
          <w:tcPr>
            <w:tcW w:w="1170" w:type="dxa"/>
          </w:tcPr>
          <w:p w14:paraId="07A2FE3E"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rPr>
              <w:t>0.0073</w:t>
            </w:r>
          </w:p>
        </w:tc>
      </w:tr>
      <w:tr w:rsidR="00A252D0" w:rsidRPr="00A65F17" w14:paraId="4FCF7986" w14:textId="77777777" w:rsidTr="006C528B">
        <w:tc>
          <w:tcPr>
            <w:tcW w:w="1548" w:type="dxa"/>
          </w:tcPr>
          <w:p w14:paraId="0E964AA5" w14:textId="77777777" w:rsidR="00A252D0" w:rsidRPr="00A65F17" w:rsidRDefault="00A252D0" w:rsidP="006C528B">
            <w:pPr>
              <w:spacing w:after="0" w:line="240" w:lineRule="auto"/>
              <w:rPr>
                <w:rFonts w:ascii="Times New Roman" w:hAnsi="Times New Roman" w:cs="Times New Roman"/>
                <w:i w:val="0"/>
                <w:iCs w:val="0"/>
              </w:rPr>
            </w:pPr>
            <w:r w:rsidRPr="00A65F17">
              <w:rPr>
                <w:rFonts w:ascii="Times New Roman" w:hAnsi="Times New Roman" w:cs="Times New Roman"/>
                <w:i w:val="0"/>
                <w:iCs w:val="0"/>
              </w:rPr>
              <w:t>BI Rate</w:t>
            </w:r>
          </w:p>
        </w:tc>
        <w:tc>
          <w:tcPr>
            <w:tcW w:w="990" w:type="dxa"/>
          </w:tcPr>
          <w:p w14:paraId="36BA6406"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279C09FB"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810" w:type="dxa"/>
          </w:tcPr>
          <w:p w14:paraId="2837A6D2"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7A078873"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0E0A8C88"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00" w:type="dxa"/>
          </w:tcPr>
          <w:p w14:paraId="45BDEE7C"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990" w:type="dxa"/>
          </w:tcPr>
          <w:p w14:paraId="2272E3EA"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c>
          <w:tcPr>
            <w:tcW w:w="1170" w:type="dxa"/>
          </w:tcPr>
          <w:p w14:paraId="2C9E4BD2" w14:textId="77777777" w:rsidR="00A252D0" w:rsidRPr="00A65F17" w:rsidRDefault="00A252D0" w:rsidP="006C528B">
            <w:pPr>
              <w:spacing w:after="0" w:line="240" w:lineRule="auto"/>
              <w:jc w:val="right"/>
              <w:rPr>
                <w:rFonts w:ascii="Times New Roman" w:hAnsi="Times New Roman" w:cs="Times New Roman"/>
                <w:i w:val="0"/>
                <w:iCs w:val="0"/>
              </w:rPr>
            </w:pPr>
            <w:r w:rsidRPr="00A65F17">
              <w:rPr>
                <w:rFonts w:ascii="Times New Roman" w:hAnsi="Times New Roman" w:cs="Times New Roman"/>
                <w:i w:val="0"/>
                <w:iCs w:val="0"/>
                <w:color w:val="000000"/>
              </w:rPr>
              <w:t>0.0029</w:t>
            </w:r>
          </w:p>
        </w:tc>
      </w:tr>
    </w:tbl>
    <w:p w14:paraId="6575F965" w14:textId="77777777" w:rsidR="00A252D0" w:rsidRPr="00A65F17" w:rsidRDefault="00A252D0" w:rsidP="00A252D0">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44798F4F" w14:textId="77777777" w:rsidR="00A252D0" w:rsidRPr="00A65F17" w:rsidRDefault="00A252D0" w:rsidP="00D275CD">
      <w:pPr>
        <w:spacing w:after="0" w:line="240" w:lineRule="auto"/>
        <w:ind w:firstLine="720"/>
        <w:jc w:val="both"/>
        <w:rPr>
          <w:rFonts w:ascii="Times New Roman" w:hAnsi="Times New Roman" w:cs="Times New Roman"/>
          <w:i w:val="0"/>
          <w:iCs w:val="0"/>
          <w:sz w:val="24"/>
          <w:szCs w:val="24"/>
        </w:rPr>
      </w:pPr>
    </w:p>
    <w:p w14:paraId="30969EFD" w14:textId="722D072F" w:rsidR="00D275CD" w:rsidRPr="00A65F17"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lastRenderedPageBreak/>
        <w:t>If a comparison is made between capital-protected funds and equity funds with the JCI, it is known that equity funds outperformed the market in March, May, and August. Meanwhile, capital-protected funds exceed the market performance in March and May. If a comparison is made between capital-protected funds and equity funds with the BI rate, it is known that equity funds have higher performance than risk-free investments in August. Meanwhile, no capital-protected funds exceed risk-free investment performance.</w:t>
      </w:r>
    </w:p>
    <w:p w14:paraId="1D5E0E2E" w14:textId="77777777" w:rsidR="00D275CD" w:rsidRPr="00A65F17" w:rsidRDefault="00D275CD" w:rsidP="00D275CD">
      <w:pPr>
        <w:spacing w:after="0" w:line="240" w:lineRule="auto"/>
        <w:ind w:firstLine="720"/>
        <w:jc w:val="both"/>
        <w:rPr>
          <w:rFonts w:ascii="Times New Roman" w:hAnsi="Times New Roman" w:cs="Times New Roman"/>
          <w:b/>
          <w:bCs/>
          <w:i w:val="0"/>
          <w:iCs w:val="0"/>
          <w:sz w:val="24"/>
          <w:szCs w:val="24"/>
        </w:rPr>
      </w:pPr>
    </w:p>
    <w:p w14:paraId="3C52AC04" w14:textId="77777777" w:rsidR="00D275CD" w:rsidRPr="00A65F17" w:rsidRDefault="00D275CD" w:rsidP="00D275CD">
      <w:pPr>
        <w:spacing w:after="0" w:line="240" w:lineRule="auto"/>
        <w:ind w:firstLine="720"/>
        <w:jc w:val="both"/>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Different Performance Test Results for Capital Protected Funds and Equity Funds.</w:t>
      </w:r>
    </w:p>
    <w:p w14:paraId="4A9DDCDC" w14:textId="2484A4B4" w:rsidR="00D275CD" w:rsidRPr="00A65F17" w:rsidRDefault="00D275CD" w:rsidP="00D275C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According to Figures </w:t>
      </w:r>
      <w:r w:rsidR="00774A61">
        <w:rPr>
          <w:rFonts w:ascii="Times New Roman" w:hAnsi="Times New Roman" w:cs="Times New Roman"/>
          <w:i w:val="0"/>
          <w:iCs w:val="0"/>
          <w:sz w:val="24"/>
          <w:szCs w:val="24"/>
        </w:rPr>
        <w:t>1</w:t>
      </w:r>
      <w:r w:rsidRPr="00A65F17">
        <w:rPr>
          <w:rFonts w:ascii="Times New Roman" w:hAnsi="Times New Roman" w:cs="Times New Roman"/>
          <w:i w:val="0"/>
          <w:iCs w:val="0"/>
          <w:sz w:val="24"/>
          <w:szCs w:val="24"/>
        </w:rPr>
        <w:t xml:space="preserve">, </w:t>
      </w:r>
      <w:r w:rsidR="00774A61">
        <w:rPr>
          <w:rFonts w:ascii="Times New Roman" w:hAnsi="Times New Roman" w:cs="Times New Roman"/>
          <w:i w:val="0"/>
          <w:iCs w:val="0"/>
          <w:sz w:val="24"/>
          <w:szCs w:val="24"/>
        </w:rPr>
        <w:t>2</w:t>
      </w:r>
      <w:r w:rsidRPr="00A65F17">
        <w:rPr>
          <w:rFonts w:ascii="Times New Roman" w:hAnsi="Times New Roman" w:cs="Times New Roman"/>
          <w:i w:val="0"/>
          <w:iCs w:val="0"/>
          <w:sz w:val="24"/>
          <w:szCs w:val="24"/>
        </w:rPr>
        <w:t xml:space="preserve">, and </w:t>
      </w:r>
      <w:r w:rsidR="00774A61">
        <w:rPr>
          <w:rFonts w:ascii="Times New Roman" w:hAnsi="Times New Roman" w:cs="Times New Roman"/>
          <w:i w:val="0"/>
          <w:iCs w:val="0"/>
          <w:sz w:val="24"/>
          <w:szCs w:val="24"/>
        </w:rPr>
        <w:t>3</w:t>
      </w:r>
      <w:r w:rsidRPr="00A65F17">
        <w:rPr>
          <w:rFonts w:ascii="Times New Roman" w:hAnsi="Times New Roman" w:cs="Times New Roman"/>
          <w:i w:val="0"/>
          <w:iCs w:val="0"/>
          <w:sz w:val="24"/>
          <w:szCs w:val="24"/>
        </w:rPr>
        <w:t xml:space="preserve">, the highest capital-protected fund's performance is the Simas </w:t>
      </w:r>
      <w:proofErr w:type="spellStart"/>
      <w:r w:rsidRPr="00A65F17">
        <w:rPr>
          <w:rFonts w:ascii="Times New Roman" w:hAnsi="Times New Roman" w:cs="Times New Roman"/>
          <w:i w:val="0"/>
          <w:iCs w:val="0"/>
          <w:sz w:val="24"/>
          <w:szCs w:val="24"/>
        </w:rPr>
        <w:t>Gemilang</w:t>
      </w:r>
      <w:proofErr w:type="spellEnd"/>
      <w:r w:rsidRPr="00A65F17">
        <w:rPr>
          <w:rFonts w:ascii="Times New Roman" w:hAnsi="Times New Roman" w:cs="Times New Roman"/>
          <w:i w:val="0"/>
          <w:iCs w:val="0"/>
          <w:sz w:val="24"/>
          <w:szCs w:val="24"/>
        </w:rPr>
        <w:t xml:space="preserve"> Protected Mutual Fund 18 with Sharpe value of 8.4029, the </w:t>
      </w:r>
      <w:proofErr w:type="spellStart"/>
      <w:r w:rsidRPr="00A65F17">
        <w:rPr>
          <w:rFonts w:ascii="Times New Roman" w:hAnsi="Times New Roman" w:cs="Times New Roman"/>
          <w:i w:val="0"/>
          <w:iCs w:val="0"/>
          <w:sz w:val="24"/>
          <w:szCs w:val="24"/>
        </w:rPr>
        <w:t>Mandiri</w:t>
      </w:r>
      <w:proofErr w:type="spellEnd"/>
      <w:r w:rsidRPr="00A65F17">
        <w:rPr>
          <w:rFonts w:ascii="Times New Roman" w:hAnsi="Times New Roman" w:cs="Times New Roman"/>
          <w:i w:val="0"/>
          <w:iCs w:val="0"/>
          <w:sz w:val="24"/>
          <w:szCs w:val="24"/>
        </w:rPr>
        <w:t xml:space="preserve"> Protected Mutual Fund Series 157 with a Treynor value of 2.1424, and the Insight Protected Mutual Fund 2 with Jensen value of 0. 0.2771. According to Figures </w:t>
      </w:r>
      <w:r w:rsidR="00774A61">
        <w:rPr>
          <w:rFonts w:ascii="Times New Roman" w:hAnsi="Times New Roman" w:cs="Times New Roman"/>
          <w:i w:val="0"/>
          <w:iCs w:val="0"/>
          <w:sz w:val="24"/>
          <w:szCs w:val="24"/>
        </w:rPr>
        <w:t>4</w:t>
      </w:r>
      <w:r w:rsidRPr="00A65F17">
        <w:rPr>
          <w:rFonts w:ascii="Times New Roman" w:hAnsi="Times New Roman" w:cs="Times New Roman"/>
          <w:i w:val="0"/>
          <w:iCs w:val="0"/>
          <w:sz w:val="24"/>
          <w:szCs w:val="24"/>
        </w:rPr>
        <w:t xml:space="preserve">, </w:t>
      </w:r>
      <w:r w:rsidR="00774A61">
        <w:rPr>
          <w:rFonts w:ascii="Times New Roman" w:hAnsi="Times New Roman" w:cs="Times New Roman"/>
          <w:i w:val="0"/>
          <w:iCs w:val="0"/>
          <w:sz w:val="24"/>
          <w:szCs w:val="24"/>
        </w:rPr>
        <w:t>5</w:t>
      </w:r>
      <w:r w:rsidRPr="00A65F17">
        <w:rPr>
          <w:rFonts w:ascii="Times New Roman" w:hAnsi="Times New Roman" w:cs="Times New Roman"/>
          <w:i w:val="0"/>
          <w:iCs w:val="0"/>
          <w:sz w:val="24"/>
          <w:szCs w:val="24"/>
        </w:rPr>
        <w:t xml:space="preserve">, and </w:t>
      </w:r>
      <w:r w:rsidR="00774A61">
        <w:rPr>
          <w:rFonts w:ascii="Times New Roman" w:hAnsi="Times New Roman" w:cs="Times New Roman"/>
          <w:i w:val="0"/>
          <w:iCs w:val="0"/>
          <w:sz w:val="24"/>
          <w:szCs w:val="24"/>
        </w:rPr>
        <w:t>6</w:t>
      </w:r>
      <w:r w:rsidRPr="00A65F17">
        <w:rPr>
          <w:rFonts w:ascii="Times New Roman" w:hAnsi="Times New Roman" w:cs="Times New Roman"/>
          <w:i w:val="0"/>
          <w:iCs w:val="0"/>
          <w:sz w:val="24"/>
          <w:szCs w:val="24"/>
        </w:rPr>
        <w:t xml:space="preserve">, the highest equity fund's performance is the Foster Equity Fund Mutual Fund with Sharpe value of 1.5229, the </w:t>
      </w:r>
      <w:proofErr w:type="spellStart"/>
      <w:r w:rsidRPr="00A65F17">
        <w:rPr>
          <w:rFonts w:ascii="Times New Roman" w:hAnsi="Times New Roman" w:cs="Times New Roman"/>
          <w:i w:val="0"/>
          <w:iCs w:val="0"/>
          <w:sz w:val="24"/>
          <w:szCs w:val="24"/>
        </w:rPr>
        <w:t>Eastspring</w:t>
      </w:r>
      <w:proofErr w:type="spellEnd"/>
      <w:r w:rsidRPr="00A65F17">
        <w:rPr>
          <w:rFonts w:ascii="Times New Roman" w:hAnsi="Times New Roman" w:cs="Times New Roman"/>
          <w:i w:val="0"/>
          <w:iCs w:val="0"/>
          <w:sz w:val="24"/>
          <w:szCs w:val="24"/>
        </w:rPr>
        <w:t xml:space="preserve"> Investments Value Discovery Mutual Fund Class A with Treynor value of 1.2118, and the Manulife Equity Mutual Fund Mainstay with Jensen value of 0.2622.</w:t>
      </w:r>
    </w:p>
    <w:p w14:paraId="252EC1BC" w14:textId="77777777" w:rsidR="00D275CD" w:rsidRPr="00A65F17" w:rsidRDefault="00D275CD" w:rsidP="00D275CD">
      <w:pPr>
        <w:spacing w:after="0" w:line="240" w:lineRule="auto"/>
        <w:ind w:firstLine="720"/>
        <w:jc w:val="both"/>
        <w:rPr>
          <w:rFonts w:ascii="Times New Roman" w:hAnsi="Times New Roman" w:cs="Times New Roman"/>
          <w:sz w:val="24"/>
          <w:szCs w:val="24"/>
        </w:rPr>
      </w:pPr>
    </w:p>
    <w:tbl>
      <w:tblPr>
        <w:tblStyle w:val="TableGrid"/>
        <w:tblW w:w="90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469"/>
      </w:tblGrid>
      <w:tr w:rsidR="00D275CD" w:rsidRPr="00A65F17" w14:paraId="7A13B853" w14:textId="77777777" w:rsidTr="006C528B">
        <w:tc>
          <w:tcPr>
            <w:tcW w:w="4536" w:type="dxa"/>
          </w:tcPr>
          <w:p w14:paraId="05A87BB4" w14:textId="7A06B7D8" w:rsidR="00901BEF" w:rsidRPr="00A65F17" w:rsidRDefault="00901BEF" w:rsidP="0068122D">
            <w:pPr>
              <w:spacing w:after="0" w:line="240" w:lineRule="auto"/>
              <w:jc w:val="center"/>
              <w:rPr>
                <w:rFonts w:ascii="Times New Roman" w:hAnsi="Times New Roman" w:cs="Times New Roman"/>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00690865" w:rsidRPr="00A65F17">
              <w:rPr>
                <w:rFonts w:ascii="Times New Roman" w:hAnsi="Times New Roman" w:cs="Times New Roman"/>
                <w:b/>
                <w:bCs/>
                <w:i w:val="0"/>
                <w:iCs w:val="0"/>
                <w:noProof/>
                <w:sz w:val="24"/>
                <w:szCs w:val="24"/>
              </w:rPr>
              <w:t>1</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Capital Protected Fund Performance Based on Sharpe Index</w:t>
            </w:r>
          </w:p>
          <w:p w14:paraId="0DCB0CA9" w14:textId="7D8C2D08" w:rsidR="00D275CD" w:rsidRPr="00A65F17" w:rsidRDefault="00D275CD" w:rsidP="0068122D">
            <w:pPr>
              <w:spacing w:after="0" w:line="240" w:lineRule="auto"/>
              <w:rPr>
                <w:rFonts w:ascii="Times New Roman" w:hAnsi="Times New Roman" w:cs="Times New Roman"/>
                <w:i w:val="0"/>
                <w:iCs w:val="0"/>
                <w:sz w:val="24"/>
                <w:szCs w:val="24"/>
              </w:rPr>
            </w:pPr>
            <w:r w:rsidRPr="00A65F17">
              <w:rPr>
                <w:rFonts w:ascii="Times New Roman" w:hAnsi="Times New Roman" w:cs="Times New Roman"/>
                <w:i w:val="0"/>
                <w:iCs w:val="0"/>
                <w:noProof/>
              </w:rPr>
              <w:drawing>
                <wp:inline distT="0" distB="0" distL="0" distR="0" wp14:anchorId="396B060C" wp14:editId="59D3DC37">
                  <wp:extent cx="2743200" cy="1551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551432"/>
                          </a:xfrm>
                          <a:prstGeom prst="rect">
                            <a:avLst/>
                          </a:prstGeom>
                        </pic:spPr>
                      </pic:pic>
                    </a:graphicData>
                  </a:graphic>
                </wp:inline>
              </w:drawing>
            </w:r>
          </w:p>
          <w:p w14:paraId="4EDCE328" w14:textId="6D631ED4" w:rsidR="00D275CD" w:rsidRPr="00A65F17" w:rsidRDefault="00D275CD" w:rsidP="0068122D">
            <w:pPr>
              <w:spacing w:after="0" w:line="240" w:lineRule="auto"/>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00A252D0"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c>
          <w:tcPr>
            <w:tcW w:w="4469" w:type="dxa"/>
          </w:tcPr>
          <w:p w14:paraId="12962948" w14:textId="03B37AA7" w:rsidR="00690865" w:rsidRPr="00A65F17" w:rsidRDefault="00690865" w:rsidP="0068122D">
            <w:pPr>
              <w:spacing w:after="0" w:line="240" w:lineRule="auto"/>
              <w:jc w:val="center"/>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2</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Capital Protected Fund Performance Based on Treynor Index.</w:t>
            </w:r>
          </w:p>
          <w:p w14:paraId="0B034675" w14:textId="24DB77F8" w:rsidR="00D275CD" w:rsidRPr="00A65F17" w:rsidRDefault="00D275CD" w:rsidP="0068122D">
            <w:pPr>
              <w:spacing w:after="0" w:line="240" w:lineRule="auto"/>
              <w:rPr>
                <w:rFonts w:ascii="Times New Roman" w:hAnsi="Times New Roman" w:cs="Times New Roman"/>
                <w:i w:val="0"/>
                <w:iCs w:val="0"/>
                <w:sz w:val="24"/>
                <w:szCs w:val="24"/>
              </w:rPr>
            </w:pPr>
            <w:r w:rsidRPr="00A65F17">
              <w:rPr>
                <w:rFonts w:ascii="Times New Roman" w:hAnsi="Times New Roman" w:cs="Times New Roman"/>
                <w:i w:val="0"/>
                <w:iCs w:val="0"/>
                <w:noProof/>
              </w:rPr>
              <w:drawing>
                <wp:inline distT="0" distB="0" distL="0" distR="0" wp14:anchorId="2FB40C5D" wp14:editId="294B1238">
                  <wp:extent cx="2743200" cy="15340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1534058"/>
                          </a:xfrm>
                          <a:prstGeom prst="rect">
                            <a:avLst/>
                          </a:prstGeom>
                        </pic:spPr>
                      </pic:pic>
                    </a:graphicData>
                  </a:graphic>
                </wp:inline>
              </w:drawing>
            </w:r>
          </w:p>
          <w:p w14:paraId="3D2CC87A" w14:textId="1944DB60" w:rsidR="00D275CD" w:rsidRPr="00A65F17" w:rsidRDefault="00A252D0" w:rsidP="0068122D">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r>
      <w:tr w:rsidR="00D275CD" w:rsidRPr="00A65F17" w14:paraId="55DFA625" w14:textId="77777777" w:rsidTr="006C528B">
        <w:tc>
          <w:tcPr>
            <w:tcW w:w="4536" w:type="dxa"/>
          </w:tcPr>
          <w:p w14:paraId="61933758" w14:textId="24D995AC" w:rsidR="00D275CD" w:rsidRPr="00A65F17" w:rsidRDefault="00690865" w:rsidP="0068122D">
            <w:pPr>
              <w:spacing w:after="0" w:line="240" w:lineRule="auto"/>
              <w:jc w:val="center"/>
              <w:rPr>
                <w:rFonts w:ascii="Times New Roman" w:hAnsi="Times New Roman" w:cs="Times New Roman"/>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3</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Capital Protected Fund Performance Based on Jensen Index.</w:t>
            </w:r>
            <w:r w:rsidR="00D275CD" w:rsidRPr="00A65F17">
              <w:rPr>
                <w:rFonts w:ascii="Times New Roman" w:hAnsi="Times New Roman" w:cs="Times New Roman"/>
                <w:b/>
                <w:bCs/>
                <w:i w:val="0"/>
                <w:iCs w:val="0"/>
                <w:noProof/>
              </w:rPr>
              <w:drawing>
                <wp:inline distT="0" distB="0" distL="0" distR="0" wp14:anchorId="4006BE4B" wp14:editId="5DBF15D1">
                  <wp:extent cx="2743200" cy="16757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200" cy="1675741"/>
                          </a:xfrm>
                          <a:prstGeom prst="rect">
                            <a:avLst/>
                          </a:prstGeom>
                        </pic:spPr>
                      </pic:pic>
                    </a:graphicData>
                  </a:graphic>
                </wp:inline>
              </w:drawing>
            </w:r>
          </w:p>
          <w:p w14:paraId="2958A625" w14:textId="0BE02071" w:rsidR="00D275CD" w:rsidRPr="00A65F17" w:rsidRDefault="00A252D0" w:rsidP="0068122D">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c>
          <w:tcPr>
            <w:tcW w:w="4469" w:type="dxa"/>
          </w:tcPr>
          <w:p w14:paraId="51025F90" w14:textId="6E991744" w:rsidR="00690865" w:rsidRPr="00A65F17" w:rsidRDefault="00690865" w:rsidP="0068122D">
            <w:pPr>
              <w:spacing w:after="0" w:line="240" w:lineRule="auto"/>
              <w:jc w:val="center"/>
              <w:rPr>
                <w:rFonts w:ascii="Times New Roman" w:hAnsi="Times New Roman" w:cs="Times New Roman"/>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4</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Equity Fund Performance Based on Sharpe Index.</w:t>
            </w:r>
          </w:p>
          <w:p w14:paraId="48EA9F59" w14:textId="47EFAE66" w:rsidR="00D275CD" w:rsidRPr="00A65F17" w:rsidRDefault="00D275CD" w:rsidP="0068122D">
            <w:pPr>
              <w:spacing w:after="0" w:line="240" w:lineRule="auto"/>
              <w:rPr>
                <w:rFonts w:ascii="Times New Roman" w:hAnsi="Times New Roman" w:cs="Times New Roman"/>
                <w:i w:val="0"/>
                <w:iCs w:val="0"/>
                <w:sz w:val="24"/>
                <w:szCs w:val="24"/>
              </w:rPr>
            </w:pPr>
            <w:r w:rsidRPr="00A65F17">
              <w:rPr>
                <w:rFonts w:ascii="Times New Roman" w:hAnsi="Times New Roman" w:cs="Times New Roman"/>
                <w:i w:val="0"/>
                <w:iCs w:val="0"/>
                <w:noProof/>
              </w:rPr>
              <w:drawing>
                <wp:inline distT="0" distB="0" distL="0" distR="0" wp14:anchorId="06B4D336" wp14:editId="621781C0">
                  <wp:extent cx="2743200" cy="16901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3200" cy="1690198"/>
                          </a:xfrm>
                          <a:prstGeom prst="rect">
                            <a:avLst/>
                          </a:prstGeom>
                        </pic:spPr>
                      </pic:pic>
                    </a:graphicData>
                  </a:graphic>
                </wp:inline>
              </w:drawing>
            </w:r>
          </w:p>
          <w:p w14:paraId="7205717C" w14:textId="6390CA7F" w:rsidR="00D275CD" w:rsidRPr="00A65F17" w:rsidRDefault="00A252D0" w:rsidP="0068122D">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r>
    </w:tbl>
    <w:p w14:paraId="05D718CB" w14:textId="77777777" w:rsidR="00D275CD" w:rsidRPr="00A65F17" w:rsidRDefault="00D275CD" w:rsidP="00D275CD">
      <w:pPr>
        <w:spacing w:after="0" w:line="240" w:lineRule="auto"/>
        <w:ind w:firstLine="720"/>
        <w:jc w:val="both"/>
        <w:rPr>
          <w:rFonts w:ascii="Times New Roman" w:hAnsi="Times New Roman" w:cs="Times New Roman"/>
          <w:sz w:val="24"/>
          <w:szCs w:val="24"/>
        </w:rPr>
      </w:pPr>
    </w:p>
    <w:p w14:paraId="195A87B9" w14:textId="616E0ECD" w:rsidR="00AE0C6D" w:rsidRDefault="00D275CD" w:rsidP="00A8587D">
      <w:pPr>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An independent t-test was used to test the research hypothesis, with the results shown in Tables 7 and 8. H</w:t>
      </w:r>
      <w:r w:rsidRPr="00A65F17">
        <w:rPr>
          <w:rFonts w:ascii="Times New Roman" w:hAnsi="Times New Roman" w:cs="Times New Roman"/>
          <w:i w:val="0"/>
          <w:iCs w:val="0"/>
          <w:sz w:val="24"/>
          <w:szCs w:val="24"/>
          <w:vertAlign w:val="subscript"/>
        </w:rPr>
        <w:t>1</w:t>
      </w:r>
      <w:r w:rsidRPr="00A65F17">
        <w:rPr>
          <w:rFonts w:ascii="Times New Roman" w:hAnsi="Times New Roman" w:cs="Times New Roman"/>
          <w:i w:val="0"/>
          <w:iCs w:val="0"/>
          <w:sz w:val="24"/>
          <w:szCs w:val="24"/>
        </w:rPr>
        <w:t xml:space="preserve"> is rejected because of the Sig. (2-tailed) value for Average Return, Portfolio Risk, and Market Risk is more than 0.05. It means that there is no difference in performance between capital-protected funds and equity funds based on average returns, portfolio risk, and market risk. An independent t-test is used to assess the H</w:t>
      </w:r>
      <w:r w:rsidRPr="00A65F17">
        <w:rPr>
          <w:rFonts w:ascii="Times New Roman" w:hAnsi="Times New Roman" w:cs="Times New Roman"/>
          <w:i w:val="0"/>
          <w:iCs w:val="0"/>
          <w:sz w:val="24"/>
          <w:szCs w:val="24"/>
          <w:vertAlign w:val="subscript"/>
        </w:rPr>
        <w:t>2</w:t>
      </w:r>
      <w:r w:rsidRPr="00A65F17">
        <w:rPr>
          <w:rFonts w:ascii="Times New Roman" w:hAnsi="Times New Roman" w:cs="Times New Roman"/>
          <w:i w:val="0"/>
          <w:iCs w:val="0"/>
          <w:sz w:val="24"/>
          <w:szCs w:val="24"/>
        </w:rPr>
        <w:t xml:space="preserve"> hypothesis, with the findings shown in Tables 9 and 10. H</w:t>
      </w:r>
      <w:r w:rsidRPr="00A65F17">
        <w:rPr>
          <w:rFonts w:ascii="Times New Roman" w:hAnsi="Times New Roman" w:cs="Times New Roman"/>
          <w:i w:val="0"/>
          <w:iCs w:val="0"/>
          <w:sz w:val="24"/>
          <w:szCs w:val="24"/>
          <w:vertAlign w:val="subscript"/>
        </w:rPr>
        <w:t>2</w:t>
      </w:r>
      <w:r w:rsidRPr="00A65F17">
        <w:rPr>
          <w:rFonts w:ascii="Times New Roman" w:hAnsi="Times New Roman" w:cs="Times New Roman"/>
          <w:i w:val="0"/>
          <w:iCs w:val="0"/>
          <w:sz w:val="24"/>
          <w:szCs w:val="24"/>
        </w:rPr>
        <w:t xml:space="preserve"> is rejected because the Sharpe, Treynor, and Jensen </w:t>
      </w:r>
      <w:r w:rsidRPr="00A65F17">
        <w:rPr>
          <w:rFonts w:ascii="Times New Roman" w:hAnsi="Times New Roman" w:cs="Times New Roman"/>
          <w:i w:val="0"/>
          <w:iCs w:val="0"/>
          <w:sz w:val="24"/>
          <w:szCs w:val="24"/>
        </w:rPr>
        <w:lastRenderedPageBreak/>
        <w:t xml:space="preserve">indexes have Sig. (2-tailed) values greater than 0.05. It means that there is no difference in performance between capital-protected funds and equities funds based on the Sharpe, Treynor, and Jensen indexes. </w:t>
      </w:r>
    </w:p>
    <w:tbl>
      <w:tblPr>
        <w:tblStyle w:val="TableGrid"/>
        <w:tblW w:w="90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469"/>
      </w:tblGrid>
      <w:tr w:rsidR="00A65F17" w:rsidRPr="00A65F17" w14:paraId="03C67388" w14:textId="77777777" w:rsidTr="006C528B">
        <w:tc>
          <w:tcPr>
            <w:tcW w:w="4536" w:type="dxa"/>
          </w:tcPr>
          <w:p w14:paraId="55A9BE9D" w14:textId="77777777" w:rsidR="00A65F17" w:rsidRPr="00A65F17" w:rsidRDefault="00A65F17" w:rsidP="006C528B">
            <w:pPr>
              <w:spacing w:after="0" w:line="240" w:lineRule="auto"/>
              <w:jc w:val="center"/>
              <w:rPr>
                <w:rFonts w:ascii="Times New Roman" w:hAnsi="Times New Roman" w:cs="Times New Roman"/>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5</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Equity Fund Performance Based on Treynor Index.</w:t>
            </w:r>
          </w:p>
          <w:p w14:paraId="6C027555" w14:textId="77777777" w:rsidR="00A65F17" w:rsidRPr="00A65F17" w:rsidRDefault="00A65F17" w:rsidP="006C528B">
            <w:pPr>
              <w:spacing w:after="0" w:line="240" w:lineRule="auto"/>
              <w:rPr>
                <w:rFonts w:ascii="Times New Roman" w:hAnsi="Times New Roman" w:cs="Times New Roman"/>
                <w:i w:val="0"/>
                <w:iCs w:val="0"/>
                <w:sz w:val="24"/>
                <w:szCs w:val="24"/>
              </w:rPr>
            </w:pPr>
            <w:r w:rsidRPr="00A65F17">
              <w:rPr>
                <w:rFonts w:ascii="Times New Roman" w:hAnsi="Times New Roman" w:cs="Times New Roman"/>
                <w:i w:val="0"/>
                <w:iCs w:val="0"/>
                <w:noProof/>
              </w:rPr>
              <w:drawing>
                <wp:inline distT="0" distB="0" distL="0" distR="0" wp14:anchorId="6F4AC94C" wp14:editId="23195ED9">
                  <wp:extent cx="2743200" cy="1690091"/>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3200" cy="1690091"/>
                          </a:xfrm>
                          <a:prstGeom prst="rect">
                            <a:avLst/>
                          </a:prstGeom>
                        </pic:spPr>
                      </pic:pic>
                    </a:graphicData>
                  </a:graphic>
                </wp:inline>
              </w:drawing>
            </w:r>
          </w:p>
          <w:p w14:paraId="355C3817" w14:textId="77777777" w:rsidR="00A65F17" w:rsidRPr="00A65F17" w:rsidRDefault="00A65F17" w:rsidP="006C528B">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c>
          <w:tcPr>
            <w:tcW w:w="4469" w:type="dxa"/>
          </w:tcPr>
          <w:p w14:paraId="2DE087B9" w14:textId="77777777" w:rsidR="00A65F17" w:rsidRPr="00A65F17" w:rsidRDefault="00A65F17" w:rsidP="006C528B">
            <w:pPr>
              <w:spacing w:after="0" w:line="240" w:lineRule="auto"/>
              <w:jc w:val="center"/>
              <w:rPr>
                <w:rFonts w:ascii="Times New Roman" w:hAnsi="Times New Roman" w:cs="Times New Roman"/>
                <w:b/>
                <w:bCs/>
                <w:i w:val="0"/>
                <w:iCs w:val="0"/>
                <w:noProof/>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6</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Equity Fund Performance Based on Jensen Index.</w:t>
            </w:r>
          </w:p>
          <w:p w14:paraId="19C394FB" w14:textId="6E952A1C" w:rsidR="00A65F17" w:rsidRPr="00A65F17" w:rsidRDefault="00A320B2" w:rsidP="006C528B">
            <w:pPr>
              <w:spacing w:after="0" w:line="240" w:lineRule="auto"/>
              <w:rPr>
                <w:rFonts w:ascii="Times New Roman" w:hAnsi="Times New Roman" w:cs="Times New Roman"/>
                <w:i w:val="0"/>
                <w:iCs w:val="0"/>
                <w:noProof/>
                <w:sz w:val="24"/>
                <w:szCs w:val="24"/>
              </w:rPr>
            </w:pPr>
            <w:r>
              <w:rPr>
                <w:noProof/>
              </w:rPr>
              <w:drawing>
                <wp:inline distT="0" distB="0" distL="0" distR="0" wp14:anchorId="6B7D5534" wp14:editId="423A8E6C">
                  <wp:extent cx="2700655" cy="16471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0655" cy="1647190"/>
                          </a:xfrm>
                          <a:prstGeom prst="rect">
                            <a:avLst/>
                          </a:prstGeom>
                        </pic:spPr>
                      </pic:pic>
                    </a:graphicData>
                  </a:graphic>
                </wp:inline>
              </w:drawing>
            </w:r>
          </w:p>
          <w:p w14:paraId="7F3733AD" w14:textId="77777777" w:rsidR="00A65F17" w:rsidRPr="00A65F17" w:rsidRDefault="00A65F17" w:rsidP="006C528B">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r>
    </w:tbl>
    <w:p w14:paraId="49261969" w14:textId="77777777" w:rsidR="00A65F17" w:rsidRPr="00A65F17" w:rsidRDefault="00A65F17" w:rsidP="00D275CD">
      <w:pPr>
        <w:spacing w:after="0" w:line="240" w:lineRule="auto"/>
        <w:ind w:firstLine="720"/>
        <w:jc w:val="both"/>
        <w:rPr>
          <w:rFonts w:ascii="Times New Roman" w:hAnsi="Times New Roman" w:cs="Times New Roman"/>
          <w:sz w:val="24"/>
          <w:szCs w:val="24"/>
        </w:rPr>
      </w:pPr>
    </w:p>
    <w:p w14:paraId="5588F29B" w14:textId="07ED5AB6" w:rsidR="00D275CD"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00EA3714">
        <w:rPr>
          <w:rFonts w:ascii="Times New Roman" w:hAnsi="Times New Roman" w:cs="Times New Roman"/>
          <w:i w:val="0"/>
          <w:iCs w:val="0"/>
          <w:noProof/>
          <w:color w:val="auto"/>
          <w:sz w:val="24"/>
          <w:szCs w:val="24"/>
        </w:rPr>
        <w:t>7</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D275CD" w:rsidRPr="00A65F17">
        <w:rPr>
          <w:rFonts w:ascii="Times New Roman" w:hAnsi="Times New Roman" w:cs="Times New Roman"/>
          <w:i w:val="0"/>
          <w:iCs w:val="0"/>
          <w:color w:val="auto"/>
          <w:sz w:val="24"/>
          <w:szCs w:val="24"/>
        </w:rPr>
        <w:t>Hypothesis Test Results</w:t>
      </w:r>
    </w:p>
    <w:tbl>
      <w:tblPr>
        <w:tblW w:w="90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5"/>
        <w:gridCol w:w="2700"/>
        <w:gridCol w:w="1080"/>
        <w:gridCol w:w="1710"/>
        <w:gridCol w:w="1890"/>
      </w:tblGrid>
      <w:tr w:rsidR="00D275CD" w:rsidRPr="00A65F17" w14:paraId="3029EAB2" w14:textId="77777777" w:rsidTr="006C528B">
        <w:trPr>
          <w:cantSplit/>
        </w:trPr>
        <w:tc>
          <w:tcPr>
            <w:tcW w:w="1635" w:type="dxa"/>
          </w:tcPr>
          <w:p w14:paraId="6FBB4297"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700" w:type="dxa"/>
            <w:shd w:val="clear" w:color="auto" w:fill="FFFFFF"/>
          </w:tcPr>
          <w:p w14:paraId="7DF69EA7"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Type</w:t>
            </w:r>
          </w:p>
        </w:tc>
        <w:tc>
          <w:tcPr>
            <w:tcW w:w="1080" w:type="dxa"/>
            <w:shd w:val="clear" w:color="auto" w:fill="FFFFFF"/>
          </w:tcPr>
          <w:p w14:paraId="793159FC" w14:textId="77777777" w:rsidR="00D275CD" w:rsidRPr="00A65F17" w:rsidRDefault="00D275CD" w:rsidP="006C528B">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N</w:t>
            </w:r>
          </w:p>
        </w:tc>
        <w:tc>
          <w:tcPr>
            <w:tcW w:w="1710" w:type="dxa"/>
            <w:shd w:val="clear" w:color="auto" w:fill="FFFFFF"/>
          </w:tcPr>
          <w:p w14:paraId="75561958" w14:textId="77777777" w:rsidR="00D275CD" w:rsidRPr="00A65F17" w:rsidRDefault="00D275CD" w:rsidP="006C528B">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Mean</w:t>
            </w:r>
          </w:p>
        </w:tc>
        <w:tc>
          <w:tcPr>
            <w:tcW w:w="1890" w:type="dxa"/>
            <w:shd w:val="clear" w:color="auto" w:fill="FFFFFF"/>
          </w:tcPr>
          <w:p w14:paraId="03174E77" w14:textId="77777777" w:rsidR="00D275CD" w:rsidRPr="00A65F17" w:rsidRDefault="00D275CD" w:rsidP="006C528B">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Std. Deviation</w:t>
            </w:r>
          </w:p>
        </w:tc>
      </w:tr>
      <w:tr w:rsidR="00D275CD" w:rsidRPr="00A65F17" w14:paraId="34C036EB" w14:textId="77777777" w:rsidTr="006C528B">
        <w:trPr>
          <w:cantSplit/>
        </w:trPr>
        <w:tc>
          <w:tcPr>
            <w:tcW w:w="1635" w:type="dxa"/>
            <w:vMerge w:val="restart"/>
            <w:shd w:val="clear" w:color="auto" w:fill="auto"/>
          </w:tcPr>
          <w:p w14:paraId="531D82BC"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Average Return</w:t>
            </w:r>
          </w:p>
        </w:tc>
        <w:tc>
          <w:tcPr>
            <w:tcW w:w="2700" w:type="dxa"/>
            <w:shd w:val="clear" w:color="auto" w:fill="auto"/>
          </w:tcPr>
          <w:p w14:paraId="2E2D4F7F"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Capital Protected Fund</w:t>
            </w:r>
          </w:p>
        </w:tc>
        <w:tc>
          <w:tcPr>
            <w:tcW w:w="1080" w:type="dxa"/>
            <w:shd w:val="clear" w:color="auto" w:fill="FFFFFF"/>
          </w:tcPr>
          <w:p w14:paraId="1B4F95E1"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w:t>
            </w:r>
          </w:p>
        </w:tc>
        <w:tc>
          <w:tcPr>
            <w:tcW w:w="1710" w:type="dxa"/>
            <w:shd w:val="clear" w:color="auto" w:fill="FFFFFF"/>
          </w:tcPr>
          <w:p w14:paraId="57358AF0"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-.006351</w:t>
            </w:r>
          </w:p>
        </w:tc>
        <w:tc>
          <w:tcPr>
            <w:tcW w:w="1890" w:type="dxa"/>
            <w:shd w:val="clear" w:color="auto" w:fill="FFFFFF"/>
          </w:tcPr>
          <w:p w14:paraId="3C200DDA"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.0065293</w:t>
            </w:r>
          </w:p>
        </w:tc>
      </w:tr>
      <w:tr w:rsidR="00D275CD" w:rsidRPr="00A65F17" w14:paraId="3EFA1874" w14:textId="77777777" w:rsidTr="006C528B">
        <w:trPr>
          <w:cantSplit/>
        </w:trPr>
        <w:tc>
          <w:tcPr>
            <w:tcW w:w="1635" w:type="dxa"/>
            <w:vMerge/>
            <w:shd w:val="clear" w:color="auto" w:fill="auto"/>
          </w:tcPr>
          <w:p w14:paraId="4D079D3A"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700" w:type="dxa"/>
            <w:shd w:val="clear" w:color="auto" w:fill="auto"/>
          </w:tcPr>
          <w:p w14:paraId="38279B54"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Equity Fund</w:t>
            </w:r>
          </w:p>
        </w:tc>
        <w:tc>
          <w:tcPr>
            <w:tcW w:w="1080" w:type="dxa"/>
            <w:shd w:val="clear" w:color="auto" w:fill="FFFFFF"/>
          </w:tcPr>
          <w:p w14:paraId="627EB683"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w:t>
            </w:r>
          </w:p>
        </w:tc>
        <w:tc>
          <w:tcPr>
            <w:tcW w:w="1710" w:type="dxa"/>
            <w:shd w:val="clear" w:color="auto" w:fill="FFFFFF"/>
          </w:tcPr>
          <w:p w14:paraId="322CA6FE"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-.000161</w:t>
            </w:r>
          </w:p>
        </w:tc>
        <w:tc>
          <w:tcPr>
            <w:tcW w:w="1890" w:type="dxa"/>
            <w:shd w:val="clear" w:color="auto" w:fill="FFFFFF"/>
          </w:tcPr>
          <w:p w14:paraId="760F2B39"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.0265280</w:t>
            </w:r>
          </w:p>
        </w:tc>
      </w:tr>
      <w:tr w:rsidR="00D275CD" w:rsidRPr="00A65F17" w14:paraId="7F8B7BB6" w14:textId="77777777" w:rsidTr="006C528B">
        <w:trPr>
          <w:cantSplit/>
        </w:trPr>
        <w:tc>
          <w:tcPr>
            <w:tcW w:w="1635" w:type="dxa"/>
            <w:vMerge w:val="restart"/>
            <w:shd w:val="clear" w:color="auto" w:fill="auto"/>
          </w:tcPr>
          <w:p w14:paraId="1B88DF9A"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Portfolio Risk</w:t>
            </w:r>
          </w:p>
        </w:tc>
        <w:tc>
          <w:tcPr>
            <w:tcW w:w="2700" w:type="dxa"/>
            <w:shd w:val="clear" w:color="auto" w:fill="auto"/>
          </w:tcPr>
          <w:p w14:paraId="6CF6D908"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Capital Protected Fund</w:t>
            </w:r>
          </w:p>
        </w:tc>
        <w:tc>
          <w:tcPr>
            <w:tcW w:w="1080" w:type="dxa"/>
            <w:shd w:val="clear" w:color="auto" w:fill="FFFFFF"/>
          </w:tcPr>
          <w:p w14:paraId="54F0E9B0"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w:t>
            </w:r>
          </w:p>
        </w:tc>
        <w:tc>
          <w:tcPr>
            <w:tcW w:w="1710" w:type="dxa"/>
            <w:shd w:val="clear" w:color="auto" w:fill="FFFFFF"/>
          </w:tcPr>
          <w:p w14:paraId="3941E06D"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.086169</w:t>
            </w:r>
          </w:p>
        </w:tc>
        <w:tc>
          <w:tcPr>
            <w:tcW w:w="1890" w:type="dxa"/>
            <w:shd w:val="clear" w:color="auto" w:fill="FFFFFF"/>
          </w:tcPr>
          <w:p w14:paraId="2F4B871F"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.0330381</w:t>
            </w:r>
          </w:p>
        </w:tc>
      </w:tr>
      <w:tr w:rsidR="00D275CD" w:rsidRPr="00A65F17" w14:paraId="35DC35DE" w14:textId="77777777" w:rsidTr="006C528B">
        <w:trPr>
          <w:cantSplit/>
        </w:trPr>
        <w:tc>
          <w:tcPr>
            <w:tcW w:w="1635" w:type="dxa"/>
            <w:vMerge/>
            <w:shd w:val="clear" w:color="auto" w:fill="auto"/>
          </w:tcPr>
          <w:p w14:paraId="2515F1F3"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700" w:type="dxa"/>
            <w:shd w:val="clear" w:color="auto" w:fill="auto"/>
          </w:tcPr>
          <w:p w14:paraId="55EFC26E"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Equity Fund</w:t>
            </w:r>
          </w:p>
        </w:tc>
        <w:tc>
          <w:tcPr>
            <w:tcW w:w="1080" w:type="dxa"/>
            <w:shd w:val="clear" w:color="auto" w:fill="FFFFFF"/>
          </w:tcPr>
          <w:p w14:paraId="6A02D6EA"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w:t>
            </w:r>
          </w:p>
        </w:tc>
        <w:tc>
          <w:tcPr>
            <w:tcW w:w="1710" w:type="dxa"/>
            <w:shd w:val="clear" w:color="auto" w:fill="FFFFFF"/>
          </w:tcPr>
          <w:p w14:paraId="09FBD0DD"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.075227</w:t>
            </w:r>
          </w:p>
        </w:tc>
        <w:tc>
          <w:tcPr>
            <w:tcW w:w="1890" w:type="dxa"/>
            <w:shd w:val="clear" w:color="auto" w:fill="FFFFFF"/>
          </w:tcPr>
          <w:p w14:paraId="1C885972"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.0216211</w:t>
            </w:r>
          </w:p>
        </w:tc>
      </w:tr>
      <w:tr w:rsidR="00D275CD" w:rsidRPr="00A65F17" w14:paraId="57FF64F0" w14:textId="77777777" w:rsidTr="006C528B">
        <w:trPr>
          <w:cantSplit/>
        </w:trPr>
        <w:tc>
          <w:tcPr>
            <w:tcW w:w="1635" w:type="dxa"/>
            <w:vMerge w:val="restart"/>
            <w:shd w:val="clear" w:color="auto" w:fill="auto"/>
          </w:tcPr>
          <w:p w14:paraId="5C0B5C1D"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Market Risk</w:t>
            </w:r>
          </w:p>
        </w:tc>
        <w:tc>
          <w:tcPr>
            <w:tcW w:w="2700" w:type="dxa"/>
            <w:shd w:val="clear" w:color="auto" w:fill="auto"/>
          </w:tcPr>
          <w:p w14:paraId="3AD9B5E7"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Capital Protected Fund</w:t>
            </w:r>
          </w:p>
        </w:tc>
        <w:tc>
          <w:tcPr>
            <w:tcW w:w="1080" w:type="dxa"/>
            <w:shd w:val="clear" w:color="auto" w:fill="FFFFFF"/>
          </w:tcPr>
          <w:p w14:paraId="4D2431F0"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w:t>
            </w:r>
          </w:p>
        </w:tc>
        <w:tc>
          <w:tcPr>
            <w:tcW w:w="1710" w:type="dxa"/>
            <w:shd w:val="clear" w:color="auto" w:fill="FFFFFF"/>
          </w:tcPr>
          <w:p w14:paraId="009CA7EC"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-.000481</w:t>
            </w:r>
          </w:p>
        </w:tc>
        <w:tc>
          <w:tcPr>
            <w:tcW w:w="1890" w:type="dxa"/>
            <w:shd w:val="clear" w:color="auto" w:fill="FFFFFF"/>
          </w:tcPr>
          <w:p w14:paraId="14E2B326"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.0851268</w:t>
            </w:r>
          </w:p>
        </w:tc>
      </w:tr>
      <w:tr w:rsidR="00D275CD" w:rsidRPr="00A65F17" w14:paraId="2A1548E4" w14:textId="77777777" w:rsidTr="006C528B">
        <w:trPr>
          <w:cantSplit/>
        </w:trPr>
        <w:tc>
          <w:tcPr>
            <w:tcW w:w="1635" w:type="dxa"/>
            <w:vMerge/>
            <w:shd w:val="clear" w:color="auto" w:fill="auto"/>
          </w:tcPr>
          <w:p w14:paraId="7BD03000"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700" w:type="dxa"/>
            <w:shd w:val="clear" w:color="auto" w:fill="auto"/>
          </w:tcPr>
          <w:p w14:paraId="7CCE6C3A"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Equity Fund</w:t>
            </w:r>
          </w:p>
        </w:tc>
        <w:tc>
          <w:tcPr>
            <w:tcW w:w="1080" w:type="dxa"/>
            <w:shd w:val="clear" w:color="auto" w:fill="FFFFFF"/>
          </w:tcPr>
          <w:p w14:paraId="161AF392"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w:t>
            </w:r>
          </w:p>
        </w:tc>
        <w:tc>
          <w:tcPr>
            <w:tcW w:w="1710" w:type="dxa"/>
            <w:shd w:val="clear" w:color="auto" w:fill="FFFFFF"/>
          </w:tcPr>
          <w:p w14:paraId="22FEDD51"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.027563</w:t>
            </w:r>
          </w:p>
        </w:tc>
        <w:tc>
          <w:tcPr>
            <w:tcW w:w="1890" w:type="dxa"/>
            <w:shd w:val="clear" w:color="auto" w:fill="FFFFFF"/>
          </w:tcPr>
          <w:p w14:paraId="267D2586"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.6411851</w:t>
            </w:r>
          </w:p>
        </w:tc>
      </w:tr>
    </w:tbl>
    <w:p w14:paraId="0D9A2A0C" w14:textId="563AC648" w:rsidR="00D275CD" w:rsidRPr="00A8587D" w:rsidRDefault="00A252D0" w:rsidP="00A8587D">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6E4BD251" w14:textId="64EA3482" w:rsidR="00D275CD" w:rsidRPr="00A65F17" w:rsidRDefault="00901BEF" w:rsidP="00A8587D">
      <w:pPr>
        <w:pStyle w:val="Caption"/>
        <w:keepNext/>
        <w:spacing w:before="120"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00EA3714">
        <w:rPr>
          <w:rFonts w:ascii="Times New Roman" w:hAnsi="Times New Roman" w:cs="Times New Roman"/>
          <w:i w:val="0"/>
          <w:iCs w:val="0"/>
          <w:noProof/>
          <w:color w:val="auto"/>
          <w:sz w:val="24"/>
          <w:szCs w:val="24"/>
        </w:rPr>
        <w:t>8</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D275CD" w:rsidRPr="00A65F17">
        <w:rPr>
          <w:rFonts w:ascii="Times New Roman" w:hAnsi="Times New Roman" w:cs="Times New Roman"/>
          <w:i w:val="0"/>
          <w:iCs w:val="0"/>
          <w:color w:val="auto"/>
          <w:sz w:val="24"/>
          <w:szCs w:val="24"/>
        </w:rPr>
        <w:t>Results of the Independent Samples Test</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5"/>
        <w:gridCol w:w="1440"/>
        <w:gridCol w:w="900"/>
        <w:gridCol w:w="990"/>
        <w:gridCol w:w="810"/>
        <w:gridCol w:w="810"/>
        <w:gridCol w:w="900"/>
        <w:gridCol w:w="1080"/>
        <w:gridCol w:w="1080"/>
      </w:tblGrid>
      <w:tr w:rsidR="00D275CD" w:rsidRPr="00A65F17" w14:paraId="7F8E611A" w14:textId="77777777" w:rsidTr="006C528B">
        <w:trPr>
          <w:cantSplit/>
        </w:trPr>
        <w:tc>
          <w:tcPr>
            <w:tcW w:w="2435" w:type="dxa"/>
            <w:gridSpan w:val="2"/>
            <w:vMerge w:val="restart"/>
            <w:shd w:val="clear" w:color="auto" w:fill="auto"/>
          </w:tcPr>
          <w:p w14:paraId="4E13E134"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890" w:type="dxa"/>
            <w:gridSpan w:val="2"/>
            <w:shd w:val="clear" w:color="auto" w:fill="auto"/>
          </w:tcPr>
          <w:p w14:paraId="6BB37150"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proofErr w:type="spellStart"/>
            <w:r w:rsidRPr="00A65F17">
              <w:rPr>
                <w:rFonts w:ascii="Times New Roman" w:eastAsiaTheme="minorHAnsi" w:hAnsi="Times New Roman" w:cs="Times New Roman"/>
                <w:i w:val="0"/>
                <w:iCs w:val="0"/>
              </w:rPr>
              <w:t>Levene's</w:t>
            </w:r>
            <w:proofErr w:type="spellEnd"/>
            <w:r w:rsidRPr="00A65F17">
              <w:rPr>
                <w:rFonts w:ascii="Times New Roman" w:eastAsiaTheme="minorHAnsi" w:hAnsi="Times New Roman" w:cs="Times New Roman"/>
                <w:i w:val="0"/>
                <w:iCs w:val="0"/>
              </w:rPr>
              <w:t xml:space="preserve"> Test for Equality of Variances</w:t>
            </w:r>
          </w:p>
        </w:tc>
        <w:tc>
          <w:tcPr>
            <w:tcW w:w="4680" w:type="dxa"/>
            <w:gridSpan w:val="5"/>
            <w:shd w:val="clear" w:color="auto" w:fill="auto"/>
          </w:tcPr>
          <w:p w14:paraId="5E0EF9B4"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t-test for Equality of Means</w:t>
            </w:r>
          </w:p>
        </w:tc>
      </w:tr>
      <w:tr w:rsidR="00D275CD" w:rsidRPr="00A65F17" w14:paraId="60B972ED" w14:textId="77777777" w:rsidTr="006C528B">
        <w:trPr>
          <w:cantSplit/>
          <w:trHeight w:val="50"/>
        </w:trPr>
        <w:tc>
          <w:tcPr>
            <w:tcW w:w="2435" w:type="dxa"/>
            <w:gridSpan w:val="2"/>
            <w:vMerge/>
            <w:shd w:val="clear" w:color="auto" w:fill="auto"/>
          </w:tcPr>
          <w:p w14:paraId="1430262C"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900" w:type="dxa"/>
            <w:shd w:val="clear" w:color="auto" w:fill="auto"/>
          </w:tcPr>
          <w:p w14:paraId="1635260D"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F</w:t>
            </w:r>
          </w:p>
        </w:tc>
        <w:tc>
          <w:tcPr>
            <w:tcW w:w="990" w:type="dxa"/>
            <w:shd w:val="clear" w:color="auto" w:fill="auto"/>
          </w:tcPr>
          <w:p w14:paraId="10017FD1"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Sig.</w:t>
            </w:r>
          </w:p>
        </w:tc>
        <w:tc>
          <w:tcPr>
            <w:tcW w:w="810" w:type="dxa"/>
            <w:shd w:val="clear" w:color="auto" w:fill="auto"/>
          </w:tcPr>
          <w:p w14:paraId="24912628"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w:t>
            </w:r>
          </w:p>
        </w:tc>
        <w:tc>
          <w:tcPr>
            <w:tcW w:w="810" w:type="dxa"/>
            <w:shd w:val="clear" w:color="auto" w:fill="auto"/>
          </w:tcPr>
          <w:p w14:paraId="6F718CF8"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df</w:t>
            </w:r>
          </w:p>
        </w:tc>
        <w:tc>
          <w:tcPr>
            <w:tcW w:w="900" w:type="dxa"/>
            <w:shd w:val="clear" w:color="auto" w:fill="auto"/>
          </w:tcPr>
          <w:p w14:paraId="7239E806"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Sig. (2-tailed)</w:t>
            </w:r>
          </w:p>
        </w:tc>
        <w:tc>
          <w:tcPr>
            <w:tcW w:w="1080" w:type="dxa"/>
            <w:shd w:val="clear" w:color="auto" w:fill="auto"/>
          </w:tcPr>
          <w:p w14:paraId="3287179B"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Mean Difference</w:t>
            </w:r>
          </w:p>
        </w:tc>
        <w:tc>
          <w:tcPr>
            <w:tcW w:w="1080" w:type="dxa"/>
            <w:shd w:val="clear" w:color="auto" w:fill="auto"/>
          </w:tcPr>
          <w:p w14:paraId="03A15EAB"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Std. Error Difference</w:t>
            </w:r>
          </w:p>
        </w:tc>
      </w:tr>
      <w:tr w:rsidR="00D275CD" w:rsidRPr="00A65F17" w14:paraId="0820740C" w14:textId="77777777" w:rsidTr="006C528B">
        <w:trPr>
          <w:cantSplit/>
          <w:trHeight w:val="50"/>
        </w:trPr>
        <w:tc>
          <w:tcPr>
            <w:tcW w:w="995" w:type="dxa"/>
            <w:vMerge w:val="restart"/>
            <w:shd w:val="clear" w:color="auto" w:fill="auto"/>
          </w:tcPr>
          <w:p w14:paraId="457ADFC4"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Average Return</w:t>
            </w:r>
          </w:p>
        </w:tc>
        <w:tc>
          <w:tcPr>
            <w:tcW w:w="1440" w:type="dxa"/>
            <w:shd w:val="clear" w:color="auto" w:fill="auto"/>
          </w:tcPr>
          <w:p w14:paraId="15E72ABD"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assumed</w:t>
            </w:r>
          </w:p>
        </w:tc>
        <w:tc>
          <w:tcPr>
            <w:tcW w:w="900" w:type="dxa"/>
            <w:shd w:val="clear" w:color="auto" w:fill="auto"/>
          </w:tcPr>
          <w:p w14:paraId="605F418A"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5.782</w:t>
            </w:r>
          </w:p>
        </w:tc>
        <w:tc>
          <w:tcPr>
            <w:tcW w:w="990" w:type="dxa"/>
            <w:shd w:val="clear" w:color="auto" w:fill="auto"/>
          </w:tcPr>
          <w:p w14:paraId="416243C5"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.033</w:t>
            </w:r>
          </w:p>
        </w:tc>
        <w:tc>
          <w:tcPr>
            <w:tcW w:w="810" w:type="dxa"/>
            <w:shd w:val="clear" w:color="auto" w:fill="auto"/>
          </w:tcPr>
          <w:p w14:paraId="71CEA0F9"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-.600</w:t>
            </w:r>
          </w:p>
        </w:tc>
        <w:tc>
          <w:tcPr>
            <w:tcW w:w="810" w:type="dxa"/>
            <w:shd w:val="clear" w:color="auto" w:fill="auto"/>
          </w:tcPr>
          <w:p w14:paraId="1F026A7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12</w:t>
            </w:r>
          </w:p>
        </w:tc>
        <w:tc>
          <w:tcPr>
            <w:tcW w:w="900" w:type="dxa"/>
            <w:shd w:val="clear" w:color="auto" w:fill="auto"/>
          </w:tcPr>
          <w:p w14:paraId="3ABA3FCD"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.560</w:t>
            </w:r>
          </w:p>
        </w:tc>
        <w:tc>
          <w:tcPr>
            <w:tcW w:w="1080" w:type="dxa"/>
            <w:shd w:val="clear" w:color="auto" w:fill="auto"/>
          </w:tcPr>
          <w:p w14:paraId="162E71A5"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-.0061904</w:t>
            </w:r>
          </w:p>
        </w:tc>
        <w:tc>
          <w:tcPr>
            <w:tcW w:w="1080" w:type="dxa"/>
            <w:shd w:val="clear" w:color="auto" w:fill="auto"/>
          </w:tcPr>
          <w:p w14:paraId="0ECA7613"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.0103259</w:t>
            </w:r>
          </w:p>
        </w:tc>
      </w:tr>
      <w:tr w:rsidR="00D275CD" w:rsidRPr="00A65F17" w14:paraId="33759992" w14:textId="77777777" w:rsidTr="006C528B">
        <w:trPr>
          <w:cantSplit/>
        </w:trPr>
        <w:tc>
          <w:tcPr>
            <w:tcW w:w="995" w:type="dxa"/>
            <w:vMerge/>
            <w:shd w:val="clear" w:color="auto" w:fill="auto"/>
          </w:tcPr>
          <w:p w14:paraId="6010AC3A"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440" w:type="dxa"/>
            <w:shd w:val="clear" w:color="auto" w:fill="auto"/>
          </w:tcPr>
          <w:p w14:paraId="7AAC0BED"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not assumed</w:t>
            </w:r>
          </w:p>
        </w:tc>
        <w:tc>
          <w:tcPr>
            <w:tcW w:w="900" w:type="dxa"/>
            <w:shd w:val="clear" w:color="auto" w:fill="auto"/>
          </w:tcPr>
          <w:p w14:paraId="355281A7"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990" w:type="dxa"/>
            <w:shd w:val="clear" w:color="auto" w:fill="auto"/>
          </w:tcPr>
          <w:p w14:paraId="3944B591"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810" w:type="dxa"/>
            <w:shd w:val="clear" w:color="auto" w:fill="auto"/>
          </w:tcPr>
          <w:p w14:paraId="1BF6439C"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-.600</w:t>
            </w:r>
          </w:p>
        </w:tc>
        <w:tc>
          <w:tcPr>
            <w:tcW w:w="810" w:type="dxa"/>
            <w:shd w:val="clear" w:color="auto" w:fill="auto"/>
          </w:tcPr>
          <w:p w14:paraId="518C7988"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6.724</w:t>
            </w:r>
          </w:p>
        </w:tc>
        <w:tc>
          <w:tcPr>
            <w:tcW w:w="900" w:type="dxa"/>
            <w:shd w:val="clear" w:color="auto" w:fill="auto"/>
          </w:tcPr>
          <w:p w14:paraId="151F49A6"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.568</w:t>
            </w:r>
          </w:p>
        </w:tc>
        <w:tc>
          <w:tcPr>
            <w:tcW w:w="1080" w:type="dxa"/>
            <w:shd w:val="clear" w:color="auto" w:fill="auto"/>
          </w:tcPr>
          <w:p w14:paraId="6C5926B7"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-.0061904</w:t>
            </w:r>
          </w:p>
        </w:tc>
        <w:tc>
          <w:tcPr>
            <w:tcW w:w="1080" w:type="dxa"/>
            <w:shd w:val="clear" w:color="auto" w:fill="auto"/>
          </w:tcPr>
          <w:p w14:paraId="332F2A46"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.0103259</w:t>
            </w:r>
          </w:p>
        </w:tc>
      </w:tr>
      <w:tr w:rsidR="00D275CD" w:rsidRPr="00A65F17" w14:paraId="09210B2A" w14:textId="77777777" w:rsidTr="006C528B">
        <w:trPr>
          <w:cantSplit/>
        </w:trPr>
        <w:tc>
          <w:tcPr>
            <w:tcW w:w="995" w:type="dxa"/>
            <w:vMerge w:val="restart"/>
            <w:shd w:val="clear" w:color="auto" w:fill="auto"/>
          </w:tcPr>
          <w:p w14:paraId="41913D39"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Portfolio risk</w:t>
            </w:r>
          </w:p>
        </w:tc>
        <w:tc>
          <w:tcPr>
            <w:tcW w:w="1440" w:type="dxa"/>
            <w:shd w:val="clear" w:color="auto" w:fill="auto"/>
          </w:tcPr>
          <w:p w14:paraId="7BE67C9C"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assumed</w:t>
            </w:r>
          </w:p>
        </w:tc>
        <w:tc>
          <w:tcPr>
            <w:tcW w:w="900" w:type="dxa"/>
            <w:shd w:val="clear" w:color="auto" w:fill="auto"/>
          </w:tcPr>
          <w:p w14:paraId="544762C2"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.403</w:t>
            </w:r>
          </w:p>
        </w:tc>
        <w:tc>
          <w:tcPr>
            <w:tcW w:w="990" w:type="dxa"/>
            <w:shd w:val="clear" w:color="auto" w:fill="auto"/>
          </w:tcPr>
          <w:p w14:paraId="51A4908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.537</w:t>
            </w:r>
          </w:p>
        </w:tc>
        <w:tc>
          <w:tcPr>
            <w:tcW w:w="810" w:type="dxa"/>
            <w:shd w:val="clear" w:color="auto" w:fill="auto"/>
          </w:tcPr>
          <w:p w14:paraId="31489183"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.733</w:t>
            </w:r>
          </w:p>
        </w:tc>
        <w:tc>
          <w:tcPr>
            <w:tcW w:w="810" w:type="dxa"/>
            <w:shd w:val="clear" w:color="auto" w:fill="auto"/>
          </w:tcPr>
          <w:p w14:paraId="4803109A"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12</w:t>
            </w:r>
          </w:p>
        </w:tc>
        <w:tc>
          <w:tcPr>
            <w:tcW w:w="900" w:type="dxa"/>
            <w:shd w:val="clear" w:color="auto" w:fill="auto"/>
          </w:tcPr>
          <w:p w14:paraId="38A0BEC2"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.477</w:t>
            </w:r>
          </w:p>
        </w:tc>
        <w:tc>
          <w:tcPr>
            <w:tcW w:w="1080" w:type="dxa"/>
            <w:shd w:val="clear" w:color="auto" w:fill="auto"/>
          </w:tcPr>
          <w:p w14:paraId="09C2F804"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.0109427</w:t>
            </w:r>
          </w:p>
        </w:tc>
        <w:tc>
          <w:tcPr>
            <w:tcW w:w="1080" w:type="dxa"/>
            <w:shd w:val="clear" w:color="auto" w:fill="auto"/>
          </w:tcPr>
          <w:p w14:paraId="17B15546"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.0149236</w:t>
            </w:r>
          </w:p>
        </w:tc>
      </w:tr>
      <w:tr w:rsidR="00D275CD" w:rsidRPr="00A65F17" w14:paraId="30E59071" w14:textId="77777777" w:rsidTr="006C528B">
        <w:trPr>
          <w:cantSplit/>
        </w:trPr>
        <w:tc>
          <w:tcPr>
            <w:tcW w:w="995" w:type="dxa"/>
            <w:vMerge/>
            <w:shd w:val="clear" w:color="auto" w:fill="auto"/>
          </w:tcPr>
          <w:p w14:paraId="53B60E97"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440" w:type="dxa"/>
            <w:shd w:val="clear" w:color="auto" w:fill="auto"/>
          </w:tcPr>
          <w:p w14:paraId="0A5AA9E0"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not assumed</w:t>
            </w:r>
          </w:p>
        </w:tc>
        <w:tc>
          <w:tcPr>
            <w:tcW w:w="900" w:type="dxa"/>
            <w:shd w:val="clear" w:color="auto" w:fill="auto"/>
          </w:tcPr>
          <w:p w14:paraId="5333A2E2"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990" w:type="dxa"/>
            <w:shd w:val="clear" w:color="auto" w:fill="auto"/>
          </w:tcPr>
          <w:p w14:paraId="7EFC8DE4"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810" w:type="dxa"/>
            <w:shd w:val="clear" w:color="auto" w:fill="auto"/>
          </w:tcPr>
          <w:p w14:paraId="39DC6335"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.733</w:t>
            </w:r>
          </w:p>
        </w:tc>
        <w:tc>
          <w:tcPr>
            <w:tcW w:w="810" w:type="dxa"/>
            <w:shd w:val="clear" w:color="auto" w:fill="auto"/>
          </w:tcPr>
          <w:p w14:paraId="56D6BA00"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10.343</w:t>
            </w:r>
          </w:p>
        </w:tc>
        <w:tc>
          <w:tcPr>
            <w:tcW w:w="900" w:type="dxa"/>
            <w:shd w:val="clear" w:color="auto" w:fill="auto"/>
          </w:tcPr>
          <w:p w14:paraId="06AA725D"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.480</w:t>
            </w:r>
          </w:p>
        </w:tc>
        <w:tc>
          <w:tcPr>
            <w:tcW w:w="1080" w:type="dxa"/>
            <w:shd w:val="clear" w:color="auto" w:fill="auto"/>
          </w:tcPr>
          <w:p w14:paraId="53F1FD86"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.0109427</w:t>
            </w:r>
          </w:p>
        </w:tc>
        <w:tc>
          <w:tcPr>
            <w:tcW w:w="1080" w:type="dxa"/>
            <w:shd w:val="clear" w:color="auto" w:fill="auto"/>
          </w:tcPr>
          <w:p w14:paraId="0597F02D"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.0149236</w:t>
            </w:r>
          </w:p>
        </w:tc>
      </w:tr>
      <w:tr w:rsidR="00D275CD" w:rsidRPr="00A65F17" w14:paraId="123CF6F5" w14:textId="77777777" w:rsidTr="006C528B">
        <w:trPr>
          <w:cantSplit/>
        </w:trPr>
        <w:tc>
          <w:tcPr>
            <w:tcW w:w="995" w:type="dxa"/>
            <w:vMerge w:val="restart"/>
            <w:shd w:val="clear" w:color="auto" w:fill="auto"/>
          </w:tcPr>
          <w:p w14:paraId="71E30B53"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Market risk</w:t>
            </w:r>
          </w:p>
        </w:tc>
        <w:tc>
          <w:tcPr>
            <w:tcW w:w="1440" w:type="dxa"/>
            <w:shd w:val="clear" w:color="auto" w:fill="auto"/>
          </w:tcPr>
          <w:p w14:paraId="2E366BE9"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assumed</w:t>
            </w:r>
          </w:p>
        </w:tc>
        <w:tc>
          <w:tcPr>
            <w:tcW w:w="900" w:type="dxa"/>
            <w:shd w:val="clear" w:color="auto" w:fill="auto"/>
          </w:tcPr>
          <w:p w14:paraId="78D68DC0"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3.355</w:t>
            </w:r>
          </w:p>
        </w:tc>
        <w:tc>
          <w:tcPr>
            <w:tcW w:w="990" w:type="dxa"/>
            <w:shd w:val="clear" w:color="auto" w:fill="auto"/>
          </w:tcPr>
          <w:p w14:paraId="5A090339"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.092</w:t>
            </w:r>
          </w:p>
        </w:tc>
        <w:tc>
          <w:tcPr>
            <w:tcW w:w="810" w:type="dxa"/>
            <w:shd w:val="clear" w:color="auto" w:fill="auto"/>
          </w:tcPr>
          <w:p w14:paraId="26CD80F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-.115</w:t>
            </w:r>
          </w:p>
        </w:tc>
        <w:tc>
          <w:tcPr>
            <w:tcW w:w="810" w:type="dxa"/>
            <w:shd w:val="clear" w:color="auto" w:fill="auto"/>
          </w:tcPr>
          <w:p w14:paraId="34D87239"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12</w:t>
            </w:r>
          </w:p>
        </w:tc>
        <w:tc>
          <w:tcPr>
            <w:tcW w:w="900" w:type="dxa"/>
            <w:shd w:val="clear" w:color="auto" w:fill="auto"/>
          </w:tcPr>
          <w:p w14:paraId="6EA2B1EC"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.911</w:t>
            </w:r>
          </w:p>
        </w:tc>
        <w:tc>
          <w:tcPr>
            <w:tcW w:w="1080" w:type="dxa"/>
            <w:shd w:val="clear" w:color="auto" w:fill="auto"/>
          </w:tcPr>
          <w:p w14:paraId="729093EE"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-.0280440</w:t>
            </w:r>
          </w:p>
        </w:tc>
        <w:tc>
          <w:tcPr>
            <w:tcW w:w="1080" w:type="dxa"/>
            <w:shd w:val="clear" w:color="auto" w:fill="auto"/>
          </w:tcPr>
          <w:p w14:paraId="2F881290"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.2444717</w:t>
            </w:r>
          </w:p>
        </w:tc>
      </w:tr>
      <w:tr w:rsidR="00D275CD" w:rsidRPr="00A65F17" w14:paraId="448ACAA4" w14:textId="77777777" w:rsidTr="006C528B">
        <w:trPr>
          <w:cantSplit/>
        </w:trPr>
        <w:tc>
          <w:tcPr>
            <w:tcW w:w="995" w:type="dxa"/>
            <w:vMerge/>
            <w:shd w:val="clear" w:color="auto" w:fill="auto"/>
          </w:tcPr>
          <w:p w14:paraId="47DAC3E9"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440" w:type="dxa"/>
            <w:shd w:val="clear" w:color="auto" w:fill="auto"/>
          </w:tcPr>
          <w:p w14:paraId="2E9A903F"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not assumed</w:t>
            </w:r>
          </w:p>
        </w:tc>
        <w:tc>
          <w:tcPr>
            <w:tcW w:w="900" w:type="dxa"/>
            <w:shd w:val="clear" w:color="auto" w:fill="auto"/>
          </w:tcPr>
          <w:p w14:paraId="7A9C891D"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990" w:type="dxa"/>
            <w:shd w:val="clear" w:color="auto" w:fill="auto"/>
          </w:tcPr>
          <w:p w14:paraId="624521A2"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810" w:type="dxa"/>
            <w:shd w:val="clear" w:color="auto" w:fill="auto"/>
          </w:tcPr>
          <w:p w14:paraId="112826AF"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-.115</w:t>
            </w:r>
          </w:p>
        </w:tc>
        <w:tc>
          <w:tcPr>
            <w:tcW w:w="810" w:type="dxa"/>
            <w:shd w:val="clear" w:color="auto" w:fill="auto"/>
          </w:tcPr>
          <w:p w14:paraId="4C60D174"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6.211</w:t>
            </w:r>
          </w:p>
        </w:tc>
        <w:tc>
          <w:tcPr>
            <w:tcW w:w="900" w:type="dxa"/>
            <w:shd w:val="clear" w:color="auto" w:fill="auto"/>
          </w:tcPr>
          <w:p w14:paraId="39502CBA"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.912</w:t>
            </w:r>
          </w:p>
        </w:tc>
        <w:tc>
          <w:tcPr>
            <w:tcW w:w="1080" w:type="dxa"/>
            <w:shd w:val="clear" w:color="auto" w:fill="auto"/>
          </w:tcPr>
          <w:p w14:paraId="53D0B063"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-.0280440</w:t>
            </w:r>
          </w:p>
        </w:tc>
        <w:tc>
          <w:tcPr>
            <w:tcW w:w="1080" w:type="dxa"/>
            <w:shd w:val="clear" w:color="auto" w:fill="auto"/>
          </w:tcPr>
          <w:p w14:paraId="080BB77C"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.2444717</w:t>
            </w:r>
          </w:p>
        </w:tc>
      </w:tr>
    </w:tbl>
    <w:p w14:paraId="1B8CD111" w14:textId="1B6D11B9" w:rsidR="00D275CD" w:rsidRPr="00A8587D" w:rsidRDefault="00A252D0" w:rsidP="00A8587D">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043D4AB4" w14:textId="2B4810B8" w:rsidR="00D275CD"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9</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D275CD" w:rsidRPr="00A65F17">
        <w:rPr>
          <w:rFonts w:ascii="Times New Roman" w:hAnsi="Times New Roman" w:cs="Times New Roman"/>
          <w:i w:val="0"/>
          <w:iCs w:val="0"/>
          <w:color w:val="auto"/>
          <w:sz w:val="24"/>
          <w:szCs w:val="24"/>
        </w:rPr>
        <w:t>Hypothesis Test Results</w:t>
      </w:r>
    </w:p>
    <w:tbl>
      <w:tblPr>
        <w:tblW w:w="90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5"/>
        <w:gridCol w:w="2610"/>
        <w:gridCol w:w="1260"/>
        <w:gridCol w:w="1800"/>
        <w:gridCol w:w="2160"/>
      </w:tblGrid>
      <w:tr w:rsidR="00D275CD" w:rsidRPr="00A65F17" w14:paraId="5D34B2D0" w14:textId="77777777" w:rsidTr="006C528B">
        <w:trPr>
          <w:cantSplit/>
        </w:trPr>
        <w:tc>
          <w:tcPr>
            <w:tcW w:w="1185" w:type="dxa"/>
            <w:shd w:val="clear" w:color="auto" w:fill="auto"/>
          </w:tcPr>
          <w:p w14:paraId="0270342D"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610" w:type="dxa"/>
            <w:shd w:val="clear" w:color="auto" w:fill="auto"/>
            <w:vAlign w:val="bottom"/>
          </w:tcPr>
          <w:p w14:paraId="258E4F02"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Type</w:t>
            </w:r>
          </w:p>
        </w:tc>
        <w:tc>
          <w:tcPr>
            <w:tcW w:w="1260" w:type="dxa"/>
            <w:shd w:val="clear" w:color="auto" w:fill="auto"/>
            <w:vAlign w:val="bottom"/>
          </w:tcPr>
          <w:p w14:paraId="5F79BD18" w14:textId="77777777" w:rsidR="00D275CD" w:rsidRPr="00A65F17" w:rsidRDefault="00D275CD" w:rsidP="006C528B">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N</w:t>
            </w:r>
          </w:p>
        </w:tc>
        <w:tc>
          <w:tcPr>
            <w:tcW w:w="1800" w:type="dxa"/>
            <w:shd w:val="clear" w:color="auto" w:fill="auto"/>
            <w:vAlign w:val="bottom"/>
          </w:tcPr>
          <w:p w14:paraId="5C58297E" w14:textId="77777777" w:rsidR="00D275CD" w:rsidRPr="00A65F17" w:rsidRDefault="00D275CD" w:rsidP="006C528B">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Mean</w:t>
            </w:r>
          </w:p>
        </w:tc>
        <w:tc>
          <w:tcPr>
            <w:tcW w:w="2160" w:type="dxa"/>
            <w:shd w:val="clear" w:color="auto" w:fill="auto"/>
            <w:vAlign w:val="bottom"/>
          </w:tcPr>
          <w:p w14:paraId="3D3CB691" w14:textId="77777777" w:rsidR="00D275CD" w:rsidRPr="00A65F17" w:rsidRDefault="00D275CD" w:rsidP="006C528B">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Std. Deviation</w:t>
            </w:r>
          </w:p>
        </w:tc>
      </w:tr>
      <w:tr w:rsidR="00D275CD" w:rsidRPr="00A65F17" w14:paraId="71EAB7E7" w14:textId="77777777" w:rsidTr="006C528B">
        <w:trPr>
          <w:cantSplit/>
        </w:trPr>
        <w:tc>
          <w:tcPr>
            <w:tcW w:w="1185" w:type="dxa"/>
            <w:vMerge w:val="restart"/>
            <w:shd w:val="clear" w:color="auto" w:fill="auto"/>
          </w:tcPr>
          <w:p w14:paraId="49BCC31B"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Sharpe</w:t>
            </w:r>
          </w:p>
        </w:tc>
        <w:tc>
          <w:tcPr>
            <w:tcW w:w="2610" w:type="dxa"/>
            <w:shd w:val="clear" w:color="auto" w:fill="auto"/>
          </w:tcPr>
          <w:p w14:paraId="6995D213"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Capital Protected Fund</w:t>
            </w:r>
          </w:p>
        </w:tc>
        <w:tc>
          <w:tcPr>
            <w:tcW w:w="1260" w:type="dxa"/>
            <w:shd w:val="clear" w:color="auto" w:fill="auto"/>
          </w:tcPr>
          <w:p w14:paraId="33A918FE"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462</w:t>
            </w:r>
          </w:p>
        </w:tc>
        <w:tc>
          <w:tcPr>
            <w:tcW w:w="1800" w:type="dxa"/>
            <w:shd w:val="clear" w:color="auto" w:fill="auto"/>
          </w:tcPr>
          <w:p w14:paraId="793085F0"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-.220159</w:t>
            </w:r>
          </w:p>
        </w:tc>
        <w:tc>
          <w:tcPr>
            <w:tcW w:w="2160" w:type="dxa"/>
            <w:shd w:val="clear" w:color="auto" w:fill="auto"/>
          </w:tcPr>
          <w:p w14:paraId="558F34D5"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1.0954752</w:t>
            </w:r>
          </w:p>
        </w:tc>
      </w:tr>
      <w:tr w:rsidR="00D275CD" w:rsidRPr="00A65F17" w14:paraId="4877DBBA" w14:textId="77777777" w:rsidTr="006C528B">
        <w:trPr>
          <w:cantSplit/>
        </w:trPr>
        <w:tc>
          <w:tcPr>
            <w:tcW w:w="1185" w:type="dxa"/>
            <w:vMerge/>
            <w:shd w:val="clear" w:color="auto" w:fill="auto"/>
          </w:tcPr>
          <w:p w14:paraId="549E01AB"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610" w:type="dxa"/>
            <w:shd w:val="clear" w:color="auto" w:fill="auto"/>
          </w:tcPr>
          <w:p w14:paraId="4CB2D490"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Equity Fund</w:t>
            </w:r>
          </w:p>
        </w:tc>
        <w:tc>
          <w:tcPr>
            <w:tcW w:w="1260" w:type="dxa"/>
            <w:shd w:val="clear" w:color="auto" w:fill="auto"/>
          </w:tcPr>
          <w:p w14:paraId="0391712E"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273</w:t>
            </w:r>
          </w:p>
        </w:tc>
        <w:tc>
          <w:tcPr>
            <w:tcW w:w="1800" w:type="dxa"/>
            <w:shd w:val="clear" w:color="auto" w:fill="auto"/>
          </w:tcPr>
          <w:p w14:paraId="7DAFB585"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-.177111</w:t>
            </w:r>
          </w:p>
        </w:tc>
        <w:tc>
          <w:tcPr>
            <w:tcW w:w="2160" w:type="dxa"/>
            <w:shd w:val="clear" w:color="auto" w:fill="auto"/>
          </w:tcPr>
          <w:p w14:paraId="58D397EA"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.4411528</w:t>
            </w:r>
          </w:p>
        </w:tc>
      </w:tr>
      <w:tr w:rsidR="00D275CD" w:rsidRPr="00A65F17" w14:paraId="29ADD78A" w14:textId="77777777" w:rsidTr="006C528B">
        <w:trPr>
          <w:cantSplit/>
        </w:trPr>
        <w:tc>
          <w:tcPr>
            <w:tcW w:w="1185" w:type="dxa"/>
            <w:vMerge w:val="restart"/>
            <w:shd w:val="clear" w:color="auto" w:fill="auto"/>
          </w:tcPr>
          <w:p w14:paraId="393541BE"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Treynor</w:t>
            </w:r>
          </w:p>
        </w:tc>
        <w:tc>
          <w:tcPr>
            <w:tcW w:w="2610" w:type="dxa"/>
            <w:shd w:val="clear" w:color="auto" w:fill="auto"/>
          </w:tcPr>
          <w:p w14:paraId="4B27E153"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Capital Protected Fund</w:t>
            </w:r>
          </w:p>
        </w:tc>
        <w:tc>
          <w:tcPr>
            <w:tcW w:w="1260" w:type="dxa"/>
            <w:shd w:val="clear" w:color="auto" w:fill="auto"/>
          </w:tcPr>
          <w:p w14:paraId="53FC1C0C"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462</w:t>
            </w:r>
          </w:p>
        </w:tc>
        <w:tc>
          <w:tcPr>
            <w:tcW w:w="1800" w:type="dxa"/>
            <w:shd w:val="clear" w:color="auto" w:fill="auto"/>
          </w:tcPr>
          <w:p w14:paraId="09CCCB9C"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.013952</w:t>
            </w:r>
          </w:p>
        </w:tc>
        <w:tc>
          <w:tcPr>
            <w:tcW w:w="2160" w:type="dxa"/>
            <w:shd w:val="clear" w:color="auto" w:fill="auto"/>
          </w:tcPr>
          <w:p w14:paraId="10ABCB95"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.2435737</w:t>
            </w:r>
          </w:p>
        </w:tc>
      </w:tr>
      <w:tr w:rsidR="00D275CD" w:rsidRPr="00A65F17" w14:paraId="4A02004A" w14:textId="77777777" w:rsidTr="006C528B">
        <w:trPr>
          <w:cantSplit/>
        </w:trPr>
        <w:tc>
          <w:tcPr>
            <w:tcW w:w="1185" w:type="dxa"/>
            <w:vMerge/>
            <w:shd w:val="clear" w:color="auto" w:fill="auto"/>
          </w:tcPr>
          <w:p w14:paraId="0D329CC2"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610" w:type="dxa"/>
            <w:shd w:val="clear" w:color="auto" w:fill="auto"/>
          </w:tcPr>
          <w:p w14:paraId="69B466DC"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Equity Fund</w:t>
            </w:r>
          </w:p>
        </w:tc>
        <w:tc>
          <w:tcPr>
            <w:tcW w:w="1260" w:type="dxa"/>
            <w:shd w:val="clear" w:color="auto" w:fill="auto"/>
          </w:tcPr>
          <w:p w14:paraId="48DB0274"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273</w:t>
            </w:r>
          </w:p>
        </w:tc>
        <w:tc>
          <w:tcPr>
            <w:tcW w:w="1800" w:type="dxa"/>
            <w:shd w:val="clear" w:color="auto" w:fill="auto"/>
          </w:tcPr>
          <w:p w14:paraId="14F9F1A3"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-.000761</w:t>
            </w:r>
          </w:p>
        </w:tc>
        <w:tc>
          <w:tcPr>
            <w:tcW w:w="2160" w:type="dxa"/>
            <w:shd w:val="clear" w:color="auto" w:fill="auto"/>
          </w:tcPr>
          <w:p w14:paraId="53B7B75B"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.1186306</w:t>
            </w:r>
          </w:p>
        </w:tc>
      </w:tr>
      <w:tr w:rsidR="00D275CD" w:rsidRPr="00A65F17" w14:paraId="6B012F01" w14:textId="77777777" w:rsidTr="006C528B">
        <w:trPr>
          <w:cantSplit/>
        </w:trPr>
        <w:tc>
          <w:tcPr>
            <w:tcW w:w="1185" w:type="dxa"/>
            <w:vMerge w:val="restart"/>
            <w:shd w:val="clear" w:color="auto" w:fill="auto"/>
          </w:tcPr>
          <w:p w14:paraId="49D1F5BE"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Jensen</w:t>
            </w:r>
          </w:p>
        </w:tc>
        <w:tc>
          <w:tcPr>
            <w:tcW w:w="2610" w:type="dxa"/>
            <w:shd w:val="clear" w:color="auto" w:fill="auto"/>
          </w:tcPr>
          <w:p w14:paraId="16CD5238"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Capital Protected Fund</w:t>
            </w:r>
          </w:p>
        </w:tc>
        <w:tc>
          <w:tcPr>
            <w:tcW w:w="1260" w:type="dxa"/>
            <w:shd w:val="clear" w:color="auto" w:fill="auto"/>
          </w:tcPr>
          <w:p w14:paraId="5DD7D9CD"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462</w:t>
            </w:r>
          </w:p>
        </w:tc>
        <w:tc>
          <w:tcPr>
            <w:tcW w:w="1800" w:type="dxa"/>
            <w:shd w:val="clear" w:color="auto" w:fill="auto"/>
          </w:tcPr>
          <w:p w14:paraId="3CCB74CD"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-.009427</w:t>
            </w:r>
          </w:p>
        </w:tc>
        <w:tc>
          <w:tcPr>
            <w:tcW w:w="2160" w:type="dxa"/>
            <w:shd w:val="clear" w:color="auto" w:fill="auto"/>
          </w:tcPr>
          <w:p w14:paraId="644CA274"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.0331128</w:t>
            </w:r>
          </w:p>
        </w:tc>
      </w:tr>
      <w:tr w:rsidR="00D275CD" w:rsidRPr="00A65F17" w14:paraId="0546B138" w14:textId="77777777" w:rsidTr="006C528B">
        <w:trPr>
          <w:cantSplit/>
        </w:trPr>
        <w:tc>
          <w:tcPr>
            <w:tcW w:w="1185" w:type="dxa"/>
            <w:vMerge/>
            <w:shd w:val="clear" w:color="auto" w:fill="auto"/>
          </w:tcPr>
          <w:p w14:paraId="277524AA" w14:textId="77777777" w:rsidR="00D275CD" w:rsidRPr="00A65F17" w:rsidRDefault="00D275CD" w:rsidP="006C528B">
            <w:pPr>
              <w:adjustRightInd w:val="0"/>
              <w:spacing w:after="0" w:line="240" w:lineRule="auto"/>
              <w:rPr>
                <w:rFonts w:ascii="Times New Roman" w:eastAsiaTheme="minorHAnsi" w:hAnsi="Times New Roman" w:cs="Times New Roman"/>
                <w:i w:val="0"/>
                <w:iCs w:val="0"/>
              </w:rPr>
            </w:pPr>
          </w:p>
        </w:tc>
        <w:tc>
          <w:tcPr>
            <w:tcW w:w="2610" w:type="dxa"/>
            <w:shd w:val="clear" w:color="auto" w:fill="auto"/>
          </w:tcPr>
          <w:p w14:paraId="540C456E" w14:textId="77777777" w:rsidR="00D275CD" w:rsidRPr="00A65F17" w:rsidRDefault="00D275CD" w:rsidP="006C528B">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Equity Fund</w:t>
            </w:r>
          </w:p>
        </w:tc>
        <w:tc>
          <w:tcPr>
            <w:tcW w:w="1260" w:type="dxa"/>
            <w:shd w:val="clear" w:color="auto" w:fill="auto"/>
          </w:tcPr>
          <w:p w14:paraId="75D06539"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273</w:t>
            </w:r>
          </w:p>
        </w:tc>
        <w:tc>
          <w:tcPr>
            <w:tcW w:w="1800" w:type="dxa"/>
            <w:shd w:val="clear" w:color="auto" w:fill="auto"/>
          </w:tcPr>
          <w:p w14:paraId="56C83ADC"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-.006316</w:t>
            </w:r>
          </w:p>
        </w:tc>
        <w:tc>
          <w:tcPr>
            <w:tcW w:w="2160" w:type="dxa"/>
            <w:shd w:val="clear" w:color="auto" w:fill="auto"/>
          </w:tcPr>
          <w:p w14:paraId="5A86ED33" w14:textId="77777777" w:rsidR="00D275CD" w:rsidRPr="00A65F17" w:rsidRDefault="00D275CD" w:rsidP="006C528B">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.0372779</w:t>
            </w:r>
          </w:p>
        </w:tc>
      </w:tr>
    </w:tbl>
    <w:p w14:paraId="7870908A" w14:textId="77777777" w:rsidR="00F04833" w:rsidRPr="00A65F17" w:rsidRDefault="00F04833" w:rsidP="00F04833">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04097635" w14:textId="77777777" w:rsidR="00D275CD" w:rsidRPr="00A65F17" w:rsidRDefault="00D275CD" w:rsidP="00D275CD">
      <w:pPr>
        <w:adjustRightInd w:val="0"/>
        <w:spacing w:after="0" w:line="240" w:lineRule="auto"/>
        <w:rPr>
          <w:rFonts w:ascii="Times New Roman" w:eastAsiaTheme="minorHAnsi" w:hAnsi="Times New Roman" w:cs="Times New Roman"/>
          <w:sz w:val="24"/>
          <w:szCs w:val="24"/>
        </w:rPr>
      </w:pPr>
    </w:p>
    <w:p w14:paraId="7A087FF4" w14:textId="37BDB8C8" w:rsidR="00D275CD" w:rsidRPr="00A65F17" w:rsidRDefault="00901BEF" w:rsidP="00901BEF">
      <w:pPr>
        <w:pStyle w:val="Caption"/>
        <w:keepNext/>
        <w:spacing w:after="0" w:line="240" w:lineRule="auto"/>
        <w:jc w:val="center"/>
        <w:rPr>
          <w:rFonts w:ascii="Times New Roman" w:hAnsi="Times New Roman" w:cs="Times New Roman"/>
          <w:i w:val="0"/>
          <w:iCs w:val="0"/>
          <w:color w:val="auto"/>
          <w:sz w:val="24"/>
          <w:szCs w:val="24"/>
        </w:rPr>
      </w:pPr>
      <w:r w:rsidRPr="00A65F17">
        <w:rPr>
          <w:rFonts w:ascii="Times New Roman" w:hAnsi="Times New Roman" w:cs="Times New Roman"/>
          <w:i w:val="0"/>
          <w:iCs w:val="0"/>
          <w:color w:val="auto"/>
          <w:sz w:val="24"/>
          <w:szCs w:val="24"/>
        </w:rPr>
        <w:t xml:space="preserve">Table </w:t>
      </w:r>
      <w:r w:rsidRPr="00A65F17">
        <w:rPr>
          <w:rFonts w:ascii="Times New Roman" w:hAnsi="Times New Roman" w:cs="Times New Roman"/>
          <w:i w:val="0"/>
          <w:iCs w:val="0"/>
          <w:color w:val="auto"/>
          <w:sz w:val="24"/>
          <w:szCs w:val="24"/>
        </w:rPr>
        <w:fldChar w:fldCharType="begin"/>
      </w:r>
      <w:r w:rsidRPr="00A65F17">
        <w:rPr>
          <w:rFonts w:ascii="Times New Roman" w:hAnsi="Times New Roman" w:cs="Times New Roman"/>
          <w:i w:val="0"/>
          <w:iCs w:val="0"/>
          <w:color w:val="auto"/>
          <w:sz w:val="24"/>
          <w:szCs w:val="24"/>
        </w:rPr>
        <w:instrText xml:space="preserve"> SEQ Table \* ARABIC </w:instrText>
      </w:r>
      <w:r w:rsidRPr="00A65F17">
        <w:rPr>
          <w:rFonts w:ascii="Times New Roman" w:hAnsi="Times New Roman" w:cs="Times New Roman"/>
          <w:i w:val="0"/>
          <w:iCs w:val="0"/>
          <w:color w:val="auto"/>
          <w:sz w:val="24"/>
          <w:szCs w:val="24"/>
        </w:rPr>
        <w:fldChar w:fldCharType="separate"/>
      </w:r>
      <w:r w:rsidRPr="00A65F17">
        <w:rPr>
          <w:rFonts w:ascii="Times New Roman" w:hAnsi="Times New Roman" w:cs="Times New Roman"/>
          <w:i w:val="0"/>
          <w:iCs w:val="0"/>
          <w:noProof/>
          <w:color w:val="auto"/>
          <w:sz w:val="24"/>
          <w:szCs w:val="24"/>
        </w:rPr>
        <w:t>10</w:t>
      </w:r>
      <w:r w:rsidRPr="00A65F17">
        <w:rPr>
          <w:rFonts w:ascii="Times New Roman" w:hAnsi="Times New Roman" w:cs="Times New Roman"/>
          <w:i w:val="0"/>
          <w:iCs w:val="0"/>
          <w:color w:val="auto"/>
          <w:sz w:val="24"/>
          <w:szCs w:val="24"/>
        </w:rPr>
        <w:fldChar w:fldCharType="end"/>
      </w:r>
      <w:r w:rsidRPr="00A65F17">
        <w:rPr>
          <w:rFonts w:ascii="Times New Roman" w:hAnsi="Times New Roman" w:cs="Times New Roman"/>
          <w:i w:val="0"/>
          <w:iCs w:val="0"/>
          <w:color w:val="auto"/>
          <w:sz w:val="24"/>
          <w:szCs w:val="24"/>
        </w:rPr>
        <w:t xml:space="preserve">. </w:t>
      </w:r>
      <w:r w:rsidR="00D275CD" w:rsidRPr="00A65F17">
        <w:rPr>
          <w:rFonts w:ascii="Times New Roman" w:hAnsi="Times New Roman" w:cs="Times New Roman"/>
          <w:i w:val="0"/>
          <w:iCs w:val="0"/>
          <w:color w:val="auto"/>
          <w:sz w:val="24"/>
          <w:szCs w:val="24"/>
        </w:rPr>
        <w:t>Results of the Independent Samples Test</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1"/>
        <w:gridCol w:w="1564"/>
        <w:gridCol w:w="1080"/>
        <w:gridCol w:w="810"/>
        <w:gridCol w:w="720"/>
        <w:gridCol w:w="810"/>
        <w:gridCol w:w="810"/>
        <w:gridCol w:w="1080"/>
        <w:gridCol w:w="1080"/>
      </w:tblGrid>
      <w:tr w:rsidR="00D275CD" w:rsidRPr="00A65F17" w14:paraId="2CA7CE2A" w14:textId="77777777" w:rsidTr="006C528B">
        <w:trPr>
          <w:cantSplit/>
          <w:trHeight w:val="50"/>
        </w:trPr>
        <w:tc>
          <w:tcPr>
            <w:tcW w:w="2615" w:type="dxa"/>
            <w:gridSpan w:val="2"/>
            <w:shd w:val="clear" w:color="auto" w:fill="auto"/>
          </w:tcPr>
          <w:p w14:paraId="6896299E"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890" w:type="dxa"/>
            <w:gridSpan w:val="2"/>
            <w:shd w:val="clear" w:color="auto" w:fill="auto"/>
          </w:tcPr>
          <w:p w14:paraId="63C78F9A"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proofErr w:type="spellStart"/>
            <w:r w:rsidRPr="00A65F17">
              <w:rPr>
                <w:rFonts w:ascii="Times New Roman" w:eastAsiaTheme="minorHAnsi" w:hAnsi="Times New Roman" w:cs="Times New Roman"/>
                <w:i w:val="0"/>
                <w:iCs w:val="0"/>
              </w:rPr>
              <w:t>Levene's</w:t>
            </w:r>
            <w:proofErr w:type="spellEnd"/>
            <w:r w:rsidRPr="00A65F17">
              <w:rPr>
                <w:rFonts w:ascii="Times New Roman" w:eastAsiaTheme="minorHAnsi" w:hAnsi="Times New Roman" w:cs="Times New Roman"/>
                <w:i w:val="0"/>
                <w:iCs w:val="0"/>
              </w:rPr>
              <w:t xml:space="preserve"> Test for Equality of Variances</w:t>
            </w:r>
          </w:p>
        </w:tc>
        <w:tc>
          <w:tcPr>
            <w:tcW w:w="4500" w:type="dxa"/>
            <w:gridSpan w:val="5"/>
            <w:shd w:val="clear" w:color="auto" w:fill="auto"/>
          </w:tcPr>
          <w:p w14:paraId="79DCF4C9"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t-test for Equality of Means</w:t>
            </w:r>
          </w:p>
        </w:tc>
      </w:tr>
      <w:tr w:rsidR="00D275CD" w:rsidRPr="00A65F17" w14:paraId="22DD02B8" w14:textId="77777777" w:rsidTr="006C528B">
        <w:trPr>
          <w:cantSplit/>
          <w:trHeight w:val="50"/>
        </w:trPr>
        <w:tc>
          <w:tcPr>
            <w:tcW w:w="2615" w:type="dxa"/>
            <w:gridSpan w:val="2"/>
            <w:shd w:val="clear" w:color="auto" w:fill="auto"/>
          </w:tcPr>
          <w:p w14:paraId="3C9CE093"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080" w:type="dxa"/>
            <w:shd w:val="clear" w:color="auto" w:fill="auto"/>
          </w:tcPr>
          <w:p w14:paraId="69602D88"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F</w:t>
            </w:r>
          </w:p>
        </w:tc>
        <w:tc>
          <w:tcPr>
            <w:tcW w:w="810" w:type="dxa"/>
            <w:shd w:val="clear" w:color="auto" w:fill="auto"/>
          </w:tcPr>
          <w:p w14:paraId="29BFBB36"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Sig.</w:t>
            </w:r>
          </w:p>
        </w:tc>
        <w:tc>
          <w:tcPr>
            <w:tcW w:w="720" w:type="dxa"/>
            <w:shd w:val="clear" w:color="auto" w:fill="auto"/>
          </w:tcPr>
          <w:p w14:paraId="3B7DC34F"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w:t>
            </w:r>
          </w:p>
        </w:tc>
        <w:tc>
          <w:tcPr>
            <w:tcW w:w="810" w:type="dxa"/>
            <w:shd w:val="clear" w:color="auto" w:fill="auto"/>
          </w:tcPr>
          <w:p w14:paraId="62BA8C7B"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df</w:t>
            </w:r>
          </w:p>
        </w:tc>
        <w:tc>
          <w:tcPr>
            <w:tcW w:w="810" w:type="dxa"/>
            <w:shd w:val="clear" w:color="auto" w:fill="auto"/>
          </w:tcPr>
          <w:p w14:paraId="29AC4245"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Sig. (2-tailed)</w:t>
            </w:r>
          </w:p>
        </w:tc>
        <w:tc>
          <w:tcPr>
            <w:tcW w:w="1080" w:type="dxa"/>
            <w:shd w:val="clear" w:color="auto" w:fill="auto"/>
          </w:tcPr>
          <w:p w14:paraId="50772702"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Mean Difference</w:t>
            </w:r>
          </w:p>
        </w:tc>
        <w:tc>
          <w:tcPr>
            <w:tcW w:w="1080" w:type="dxa"/>
            <w:shd w:val="clear" w:color="auto" w:fill="auto"/>
          </w:tcPr>
          <w:p w14:paraId="06205EAF" w14:textId="77777777" w:rsidR="00D275CD" w:rsidRPr="00A65F17" w:rsidRDefault="00D275CD" w:rsidP="00A252D0">
            <w:pPr>
              <w:adjustRightInd w:val="0"/>
              <w:spacing w:after="0" w:line="240" w:lineRule="auto"/>
              <w:ind w:left="60" w:right="60"/>
              <w:jc w:val="center"/>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Std. Error Difference</w:t>
            </w:r>
          </w:p>
        </w:tc>
      </w:tr>
      <w:tr w:rsidR="00D275CD" w:rsidRPr="00A65F17" w14:paraId="33466340" w14:textId="77777777" w:rsidTr="006C528B">
        <w:trPr>
          <w:cantSplit/>
        </w:trPr>
        <w:tc>
          <w:tcPr>
            <w:tcW w:w="1051" w:type="dxa"/>
            <w:vMerge w:val="restart"/>
            <w:shd w:val="clear" w:color="auto" w:fill="auto"/>
          </w:tcPr>
          <w:p w14:paraId="13BE0797"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Sharpe</w:t>
            </w:r>
          </w:p>
        </w:tc>
        <w:tc>
          <w:tcPr>
            <w:tcW w:w="1564" w:type="dxa"/>
            <w:shd w:val="clear" w:color="auto" w:fill="auto"/>
          </w:tcPr>
          <w:p w14:paraId="7C35EEEA"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assumed</w:t>
            </w:r>
          </w:p>
        </w:tc>
        <w:tc>
          <w:tcPr>
            <w:tcW w:w="1080" w:type="dxa"/>
            <w:shd w:val="clear" w:color="auto" w:fill="auto"/>
          </w:tcPr>
          <w:p w14:paraId="3C1B76A7"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.215</w:t>
            </w:r>
          </w:p>
        </w:tc>
        <w:tc>
          <w:tcPr>
            <w:tcW w:w="810" w:type="dxa"/>
            <w:shd w:val="clear" w:color="auto" w:fill="auto"/>
          </w:tcPr>
          <w:p w14:paraId="04A3B106"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.643</w:t>
            </w:r>
          </w:p>
        </w:tc>
        <w:tc>
          <w:tcPr>
            <w:tcW w:w="720" w:type="dxa"/>
            <w:shd w:val="clear" w:color="auto" w:fill="auto"/>
          </w:tcPr>
          <w:p w14:paraId="16CAEA2E"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-.620</w:t>
            </w:r>
          </w:p>
        </w:tc>
        <w:tc>
          <w:tcPr>
            <w:tcW w:w="810" w:type="dxa"/>
            <w:shd w:val="clear" w:color="auto" w:fill="auto"/>
          </w:tcPr>
          <w:p w14:paraId="0186A6A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733</w:t>
            </w:r>
          </w:p>
        </w:tc>
        <w:tc>
          <w:tcPr>
            <w:tcW w:w="810" w:type="dxa"/>
            <w:shd w:val="clear" w:color="auto" w:fill="auto"/>
          </w:tcPr>
          <w:p w14:paraId="25B31FA5"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.535</w:t>
            </w:r>
          </w:p>
        </w:tc>
        <w:tc>
          <w:tcPr>
            <w:tcW w:w="1080" w:type="dxa"/>
            <w:shd w:val="clear" w:color="auto" w:fill="auto"/>
          </w:tcPr>
          <w:p w14:paraId="63D1B669"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-.0430485</w:t>
            </w:r>
          </w:p>
        </w:tc>
        <w:tc>
          <w:tcPr>
            <w:tcW w:w="1080" w:type="dxa"/>
            <w:shd w:val="clear" w:color="auto" w:fill="auto"/>
          </w:tcPr>
          <w:p w14:paraId="7F4FCBB2"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.0694201</w:t>
            </w:r>
          </w:p>
        </w:tc>
      </w:tr>
      <w:tr w:rsidR="00D275CD" w:rsidRPr="00A65F17" w14:paraId="5EA8472F" w14:textId="77777777" w:rsidTr="006C528B">
        <w:trPr>
          <w:cantSplit/>
        </w:trPr>
        <w:tc>
          <w:tcPr>
            <w:tcW w:w="1051" w:type="dxa"/>
            <w:vMerge/>
            <w:shd w:val="clear" w:color="auto" w:fill="auto"/>
          </w:tcPr>
          <w:p w14:paraId="2E5A6432"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564" w:type="dxa"/>
            <w:shd w:val="clear" w:color="auto" w:fill="auto"/>
          </w:tcPr>
          <w:p w14:paraId="5CC292C0"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not assumed</w:t>
            </w:r>
          </w:p>
        </w:tc>
        <w:tc>
          <w:tcPr>
            <w:tcW w:w="1080" w:type="dxa"/>
            <w:shd w:val="clear" w:color="auto" w:fill="auto"/>
          </w:tcPr>
          <w:p w14:paraId="2F84BF9F"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810" w:type="dxa"/>
            <w:shd w:val="clear" w:color="auto" w:fill="auto"/>
          </w:tcPr>
          <w:p w14:paraId="12B7F182"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720" w:type="dxa"/>
            <w:shd w:val="clear" w:color="auto" w:fill="auto"/>
          </w:tcPr>
          <w:p w14:paraId="35B8CB4A"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-.748</w:t>
            </w:r>
          </w:p>
        </w:tc>
        <w:tc>
          <w:tcPr>
            <w:tcW w:w="810" w:type="dxa"/>
            <w:shd w:val="clear" w:color="auto" w:fill="auto"/>
          </w:tcPr>
          <w:p w14:paraId="0D5B9F2B"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663.996</w:t>
            </w:r>
          </w:p>
        </w:tc>
        <w:tc>
          <w:tcPr>
            <w:tcW w:w="810" w:type="dxa"/>
            <w:shd w:val="clear" w:color="auto" w:fill="auto"/>
          </w:tcPr>
          <w:p w14:paraId="0EF5DA77"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.455</w:t>
            </w:r>
          </w:p>
        </w:tc>
        <w:tc>
          <w:tcPr>
            <w:tcW w:w="1080" w:type="dxa"/>
            <w:shd w:val="clear" w:color="auto" w:fill="auto"/>
          </w:tcPr>
          <w:p w14:paraId="08CAB04B"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-.0430485</w:t>
            </w:r>
          </w:p>
        </w:tc>
        <w:tc>
          <w:tcPr>
            <w:tcW w:w="1080" w:type="dxa"/>
            <w:shd w:val="clear" w:color="auto" w:fill="auto"/>
          </w:tcPr>
          <w:p w14:paraId="62D9F566"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.0575363</w:t>
            </w:r>
          </w:p>
        </w:tc>
      </w:tr>
      <w:tr w:rsidR="00D275CD" w:rsidRPr="00A65F17" w14:paraId="2F9827B8" w14:textId="77777777" w:rsidTr="006C528B">
        <w:trPr>
          <w:cantSplit/>
        </w:trPr>
        <w:tc>
          <w:tcPr>
            <w:tcW w:w="1051" w:type="dxa"/>
            <w:vMerge w:val="restart"/>
            <w:shd w:val="clear" w:color="auto" w:fill="auto"/>
          </w:tcPr>
          <w:p w14:paraId="78BFBCF3"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Treynor</w:t>
            </w:r>
          </w:p>
        </w:tc>
        <w:tc>
          <w:tcPr>
            <w:tcW w:w="1564" w:type="dxa"/>
            <w:shd w:val="clear" w:color="auto" w:fill="auto"/>
          </w:tcPr>
          <w:p w14:paraId="6EC09F2D"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assumed</w:t>
            </w:r>
          </w:p>
        </w:tc>
        <w:tc>
          <w:tcPr>
            <w:tcW w:w="1080" w:type="dxa"/>
            <w:shd w:val="clear" w:color="auto" w:fill="auto"/>
          </w:tcPr>
          <w:p w14:paraId="6EA76693"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19.425</w:t>
            </w:r>
          </w:p>
        </w:tc>
        <w:tc>
          <w:tcPr>
            <w:tcW w:w="810" w:type="dxa"/>
            <w:shd w:val="clear" w:color="auto" w:fill="auto"/>
          </w:tcPr>
          <w:p w14:paraId="2716FE87"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.000</w:t>
            </w:r>
          </w:p>
        </w:tc>
        <w:tc>
          <w:tcPr>
            <w:tcW w:w="720" w:type="dxa"/>
            <w:shd w:val="clear" w:color="auto" w:fill="auto"/>
          </w:tcPr>
          <w:p w14:paraId="382F54E3"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.935</w:t>
            </w:r>
          </w:p>
        </w:tc>
        <w:tc>
          <w:tcPr>
            <w:tcW w:w="810" w:type="dxa"/>
            <w:shd w:val="clear" w:color="auto" w:fill="auto"/>
          </w:tcPr>
          <w:p w14:paraId="0AD86C1F"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733</w:t>
            </w:r>
          </w:p>
        </w:tc>
        <w:tc>
          <w:tcPr>
            <w:tcW w:w="810" w:type="dxa"/>
            <w:shd w:val="clear" w:color="auto" w:fill="auto"/>
          </w:tcPr>
          <w:p w14:paraId="2BB8AB1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.350</w:t>
            </w:r>
          </w:p>
        </w:tc>
        <w:tc>
          <w:tcPr>
            <w:tcW w:w="1080" w:type="dxa"/>
            <w:shd w:val="clear" w:color="auto" w:fill="auto"/>
          </w:tcPr>
          <w:p w14:paraId="668781CA"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.0147131</w:t>
            </w:r>
          </w:p>
        </w:tc>
        <w:tc>
          <w:tcPr>
            <w:tcW w:w="1080" w:type="dxa"/>
            <w:shd w:val="clear" w:color="auto" w:fill="auto"/>
          </w:tcPr>
          <w:p w14:paraId="778B21AF"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.0157440</w:t>
            </w:r>
          </w:p>
        </w:tc>
      </w:tr>
      <w:tr w:rsidR="00D275CD" w:rsidRPr="00A65F17" w14:paraId="2FBBC8DB" w14:textId="77777777" w:rsidTr="006C528B">
        <w:trPr>
          <w:cantSplit/>
        </w:trPr>
        <w:tc>
          <w:tcPr>
            <w:tcW w:w="1051" w:type="dxa"/>
            <w:vMerge/>
            <w:shd w:val="clear" w:color="auto" w:fill="auto"/>
          </w:tcPr>
          <w:p w14:paraId="7B387C1B"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564" w:type="dxa"/>
            <w:shd w:val="clear" w:color="auto" w:fill="auto"/>
          </w:tcPr>
          <w:p w14:paraId="40FE15D7"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not assumed</w:t>
            </w:r>
          </w:p>
        </w:tc>
        <w:tc>
          <w:tcPr>
            <w:tcW w:w="1080" w:type="dxa"/>
            <w:shd w:val="clear" w:color="auto" w:fill="auto"/>
          </w:tcPr>
          <w:p w14:paraId="6E98A0A9"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810" w:type="dxa"/>
            <w:shd w:val="clear" w:color="auto" w:fill="auto"/>
          </w:tcPr>
          <w:p w14:paraId="70585F24"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720" w:type="dxa"/>
            <w:shd w:val="clear" w:color="auto" w:fill="auto"/>
          </w:tcPr>
          <w:p w14:paraId="0946C9B7"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1.097</w:t>
            </w:r>
          </w:p>
        </w:tc>
        <w:tc>
          <w:tcPr>
            <w:tcW w:w="810" w:type="dxa"/>
            <w:shd w:val="clear" w:color="auto" w:fill="auto"/>
          </w:tcPr>
          <w:p w14:paraId="7BB518AA"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711.173</w:t>
            </w:r>
          </w:p>
        </w:tc>
        <w:tc>
          <w:tcPr>
            <w:tcW w:w="810" w:type="dxa"/>
            <w:shd w:val="clear" w:color="auto" w:fill="auto"/>
          </w:tcPr>
          <w:p w14:paraId="6D8031E2"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.273</w:t>
            </w:r>
          </w:p>
        </w:tc>
        <w:tc>
          <w:tcPr>
            <w:tcW w:w="1080" w:type="dxa"/>
            <w:shd w:val="clear" w:color="auto" w:fill="auto"/>
          </w:tcPr>
          <w:p w14:paraId="6A069C5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.0147131</w:t>
            </w:r>
          </w:p>
        </w:tc>
        <w:tc>
          <w:tcPr>
            <w:tcW w:w="1080" w:type="dxa"/>
            <w:shd w:val="clear" w:color="auto" w:fill="auto"/>
          </w:tcPr>
          <w:p w14:paraId="1AA7BAF3"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.0134151</w:t>
            </w:r>
          </w:p>
        </w:tc>
      </w:tr>
      <w:tr w:rsidR="00D275CD" w:rsidRPr="00A65F17" w14:paraId="248276F2" w14:textId="77777777" w:rsidTr="006C528B">
        <w:trPr>
          <w:cantSplit/>
        </w:trPr>
        <w:tc>
          <w:tcPr>
            <w:tcW w:w="1051" w:type="dxa"/>
            <w:vMerge w:val="restart"/>
            <w:shd w:val="clear" w:color="auto" w:fill="auto"/>
          </w:tcPr>
          <w:p w14:paraId="52154576"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Jensen</w:t>
            </w:r>
          </w:p>
        </w:tc>
        <w:tc>
          <w:tcPr>
            <w:tcW w:w="1564" w:type="dxa"/>
            <w:shd w:val="clear" w:color="auto" w:fill="auto"/>
          </w:tcPr>
          <w:p w14:paraId="151699C9"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assumed</w:t>
            </w:r>
          </w:p>
        </w:tc>
        <w:tc>
          <w:tcPr>
            <w:tcW w:w="1080" w:type="dxa"/>
            <w:shd w:val="clear" w:color="auto" w:fill="auto"/>
          </w:tcPr>
          <w:p w14:paraId="1F16664C"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2.247</w:t>
            </w:r>
          </w:p>
        </w:tc>
        <w:tc>
          <w:tcPr>
            <w:tcW w:w="810" w:type="dxa"/>
            <w:shd w:val="clear" w:color="auto" w:fill="auto"/>
          </w:tcPr>
          <w:p w14:paraId="395F46E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.134</w:t>
            </w:r>
          </w:p>
        </w:tc>
        <w:tc>
          <w:tcPr>
            <w:tcW w:w="720" w:type="dxa"/>
            <w:shd w:val="clear" w:color="auto" w:fill="auto"/>
          </w:tcPr>
          <w:p w14:paraId="172EF457"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-1.174</w:t>
            </w:r>
          </w:p>
        </w:tc>
        <w:tc>
          <w:tcPr>
            <w:tcW w:w="810" w:type="dxa"/>
            <w:shd w:val="clear" w:color="auto" w:fill="auto"/>
          </w:tcPr>
          <w:p w14:paraId="7F6075D5"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733</w:t>
            </w:r>
          </w:p>
        </w:tc>
        <w:tc>
          <w:tcPr>
            <w:tcW w:w="810" w:type="dxa"/>
            <w:shd w:val="clear" w:color="auto" w:fill="auto"/>
          </w:tcPr>
          <w:p w14:paraId="3295707B"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.241</w:t>
            </w:r>
          </w:p>
        </w:tc>
        <w:tc>
          <w:tcPr>
            <w:tcW w:w="1080" w:type="dxa"/>
            <w:shd w:val="clear" w:color="auto" w:fill="auto"/>
          </w:tcPr>
          <w:p w14:paraId="2A08DB27"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-.0031105</w:t>
            </w:r>
          </w:p>
        </w:tc>
        <w:tc>
          <w:tcPr>
            <w:tcW w:w="1080" w:type="dxa"/>
            <w:shd w:val="clear" w:color="auto" w:fill="auto"/>
          </w:tcPr>
          <w:p w14:paraId="30CC310C"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.0026502</w:t>
            </w:r>
          </w:p>
        </w:tc>
      </w:tr>
      <w:tr w:rsidR="00D275CD" w:rsidRPr="00A65F17" w14:paraId="7BD75034" w14:textId="77777777" w:rsidTr="006C528B">
        <w:trPr>
          <w:cantSplit/>
        </w:trPr>
        <w:tc>
          <w:tcPr>
            <w:tcW w:w="1051" w:type="dxa"/>
            <w:vMerge/>
            <w:shd w:val="clear" w:color="auto" w:fill="auto"/>
          </w:tcPr>
          <w:p w14:paraId="3C19F6BC"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1564" w:type="dxa"/>
            <w:shd w:val="clear" w:color="auto" w:fill="auto"/>
          </w:tcPr>
          <w:p w14:paraId="4B1B5573" w14:textId="77777777" w:rsidR="00D275CD" w:rsidRPr="00A65F17" w:rsidRDefault="00D275CD" w:rsidP="00A252D0">
            <w:pPr>
              <w:adjustRightInd w:val="0"/>
              <w:spacing w:after="0" w:line="240" w:lineRule="auto"/>
              <w:ind w:left="60" w:right="60"/>
              <w:rPr>
                <w:rFonts w:ascii="Times New Roman" w:eastAsiaTheme="minorHAnsi" w:hAnsi="Times New Roman" w:cs="Times New Roman"/>
                <w:i w:val="0"/>
                <w:iCs w:val="0"/>
              </w:rPr>
            </w:pPr>
            <w:r w:rsidRPr="00A65F17">
              <w:rPr>
                <w:rFonts w:ascii="Times New Roman" w:eastAsiaTheme="minorHAnsi" w:hAnsi="Times New Roman" w:cs="Times New Roman"/>
                <w:i w:val="0"/>
                <w:iCs w:val="0"/>
              </w:rPr>
              <w:t>Equal variances not assumed</w:t>
            </w:r>
          </w:p>
        </w:tc>
        <w:tc>
          <w:tcPr>
            <w:tcW w:w="1080" w:type="dxa"/>
            <w:shd w:val="clear" w:color="auto" w:fill="auto"/>
          </w:tcPr>
          <w:p w14:paraId="72A9FDBB"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810" w:type="dxa"/>
            <w:shd w:val="clear" w:color="auto" w:fill="auto"/>
          </w:tcPr>
          <w:p w14:paraId="7E77F0C8" w14:textId="77777777" w:rsidR="00D275CD" w:rsidRPr="00A65F17" w:rsidRDefault="00D275CD" w:rsidP="00A252D0">
            <w:pPr>
              <w:adjustRightInd w:val="0"/>
              <w:spacing w:after="0" w:line="240" w:lineRule="auto"/>
              <w:rPr>
                <w:rFonts w:ascii="Times New Roman" w:eastAsiaTheme="minorHAnsi" w:hAnsi="Times New Roman" w:cs="Times New Roman"/>
                <w:i w:val="0"/>
                <w:iCs w:val="0"/>
              </w:rPr>
            </w:pPr>
          </w:p>
        </w:tc>
        <w:tc>
          <w:tcPr>
            <w:tcW w:w="720" w:type="dxa"/>
            <w:shd w:val="clear" w:color="auto" w:fill="auto"/>
          </w:tcPr>
          <w:p w14:paraId="5A5D209D"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-1.139</w:t>
            </w:r>
          </w:p>
        </w:tc>
        <w:tc>
          <w:tcPr>
            <w:tcW w:w="810" w:type="dxa"/>
            <w:shd w:val="clear" w:color="auto" w:fill="auto"/>
          </w:tcPr>
          <w:p w14:paraId="41B91FE5"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518.287</w:t>
            </w:r>
          </w:p>
        </w:tc>
        <w:tc>
          <w:tcPr>
            <w:tcW w:w="810" w:type="dxa"/>
            <w:shd w:val="clear" w:color="auto" w:fill="auto"/>
          </w:tcPr>
          <w:p w14:paraId="76096D81"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.255</w:t>
            </w:r>
          </w:p>
        </w:tc>
        <w:tc>
          <w:tcPr>
            <w:tcW w:w="1080" w:type="dxa"/>
            <w:shd w:val="clear" w:color="auto" w:fill="auto"/>
          </w:tcPr>
          <w:p w14:paraId="62BADB7B"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-.0031105</w:t>
            </w:r>
          </w:p>
        </w:tc>
        <w:tc>
          <w:tcPr>
            <w:tcW w:w="1080" w:type="dxa"/>
            <w:shd w:val="clear" w:color="auto" w:fill="auto"/>
          </w:tcPr>
          <w:p w14:paraId="3582F3FF" w14:textId="77777777" w:rsidR="00D275CD" w:rsidRPr="00A65F17" w:rsidRDefault="00D275CD" w:rsidP="00A252D0">
            <w:pPr>
              <w:adjustRightInd w:val="0"/>
              <w:spacing w:after="0" w:line="240" w:lineRule="auto"/>
              <w:ind w:left="60" w:right="60"/>
              <w:jc w:val="right"/>
              <w:rPr>
                <w:rFonts w:ascii="Times New Roman" w:eastAsiaTheme="minorHAnsi" w:hAnsi="Times New Roman" w:cs="Times New Roman"/>
                <w:i w:val="0"/>
                <w:iCs w:val="0"/>
              </w:rPr>
            </w:pPr>
            <w:r w:rsidRPr="00A65F17">
              <w:rPr>
                <w:rFonts w:ascii="Times New Roman" w:hAnsi="Times New Roman" w:cs="Times New Roman"/>
                <w:i w:val="0"/>
                <w:iCs w:val="0"/>
              </w:rPr>
              <w:t>.0027319</w:t>
            </w:r>
          </w:p>
        </w:tc>
      </w:tr>
    </w:tbl>
    <w:p w14:paraId="272E4024" w14:textId="77777777" w:rsidR="00A252D0" w:rsidRPr="00A65F17" w:rsidRDefault="00A252D0" w:rsidP="00A252D0">
      <w:pPr>
        <w:spacing w:after="0" w:line="240" w:lineRule="auto"/>
        <w:jc w:val="both"/>
        <w:rPr>
          <w:rFonts w:ascii="Times New Roman" w:hAnsi="Times New Roman" w:cs="Times New Roman"/>
          <w:i w:val="0"/>
          <w:iCs w:val="0"/>
          <w:sz w:val="22"/>
          <w:szCs w:val="22"/>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p w14:paraId="0E2CE18A" w14:textId="77777777" w:rsidR="00D275CD" w:rsidRPr="00A65F17" w:rsidRDefault="00D275CD" w:rsidP="00D275CD">
      <w:pPr>
        <w:adjustRightInd w:val="0"/>
        <w:spacing w:after="0" w:line="240" w:lineRule="auto"/>
        <w:rPr>
          <w:rFonts w:ascii="Times New Roman" w:eastAsiaTheme="minorHAnsi" w:hAnsi="Times New Roman" w:cs="Times New Roman"/>
          <w:sz w:val="24"/>
          <w:szCs w:val="24"/>
        </w:rPr>
      </w:pPr>
    </w:p>
    <w:p w14:paraId="6AD52E57" w14:textId="77777777" w:rsidR="00D275CD" w:rsidRPr="00A65F17" w:rsidRDefault="00D275CD" w:rsidP="00A65F17">
      <w:pPr>
        <w:pStyle w:val="BodyText"/>
        <w:spacing w:after="0" w:line="240" w:lineRule="auto"/>
        <w:ind w:firstLine="720"/>
        <w:jc w:val="both"/>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Performance of Capital-Protected Funds Managed by Investment Managers Based on Sharpe, Treynor, and Jensen Indexes.</w:t>
      </w:r>
    </w:p>
    <w:p w14:paraId="0F5FBD30" w14:textId="553249F6" w:rsidR="00D275CD" w:rsidRPr="00A65F17" w:rsidRDefault="00D275CD" w:rsidP="00A65F17">
      <w:pPr>
        <w:pStyle w:val="BodyText"/>
        <w:spacing w:after="0" w:line="240" w:lineRule="auto"/>
        <w:ind w:firstLine="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There are 45 investment managers sampled in this study. Based on Figure </w:t>
      </w:r>
      <w:r w:rsidR="00774A61">
        <w:rPr>
          <w:rFonts w:ascii="Times New Roman" w:hAnsi="Times New Roman" w:cs="Times New Roman"/>
          <w:i w:val="0"/>
          <w:iCs w:val="0"/>
          <w:sz w:val="24"/>
          <w:szCs w:val="24"/>
        </w:rPr>
        <w:t>7</w:t>
      </w:r>
      <w:r w:rsidRPr="00A65F17">
        <w:rPr>
          <w:rFonts w:ascii="Times New Roman" w:hAnsi="Times New Roman" w:cs="Times New Roman"/>
          <w:i w:val="0"/>
          <w:iCs w:val="0"/>
          <w:sz w:val="24"/>
          <w:szCs w:val="24"/>
        </w:rPr>
        <w:t xml:space="preserve">, it is known that capital-protected funds managed by 26 investment managers have positive performance, and 19 others have negative performance. The highest performance is the capital-protected fund managed by the investment manager </w:t>
      </w:r>
      <w:proofErr w:type="spellStart"/>
      <w:r w:rsidRPr="00A65F17">
        <w:rPr>
          <w:rFonts w:ascii="Times New Roman" w:hAnsi="Times New Roman" w:cs="Times New Roman"/>
          <w:i w:val="0"/>
          <w:iCs w:val="0"/>
          <w:sz w:val="24"/>
          <w:szCs w:val="24"/>
        </w:rPr>
        <w:t>Sinarmas</w:t>
      </w:r>
      <w:proofErr w:type="spellEnd"/>
      <w:r w:rsidRPr="00A65F17">
        <w:rPr>
          <w:rFonts w:ascii="Times New Roman" w:hAnsi="Times New Roman" w:cs="Times New Roman"/>
          <w:i w:val="0"/>
          <w:iCs w:val="0"/>
          <w:sz w:val="24"/>
          <w:szCs w:val="24"/>
        </w:rPr>
        <w:t xml:space="preserve"> Asset Management with a Sharpe index of 2.3267, where this value outperforms the market and the risk-free investment.</w:t>
      </w:r>
    </w:p>
    <w:p w14:paraId="66E99E65" w14:textId="09712304" w:rsidR="00D275CD" w:rsidRPr="00A65F17" w:rsidRDefault="00D275CD" w:rsidP="00A65F17">
      <w:pPr>
        <w:pStyle w:val="BodyText"/>
        <w:spacing w:after="0" w:line="240" w:lineRule="auto"/>
        <w:ind w:firstLine="720"/>
        <w:jc w:val="both"/>
        <w:rPr>
          <w:rFonts w:ascii="Times New Roman" w:hAnsi="Times New Roman" w:cs="Times New Roman"/>
          <w:i w:val="0"/>
          <w:iCs w:val="0"/>
          <w:color w:val="000000" w:themeColor="text1"/>
          <w:sz w:val="24"/>
          <w:szCs w:val="24"/>
        </w:rPr>
      </w:pPr>
      <w:r w:rsidRPr="00A65F17">
        <w:rPr>
          <w:rFonts w:ascii="Times New Roman" w:hAnsi="Times New Roman" w:cs="Times New Roman"/>
          <w:i w:val="0"/>
          <w:iCs w:val="0"/>
          <w:sz w:val="24"/>
          <w:szCs w:val="24"/>
        </w:rPr>
        <w:t xml:space="preserve">According to Figure </w:t>
      </w:r>
      <w:r w:rsidR="00774A61">
        <w:rPr>
          <w:rFonts w:ascii="Times New Roman" w:hAnsi="Times New Roman" w:cs="Times New Roman"/>
          <w:i w:val="0"/>
          <w:iCs w:val="0"/>
          <w:sz w:val="24"/>
          <w:szCs w:val="24"/>
        </w:rPr>
        <w:t>8</w:t>
      </w:r>
      <w:r w:rsidRPr="00A65F17">
        <w:rPr>
          <w:rFonts w:ascii="Times New Roman" w:hAnsi="Times New Roman" w:cs="Times New Roman"/>
          <w:i w:val="0"/>
          <w:iCs w:val="0"/>
          <w:sz w:val="24"/>
          <w:szCs w:val="24"/>
        </w:rPr>
        <w:t xml:space="preserve">, the capital-protected funds managed by 19 investment managers have positive performance. According to Figure </w:t>
      </w:r>
      <w:r w:rsidR="001B0ED3">
        <w:rPr>
          <w:rFonts w:ascii="Times New Roman" w:hAnsi="Times New Roman" w:cs="Times New Roman"/>
          <w:i w:val="0"/>
          <w:iCs w:val="0"/>
          <w:sz w:val="24"/>
          <w:szCs w:val="24"/>
        </w:rPr>
        <w:t>9</w:t>
      </w:r>
      <w:r w:rsidRPr="00A65F17">
        <w:rPr>
          <w:rFonts w:ascii="Times New Roman" w:hAnsi="Times New Roman" w:cs="Times New Roman"/>
          <w:i w:val="0"/>
          <w:iCs w:val="0"/>
          <w:sz w:val="24"/>
          <w:szCs w:val="24"/>
        </w:rPr>
        <w:t xml:space="preserve">, the capital-protected funds managed by 2 investment managers have positive performance. Capital-protected funds of UOB Asset Management Indonesia outperformed the market and risk-free investment with a Treynor index of 1.0868. Based on Figure </w:t>
      </w:r>
      <w:r w:rsidR="00774A61">
        <w:rPr>
          <w:rFonts w:ascii="Times New Roman" w:hAnsi="Times New Roman" w:cs="Times New Roman"/>
          <w:i w:val="0"/>
          <w:iCs w:val="0"/>
          <w:sz w:val="24"/>
          <w:szCs w:val="24"/>
        </w:rPr>
        <w:t>9</w:t>
      </w:r>
      <w:r w:rsidRPr="00A65F17">
        <w:rPr>
          <w:rFonts w:ascii="Times New Roman" w:hAnsi="Times New Roman" w:cs="Times New Roman"/>
          <w:i w:val="0"/>
          <w:iCs w:val="0"/>
          <w:sz w:val="24"/>
          <w:szCs w:val="24"/>
        </w:rPr>
        <w:t xml:space="preserve">, the highest performance of capital-protected fund managed by the investment manager Schroder Investment Management Indonesia with </w:t>
      </w:r>
      <w:r w:rsidR="001B0ED3">
        <w:rPr>
          <w:rFonts w:ascii="Times New Roman" w:hAnsi="Times New Roman" w:cs="Times New Roman"/>
          <w:i w:val="0"/>
          <w:iCs w:val="0"/>
          <w:sz w:val="24"/>
          <w:szCs w:val="24"/>
        </w:rPr>
        <w:t>Jensen</w:t>
      </w:r>
      <w:r w:rsidRPr="00A65F17">
        <w:rPr>
          <w:rFonts w:ascii="Times New Roman" w:hAnsi="Times New Roman" w:cs="Times New Roman"/>
          <w:i w:val="0"/>
          <w:iCs w:val="0"/>
          <w:sz w:val="24"/>
          <w:szCs w:val="24"/>
        </w:rPr>
        <w:t xml:space="preserve"> index of 0.0025, but this value has still underperformed the market and risk-free investment.</w:t>
      </w:r>
    </w:p>
    <w:p w14:paraId="3575526B" w14:textId="58AEDE85" w:rsidR="00D275CD" w:rsidRDefault="00D275CD" w:rsidP="00A65F17">
      <w:pPr>
        <w:pStyle w:val="Normal1"/>
        <w:spacing w:after="0" w:line="240" w:lineRule="auto"/>
        <w:ind w:firstLine="567"/>
        <w:jc w:val="both"/>
        <w:rPr>
          <w:rFonts w:ascii="Times New Roman" w:eastAsia="Times New Roman" w:hAnsi="Times New Roman" w:cs="Times New Roman"/>
          <w:sz w:val="24"/>
          <w:szCs w:val="24"/>
        </w:rPr>
      </w:pP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A65F17" w:rsidRPr="00A65F17" w14:paraId="6EEAAEF4" w14:textId="77777777" w:rsidTr="006C528B">
        <w:tc>
          <w:tcPr>
            <w:tcW w:w="4320" w:type="dxa"/>
          </w:tcPr>
          <w:p w14:paraId="356FB192" w14:textId="77777777" w:rsidR="00A65F17" w:rsidRPr="00A65F17" w:rsidRDefault="00A65F17" w:rsidP="006C528B">
            <w:pPr>
              <w:spacing w:after="0" w:line="240" w:lineRule="auto"/>
              <w:jc w:val="center"/>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7</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Performance of the Capital Protected Fund managed by Investment Manager Based on the Sharpe Index.</w:t>
            </w:r>
          </w:p>
          <w:p w14:paraId="18FBEBC8" w14:textId="77777777" w:rsidR="00A65F17" w:rsidRPr="00A65F17" w:rsidRDefault="00A65F17" w:rsidP="006C528B">
            <w:pPr>
              <w:spacing w:after="0" w:line="240" w:lineRule="auto"/>
              <w:jc w:val="both"/>
              <w:rPr>
                <w:rFonts w:ascii="Times New Roman" w:hAnsi="Times New Roman" w:cs="Times New Roman"/>
                <w:sz w:val="24"/>
                <w:szCs w:val="24"/>
              </w:rPr>
            </w:pPr>
            <w:r w:rsidRPr="00A65F17">
              <w:rPr>
                <w:rFonts w:ascii="Times New Roman" w:hAnsi="Times New Roman" w:cs="Times New Roman"/>
                <w:noProof/>
                <w:sz w:val="24"/>
                <w:szCs w:val="24"/>
              </w:rPr>
              <w:drawing>
                <wp:inline distT="0" distB="0" distL="0" distR="0" wp14:anchorId="3C46C904" wp14:editId="029A7A65">
                  <wp:extent cx="2651760" cy="162455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1760" cy="1624558"/>
                          </a:xfrm>
                          <a:prstGeom prst="rect">
                            <a:avLst/>
                          </a:prstGeom>
                        </pic:spPr>
                      </pic:pic>
                    </a:graphicData>
                  </a:graphic>
                </wp:inline>
              </w:drawing>
            </w: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c>
          <w:tcPr>
            <w:tcW w:w="4320" w:type="dxa"/>
          </w:tcPr>
          <w:p w14:paraId="139124E9" w14:textId="77777777" w:rsidR="00A65F17" w:rsidRPr="00A65F17" w:rsidRDefault="00A65F17" w:rsidP="006C528B">
            <w:pPr>
              <w:spacing w:after="0" w:line="240" w:lineRule="auto"/>
              <w:jc w:val="center"/>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8</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Performance of the Capital Protected Fund managed by Investment Manager Based on the Treynor Index.</w:t>
            </w:r>
          </w:p>
          <w:p w14:paraId="4241BC89" w14:textId="77777777" w:rsidR="00A65F17" w:rsidRPr="00A65F17" w:rsidRDefault="00A65F17" w:rsidP="006C528B">
            <w:pPr>
              <w:spacing w:after="0" w:line="240" w:lineRule="auto"/>
              <w:jc w:val="both"/>
              <w:rPr>
                <w:rFonts w:ascii="Times New Roman" w:hAnsi="Times New Roman" w:cs="Times New Roman"/>
                <w:sz w:val="24"/>
                <w:szCs w:val="24"/>
              </w:rPr>
            </w:pPr>
            <w:r w:rsidRPr="00A65F17">
              <w:rPr>
                <w:rFonts w:ascii="Times New Roman" w:hAnsi="Times New Roman" w:cs="Times New Roman"/>
                <w:noProof/>
                <w:sz w:val="24"/>
                <w:szCs w:val="24"/>
              </w:rPr>
              <w:drawing>
                <wp:inline distT="0" distB="0" distL="0" distR="0" wp14:anchorId="7B56234B" wp14:editId="3294F3B4">
                  <wp:extent cx="2651760" cy="1537710"/>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1760" cy="1537710"/>
                          </a:xfrm>
                          <a:prstGeom prst="rect">
                            <a:avLst/>
                          </a:prstGeom>
                        </pic:spPr>
                      </pic:pic>
                    </a:graphicData>
                  </a:graphic>
                </wp:inline>
              </w:drawing>
            </w: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r>
    </w:tbl>
    <w:p w14:paraId="479B8CA7" w14:textId="77777777" w:rsidR="00A65F17" w:rsidRPr="00A65F17" w:rsidRDefault="00A65F17" w:rsidP="00A65F17">
      <w:pPr>
        <w:pStyle w:val="Normal1"/>
        <w:spacing w:after="0" w:line="240" w:lineRule="auto"/>
        <w:ind w:firstLine="567"/>
        <w:jc w:val="both"/>
        <w:rPr>
          <w:rFonts w:ascii="Times New Roman" w:eastAsia="Times New Roman" w:hAnsi="Times New Roman" w:cs="Times New Roman"/>
          <w:sz w:val="24"/>
          <w:szCs w:val="24"/>
        </w:rPr>
      </w:pPr>
    </w:p>
    <w:p w14:paraId="70E7AE22" w14:textId="77777777" w:rsidR="00D275CD" w:rsidRPr="00A65F17" w:rsidRDefault="00D275CD" w:rsidP="00A65F17">
      <w:pPr>
        <w:pStyle w:val="Normal1"/>
        <w:spacing w:after="0" w:line="240" w:lineRule="auto"/>
        <w:ind w:firstLine="567"/>
        <w:jc w:val="both"/>
        <w:rPr>
          <w:rFonts w:ascii="Times New Roman" w:hAnsi="Times New Roman" w:cs="Times New Roman"/>
          <w:b/>
          <w:bCs/>
          <w:sz w:val="24"/>
          <w:szCs w:val="24"/>
        </w:rPr>
      </w:pPr>
      <w:r w:rsidRPr="00A65F17">
        <w:rPr>
          <w:rFonts w:ascii="Times New Roman" w:hAnsi="Times New Roman" w:cs="Times New Roman"/>
          <w:b/>
          <w:bCs/>
          <w:sz w:val="24"/>
          <w:szCs w:val="24"/>
        </w:rPr>
        <w:lastRenderedPageBreak/>
        <w:t>Performance of Equity Funds Managed by Investment Managers Based on Sharpe, Treynor, and Jensen Indexes</w:t>
      </w:r>
    </w:p>
    <w:p w14:paraId="03103CCD" w14:textId="3DA3C4B2" w:rsidR="00D275CD" w:rsidRPr="00A65F17" w:rsidRDefault="00D275CD" w:rsidP="002B5DEB">
      <w:pPr>
        <w:pStyle w:val="Normal1"/>
        <w:spacing w:after="0" w:line="240" w:lineRule="auto"/>
        <w:ind w:firstLine="720"/>
        <w:jc w:val="both"/>
        <w:rPr>
          <w:rFonts w:ascii="Times New Roman" w:hAnsi="Times New Roman" w:cs="Times New Roman"/>
          <w:sz w:val="24"/>
          <w:szCs w:val="24"/>
        </w:rPr>
      </w:pPr>
      <w:r w:rsidRPr="00A65F17">
        <w:rPr>
          <w:rFonts w:ascii="Times New Roman" w:hAnsi="Times New Roman" w:cs="Times New Roman"/>
          <w:sz w:val="24"/>
          <w:szCs w:val="24"/>
        </w:rPr>
        <w:t xml:space="preserve">There are 68 investment managers sampled in this study. Based on Figure </w:t>
      </w:r>
      <w:r w:rsidR="00774A61">
        <w:rPr>
          <w:rFonts w:ascii="Times New Roman" w:hAnsi="Times New Roman" w:cs="Times New Roman"/>
          <w:sz w:val="24"/>
          <w:szCs w:val="24"/>
        </w:rPr>
        <w:t>10</w:t>
      </w:r>
      <w:r w:rsidRPr="00A65F17">
        <w:rPr>
          <w:rFonts w:ascii="Times New Roman" w:hAnsi="Times New Roman" w:cs="Times New Roman"/>
          <w:sz w:val="24"/>
          <w:szCs w:val="24"/>
        </w:rPr>
        <w:t>, it is known that equity funds managed by 25 investment managers have positive performance, and 43 others have negative performance. The highest performance is the equity fund managed by the investment manager Foster Asset Management with a Sharpe index of 1.5653, where this value outperforms the market and the risk-free investment.</w:t>
      </w:r>
    </w:p>
    <w:p w14:paraId="20F92E0F" w14:textId="35A66408" w:rsidR="00D275CD" w:rsidRDefault="00D275CD" w:rsidP="002B5DEB">
      <w:pPr>
        <w:pStyle w:val="Normal1"/>
        <w:spacing w:after="0" w:line="240" w:lineRule="auto"/>
        <w:ind w:firstLine="720"/>
        <w:jc w:val="both"/>
        <w:rPr>
          <w:rFonts w:ascii="Times New Roman" w:hAnsi="Times New Roman" w:cs="Times New Roman"/>
          <w:sz w:val="24"/>
          <w:szCs w:val="24"/>
        </w:rPr>
      </w:pPr>
      <w:r w:rsidRPr="00A65F17">
        <w:rPr>
          <w:rFonts w:ascii="Times New Roman" w:hAnsi="Times New Roman" w:cs="Times New Roman"/>
          <w:sz w:val="24"/>
          <w:szCs w:val="24"/>
        </w:rPr>
        <w:t xml:space="preserve">According to Figure </w:t>
      </w:r>
      <w:r w:rsidR="00774A61">
        <w:rPr>
          <w:rFonts w:ascii="Times New Roman" w:hAnsi="Times New Roman" w:cs="Times New Roman"/>
          <w:sz w:val="24"/>
          <w:szCs w:val="24"/>
        </w:rPr>
        <w:t>11</w:t>
      </w:r>
      <w:r w:rsidRPr="00A65F17">
        <w:rPr>
          <w:rFonts w:ascii="Times New Roman" w:hAnsi="Times New Roman" w:cs="Times New Roman"/>
          <w:sz w:val="24"/>
          <w:szCs w:val="24"/>
        </w:rPr>
        <w:t xml:space="preserve">, the equity funds managed by 24 investment managers have positive performance. According to Figure </w:t>
      </w:r>
      <w:r w:rsidR="00774A61">
        <w:rPr>
          <w:rFonts w:ascii="Times New Roman" w:hAnsi="Times New Roman" w:cs="Times New Roman"/>
          <w:sz w:val="24"/>
          <w:szCs w:val="24"/>
        </w:rPr>
        <w:t>12</w:t>
      </w:r>
      <w:r w:rsidRPr="00A65F17">
        <w:rPr>
          <w:rFonts w:ascii="Times New Roman" w:hAnsi="Times New Roman" w:cs="Times New Roman"/>
          <w:sz w:val="24"/>
          <w:szCs w:val="24"/>
        </w:rPr>
        <w:t xml:space="preserve">, the equity funds managed by 59 investment managers have positive performance. Equity funds of the </w:t>
      </w:r>
      <w:proofErr w:type="spellStart"/>
      <w:r w:rsidRPr="00A65F17">
        <w:rPr>
          <w:rFonts w:ascii="Times New Roman" w:hAnsi="Times New Roman" w:cs="Times New Roman"/>
          <w:sz w:val="24"/>
          <w:szCs w:val="24"/>
        </w:rPr>
        <w:t>Eastspring</w:t>
      </w:r>
      <w:proofErr w:type="spellEnd"/>
      <w:r w:rsidRPr="00A65F17">
        <w:rPr>
          <w:rFonts w:ascii="Times New Roman" w:hAnsi="Times New Roman" w:cs="Times New Roman"/>
          <w:sz w:val="24"/>
          <w:szCs w:val="24"/>
        </w:rPr>
        <w:t xml:space="preserve"> Investments Indonesia outperformed the market and risk-free investment with Treynor index of 0.3079. Based on Figure </w:t>
      </w:r>
      <w:r w:rsidR="00774A61">
        <w:rPr>
          <w:rFonts w:ascii="Times New Roman" w:hAnsi="Times New Roman" w:cs="Times New Roman"/>
          <w:sz w:val="24"/>
          <w:szCs w:val="24"/>
        </w:rPr>
        <w:t>12</w:t>
      </w:r>
      <w:r w:rsidRPr="00A65F17">
        <w:rPr>
          <w:rFonts w:ascii="Times New Roman" w:hAnsi="Times New Roman" w:cs="Times New Roman"/>
          <w:sz w:val="24"/>
          <w:szCs w:val="24"/>
        </w:rPr>
        <w:t xml:space="preserve">, the highest performance of equity fund managed by the investment manager </w:t>
      </w:r>
      <w:proofErr w:type="spellStart"/>
      <w:r w:rsidR="00161B11">
        <w:rPr>
          <w:rFonts w:ascii="Times New Roman" w:hAnsi="Times New Roman" w:cs="Times New Roman"/>
          <w:sz w:val="24"/>
          <w:szCs w:val="24"/>
        </w:rPr>
        <w:t>Berlian</w:t>
      </w:r>
      <w:proofErr w:type="spellEnd"/>
      <w:r w:rsidRPr="00A65F17">
        <w:rPr>
          <w:rFonts w:ascii="Times New Roman" w:hAnsi="Times New Roman" w:cs="Times New Roman"/>
          <w:sz w:val="24"/>
          <w:szCs w:val="24"/>
        </w:rPr>
        <w:t xml:space="preserve"> Asset Management, with Jensen index of 0.0069 and outperformed the risk-free investment.</w:t>
      </w:r>
    </w:p>
    <w:p w14:paraId="49517918" w14:textId="77777777" w:rsidR="00A65F17" w:rsidRDefault="00A65F17" w:rsidP="00D275CD">
      <w:pPr>
        <w:pStyle w:val="Normal1"/>
        <w:spacing w:after="0" w:line="240" w:lineRule="auto"/>
        <w:ind w:firstLine="567"/>
        <w:jc w:val="both"/>
        <w:rPr>
          <w:rFonts w:ascii="Times New Roman" w:hAnsi="Times New Roman" w:cs="Times New Roman"/>
          <w:sz w:val="24"/>
          <w:szCs w:val="24"/>
        </w:rPr>
      </w:pP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A65F17" w:rsidRPr="00A65F17" w14:paraId="09D2BAFE" w14:textId="77777777" w:rsidTr="00A65F17">
        <w:tc>
          <w:tcPr>
            <w:tcW w:w="4320" w:type="dxa"/>
          </w:tcPr>
          <w:p w14:paraId="00D18829" w14:textId="77777777" w:rsidR="00A65F17" w:rsidRPr="00A65F17" w:rsidRDefault="00A65F17" w:rsidP="006C528B">
            <w:pPr>
              <w:spacing w:after="0" w:line="240" w:lineRule="auto"/>
              <w:jc w:val="center"/>
              <w:rPr>
                <w:rFonts w:ascii="Times New Roman" w:hAnsi="Times New Roman" w:cs="Times New Roman"/>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9</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Performance of the Capital Protected Fund managed by Investment Manager Based on the Jensen Index.</w:t>
            </w:r>
            <w:r w:rsidRPr="00A65F17">
              <w:rPr>
                <w:rFonts w:ascii="Times New Roman" w:hAnsi="Times New Roman" w:cs="Times New Roman"/>
                <w:b/>
                <w:bCs/>
                <w:noProof/>
                <w:sz w:val="24"/>
                <w:szCs w:val="24"/>
              </w:rPr>
              <w:drawing>
                <wp:inline distT="0" distB="0" distL="0" distR="0" wp14:anchorId="14C84DCE" wp14:editId="635D9FD7">
                  <wp:extent cx="2651760" cy="164002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51760" cy="1640021"/>
                          </a:xfrm>
                          <a:prstGeom prst="rect">
                            <a:avLst/>
                          </a:prstGeom>
                        </pic:spPr>
                      </pic:pic>
                    </a:graphicData>
                  </a:graphic>
                </wp:inline>
              </w:drawing>
            </w: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c>
          <w:tcPr>
            <w:tcW w:w="4320" w:type="dxa"/>
          </w:tcPr>
          <w:p w14:paraId="1584EA72" w14:textId="77777777" w:rsidR="00161B11" w:rsidRDefault="00A65F17" w:rsidP="006C528B">
            <w:pPr>
              <w:spacing w:after="0" w:line="240" w:lineRule="auto"/>
              <w:jc w:val="center"/>
              <w:rPr>
                <w:noProof/>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10</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Performance of the Equity Fund managed by Investment Manager Based on the Sharpe Index.</w:t>
            </w:r>
            <w:r w:rsidR="00161B11">
              <w:rPr>
                <w:noProof/>
              </w:rPr>
              <w:t xml:space="preserve"> </w:t>
            </w:r>
          </w:p>
          <w:p w14:paraId="016138F5" w14:textId="334C69D5" w:rsidR="00A65F17" w:rsidRPr="00A65F17" w:rsidRDefault="00161B11" w:rsidP="006C528B">
            <w:pPr>
              <w:spacing w:after="0" w:line="240" w:lineRule="auto"/>
              <w:jc w:val="center"/>
              <w:rPr>
                <w:rFonts w:ascii="Times New Roman" w:hAnsi="Times New Roman" w:cs="Times New Roman"/>
                <w:sz w:val="24"/>
                <w:szCs w:val="24"/>
              </w:rPr>
            </w:pPr>
            <w:r>
              <w:rPr>
                <w:noProof/>
              </w:rPr>
              <w:drawing>
                <wp:inline distT="0" distB="0" distL="0" distR="0" wp14:anchorId="2FD45F78" wp14:editId="015F58A9">
                  <wp:extent cx="2606040" cy="1612900"/>
                  <wp:effectExtent l="0" t="0" r="381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06040" cy="1612900"/>
                          </a:xfrm>
                          <a:prstGeom prst="rect">
                            <a:avLst/>
                          </a:prstGeom>
                        </pic:spPr>
                      </pic:pic>
                    </a:graphicData>
                  </a:graphic>
                </wp:inline>
              </w:drawing>
            </w:r>
            <w:r w:rsidRPr="00A65F17">
              <w:rPr>
                <w:rFonts w:ascii="Times New Roman" w:hAnsi="Times New Roman" w:cs="Times New Roman"/>
                <w:i w:val="0"/>
                <w:iCs w:val="0"/>
                <w:sz w:val="22"/>
                <w:szCs w:val="22"/>
              </w:rPr>
              <w:t xml:space="preserve"> </w:t>
            </w:r>
            <w:r w:rsidR="00A65F17" w:rsidRPr="00A65F17">
              <w:rPr>
                <w:rFonts w:ascii="Times New Roman" w:hAnsi="Times New Roman" w:cs="Times New Roman"/>
                <w:i w:val="0"/>
                <w:iCs w:val="0"/>
                <w:sz w:val="22"/>
                <w:szCs w:val="22"/>
              </w:rPr>
              <w:t xml:space="preserve">Source: </w:t>
            </w:r>
            <w:r w:rsidR="00A65F17" w:rsidRPr="00A65F17">
              <w:rPr>
                <w:rFonts w:ascii="Times New Roman" w:eastAsia="Times New Roman" w:hAnsi="Times New Roman" w:cs="Times New Roman"/>
                <w:i w:val="0"/>
                <w:iCs w:val="0"/>
                <w:sz w:val="22"/>
                <w:szCs w:val="22"/>
              </w:rPr>
              <w:t>processed data (2021)</w:t>
            </w:r>
            <w:r w:rsidR="00A65F17" w:rsidRPr="00A65F17">
              <w:rPr>
                <w:rFonts w:ascii="Times New Roman" w:hAnsi="Times New Roman" w:cs="Times New Roman"/>
                <w:i w:val="0"/>
                <w:iCs w:val="0"/>
                <w:sz w:val="22"/>
                <w:szCs w:val="22"/>
              </w:rPr>
              <w:t>.</w:t>
            </w:r>
          </w:p>
        </w:tc>
      </w:tr>
      <w:tr w:rsidR="00D275CD" w:rsidRPr="00A65F17" w14:paraId="7BDABAEF" w14:textId="77777777" w:rsidTr="00A65F17">
        <w:tc>
          <w:tcPr>
            <w:tcW w:w="4320" w:type="dxa"/>
          </w:tcPr>
          <w:p w14:paraId="215148BA" w14:textId="4ECE7F4D" w:rsidR="0068122D" w:rsidRDefault="0068122D" w:rsidP="0068122D">
            <w:pPr>
              <w:spacing w:after="0" w:line="240" w:lineRule="auto"/>
              <w:jc w:val="center"/>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11</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Performance of the Equity Fund managed by Investment Manager Based on the Treynor Index.</w:t>
            </w:r>
          </w:p>
          <w:p w14:paraId="002348E2" w14:textId="7F42D879" w:rsidR="00D275CD" w:rsidRPr="00A65F17" w:rsidRDefault="00161B11" w:rsidP="0068122D">
            <w:pPr>
              <w:spacing w:after="0" w:line="240" w:lineRule="auto"/>
              <w:jc w:val="both"/>
              <w:rPr>
                <w:rFonts w:ascii="Times New Roman" w:hAnsi="Times New Roman" w:cs="Times New Roman"/>
                <w:sz w:val="24"/>
                <w:szCs w:val="24"/>
              </w:rPr>
            </w:pPr>
            <w:r>
              <w:rPr>
                <w:noProof/>
              </w:rPr>
              <w:drawing>
                <wp:inline distT="0" distB="0" distL="0" distR="0" wp14:anchorId="1BDAAAB3" wp14:editId="2ED367D3">
                  <wp:extent cx="2606040" cy="1610360"/>
                  <wp:effectExtent l="0" t="0" r="381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06040" cy="1610360"/>
                          </a:xfrm>
                          <a:prstGeom prst="rect">
                            <a:avLst/>
                          </a:prstGeom>
                        </pic:spPr>
                      </pic:pic>
                    </a:graphicData>
                  </a:graphic>
                </wp:inline>
              </w:drawing>
            </w:r>
            <w:r w:rsidRPr="00A65F17">
              <w:rPr>
                <w:rFonts w:ascii="Times New Roman" w:hAnsi="Times New Roman" w:cs="Times New Roman"/>
                <w:i w:val="0"/>
                <w:iCs w:val="0"/>
                <w:sz w:val="22"/>
                <w:szCs w:val="22"/>
              </w:rPr>
              <w:t xml:space="preserve"> </w:t>
            </w:r>
            <w:r w:rsidR="00A252D0" w:rsidRPr="00A65F17">
              <w:rPr>
                <w:rFonts w:ascii="Times New Roman" w:hAnsi="Times New Roman" w:cs="Times New Roman"/>
                <w:i w:val="0"/>
                <w:iCs w:val="0"/>
                <w:sz w:val="22"/>
                <w:szCs w:val="22"/>
              </w:rPr>
              <w:t xml:space="preserve">Source: </w:t>
            </w:r>
            <w:r w:rsidR="00A252D0" w:rsidRPr="00A65F17">
              <w:rPr>
                <w:rFonts w:ascii="Times New Roman" w:eastAsia="Times New Roman" w:hAnsi="Times New Roman" w:cs="Times New Roman"/>
                <w:i w:val="0"/>
                <w:iCs w:val="0"/>
                <w:sz w:val="22"/>
                <w:szCs w:val="22"/>
              </w:rPr>
              <w:t>processed data (2021)</w:t>
            </w:r>
            <w:r w:rsidR="00A252D0" w:rsidRPr="00A65F17">
              <w:rPr>
                <w:rFonts w:ascii="Times New Roman" w:hAnsi="Times New Roman" w:cs="Times New Roman"/>
                <w:i w:val="0"/>
                <w:iCs w:val="0"/>
                <w:sz w:val="22"/>
                <w:szCs w:val="22"/>
              </w:rPr>
              <w:t>.</w:t>
            </w:r>
          </w:p>
        </w:tc>
        <w:tc>
          <w:tcPr>
            <w:tcW w:w="4320" w:type="dxa"/>
          </w:tcPr>
          <w:p w14:paraId="622A266F" w14:textId="1CAE8127" w:rsidR="0068122D" w:rsidRDefault="0068122D" w:rsidP="0068122D">
            <w:pPr>
              <w:spacing w:after="0" w:line="240" w:lineRule="auto"/>
              <w:jc w:val="center"/>
              <w:rPr>
                <w:rFonts w:ascii="Times New Roman" w:hAnsi="Times New Roman" w:cs="Times New Roman"/>
                <w:b/>
                <w:bCs/>
                <w:i w:val="0"/>
                <w:iCs w:val="0"/>
                <w:sz w:val="24"/>
                <w:szCs w:val="24"/>
              </w:rPr>
            </w:pPr>
            <w:r w:rsidRPr="00A65F17">
              <w:rPr>
                <w:rFonts w:ascii="Times New Roman" w:hAnsi="Times New Roman" w:cs="Times New Roman"/>
                <w:b/>
                <w:bCs/>
                <w:i w:val="0"/>
                <w:iCs w:val="0"/>
                <w:sz w:val="24"/>
                <w:szCs w:val="24"/>
              </w:rPr>
              <w:t xml:space="preserve">Figure </w:t>
            </w:r>
            <w:r w:rsidRPr="00A65F17">
              <w:rPr>
                <w:rFonts w:ascii="Times New Roman" w:hAnsi="Times New Roman" w:cs="Times New Roman"/>
                <w:b/>
                <w:bCs/>
                <w:i w:val="0"/>
                <w:iCs w:val="0"/>
                <w:sz w:val="24"/>
                <w:szCs w:val="24"/>
              </w:rPr>
              <w:fldChar w:fldCharType="begin"/>
            </w:r>
            <w:r w:rsidRPr="00A65F17">
              <w:rPr>
                <w:rFonts w:ascii="Times New Roman" w:hAnsi="Times New Roman" w:cs="Times New Roman"/>
                <w:b/>
                <w:bCs/>
                <w:i w:val="0"/>
                <w:iCs w:val="0"/>
                <w:sz w:val="24"/>
                <w:szCs w:val="24"/>
              </w:rPr>
              <w:instrText xml:space="preserve"> SEQ Gambar \* ARABIC </w:instrText>
            </w:r>
            <w:r w:rsidRPr="00A65F17">
              <w:rPr>
                <w:rFonts w:ascii="Times New Roman" w:hAnsi="Times New Roman" w:cs="Times New Roman"/>
                <w:b/>
                <w:bCs/>
                <w:i w:val="0"/>
                <w:iCs w:val="0"/>
                <w:sz w:val="24"/>
                <w:szCs w:val="24"/>
              </w:rPr>
              <w:fldChar w:fldCharType="separate"/>
            </w:r>
            <w:r w:rsidRPr="00A65F17">
              <w:rPr>
                <w:rFonts w:ascii="Times New Roman" w:hAnsi="Times New Roman" w:cs="Times New Roman"/>
                <w:b/>
                <w:bCs/>
                <w:i w:val="0"/>
                <w:iCs w:val="0"/>
                <w:noProof/>
                <w:sz w:val="24"/>
                <w:szCs w:val="24"/>
              </w:rPr>
              <w:t>12</w:t>
            </w:r>
            <w:r w:rsidRPr="00A65F17">
              <w:rPr>
                <w:rFonts w:ascii="Times New Roman" w:hAnsi="Times New Roman" w:cs="Times New Roman"/>
                <w:b/>
                <w:bCs/>
                <w:i w:val="0"/>
                <w:iCs w:val="0"/>
                <w:sz w:val="24"/>
                <w:szCs w:val="24"/>
              </w:rPr>
              <w:fldChar w:fldCharType="end"/>
            </w:r>
            <w:r w:rsidRPr="00A65F17">
              <w:rPr>
                <w:rFonts w:ascii="Times New Roman" w:hAnsi="Times New Roman" w:cs="Times New Roman"/>
                <w:b/>
                <w:bCs/>
                <w:i w:val="0"/>
                <w:iCs w:val="0"/>
                <w:sz w:val="24"/>
                <w:szCs w:val="24"/>
              </w:rPr>
              <w:t>. Performance of the Equity Fund managed by Investment Manager Based on the Jensen Index.</w:t>
            </w:r>
          </w:p>
          <w:p w14:paraId="6E623B2A" w14:textId="7F625941" w:rsidR="00161B11" w:rsidRDefault="00E50DFC" w:rsidP="0068122D">
            <w:pPr>
              <w:spacing w:after="0" w:line="240" w:lineRule="auto"/>
              <w:jc w:val="both"/>
              <w:rPr>
                <w:rFonts w:ascii="Times New Roman" w:hAnsi="Times New Roman" w:cs="Times New Roman"/>
                <w:noProof/>
                <w:sz w:val="24"/>
                <w:szCs w:val="24"/>
              </w:rPr>
            </w:pPr>
            <w:r>
              <w:rPr>
                <w:noProof/>
              </w:rPr>
              <w:drawing>
                <wp:inline distT="0" distB="0" distL="0" distR="0" wp14:anchorId="7B071F8D" wp14:editId="5B5257B0">
                  <wp:extent cx="2606040" cy="16109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06040" cy="1610995"/>
                          </a:xfrm>
                          <a:prstGeom prst="rect">
                            <a:avLst/>
                          </a:prstGeom>
                        </pic:spPr>
                      </pic:pic>
                    </a:graphicData>
                  </a:graphic>
                </wp:inline>
              </w:drawing>
            </w:r>
          </w:p>
          <w:p w14:paraId="130D2F42" w14:textId="2D17AFD2" w:rsidR="00D275CD" w:rsidRPr="00A65F17" w:rsidRDefault="00A252D0" w:rsidP="0068122D">
            <w:pPr>
              <w:spacing w:after="0" w:line="240" w:lineRule="auto"/>
              <w:jc w:val="both"/>
              <w:rPr>
                <w:rFonts w:ascii="Times New Roman" w:hAnsi="Times New Roman" w:cs="Times New Roman"/>
                <w:sz w:val="24"/>
                <w:szCs w:val="24"/>
              </w:rPr>
            </w:pPr>
            <w:r w:rsidRPr="00A65F17">
              <w:rPr>
                <w:rFonts w:ascii="Times New Roman" w:hAnsi="Times New Roman" w:cs="Times New Roman"/>
                <w:i w:val="0"/>
                <w:iCs w:val="0"/>
                <w:sz w:val="22"/>
                <w:szCs w:val="22"/>
              </w:rPr>
              <w:t xml:space="preserve">Source: </w:t>
            </w:r>
            <w:r w:rsidRPr="00A65F17">
              <w:rPr>
                <w:rFonts w:ascii="Times New Roman" w:eastAsia="Times New Roman" w:hAnsi="Times New Roman" w:cs="Times New Roman"/>
                <w:i w:val="0"/>
                <w:iCs w:val="0"/>
                <w:sz w:val="22"/>
                <w:szCs w:val="22"/>
              </w:rPr>
              <w:t>processed data (2021)</w:t>
            </w:r>
            <w:r w:rsidRPr="00A65F17">
              <w:rPr>
                <w:rFonts w:ascii="Times New Roman" w:hAnsi="Times New Roman" w:cs="Times New Roman"/>
                <w:i w:val="0"/>
                <w:iCs w:val="0"/>
                <w:sz w:val="22"/>
                <w:szCs w:val="22"/>
              </w:rPr>
              <w:t>.</w:t>
            </w:r>
          </w:p>
        </w:tc>
      </w:tr>
    </w:tbl>
    <w:p w14:paraId="56EDCDFB" w14:textId="77777777" w:rsidR="005E0288" w:rsidRPr="00A65F17"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7C0402D4" w14:textId="3A9E7FE1" w:rsidR="008E0BC3" w:rsidRPr="00A65F17" w:rsidRDefault="008E0BC3" w:rsidP="008E0BC3">
      <w:pPr>
        <w:spacing w:after="0" w:line="240" w:lineRule="auto"/>
        <w:jc w:val="both"/>
        <w:rPr>
          <w:rFonts w:ascii="Times New Roman" w:hAnsi="Times New Roman" w:cs="Times New Roman"/>
          <w:b/>
          <w:i w:val="0"/>
          <w:sz w:val="24"/>
          <w:szCs w:val="24"/>
        </w:rPr>
      </w:pPr>
      <w:r w:rsidRPr="00A65F17">
        <w:rPr>
          <w:rFonts w:ascii="Times New Roman" w:hAnsi="Times New Roman" w:cs="Times New Roman"/>
          <w:b/>
          <w:i w:val="0"/>
          <w:sz w:val="24"/>
          <w:szCs w:val="24"/>
        </w:rPr>
        <w:t>CONCLUSION</w:t>
      </w:r>
    </w:p>
    <w:p w14:paraId="54E8B44F" w14:textId="2E69B9A7" w:rsidR="008D372C" w:rsidRPr="00A65F17" w:rsidRDefault="008D372C" w:rsidP="00AE0C6D">
      <w:pPr>
        <w:spacing w:after="0" w:line="240" w:lineRule="auto"/>
        <w:ind w:firstLine="720"/>
        <w:jc w:val="both"/>
        <w:rPr>
          <w:rFonts w:ascii="Times New Roman" w:hAnsi="Times New Roman" w:cs="Times New Roman"/>
          <w:bCs/>
          <w:i w:val="0"/>
          <w:sz w:val="24"/>
          <w:szCs w:val="24"/>
        </w:rPr>
      </w:pPr>
      <w:r w:rsidRPr="00A65F17">
        <w:rPr>
          <w:rFonts w:ascii="Times New Roman" w:hAnsi="Times New Roman" w:cs="Times New Roman"/>
          <w:bCs/>
          <w:i w:val="0"/>
          <w:sz w:val="24"/>
          <w:szCs w:val="24"/>
        </w:rPr>
        <w:t>The Sharpe, Treynor, and Jensen indexes were used to evaluate the performance of</w:t>
      </w:r>
      <w:r w:rsidR="00AE0C6D">
        <w:rPr>
          <w:rFonts w:ascii="Times New Roman" w:hAnsi="Times New Roman" w:cs="Times New Roman"/>
          <w:bCs/>
          <w:i w:val="0"/>
          <w:sz w:val="24"/>
          <w:szCs w:val="24"/>
        </w:rPr>
        <w:t xml:space="preserve"> </w:t>
      </w:r>
      <w:r w:rsidRPr="00A65F17">
        <w:rPr>
          <w:rFonts w:ascii="Times New Roman" w:hAnsi="Times New Roman" w:cs="Times New Roman"/>
          <w:bCs/>
          <w:i w:val="0"/>
          <w:sz w:val="24"/>
          <w:szCs w:val="24"/>
        </w:rPr>
        <w:t>capital-protected funds and equity funds from February to August 2021, and the results demonstrate that:</w:t>
      </w:r>
    </w:p>
    <w:p w14:paraId="7E5A0F71" w14:textId="70CB2849" w:rsidR="008D372C" w:rsidRPr="00A65F17" w:rsidRDefault="008D372C" w:rsidP="008D372C">
      <w:pPr>
        <w:pStyle w:val="ListParagraph"/>
        <w:numPr>
          <w:ilvl w:val="0"/>
          <w:numId w:val="5"/>
        </w:numPr>
        <w:spacing w:after="0" w:line="240" w:lineRule="auto"/>
        <w:jc w:val="both"/>
        <w:rPr>
          <w:rFonts w:ascii="Times New Roman" w:hAnsi="Times New Roman" w:cs="Times New Roman"/>
          <w:bCs/>
          <w:i w:val="0"/>
          <w:sz w:val="24"/>
          <w:szCs w:val="24"/>
        </w:rPr>
      </w:pPr>
      <w:r w:rsidRPr="00A65F17">
        <w:rPr>
          <w:rFonts w:ascii="Times New Roman" w:hAnsi="Times New Roman" w:cs="Times New Roman"/>
          <w:bCs/>
          <w:i w:val="0"/>
          <w:sz w:val="24"/>
          <w:szCs w:val="24"/>
        </w:rPr>
        <w:t xml:space="preserve">Based on the comparison of market returns, capital-protected funds outperform in March, April, and May, while equity funds outperform in April and August. Meanwhile, </w:t>
      </w:r>
      <w:r w:rsidRPr="00A65F17">
        <w:rPr>
          <w:rFonts w:ascii="Times New Roman" w:hAnsi="Times New Roman" w:cs="Times New Roman"/>
          <w:bCs/>
          <w:i w:val="0"/>
          <w:sz w:val="24"/>
          <w:szCs w:val="24"/>
        </w:rPr>
        <w:lastRenderedPageBreak/>
        <w:t>based on the BI Rate comparison, capital-protected funds outperformed from risk-free investment in April, while equity funds outperformed in February, July, and August.</w:t>
      </w:r>
    </w:p>
    <w:p w14:paraId="600F4C99" w14:textId="6DE33353" w:rsidR="008D372C" w:rsidRPr="00A65F17" w:rsidRDefault="008D372C" w:rsidP="008D372C">
      <w:pPr>
        <w:pStyle w:val="ListParagraph"/>
        <w:numPr>
          <w:ilvl w:val="0"/>
          <w:numId w:val="5"/>
        </w:numPr>
        <w:spacing w:after="0" w:line="240" w:lineRule="auto"/>
        <w:jc w:val="both"/>
        <w:rPr>
          <w:rFonts w:ascii="Times New Roman" w:hAnsi="Times New Roman" w:cs="Times New Roman"/>
          <w:bCs/>
          <w:i w:val="0"/>
          <w:sz w:val="24"/>
          <w:szCs w:val="24"/>
        </w:rPr>
      </w:pPr>
      <w:r w:rsidRPr="00A65F17">
        <w:rPr>
          <w:rFonts w:ascii="Times New Roman" w:hAnsi="Times New Roman" w:cs="Times New Roman"/>
          <w:bCs/>
          <w:i w:val="0"/>
          <w:sz w:val="24"/>
          <w:szCs w:val="24"/>
        </w:rPr>
        <w:t>The Sharpe index of equity funds outperformed the market in February and August, but capital-protected funds underperformed. According to the Treynor index, capital-protected funds outperform equity funds in April, June, and July, while equity funds outperform in June, July, and August. Based on the Jensen index, equity funds outperformed in March, May, and August, while capital-protected funds outperformed in March and May.</w:t>
      </w:r>
    </w:p>
    <w:p w14:paraId="45FA6ECF" w14:textId="17B6DDF7" w:rsidR="008D372C" w:rsidRPr="00A65F17" w:rsidRDefault="008D372C" w:rsidP="008D372C">
      <w:pPr>
        <w:pStyle w:val="ListParagraph"/>
        <w:numPr>
          <w:ilvl w:val="0"/>
          <w:numId w:val="5"/>
        </w:numPr>
        <w:spacing w:after="0" w:line="240" w:lineRule="auto"/>
        <w:jc w:val="both"/>
        <w:rPr>
          <w:rFonts w:ascii="Times New Roman" w:hAnsi="Times New Roman" w:cs="Times New Roman"/>
          <w:bCs/>
          <w:i w:val="0"/>
          <w:sz w:val="24"/>
          <w:szCs w:val="24"/>
        </w:rPr>
      </w:pPr>
      <w:r w:rsidRPr="00A65F17">
        <w:rPr>
          <w:rFonts w:ascii="Times New Roman" w:hAnsi="Times New Roman" w:cs="Times New Roman"/>
          <w:bCs/>
          <w:i w:val="0"/>
          <w:sz w:val="24"/>
          <w:szCs w:val="24"/>
        </w:rPr>
        <w:t xml:space="preserve">Capital protected funds with the best performance out of 462 products on the market, namely Simas </w:t>
      </w:r>
      <w:proofErr w:type="spellStart"/>
      <w:r w:rsidRPr="00A65F17">
        <w:rPr>
          <w:rFonts w:ascii="Times New Roman" w:hAnsi="Times New Roman" w:cs="Times New Roman"/>
          <w:bCs/>
          <w:i w:val="0"/>
          <w:sz w:val="24"/>
          <w:szCs w:val="24"/>
        </w:rPr>
        <w:t>Gemilang</w:t>
      </w:r>
      <w:proofErr w:type="spellEnd"/>
      <w:r w:rsidRPr="00A65F17">
        <w:rPr>
          <w:rFonts w:ascii="Times New Roman" w:hAnsi="Times New Roman" w:cs="Times New Roman"/>
          <w:bCs/>
          <w:i w:val="0"/>
          <w:sz w:val="24"/>
          <w:szCs w:val="24"/>
        </w:rPr>
        <w:t xml:space="preserve"> Protected Mutual Fund 18, </w:t>
      </w:r>
      <w:proofErr w:type="spellStart"/>
      <w:r w:rsidRPr="00A65F17">
        <w:rPr>
          <w:rFonts w:ascii="Times New Roman" w:hAnsi="Times New Roman" w:cs="Times New Roman"/>
          <w:bCs/>
          <w:i w:val="0"/>
          <w:sz w:val="24"/>
          <w:szCs w:val="24"/>
        </w:rPr>
        <w:t>Mandiri</w:t>
      </w:r>
      <w:proofErr w:type="spellEnd"/>
      <w:r w:rsidRPr="00A65F17">
        <w:rPr>
          <w:rFonts w:ascii="Times New Roman" w:hAnsi="Times New Roman" w:cs="Times New Roman"/>
          <w:bCs/>
          <w:i w:val="0"/>
          <w:sz w:val="24"/>
          <w:szCs w:val="24"/>
        </w:rPr>
        <w:t xml:space="preserve"> Protected Mutual Fund Series 157, and Insight Protected Mutual Fund 2, based on the Sharpe, Treynor, and Jensen indexes. Meanwhile, out of 273 products on the market, Foster Equity Fund Mutual Fund, </w:t>
      </w:r>
      <w:proofErr w:type="spellStart"/>
      <w:r w:rsidRPr="00A65F17">
        <w:rPr>
          <w:rFonts w:ascii="Times New Roman" w:hAnsi="Times New Roman" w:cs="Times New Roman"/>
          <w:bCs/>
          <w:i w:val="0"/>
          <w:sz w:val="24"/>
          <w:szCs w:val="24"/>
        </w:rPr>
        <w:t>Eastspring</w:t>
      </w:r>
      <w:proofErr w:type="spellEnd"/>
      <w:r w:rsidRPr="00A65F17">
        <w:rPr>
          <w:rFonts w:ascii="Times New Roman" w:hAnsi="Times New Roman" w:cs="Times New Roman"/>
          <w:bCs/>
          <w:i w:val="0"/>
          <w:sz w:val="24"/>
          <w:szCs w:val="24"/>
        </w:rPr>
        <w:t xml:space="preserve"> Investments Value Discovery Mutual Fund Class A, and Manulife Equity Mutual Fund Mainstay had the best performance based on Sharpe, Treynor, and Jensen indexes.</w:t>
      </w:r>
    </w:p>
    <w:p w14:paraId="3379E440" w14:textId="69CE346E" w:rsidR="008D372C" w:rsidRPr="00A65F17" w:rsidRDefault="008D372C" w:rsidP="008D372C">
      <w:pPr>
        <w:pStyle w:val="ListParagraph"/>
        <w:numPr>
          <w:ilvl w:val="0"/>
          <w:numId w:val="5"/>
        </w:numPr>
        <w:spacing w:after="0" w:line="240" w:lineRule="auto"/>
        <w:jc w:val="both"/>
        <w:rPr>
          <w:rFonts w:ascii="Times New Roman" w:hAnsi="Times New Roman" w:cs="Times New Roman"/>
          <w:bCs/>
          <w:i w:val="0"/>
          <w:sz w:val="24"/>
          <w:szCs w:val="24"/>
        </w:rPr>
      </w:pPr>
      <w:r w:rsidRPr="00A65F17">
        <w:rPr>
          <w:rFonts w:ascii="Times New Roman" w:hAnsi="Times New Roman" w:cs="Times New Roman"/>
          <w:bCs/>
          <w:i w:val="0"/>
          <w:sz w:val="24"/>
          <w:szCs w:val="24"/>
        </w:rPr>
        <w:t xml:space="preserve">According to Sharpe, Treynor, and Jensen indexes, the capital-protected funds managed by investment managers with the best performance are those managed by </w:t>
      </w:r>
      <w:proofErr w:type="spellStart"/>
      <w:r w:rsidRPr="00A65F17">
        <w:rPr>
          <w:rFonts w:ascii="Times New Roman" w:hAnsi="Times New Roman" w:cs="Times New Roman"/>
          <w:bCs/>
          <w:i w:val="0"/>
          <w:sz w:val="24"/>
          <w:szCs w:val="24"/>
        </w:rPr>
        <w:t>Sinarmas</w:t>
      </w:r>
      <w:proofErr w:type="spellEnd"/>
      <w:r w:rsidRPr="00A65F17">
        <w:rPr>
          <w:rFonts w:ascii="Times New Roman" w:hAnsi="Times New Roman" w:cs="Times New Roman"/>
          <w:bCs/>
          <w:i w:val="0"/>
          <w:sz w:val="24"/>
          <w:szCs w:val="24"/>
        </w:rPr>
        <w:t xml:space="preserve"> Asset Management, UOB Asset Management Indonesia, and Schroder Investment Management Indonesia. Meanwhile, Foster Asset Management, </w:t>
      </w:r>
      <w:proofErr w:type="spellStart"/>
      <w:r w:rsidRPr="00A65F17">
        <w:rPr>
          <w:rFonts w:ascii="Times New Roman" w:hAnsi="Times New Roman" w:cs="Times New Roman"/>
          <w:bCs/>
          <w:i w:val="0"/>
          <w:sz w:val="24"/>
          <w:szCs w:val="24"/>
        </w:rPr>
        <w:t>Eastspring</w:t>
      </w:r>
      <w:proofErr w:type="spellEnd"/>
      <w:r w:rsidRPr="00A65F17">
        <w:rPr>
          <w:rFonts w:ascii="Times New Roman" w:hAnsi="Times New Roman" w:cs="Times New Roman"/>
          <w:bCs/>
          <w:i w:val="0"/>
          <w:sz w:val="24"/>
          <w:szCs w:val="24"/>
        </w:rPr>
        <w:t xml:space="preserve"> Investments Indonesia, and </w:t>
      </w:r>
      <w:proofErr w:type="spellStart"/>
      <w:r w:rsidR="00E50DFC">
        <w:rPr>
          <w:rFonts w:ascii="Times New Roman" w:hAnsi="Times New Roman" w:cs="Times New Roman"/>
          <w:bCs/>
          <w:i w:val="0"/>
          <w:sz w:val="24"/>
          <w:szCs w:val="24"/>
        </w:rPr>
        <w:t>Berlian</w:t>
      </w:r>
      <w:proofErr w:type="spellEnd"/>
      <w:r w:rsidRPr="00A65F17">
        <w:rPr>
          <w:rFonts w:ascii="Times New Roman" w:hAnsi="Times New Roman" w:cs="Times New Roman"/>
          <w:bCs/>
          <w:i w:val="0"/>
          <w:sz w:val="24"/>
          <w:szCs w:val="24"/>
        </w:rPr>
        <w:t xml:space="preserve"> Asset Management manage the best-performing equity funds based on Sharpe, Treynor, and Jensen indexes.</w:t>
      </w:r>
    </w:p>
    <w:p w14:paraId="6636380D" w14:textId="3D7C9545" w:rsidR="008D372C" w:rsidRPr="00A65F17" w:rsidRDefault="008D372C" w:rsidP="008D372C">
      <w:pPr>
        <w:pStyle w:val="ListParagraph"/>
        <w:numPr>
          <w:ilvl w:val="0"/>
          <w:numId w:val="5"/>
        </w:numPr>
        <w:spacing w:after="0" w:line="240" w:lineRule="auto"/>
        <w:jc w:val="both"/>
        <w:rPr>
          <w:rFonts w:ascii="Times New Roman" w:hAnsi="Times New Roman" w:cs="Times New Roman"/>
          <w:bCs/>
          <w:i w:val="0"/>
          <w:sz w:val="24"/>
          <w:szCs w:val="24"/>
        </w:rPr>
      </w:pPr>
      <w:r w:rsidRPr="00A65F17">
        <w:rPr>
          <w:rFonts w:ascii="Times New Roman" w:hAnsi="Times New Roman" w:cs="Times New Roman"/>
          <w:bCs/>
          <w:i w:val="0"/>
          <w:sz w:val="24"/>
          <w:szCs w:val="24"/>
        </w:rPr>
        <w:t>According to the independent sample t-test, there is no difference in risk-return, Sharpe index, Treynor index, or Jensen index performance between capital-protected funds and equity funds so that investors can choose one or both types of mutual funds as an investment alternative.</w:t>
      </w:r>
    </w:p>
    <w:p w14:paraId="40ED6764" w14:textId="5459002E" w:rsidR="008E0BC3" w:rsidRPr="00A65F17" w:rsidRDefault="008D372C" w:rsidP="008D372C">
      <w:pPr>
        <w:spacing w:after="0" w:line="240" w:lineRule="auto"/>
        <w:ind w:firstLine="720"/>
        <w:jc w:val="both"/>
        <w:rPr>
          <w:rFonts w:ascii="Times New Roman" w:hAnsi="Times New Roman" w:cs="Times New Roman"/>
          <w:bCs/>
          <w:i w:val="0"/>
          <w:sz w:val="24"/>
          <w:szCs w:val="24"/>
        </w:rPr>
      </w:pPr>
      <w:r w:rsidRPr="00A65F17">
        <w:rPr>
          <w:rFonts w:ascii="Times New Roman" w:hAnsi="Times New Roman" w:cs="Times New Roman"/>
          <w:bCs/>
          <w:i w:val="0"/>
          <w:sz w:val="24"/>
          <w:szCs w:val="24"/>
        </w:rPr>
        <w:t xml:space="preserve">This study is still limited to the performance of capital-protected and equity funds from February 2021 to August 2021. Further research should be conducted utilizing different methodologies such as the M-square measure, </w:t>
      </w:r>
      <w:proofErr w:type="spellStart"/>
      <w:r w:rsidRPr="00A65F17">
        <w:rPr>
          <w:rFonts w:ascii="Times New Roman" w:hAnsi="Times New Roman" w:cs="Times New Roman"/>
          <w:bCs/>
          <w:i w:val="0"/>
          <w:sz w:val="24"/>
          <w:szCs w:val="24"/>
        </w:rPr>
        <w:t>Henriksson</w:t>
      </w:r>
      <w:proofErr w:type="spellEnd"/>
      <w:r w:rsidRPr="00A65F17">
        <w:rPr>
          <w:rFonts w:ascii="Times New Roman" w:hAnsi="Times New Roman" w:cs="Times New Roman"/>
          <w:bCs/>
          <w:i w:val="0"/>
          <w:sz w:val="24"/>
          <w:szCs w:val="24"/>
        </w:rPr>
        <w:t>-Merton approach, and Treynor and Treynor index to examine additional month periods. Money market funds, fixed-income funds, and discretionary funds are among the mutual fund kinds projected to be explored in the future.</w:t>
      </w:r>
    </w:p>
    <w:p w14:paraId="2E8D1E7C" w14:textId="77777777" w:rsidR="008E0BC3" w:rsidRPr="00A65F17" w:rsidRDefault="008E0BC3" w:rsidP="008E0BC3">
      <w:pPr>
        <w:spacing w:after="0" w:line="240" w:lineRule="auto"/>
        <w:jc w:val="both"/>
        <w:rPr>
          <w:rFonts w:ascii="Times New Roman" w:hAnsi="Times New Roman" w:cs="Times New Roman"/>
          <w:b/>
          <w:i w:val="0"/>
          <w:sz w:val="24"/>
          <w:szCs w:val="24"/>
        </w:rPr>
      </w:pPr>
    </w:p>
    <w:p w14:paraId="76D7411A" w14:textId="7DC72EC3" w:rsidR="008E0BC3" w:rsidRPr="00A65F17" w:rsidRDefault="003D6B56" w:rsidP="008E0BC3">
      <w:pPr>
        <w:spacing w:after="0" w:line="240" w:lineRule="auto"/>
        <w:jc w:val="both"/>
        <w:rPr>
          <w:rFonts w:ascii="Times New Roman" w:hAnsi="Times New Roman" w:cs="Times New Roman"/>
          <w:b/>
          <w:i w:val="0"/>
          <w:sz w:val="24"/>
          <w:szCs w:val="24"/>
        </w:rPr>
      </w:pPr>
      <w:r w:rsidRPr="00A65F17">
        <w:rPr>
          <w:rFonts w:ascii="Times New Roman" w:hAnsi="Times New Roman" w:cs="Times New Roman"/>
          <w:b/>
          <w:i w:val="0"/>
          <w:sz w:val="24"/>
          <w:szCs w:val="24"/>
        </w:rPr>
        <w:t>REFERENCE</w:t>
      </w:r>
    </w:p>
    <w:p w14:paraId="129BD8A0" w14:textId="5270AA35"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Bodie, Z., Kane, A., Marcus, A.J. (2014). </w:t>
      </w:r>
      <w:r w:rsidRPr="00A65F17">
        <w:rPr>
          <w:rFonts w:ascii="Times New Roman" w:hAnsi="Times New Roman" w:cs="Times New Roman"/>
          <w:sz w:val="24"/>
          <w:szCs w:val="24"/>
        </w:rPr>
        <w:t>Investments</w:t>
      </w:r>
      <w:r w:rsidRPr="00A65F17">
        <w:rPr>
          <w:rFonts w:ascii="Times New Roman" w:hAnsi="Times New Roman" w:cs="Times New Roman"/>
          <w:i w:val="0"/>
          <w:iCs w:val="0"/>
          <w:sz w:val="24"/>
          <w:szCs w:val="24"/>
        </w:rPr>
        <w:t xml:space="preserve"> (10th ed.). New York: McGraw-Hill</w:t>
      </w:r>
      <w:r w:rsidR="001B0ED3">
        <w:rPr>
          <w:rFonts w:ascii="Times New Roman" w:hAnsi="Times New Roman" w:cs="Times New Roman"/>
          <w:i w:val="0"/>
          <w:iCs w:val="0"/>
          <w:sz w:val="24"/>
          <w:szCs w:val="24"/>
        </w:rPr>
        <w:t xml:space="preserve"> </w:t>
      </w:r>
      <w:r w:rsidRPr="00A65F17">
        <w:rPr>
          <w:rFonts w:ascii="Times New Roman" w:hAnsi="Times New Roman" w:cs="Times New Roman"/>
          <w:i w:val="0"/>
          <w:iCs w:val="0"/>
          <w:sz w:val="24"/>
          <w:szCs w:val="24"/>
        </w:rPr>
        <w:t>Education.</w:t>
      </w:r>
    </w:p>
    <w:p w14:paraId="72FAF18B" w14:textId="79082858" w:rsidR="00ED4618" w:rsidRPr="00A65F17" w:rsidRDefault="00ED4618" w:rsidP="00ED4618">
      <w:pPr>
        <w:spacing w:after="0" w:line="240" w:lineRule="auto"/>
        <w:ind w:left="720" w:hanging="720"/>
        <w:jc w:val="both"/>
        <w:rPr>
          <w:rFonts w:ascii="Times New Roman" w:eastAsia="Times New Roman" w:hAnsi="Times New Roman" w:cs="Times New Roman"/>
          <w:i w:val="0"/>
          <w:iCs w:val="0"/>
          <w:sz w:val="24"/>
          <w:szCs w:val="24"/>
        </w:rPr>
      </w:pPr>
      <w:r w:rsidRPr="00A65F17">
        <w:rPr>
          <w:rFonts w:ascii="Times New Roman" w:eastAsia="Times New Roman" w:hAnsi="Times New Roman" w:cs="Times New Roman"/>
          <w:i w:val="0"/>
          <w:iCs w:val="0"/>
          <w:sz w:val="24"/>
          <w:szCs w:val="24"/>
        </w:rPr>
        <w:t xml:space="preserve">Chan, </w:t>
      </w:r>
      <w:r>
        <w:rPr>
          <w:rFonts w:ascii="Times New Roman" w:eastAsia="Times New Roman" w:hAnsi="Times New Roman" w:cs="Times New Roman"/>
          <w:i w:val="0"/>
          <w:iCs w:val="0"/>
          <w:sz w:val="24"/>
          <w:szCs w:val="24"/>
        </w:rPr>
        <w:t>L</w:t>
      </w:r>
      <w:r w:rsidRPr="00A65F17">
        <w:rPr>
          <w:rFonts w:ascii="Times New Roman" w:eastAsia="Times New Roman" w:hAnsi="Times New Roman" w:cs="Times New Roman"/>
          <w:i w:val="0"/>
          <w:iCs w:val="0"/>
          <w:sz w:val="24"/>
          <w:szCs w:val="24"/>
        </w:rPr>
        <w:t xml:space="preserve"> K. C.</w:t>
      </w:r>
      <w:r>
        <w:rPr>
          <w:rFonts w:ascii="Times New Roman" w:eastAsia="Times New Roman" w:hAnsi="Times New Roman" w:cs="Times New Roman"/>
          <w:i w:val="0"/>
          <w:iCs w:val="0"/>
          <w:sz w:val="24"/>
          <w:szCs w:val="24"/>
        </w:rPr>
        <w:t>,</w:t>
      </w:r>
      <w:r w:rsidRPr="00A65F17">
        <w:rPr>
          <w:rFonts w:ascii="Times New Roman" w:eastAsia="Times New Roman" w:hAnsi="Times New Roman" w:cs="Times New Roman"/>
          <w:i w:val="0"/>
          <w:iCs w:val="0"/>
          <w:sz w:val="24"/>
          <w:szCs w:val="24"/>
        </w:rPr>
        <w:t xml:space="preserve"> </w:t>
      </w:r>
      <w:proofErr w:type="spellStart"/>
      <w:r w:rsidRPr="00A65F17">
        <w:rPr>
          <w:rFonts w:ascii="Times New Roman" w:eastAsia="Times New Roman" w:hAnsi="Times New Roman" w:cs="Times New Roman"/>
          <w:i w:val="0"/>
          <w:iCs w:val="0"/>
          <w:sz w:val="24"/>
          <w:szCs w:val="24"/>
        </w:rPr>
        <w:t>Karceski</w:t>
      </w:r>
      <w:proofErr w:type="spellEnd"/>
      <w:r w:rsidRPr="00A65F17">
        <w:rPr>
          <w:rFonts w:ascii="Times New Roman" w:eastAsia="Times New Roman" w:hAnsi="Times New Roman" w:cs="Times New Roman"/>
          <w:i w:val="0"/>
          <w:iCs w:val="0"/>
          <w:sz w:val="24"/>
          <w:szCs w:val="24"/>
        </w:rPr>
        <w:t xml:space="preserve">, J., &amp; </w:t>
      </w:r>
      <w:proofErr w:type="spellStart"/>
      <w:r w:rsidRPr="00A65F17">
        <w:rPr>
          <w:rFonts w:ascii="Times New Roman" w:eastAsia="Times New Roman" w:hAnsi="Times New Roman" w:cs="Times New Roman"/>
          <w:i w:val="0"/>
          <w:iCs w:val="0"/>
          <w:sz w:val="24"/>
          <w:szCs w:val="24"/>
        </w:rPr>
        <w:t>Lakonishok</w:t>
      </w:r>
      <w:proofErr w:type="spellEnd"/>
      <w:r w:rsidRPr="00A65F17">
        <w:rPr>
          <w:rFonts w:ascii="Times New Roman" w:eastAsia="Times New Roman" w:hAnsi="Times New Roman" w:cs="Times New Roman"/>
          <w:i w:val="0"/>
          <w:iCs w:val="0"/>
          <w:sz w:val="24"/>
          <w:szCs w:val="24"/>
        </w:rPr>
        <w:t>, J. (1998). The Risk and Return from Factors. The Journal of Financial and Quantitative Analysis, 33(2), 159</w:t>
      </w:r>
      <w:r>
        <w:rPr>
          <w:rFonts w:ascii="Times New Roman" w:eastAsia="Times New Roman" w:hAnsi="Times New Roman" w:cs="Times New Roman"/>
          <w:i w:val="0"/>
          <w:iCs w:val="0"/>
          <w:sz w:val="24"/>
          <w:szCs w:val="24"/>
        </w:rPr>
        <w:t>-</w:t>
      </w:r>
      <w:r w:rsidRPr="00A65F17">
        <w:rPr>
          <w:rFonts w:ascii="Times New Roman" w:eastAsia="Times New Roman" w:hAnsi="Times New Roman" w:cs="Times New Roman"/>
          <w:i w:val="0"/>
          <w:iCs w:val="0"/>
          <w:sz w:val="24"/>
          <w:szCs w:val="24"/>
        </w:rPr>
        <w:t>188. DOI: 10.2307/2331306.</w:t>
      </w:r>
    </w:p>
    <w:p w14:paraId="3AD703AE" w14:textId="20114AEC"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Hamid, A. K. A., &amp; </w:t>
      </w:r>
      <w:proofErr w:type="spellStart"/>
      <w:r w:rsidRPr="00A65F17">
        <w:rPr>
          <w:rFonts w:ascii="Times New Roman" w:hAnsi="Times New Roman" w:cs="Times New Roman"/>
          <w:i w:val="0"/>
          <w:iCs w:val="0"/>
          <w:sz w:val="24"/>
          <w:szCs w:val="24"/>
        </w:rPr>
        <w:t>Cahyadi</w:t>
      </w:r>
      <w:proofErr w:type="spellEnd"/>
      <w:r w:rsidRPr="00A65F17">
        <w:rPr>
          <w:rFonts w:ascii="Times New Roman" w:hAnsi="Times New Roman" w:cs="Times New Roman"/>
          <w:i w:val="0"/>
          <w:iCs w:val="0"/>
          <w:sz w:val="24"/>
          <w:szCs w:val="24"/>
        </w:rPr>
        <w:t xml:space="preserve">, I. F. (2019). </w:t>
      </w:r>
      <w:proofErr w:type="spellStart"/>
      <w:r w:rsidRPr="00A65F17">
        <w:rPr>
          <w:rFonts w:ascii="Times New Roman" w:hAnsi="Times New Roman" w:cs="Times New Roman"/>
          <w:i w:val="0"/>
          <w:iCs w:val="0"/>
          <w:sz w:val="24"/>
          <w:szCs w:val="24"/>
        </w:rPr>
        <w:t>Analisis</w:t>
      </w:r>
      <w:proofErr w:type="spellEnd"/>
      <w:r w:rsidRPr="00A65F17">
        <w:rPr>
          <w:rFonts w:ascii="Times New Roman" w:hAnsi="Times New Roman" w:cs="Times New Roman"/>
          <w:i w:val="0"/>
          <w:iCs w:val="0"/>
          <w:sz w:val="24"/>
          <w:szCs w:val="24"/>
        </w:rPr>
        <w:t xml:space="preserve"> Kinerja </w:t>
      </w:r>
      <w:proofErr w:type="spellStart"/>
      <w:r w:rsidRPr="00A65F17">
        <w:rPr>
          <w:rFonts w:ascii="Times New Roman" w:hAnsi="Times New Roman" w:cs="Times New Roman"/>
          <w:i w:val="0"/>
          <w:iCs w:val="0"/>
          <w:sz w:val="24"/>
          <w:szCs w:val="24"/>
        </w:rPr>
        <w:t>Reksadana</w:t>
      </w:r>
      <w:proofErr w:type="spellEnd"/>
      <w:r w:rsidRPr="00A65F17">
        <w:rPr>
          <w:rFonts w:ascii="Times New Roman" w:hAnsi="Times New Roman" w:cs="Times New Roman"/>
          <w:i w:val="0"/>
          <w:iCs w:val="0"/>
          <w:sz w:val="24"/>
          <w:szCs w:val="24"/>
        </w:rPr>
        <w:t xml:space="preserve"> Saham Syariah Di Pasar Modal Indonesia </w:t>
      </w:r>
      <w:proofErr w:type="spellStart"/>
      <w:r w:rsidRPr="00A65F17">
        <w:rPr>
          <w:rFonts w:ascii="Times New Roman" w:hAnsi="Times New Roman" w:cs="Times New Roman"/>
          <w:i w:val="0"/>
          <w:iCs w:val="0"/>
          <w:sz w:val="24"/>
          <w:szCs w:val="24"/>
        </w:rPr>
        <w:t>Menggunakan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Metode</w:t>
      </w:r>
      <w:proofErr w:type="spellEnd"/>
      <w:r w:rsidRPr="00A65F17">
        <w:rPr>
          <w:rFonts w:ascii="Times New Roman" w:hAnsi="Times New Roman" w:cs="Times New Roman"/>
          <w:i w:val="0"/>
          <w:iCs w:val="0"/>
          <w:sz w:val="24"/>
          <w:szCs w:val="24"/>
        </w:rPr>
        <w:t xml:space="preserve"> Sharpe, Treynor, Dan Jensen </w:t>
      </w:r>
      <w:proofErr w:type="spellStart"/>
      <w:r w:rsidRPr="00A65F17">
        <w:rPr>
          <w:rFonts w:ascii="Times New Roman" w:hAnsi="Times New Roman" w:cs="Times New Roman"/>
          <w:i w:val="0"/>
          <w:iCs w:val="0"/>
          <w:sz w:val="24"/>
          <w:szCs w:val="24"/>
        </w:rPr>
        <w:t>Periode</w:t>
      </w:r>
      <w:proofErr w:type="spellEnd"/>
      <w:r w:rsidRPr="00A65F17">
        <w:rPr>
          <w:rFonts w:ascii="Times New Roman" w:hAnsi="Times New Roman" w:cs="Times New Roman"/>
          <w:i w:val="0"/>
          <w:iCs w:val="0"/>
          <w:sz w:val="24"/>
          <w:szCs w:val="24"/>
        </w:rPr>
        <w:t xml:space="preserve"> 2017-2018. </w:t>
      </w:r>
      <w:r w:rsidRPr="00A65F17">
        <w:rPr>
          <w:rFonts w:ascii="Times New Roman" w:hAnsi="Times New Roman" w:cs="Times New Roman"/>
          <w:sz w:val="24"/>
          <w:szCs w:val="24"/>
        </w:rPr>
        <w:t>MALIA: Journal of Islamic Banking and Finance</w:t>
      </w:r>
      <w:r w:rsidRPr="00A65F17">
        <w:rPr>
          <w:rFonts w:ascii="Times New Roman" w:hAnsi="Times New Roman" w:cs="Times New Roman"/>
          <w:i w:val="0"/>
          <w:iCs w:val="0"/>
          <w:sz w:val="24"/>
          <w:szCs w:val="24"/>
        </w:rPr>
        <w:t>, 3(2), 95-124.</w:t>
      </w:r>
      <w:r w:rsidR="00CF04E1" w:rsidRPr="00A65F17">
        <w:rPr>
          <w:rFonts w:ascii="Times New Roman" w:hAnsi="Times New Roman" w:cs="Times New Roman"/>
          <w:i w:val="0"/>
          <w:iCs w:val="0"/>
          <w:sz w:val="24"/>
          <w:szCs w:val="24"/>
        </w:rPr>
        <w:t xml:space="preserve"> DOI: 10.21043/malia.v3i2.8408</w:t>
      </w:r>
    </w:p>
    <w:p w14:paraId="65B4FDE7" w14:textId="73106D15"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Hamzah, A., </w:t>
      </w:r>
      <w:r w:rsidR="007269EC" w:rsidRPr="00A65F17">
        <w:rPr>
          <w:rFonts w:ascii="Times New Roman" w:hAnsi="Times New Roman" w:cs="Times New Roman"/>
          <w:i w:val="0"/>
          <w:iCs w:val="0"/>
          <w:sz w:val="24"/>
          <w:szCs w:val="24"/>
        </w:rPr>
        <w:t xml:space="preserve">&amp; </w:t>
      </w:r>
      <w:proofErr w:type="spellStart"/>
      <w:r w:rsidRPr="00A65F17">
        <w:rPr>
          <w:rFonts w:ascii="Times New Roman" w:hAnsi="Times New Roman" w:cs="Times New Roman"/>
          <w:i w:val="0"/>
          <w:iCs w:val="0"/>
          <w:sz w:val="24"/>
          <w:szCs w:val="24"/>
        </w:rPr>
        <w:t>Yohanes</w:t>
      </w:r>
      <w:proofErr w:type="spellEnd"/>
      <w:r w:rsidRPr="00A65F17">
        <w:rPr>
          <w:rFonts w:ascii="Times New Roman" w:hAnsi="Times New Roman" w:cs="Times New Roman"/>
          <w:i w:val="0"/>
          <w:iCs w:val="0"/>
          <w:sz w:val="24"/>
          <w:szCs w:val="24"/>
        </w:rPr>
        <w:t xml:space="preserve">, A. (2014). </w:t>
      </w:r>
      <w:proofErr w:type="spellStart"/>
      <w:r w:rsidRPr="00A65F17">
        <w:rPr>
          <w:rFonts w:ascii="Times New Roman" w:hAnsi="Times New Roman" w:cs="Times New Roman"/>
          <w:i w:val="0"/>
          <w:iCs w:val="0"/>
          <w:sz w:val="24"/>
          <w:szCs w:val="24"/>
        </w:rPr>
        <w:t>Analisis</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Perbandingan</w:t>
      </w:r>
      <w:proofErr w:type="spellEnd"/>
      <w:r w:rsidRPr="00A65F17">
        <w:rPr>
          <w:rFonts w:ascii="Times New Roman" w:hAnsi="Times New Roman" w:cs="Times New Roman"/>
          <w:i w:val="0"/>
          <w:iCs w:val="0"/>
          <w:sz w:val="24"/>
          <w:szCs w:val="24"/>
        </w:rPr>
        <w:t xml:space="preserve"> Kinerja </w:t>
      </w:r>
      <w:proofErr w:type="spellStart"/>
      <w:r w:rsidRPr="00A65F17">
        <w:rPr>
          <w:rFonts w:ascii="Times New Roman" w:hAnsi="Times New Roman" w:cs="Times New Roman"/>
          <w:i w:val="0"/>
          <w:iCs w:val="0"/>
          <w:sz w:val="24"/>
          <w:szCs w:val="24"/>
        </w:rPr>
        <w:t>Reksa</w:t>
      </w:r>
      <w:proofErr w:type="spellEnd"/>
      <w:r w:rsidRPr="00A65F17">
        <w:rPr>
          <w:rFonts w:ascii="Times New Roman" w:hAnsi="Times New Roman" w:cs="Times New Roman"/>
          <w:i w:val="0"/>
          <w:iCs w:val="0"/>
          <w:sz w:val="24"/>
          <w:szCs w:val="24"/>
        </w:rPr>
        <w:t xml:space="preserve"> Dana Syariah </w:t>
      </w:r>
      <w:proofErr w:type="spellStart"/>
      <w:r w:rsidRPr="00A65F17">
        <w:rPr>
          <w:rFonts w:ascii="Times New Roman" w:hAnsi="Times New Roman" w:cs="Times New Roman"/>
          <w:i w:val="0"/>
          <w:iCs w:val="0"/>
          <w:sz w:val="24"/>
          <w:szCs w:val="24"/>
        </w:rPr>
        <w:t>Dengan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Reksa</w:t>
      </w:r>
      <w:proofErr w:type="spellEnd"/>
      <w:r w:rsidRPr="00A65F17">
        <w:rPr>
          <w:rFonts w:ascii="Times New Roman" w:hAnsi="Times New Roman" w:cs="Times New Roman"/>
          <w:i w:val="0"/>
          <w:iCs w:val="0"/>
          <w:sz w:val="24"/>
          <w:szCs w:val="24"/>
        </w:rPr>
        <w:t xml:space="preserve"> Dana </w:t>
      </w:r>
      <w:proofErr w:type="spellStart"/>
      <w:r w:rsidRPr="00A65F17">
        <w:rPr>
          <w:rFonts w:ascii="Times New Roman" w:hAnsi="Times New Roman" w:cs="Times New Roman"/>
          <w:i w:val="0"/>
          <w:iCs w:val="0"/>
          <w:sz w:val="24"/>
          <w:szCs w:val="24"/>
        </w:rPr>
        <w:t>Konvensional</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Jenis</w:t>
      </w:r>
      <w:proofErr w:type="spellEnd"/>
      <w:r w:rsidRPr="00A65F17">
        <w:rPr>
          <w:rFonts w:ascii="Times New Roman" w:hAnsi="Times New Roman" w:cs="Times New Roman"/>
          <w:i w:val="0"/>
          <w:iCs w:val="0"/>
          <w:sz w:val="24"/>
          <w:szCs w:val="24"/>
        </w:rPr>
        <w:t xml:space="preserve"> Saham Pada </w:t>
      </w:r>
      <w:proofErr w:type="spellStart"/>
      <w:r w:rsidRPr="00A65F17">
        <w:rPr>
          <w:rFonts w:ascii="Times New Roman" w:hAnsi="Times New Roman" w:cs="Times New Roman"/>
          <w:i w:val="0"/>
          <w:iCs w:val="0"/>
          <w:sz w:val="24"/>
          <w:szCs w:val="24"/>
        </w:rPr>
        <w:t>Periode</w:t>
      </w:r>
      <w:proofErr w:type="spellEnd"/>
      <w:r w:rsidRPr="00A65F17">
        <w:rPr>
          <w:rFonts w:ascii="Times New Roman" w:hAnsi="Times New Roman" w:cs="Times New Roman"/>
          <w:i w:val="0"/>
          <w:iCs w:val="0"/>
          <w:sz w:val="24"/>
          <w:szCs w:val="24"/>
        </w:rPr>
        <w:t xml:space="preserve"> 2008 </w:t>
      </w:r>
      <w:r w:rsidR="00ED4618">
        <w:rPr>
          <w:rFonts w:ascii="Times New Roman" w:hAnsi="Times New Roman" w:cs="Times New Roman"/>
          <w:i w:val="0"/>
          <w:iCs w:val="0"/>
          <w:sz w:val="24"/>
          <w:szCs w:val="24"/>
        </w:rPr>
        <w:t>-</w:t>
      </w:r>
      <w:r w:rsidRPr="00A65F17">
        <w:rPr>
          <w:rFonts w:ascii="Times New Roman" w:hAnsi="Times New Roman" w:cs="Times New Roman"/>
          <w:i w:val="0"/>
          <w:iCs w:val="0"/>
          <w:sz w:val="24"/>
          <w:szCs w:val="24"/>
        </w:rPr>
        <w:t xml:space="preserve"> 2012. </w:t>
      </w:r>
      <w:proofErr w:type="spellStart"/>
      <w:r w:rsidRPr="00A65F17">
        <w:rPr>
          <w:rFonts w:ascii="Times New Roman" w:hAnsi="Times New Roman" w:cs="Times New Roman"/>
          <w:sz w:val="24"/>
          <w:szCs w:val="24"/>
        </w:rPr>
        <w:t>Jurnal</w:t>
      </w:r>
      <w:proofErr w:type="spellEnd"/>
      <w:r w:rsidRPr="00A65F17">
        <w:rPr>
          <w:rFonts w:ascii="Times New Roman" w:hAnsi="Times New Roman" w:cs="Times New Roman"/>
          <w:sz w:val="24"/>
          <w:szCs w:val="24"/>
        </w:rPr>
        <w:t xml:space="preserve"> MIX</w:t>
      </w:r>
      <w:r w:rsidRPr="00A65F17">
        <w:rPr>
          <w:rFonts w:ascii="Times New Roman" w:hAnsi="Times New Roman" w:cs="Times New Roman"/>
          <w:i w:val="0"/>
          <w:iCs w:val="0"/>
          <w:sz w:val="24"/>
          <w:szCs w:val="24"/>
        </w:rPr>
        <w:t xml:space="preserve">, </w:t>
      </w:r>
      <w:r w:rsidR="007269EC" w:rsidRPr="00A65F17">
        <w:rPr>
          <w:rFonts w:ascii="Times New Roman" w:hAnsi="Times New Roman" w:cs="Times New Roman"/>
          <w:i w:val="0"/>
          <w:iCs w:val="0"/>
          <w:sz w:val="24"/>
          <w:szCs w:val="24"/>
        </w:rPr>
        <w:t>4(3)</w:t>
      </w:r>
      <w:r w:rsidRPr="00A65F17">
        <w:rPr>
          <w:rFonts w:ascii="Times New Roman" w:hAnsi="Times New Roman" w:cs="Times New Roman"/>
          <w:i w:val="0"/>
          <w:iCs w:val="0"/>
          <w:sz w:val="24"/>
          <w:szCs w:val="24"/>
        </w:rPr>
        <w:t>, 396</w:t>
      </w:r>
      <w:r w:rsidR="00ED4618">
        <w:rPr>
          <w:rFonts w:ascii="Times New Roman" w:hAnsi="Times New Roman" w:cs="Times New Roman"/>
          <w:i w:val="0"/>
          <w:iCs w:val="0"/>
          <w:sz w:val="24"/>
          <w:szCs w:val="24"/>
        </w:rPr>
        <w:t>-</w:t>
      </w:r>
      <w:r w:rsidRPr="00A65F17">
        <w:rPr>
          <w:rFonts w:ascii="Times New Roman" w:hAnsi="Times New Roman" w:cs="Times New Roman"/>
          <w:i w:val="0"/>
          <w:iCs w:val="0"/>
          <w:sz w:val="24"/>
          <w:szCs w:val="24"/>
        </w:rPr>
        <w:t>409.</w:t>
      </w:r>
    </w:p>
    <w:p w14:paraId="6B7D82FF" w14:textId="77777777"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Haugen, R. A. (1997). </w:t>
      </w:r>
      <w:r w:rsidRPr="00A65F17">
        <w:rPr>
          <w:rFonts w:ascii="Times New Roman" w:hAnsi="Times New Roman" w:cs="Times New Roman"/>
          <w:sz w:val="24"/>
          <w:szCs w:val="24"/>
        </w:rPr>
        <w:t>Modern Investment Theory</w:t>
      </w:r>
      <w:r w:rsidRPr="00A65F17">
        <w:rPr>
          <w:rFonts w:ascii="Times New Roman" w:hAnsi="Times New Roman" w:cs="Times New Roman"/>
          <w:i w:val="0"/>
          <w:iCs w:val="0"/>
          <w:sz w:val="24"/>
          <w:szCs w:val="24"/>
        </w:rPr>
        <w:t xml:space="preserve"> (4th ed.). NJ: Prentice-Hall.</w:t>
      </w:r>
    </w:p>
    <w:p w14:paraId="751889CA" w14:textId="5878E479" w:rsidR="00CF04E1" w:rsidRPr="00A65F17" w:rsidRDefault="00CF04E1" w:rsidP="008D372C">
      <w:pPr>
        <w:spacing w:after="0" w:line="240" w:lineRule="auto"/>
        <w:ind w:left="720" w:hanging="720"/>
        <w:jc w:val="both"/>
        <w:rPr>
          <w:rFonts w:ascii="Times New Roman" w:eastAsia="Times New Roman" w:hAnsi="Times New Roman" w:cs="Times New Roman"/>
          <w:i w:val="0"/>
          <w:iCs w:val="0"/>
          <w:sz w:val="24"/>
          <w:szCs w:val="24"/>
        </w:rPr>
      </w:pPr>
      <w:r w:rsidRPr="00A65F17">
        <w:rPr>
          <w:rFonts w:ascii="Times New Roman" w:eastAsia="Times New Roman" w:hAnsi="Times New Roman" w:cs="Times New Roman"/>
          <w:i w:val="0"/>
          <w:iCs w:val="0"/>
          <w:sz w:val="24"/>
          <w:szCs w:val="24"/>
        </w:rPr>
        <w:t xml:space="preserve">Jensen, Michael C., The Performance of Mutual Funds in the Period 1945-1964 (May 1, 1967). </w:t>
      </w:r>
      <w:r w:rsidRPr="00A65F17">
        <w:rPr>
          <w:rFonts w:ascii="Times New Roman" w:eastAsia="Times New Roman" w:hAnsi="Times New Roman" w:cs="Times New Roman"/>
          <w:sz w:val="24"/>
          <w:szCs w:val="24"/>
        </w:rPr>
        <w:t>Journal of Finance</w:t>
      </w:r>
      <w:r w:rsidRPr="00A65F17">
        <w:rPr>
          <w:rFonts w:ascii="Times New Roman" w:eastAsia="Times New Roman" w:hAnsi="Times New Roman" w:cs="Times New Roman"/>
          <w:i w:val="0"/>
          <w:iCs w:val="0"/>
          <w:sz w:val="24"/>
          <w:szCs w:val="24"/>
        </w:rPr>
        <w:t>, 23(2), 389-416, DOI: 10.2139/ssrn.244153</w:t>
      </w:r>
    </w:p>
    <w:p w14:paraId="2225C74E" w14:textId="530A1519"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lastRenderedPageBreak/>
        <w:t xml:space="preserve">Kim, H., Mattila, A. S., </w:t>
      </w:r>
      <w:r w:rsidR="007269EC" w:rsidRPr="00A65F17">
        <w:rPr>
          <w:rFonts w:ascii="Times New Roman" w:hAnsi="Times New Roman" w:cs="Times New Roman"/>
          <w:i w:val="0"/>
          <w:iCs w:val="0"/>
          <w:sz w:val="24"/>
          <w:szCs w:val="24"/>
        </w:rPr>
        <w:t xml:space="preserve">&amp; </w:t>
      </w:r>
      <w:r w:rsidRPr="00A65F17">
        <w:rPr>
          <w:rFonts w:ascii="Times New Roman" w:hAnsi="Times New Roman" w:cs="Times New Roman"/>
          <w:i w:val="0"/>
          <w:iCs w:val="0"/>
          <w:sz w:val="24"/>
          <w:szCs w:val="24"/>
        </w:rPr>
        <w:t xml:space="preserve">Gu, Z. (2002). Performance of </w:t>
      </w:r>
      <w:r w:rsidR="00501EBF" w:rsidRPr="00A65F17">
        <w:rPr>
          <w:rFonts w:ascii="Times New Roman" w:hAnsi="Times New Roman" w:cs="Times New Roman"/>
          <w:i w:val="0"/>
          <w:iCs w:val="0"/>
          <w:sz w:val="24"/>
          <w:szCs w:val="24"/>
        </w:rPr>
        <w:t>Hotel Real Estate Investment Trusts: A Comparative Analysis of Jensen Indexes</w:t>
      </w:r>
      <w:r w:rsidRPr="00A65F17">
        <w:rPr>
          <w:rFonts w:ascii="Times New Roman" w:hAnsi="Times New Roman" w:cs="Times New Roman"/>
          <w:i w:val="0"/>
          <w:iCs w:val="0"/>
          <w:sz w:val="24"/>
          <w:szCs w:val="24"/>
        </w:rPr>
        <w:t xml:space="preserve">. </w:t>
      </w:r>
      <w:r w:rsidRPr="00A65F17">
        <w:rPr>
          <w:rFonts w:ascii="Times New Roman" w:hAnsi="Times New Roman" w:cs="Times New Roman"/>
          <w:sz w:val="24"/>
          <w:szCs w:val="24"/>
        </w:rPr>
        <w:t>Hospitality Management</w:t>
      </w:r>
      <w:r w:rsidRPr="00A65F17">
        <w:rPr>
          <w:rFonts w:ascii="Times New Roman" w:hAnsi="Times New Roman" w:cs="Times New Roman"/>
          <w:i w:val="0"/>
          <w:iCs w:val="0"/>
          <w:sz w:val="24"/>
          <w:szCs w:val="24"/>
        </w:rPr>
        <w:t xml:space="preserve">, </w:t>
      </w:r>
      <w:r w:rsidR="00CF04E1" w:rsidRPr="00A65F17">
        <w:rPr>
          <w:rFonts w:ascii="Times New Roman" w:hAnsi="Times New Roman" w:cs="Times New Roman"/>
          <w:i w:val="0"/>
          <w:iCs w:val="0"/>
          <w:sz w:val="24"/>
          <w:szCs w:val="24"/>
        </w:rPr>
        <w:t xml:space="preserve">21(1), </w:t>
      </w:r>
      <w:r w:rsidRPr="00A65F17">
        <w:rPr>
          <w:rFonts w:ascii="Times New Roman" w:hAnsi="Times New Roman" w:cs="Times New Roman"/>
          <w:i w:val="0"/>
          <w:iCs w:val="0"/>
          <w:sz w:val="24"/>
          <w:szCs w:val="24"/>
        </w:rPr>
        <w:t>85</w:t>
      </w:r>
      <w:r w:rsidR="00ED4618">
        <w:rPr>
          <w:rFonts w:ascii="Times New Roman" w:hAnsi="Times New Roman" w:cs="Times New Roman"/>
          <w:i w:val="0"/>
          <w:iCs w:val="0"/>
          <w:sz w:val="24"/>
          <w:szCs w:val="24"/>
        </w:rPr>
        <w:t>-</w:t>
      </w:r>
      <w:r w:rsidRPr="00A65F17">
        <w:rPr>
          <w:rFonts w:ascii="Times New Roman" w:hAnsi="Times New Roman" w:cs="Times New Roman"/>
          <w:i w:val="0"/>
          <w:iCs w:val="0"/>
          <w:sz w:val="24"/>
          <w:szCs w:val="24"/>
        </w:rPr>
        <w:t>97.</w:t>
      </w:r>
      <w:r w:rsidR="00CF04E1" w:rsidRPr="00A65F17">
        <w:rPr>
          <w:rFonts w:ascii="Times New Roman" w:hAnsi="Times New Roman" w:cs="Times New Roman"/>
          <w:i w:val="0"/>
          <w:iCs w:val="0"/>
          <w:sz w:val="24"/>
          <w:szCs w:val="24"/>
        </w:rPr>
        <w:t xml:space="preserve"> DOI: 10.1016/S0278-4319(01)00026-3</w:t>
      </w:r>
    </w:p>
    <w:p w14:paraId="1E5BBBED" w14:textId="5B600090"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Livingston, M., Yao, P., </w:t>
      </w:r>
      <w:r w:rsidR="007269EC" w:rsidRPr="00A65F17">
        <w:rPr>
          <w:rFonts w:ascii="Times New Roman" w:hAnsi="Times New Roman" w:cs="Times New Roman"/>
          <w:i w:val="0"/>
          <w:iCs w:val="0"/>
          <w:sz w:val="24"/>
          <w:szCs w:val="24"/>
        </w:rPr>
        <w:t xml:space="preserve">&amp; </w:t>
      </w:r>
      <w:r w:rsidRPr="00A65F17">
        <w:rPr>
          <w:rFonts w:ascii="Times New Roman" w:hAnsi="Times New Roman" w:cs="Times New Roman"/>
          <w:i w:val="0"/>
          <w:iCs w:val="0"/>
          <w:sz w:val="24"/>
          <w:szCs w:val="24"/>
        </w:rPr>
        <w:t xml:space="preserve">Zhou, L. (2019). The </w:t>
      </w:r>
      <w:r w:rsidR="00501EBF" w:rsidRPr="00A65F17">
        <w:rPr>
          <w:rFonts w:ascii="Times New Roman" w:hAnsi="Times New Roman" w:cs="Times New Roman"/>
          <w:i w:val="0"/>
          <w:iCs w:val="0"/>
          <w:sz w:val="24"/>
          <w:szCs w:val="24"/>
        </w:rPr>
        <w:t>Volatility of Mutual Fund Performance</w:t>
      </w:r>
      <w:r w:rsidRPr="00A65F17">
        <w:rPr>
          <w:rFonts w:ascii="Times New Roman" w:hAnsi="Times New Roman" w:cs="Times New Roman"/>
          <w:i w:val="0"/>
          <w:iCs w:val="0"/>
          <w:sz w:val="24"/>
          <w:szCs w:val="24"/>
        </w:rPr>
        <w:t xml:space="preserve">. </w:t>
      </w:r>
      <w:r w:rsidRPr="00A65F17">
        <w:rPr>
          <w:rFonts w:ascii="Times New Roman" w:hAnsi="Times New Roman" w:cs="Times New Roman"/>
          <w:sz w:val="24"/>
          <w:szCs w:val="24"/>
        </w:rPr>
        <w:t>Journal of Economics and Business</w:t>
      </w:r>
      <w:r w:rsidR="007269EC" w:rsidRPr="00A65F17">
        <w:rPr>
          <w:rFonts w:ascii="Times New Roman" w:hAnsi="Times New Roman" w:cs="Times New Roman"/>
          <w:i w:val="0"/>
          <w:iCs w:val="0"/>
          <w:sz w:val="24"/>
          <w:szCs w:val="24"/>
        </w:rPr>
        <w:t>,</w:t>
      </w:r>
      <w:r w:rsidRPr="00A65F17">
        <w:rPr>
          <w:rFonts w:ascii="Times New Roman" w:hAnsi="Times New Roman" w:cs="Times New Roman"/>
          <w:i w:val="0"/>
          <w:iCs w:val="0"/>
          <w:sz w:val="24"/>
          <w:szCs w:val="24"/>
        </w:rPr>
        <w:t xml:space="preserve"> 104</w:t>
      </w:r>
      <w:r w:rsidR="00CF04E1" w:rsidRPr="00A65F17">
        <w:rPr>
          <w:rFonts w:ascii="Times New Roman" w:hAnsi="Times New Roman" w:cs="Times New Roman"/>
          <w:i w:val="0"/>
          <w:iCs w:val="0"/>
          <w:sz w:val="24"/>
          <w:szCs w:val="24"/>
        </w:rPr>
        <w:t>(C)</w:t>
      </w:r>
      <w:r w:rsidRPr="00A65F17">
        <w:rPr>
          <w:rFonts w:ascii="Times New Roman" w:hAnsi="Times New Roman" w:cs="Times New Roman"/>
          <w:i w:val="0"/>
          <w:iCs w:val="0"/>
          <w:sz w:val="24"/>
          <w:szCs w:val="24"/>
        </w:rPr>
        <w:t>, 1-19.</w:t>
      </w:r>
      <w:r w:rsidR="00CF04E1" w:rsidRPr="00A65F17">
        <w:rPr>
          <w:rFonts w:ascii="Times New Roman" w:hAnsi="Times New Roman" w:cs="Times New Roman"/>
          <w:i w:val="0"/>
          <w:iCs w:val="0"/>
          <w:sz w:val="24"/>
          <w:szCs w:val="24"/>
        </w:rPr>
        <w:t xml:space="preserve"> DOI: 10.1016/j.jeconbus.2019.02.001</w:t>
      </w:r>
    </w:p>
    <w:p w14:paraId="40453C9A" w14:textId="1CAB13F5" w:rsidR="008D372C" w:rsidRPr="00A65F17" w:rsidRDefault="00DF64A7" w:rsidP="008D372C">
      <w:pPr>
        <w:spacing w:after="0" w:line="240" w:lineRule="auto"/>
        <w:ind w:left="720" w:hanging="720"/>
        <w:rPr>
          <w:rFonts w:ascii="Times New Roman" w:eastAsia="Times New Roman" w:hAnsi="Times New Roman" w:cs="Times New Roman"/>
          <w:i w:val="0"/>
          <w:iCs w:val="0"/>
          <w:sz w:val="24"/>
          <w:szCs w:val="24"/>
        </w:rPr>
      </w:pPr>
      <w:r w:rsidRPr="00A65F17">
        <w:rPr>
          <w:rFonts w:ascii="Times New Roman" w:eastAsia="Times New Roman" w:hAnsi="Times New Roman" w:cs="Times New Roman"/>
          <w:i w:val="0"/>
          <w:iCs w:val="0"/>
          <w:sz w:val="24"/>
          <w:szCs w:val="24"/>
        </w:rPr>
        <w:t xml:space="preserve">Modigliani, F., &amp; Pogue, G. A. (1974). An Introduction to Risk and Return: Concepts and Evidence. </w:t>
      </w:r>
      <w:r w:rsidRPr="00A65F17">
        <w:rPr>
          <w:rFonts w:ascii="Times New Roman" w:eastAsia="Times New Roman" w:hAnsi="Times New Roman" w:cs="Times New Roman"/>
          <w:sz w:val="24"/>
          <w:szCs w:val="24"/>
        </w:rPr>
        <w:t>Financial Analysts Journal</w:t>
      </w:r>
      <w:r w:rsidRPr="00A65F17">
        <w:rPr>
          <w:rFonts w:ascii="Times New Roman" w:eastAsia="Times New Roman" w:hAnsi="Times New Roman" w:cs="Times New Roman"/>
          <w:i w:val="0"/>
          <w:iCs w:val="0"/>
          <w:sz w:val="24"/>
          <w:szCs w:val="24"/>
        </w:rPr>
        <w:t>, 30(2), 68</w:t>
      </w:r>
      <w:r w:rsidR="00ED4618">
        <w:rPr>
          <w:rFonts w:ascii="Times New Roman" w:eastAsia="Times New Roman" w:hAnsi="Times New Roman" w:cs="Times New Roman"/>
          <w:i w:val="0"/>
          <w:iCs w:val="0"/>
          <w:sz w:val="24"/>
          <w:szCs w:val="24"/>
        </w:rPr>
        <w:t>-</w:t>
      </w:r>
      <w:r w:rsidRPr="00A65F17">
        <w:rPr>
          <w:rFonts w:ascii="Times New Roman" w:eastAsia="Times New Roman" w:hAnsi="Times New Roman" w:cs="Times New Roman"/>
          <w:i w:val="0"/>
          <w:iCs w:val="0"/>
          <w:sz w:val="24"/>
          <w:szCs w:val="24"/>
        </w:rPr>
        <w:t>80.</w:t>
      </w:r>
    </w:p>
    <w:p w14:paraId="3B32C10E" w14:textId="5C57A92B"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proofErr w:type="spellStart"/>
      <w:r w:rsidRPr="00A65F17">
        <w:rPr>
          <w:rFonts w:ascii="Times New Roman" w:hAnsi="Times New Roman" w:cs="Times New Roman"/>
          <w:i w:val="0"/>
          <w:iCs w:val="0"/>
          <w:sz w:val="24"/>
          <w:szCs w:val="24"/>
        </w:rPr>
        <w:t>Paranita</w:t>
      </w:r>
      <w:proofErr w:type="spellEnd"/>
      <w:r w:rsidRPr="00A65F17">
        <w:rPr>
          <w:rFonts w:ascii="Times New Roman" w:hAnsi="Times New Roman" w:cs="Times New Roman"/>
          <w:i w:val="0"/>
          <w:iCs w:val="0"/>
          <w:sz w:val="24"/>
          <w:szCs w:val="24"/>
        </w:rPr>
        <w:t xml:space="preserve">, C., AR, M.H., </w:t>
      </w:r>
      <w:r w:rsidR="007269EC" w:rsidRPr="00A65F17">
        <w:rPr>
          <w:rFonts w:ascii="Times New Roman" w:hAnsi="Times New Roman" w:cs="Times New Roman"/>
          <w:i w:val="0"/>
          <w:iCs w:val="0"/>
          <w:sz w:val="24"/>
          <w:szCs w:val="24"/>
        </w:rPr>
        <w:t xml:space="preserve">&amp; </w:t>
      </w:r>
      <w:proofErr w:type="spellStart"/>
      <w:r w:rsidRPr="00A65F17">
        <w:rPr>
          <w:rFonts w:ascii="Times New Roman" w:hAnsi="Times New Roman" w:cs="Times New Roman"/>
          <w:i w:val="0"/>
          <w:iCs w:val="0"/>
          <w:sz w:val="24"/>
          <w:szCs w:val="24"/>
        </w:rPr>
        <w:t>Hidayat</w:t>
      </w:r>
      <w:proofErr w:type="spellEnd"/>
      <w:r w:rsidRPr="00A65F17">
        <w:rPr>
          <w:rFonts w:ascii="Times New Roman" w:hAnsi="Times New Roman" w:cs="Times New Roman"/>
          <w:i w:val="0"/>
          <w:iCs w:val="0"/>
          <w:sz w:val="24"/>
          <w:szCs w:val="24"/>
        </w:rPr>
        <w:t xml:space="preserve">, R.R. (2015). </w:t>
      </w:r>
      <w:proofErr w:type="spellStart"/>
      <w:r w:rsidRPr="00A65F17">
        <w:rPr>
          <w:rFonts w:ascii="Times New Roman" w:hAnsi="Times New Roman" w:cs="Times New Roman"/>
          <w:i w:val="0"/>
          <w:iCs w:val="0"/>
          <w:sz w:val="24"/>
          <w:szCs w:val="24"/>
        </w:rPr>
        <w:t>Analisis</w:t>
      </w:r>
      <w:proofErr w:type="spellEnd"/>
      <w:r w:rsidRPr="00A65F17">
        <w:rPr>
          <w:rFonts w:ascii="Times New Roman" w:hAnsi="Times New Roman" w:cs="Times New Roman"/>
          <w:i w:val="0"/>
          <w:iCs w:val="0"/>
          <w:sz w:val="24"/>
          <w:szCs w:val="24"/>
        </w:rPr>
        <w:t xml:space="preserve"> Kinerja </w:t>
      </w:r>
      <w:proofErr w:type="spellStart"/>
      <w:r w:rsidRPr="00A65F17">
        <w:rPr>
          <w:rFonts w:ascii="Times New Roman" w:hAnsi="Times New Roman" w:cs="Times New Roman"/>
          <w:i w:val="0"/>
          <w:iCs w:val="0"/>
          <w:sz w:val="24"/>
          <w:szCs w:val="24"/>
        </w:rPr>
        <w:t>Investasi</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Dalam</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Reksadana</w:t>
      </w:r>
      <w:proofErr w:type="spellEnd"/>
      <w:r w:rsidRPr="00A65F17">
        <w:rPr>
          <w:rFonts w:ascii="Times New Roman" w:hAnsi="Times New Roman" w:cs="Times New Roman"/>
          <w:i w:val="0"/>
          <w:iCs w:val="0"/>
          <w:sz w:val="24"/>
          <w:szCs w:val="24"/>
        </w:rPr>
        <w:t xml:space="preserve"> Saham (Equity Funds) </w:t>
      </w:r>
      <w:proofErr w:type="spellStart"/>
      <w:r w:rsidRPr="00A65F17">
        <w:rPr>
          <w:rFonts w:ascii="Times New Roman" w:hAnsi="Times New Roman" w:cs="Times New Roman"/>
          <w:i w:val="0"/>
          <w:iCs w:val="0"/>
          <w:sz w:val="24"/>
          <w:szCs w:val="24"/>
        </w:rPr>
        <w:t>Dengan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Metode</w:t>
      </w:r>
      <w:proofErr w:type="spellEnd"/>
      <w:r w:rsidRPr="00A65F17">
        <w:rPr>
          <w:rFonts w:ascii="Times New Roman" w:hAnsi="Times New Roman" w:cs="Times New Roman"/>
          <w:i w:val="0"/>
          <w:iCs w:val="0"/>
          <w:sz w:val="24"/>
          <w:szCs w:val="24"/>
        </w:rPr>
        <w:t xml:space="preserve"> Sharpe Dan Treynor. </w:t>
      </w:r>
      <w:proofErr w:type="spellStart"/>
      <w:r w:rsidRPr="00A65F17">
        <w:rPr>
          <w:rFonts w:ascii="Times New Roman" w:hAnsi="Times New Roman" w:cs="Times New Roman"/>
          <w:sz w:val="24"/>
          <w:szCs w:val="24"/>
        </w:rPr>
        <w:t>Jurnal</w:t>
      </w:r>
      <w:proofErr w:type="spellEnd"/>
      <w:r w:rsidRPr="00A65F17">
        <w:rPr>
          <w:rFonts w:ascii="Times New Roman" w:hAnsi="Times New Roman" w:cs="Times New Roman"/>
          <w:sz w:val="24"/>
          <w:szCs w:val="24"/>
        </w:rPr>
        <w:t xml:space="preserve"> </w:t>
      </w:r>
      <w:proofErr w:type="spellStart"/>
      <w:r w:rsidRPr="00A65F17">
        <w:rPr>
          <w:rFonts w:ascii="Times New Roman" w:hAnsi="Times New Roman" w:cs="Times New Roman"/>
          <w:sz w:val="24"/>
          <w:szCs w:val="24"/>
        </w:rPr>
        <w:t>Administrasi</w:t>
      </w:r>
      <w:proofErr w:type="spellEnd"/>
      <w:r w:rsidRPr="00A65F17">
        <w:rPr>
          <w:rFonts w:ascii="Times New Roman" w:hAnsi="Times New Roman" w:cs="Times New Roman"/>
          <w:sz w:val="24"/>
          <w:szCs w:val="24"/>
        </w:rPr>
        <w:t xml:space="preserve"> </w:t>
      </w:r>
      <w:proofErr w:type="spellStart"/>
      <w:r w:rsidRPr="00A65F17">
        <w:rPr>
          <w:rFonts w:ascii="Times New Roman" w:hAnsi="Times New Roman" w:cs="Times New Roman"/>
          <w:sz w:val="24"/>
          <w:szCs w:val="24"/>
        </w:rPr>
        <w:t>Bisnis</w:t>
      </w:r>
      <w:proofErr w:type="spellEnd"/>
      <w:r w:rsidRPr="00A65F17">
        <w:rPr>
          <w:rFonts w:ascii="Times New Roman" w:hAnsi="Times New Roman" w:cs="Times New Roman"/>
          <w:sz w:val="24"/>
          <w:szCs w:val="24"/>
        </w:rPr>
        <w:t xml:space="preserve"> (JAB)</w:t>
      </w:r>
      <w:r w:rsidR="007269EC" w:rsidRPr="00A65F17">
        <w:rPr>
          <w:rFonts w:ascii="Times New Roman" w:hAnsi="Times New Roman" w:cs="Times New Roman"/>
          <w:i w:val="0"/>
          <w:iCs w:val="0"/>
          <w:sz w:val="24"/>
          <w:szCs w:val="24"/>
        </w:rPr>
        <w:t>, 27(1)</w:t>
      </w:r>
      <w:r w:rsidRPr="00A65F17">
        <w:rPr>
          <w:rFonts w:ascii="Times New Roman" w:hAnsi="Times New Roman" w:cs="Times New Roman"/>
          <w:i w:val="0"/>
          <w:iCs w:val="0"/>
          <w:sz w:val="24"/>
          <w:szCs w:val="24"/>
        </w:rPr>
        <w:t>, 1-7.</w:t>
      </w:r>
    </w:p>
    <w:p w14:paraId="2524F926" w14:textId="1F82131C"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Putri, D. T. H.,</w:t>
      </w:r>
      <w:r w:rsidR="007269EC" w:rsidRPr="00A65F17">
        <w:rPr>
          <w:rFonts w:ascii="Times New Roman" w:hAnsi="Times New Roman" w:cs="Times New Roman"/>
          <w:i w:val="0"/>
          <w:iCs w:val="0"/>
          <w:sz w:val="24"/>
          <w:szCs w:val="24"/>
        </w:rPr>
        <w:t xml:space="preserve">&amp; </w:t>
      </w:r>
      <w:proofErr w:type="spellStart"/>
      <w:r w:rsidRPr="00A65F17">
        <w:rPr>
          <w:rFonts w:ascii="Times New Roman" w:hAnsi="Times New Roman" w:cs="Times New Roman"/>
          <w:i w:val="0"/>
          <w:iCs w:val="0"/>
          <w:sz w:val="24"/>
          <w:szCs w:val="24"/>
        </w:rPr>
        <w:t>Worokinasih</w:t>
      </w:r>
      <w:proofErr w:type="spellEnd"/>
      <w:r w:rsidRPr="00A65F17">
        <w:rPr>
          <w:rFonts w:ascii="Times New Roman" w:hAnsi="Times New Roman" w:cs="Times New Roman"/>
          <w:i w:val="0"/>
          <w:iCs w:val="0"/>
          <w:sz w:val="24"/>
          <w:szCs w:val="24"/>
        </w:rPr>
        <w:t xml:space="preserve">, S. (2018). </w:t>
      </w:r>
      <w:proofErr w:type="spellStart"/>
      <w:r w:rsidRPr="00A65F17">
        <w:rPr>
          <w:rFonts w:ascii="Times New Roman" w:hAnsi="Times New Roman" w:cs="Times New Roman"/>
          <w:i w:val="0"/>
          <w:iCs w:val="0"/>
          <w:sz w:val="24"/>
          <w:szCs w:val="24"/>
        </w:rPr>
        <w:t>Analisis</w:t>
      </w:r>
      <w:proofErr w:type="spellEnd"/>
      <w:r w:rsidRPr="00A65F17">
        <w:rPr>
          <w:rFonts w:ascii="Times New Roman" w:hAnsi="Times New Roman" w:cs="Times New Roman"/>
          <w:i w:val="0"/>
          <w:iCs w:val="0"/>
          <w:sz w:val="24"/>
          <w:szCs w:val="24"/>
        </w:rPr>
        <w:t xml:space="preserve"> Kinerja </w:t>
      </w:r>
      <w:proofErr w:type="spellStart"/>
      <w:r w:rsidRPr="00A65F17">
        <w:rPr>
          <w:rFonts w:ascii="Times New Roman" w:hAnsi="Times New Roman" w:cs="Times New Roman"/>
          <w:i w:val="0"/>
          <w:iCs w:val="0"/>
          <w:sz w:val="24"/>
          <w:szCs w:val="24"/>
        </w:rPr>
        <w:t>Investasi</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Reksa</w:t>
      </w:r>
      <w:proofErr w:type="spellEnd"/>
      <w:r w:rsidRPr="00A65F17">
        <w:rPr>
          <w:rFonts w:ascii="Times New Roman" w:hAnsi="Times New Roman" w:cs="Times New Roman"/>
          <w:i w:val="0"/>
          <w:iCs w:val="0"/>
          <w:sz w:val="24"/>
          <w:szCs w:val="24"/>
        </w:rPr>
        <w:t xml:space="preserve"> Dana Syariah di Indonesia </w:t>
      </w:r>
      <w:proofErr w:type="spellStart"/>
      <w:r w:rsidRPr="00A65F17">
        <w:rPr>
          <w:rFonts w:ascii="Times New Roman" w:hAnsi="Times New Roman" w:cs="Times New Roman"/>
          <w:i w:val="0"/>
          <w:iCs w:val="0"/>
          <w:sz w:val="24"/>
          <w:szCs w:val="24"/>
        </w:rPr>
        <w:t>Dengan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Metode</w:t>
      </w:r>
      <w:proofErr w:type="spellEnd"/>
      <w:r w:rsidRPr="00A65F17">
        <w:rPr>
          <w:rFonts w:ascii="Times New Roman" w:hAnsi="Times New Roman" w:cs="Times New Roman"/>
          <w:i w:val="0"/>
          <w:iCs w:val="0"/>
          <w:sz w:val="24"/>
          <w:szCs w:val="24"/>
        </w:rPr>
        <w:t xml:space="preserve"> Sharpe, Treynor dan Jensen (</w:t>
      </w:r>
      <w:proofErr w:type="spellStart"/>
      <w:r w:rsidRPr="00A65F17">
        <w:rPr>
          <w:rFonts w:ascii="Times New Roman" w:hAnsi="Times New Roman" w:cs="Times New Roman"/>
          <w:i w:val="0"/>
          <w:iCs w:val="0"/>
          <w:sz w:val="24"/>
          <w:szCs w:val="24"/>
        </w:rPr>
        <w:t>Studi</w:t>
      </w:r>
      <w:proofErr w:type="spellEnd"/>
      <w:r w:rsidRPr="00A65F17">
        <w:rPr>
          <w:rFonts w:ascii="Times New Roman" w:hAnsi="Times New Roman" w:cs="Times New Roman"/>
          <w:i w:val="0"/>
          <w:iCs w:val="0"/>
          <w:sz w:val="24"/>
          <w:szCs w:val="24"/>
        </w:rPr>
        <w:t xml:space="preserve"> Pada </w:t>
      </w:r>
      <w:proofErr w:type="spellStart"/>
      <w:r w:rsidRPr="00A65F17">
        <w:rPr>
          <w:rFonts w:ascii="Times New Roman" w:hAnsi="Times New Roman" w:cs="Times New Roman"/>
          <w:i w:val="0"/>
          <w:iCs w:val="0"/>
          <w:sz w:val="24"/>
          <w:szCs w:val="24"/>
        </w:rPr>
        <w:t>Reksa</w:t>
      </w:r>
      <w:proofErr w:type="spellEnd"/>
      <w:r w:rsidRPr="00A65F17">
        <w:rPr>
          <w:rFonts w:ascii="Times New Roman" w:hAnsi="Times New Roman" w:cs="Times New Roman"/>
          <w:i w:val="0"/>
          <w:iCs w:val="0"/>
          <w:sz w:val="24"/>
          <w:szCs w:val="24"/>
        </w:rPr>
        <w:t xml:space="preserve"> Dana Saham Syariah yang </w:t>
      </w:r>
      <w:proofErr w:type="spellStart"/>
      <w:r w:rsidRPr="00A65F17">
        <w:rPr>
          <w:rFonts w:ascii="Times New Roman" w:hAnsi="Times New Roman" w:cs="Times New Roman"/>
          <w:i w:val="0"/>
          <w:iCs w:val="0"/>
          <w:sz w:val="24"/>
          <w:szCs w:val="24"/>
        </w:rPr>
        <w:t>Terdaftar</w:t>
      </w:r>
      <w:proofErr w:type="spellEnd"/>
      <w:r w:rsidRPr="00A65F17">
        <w:rPr>
          <w:rFonts w:ascii="Times New Roman" w:hAnsi="Times New Roman" w:cs="Times New Roman"/>
          <w:i w:val="0"/>
          <w:iCs w:val="0"/>
          <w:sz w:val="24"/>
          <w:szCs w:val="24"/>
        </w:rPr>
        <w:t xml:space="preserve"> di </w:t>
      </w:r>
      <w:proofErr w:type="spellStart"/>
      <w:r w:rsidRPr="00A65F17">
        <w:rPr>
          <w:rFonts w:ascii="Times New Roman" w:hAnsi="Times New Roman" w:cs="Times New Roman"/>
          <w:i w:val="0"/>
          <w:iCs w:val="0"/>
          <w:sz w:val="24"/>
          <w:szCs w:val="24"/>
        </w:rPr>
        <w:t>Otoritas</w:t>
      </w:r>
      <w:proofErr w:type="spellEnd"/>
      <w:r w:rsidRPr="00A65F17">
        <w:rPr>
          <w:rFonts w:ascii="Times New Roman" w:hAnsi="Times New Roman" w:cs="Times New Roman"/>
          <w:i w:val="0"/>
          <w:iCs w:val="0"/>
          <w:sz w:val="24"/>
          <w:szCs w:val="24"/>
        </w:rPr>
        <w:t xml:space="preserve"> Jasa </w:t>
      </w:r>
      <w:proofErr w:type="spellStart"/>
      <w:r w:rsidRPr="00A65F17">
        <w:rPr>
          <w:rFonts w:ascii="Times New Roman" w:hAnsi="Times New Roman" w:cs="Times New Roman"/>
          <w:i w:val="0"/>
          <w:iCs w:val="0"/>
          <w:sz w:val="24"/>
          <w:szCs w:val="24"/>
        </w:rPr>
        <w:t>Keuangan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Periode</w:t>
      </w:r>
      <w:proofErr w:type="spellEnd"/>
      <w:r w:rsidRPr="00A65F17">
        <w:rPr>
          <w:rFonts w:ascii="Times New Roman" w:hAnsi="Times New Roman" w:cs="Times New Roman"/>
          <w:i w:val="0"/>
          <w:iCs w:val="0"/>
          <w:sz w:val="24"/>
          <w:szCs w:val="24"/>
        </w:rPr>
        <w:t xml:space="preserve"> 2015 - 2017). </w:t>
      </w:r>
      <w:proofErr w:type="spellStart"/>
      <w:r w:rsidRPr="00A65F17">
        <w:rPr>
          <w:rFonts w:ascii="Times New Roman" w:hAnsi="Times New Roman" w:cs="Times New Roman"/>
          <w:sz w:val="24"/>
          <w:szCs w:val="24"/>
        </w:rPr>
        <w:t>Jurnal</w:t>
      </w:r>
      <w:proofErr w:type="spellEnd"/>
      <w:r w:rsidRPr="00A65F17">
        <w:rPr>
          <w:rFonts w:ascii="Times New Roman" w:hAnsi="Times New Roman" w:cs="Times New Roman"/>
          <w:sz w:val="24"/>
          <w:szCs w:val="24"/>
        </w:rPr>
        <w:t xml:space="preserve"> </w:t>
      </w:r>
      <w:proofErr w:type="spellStart"/>
      <w:r w:rsidRPr="00A65F17">
        <w:rPr>
          <w:rFonts w:ascii="Times New Roman" w:hAnsi="Times New Roman" w:cs="Times New Roman"/>
          <w:sz w:val="24"/>
          <w:szCs w:val="24"/>
        </w:rPr>
        <w:t>Administrasi</w:t>
      </w:r>
      <w:proofErr w:type="spellEnd"/>
      <w:r w:rsidRPr="00A65F17">
        <w:rPr>
          <w:rFonts w:ascii="Times New Roman" w:hAnsi="Times New Roman" w:cs="Times New Roman"/>
          <w:sz w:val="24"/>
          <w:szCs w:val="24"/>
        </w:rPr>
        <w:t xml:space="preserve"> </w:t>
      </w:r>
      <w:proofErr w:type="spellStart"/>
      <w:r w:rsidRPr="00A65F17">
        <w:rPr>
          <w:rFonts w:ascii="Times New Roman" w:hAnsi="Times New Roman" w:cs="Times New Roman"/>
          <w:sz w:val="24"/>
          <w:szCs w:val="24"/>
        </w:rPr>
        <w:t>Bisnis</w:t>
      </w:r>
      <w:proofErr w:type="spellEnd"/>
      <w:r w:rsidRPr="00A65F17">
        <w:rPr>
          <w:rFonts w:ascii="Times New Roman" w:hAnsi="Times New Roman" w:cs="Times New Roman"/>
          <w:sz w:val="24"/>
          <w:szCs w:val="24"/>
        </w:rPr>
        <w:t xml:space="preserve"> (JAB)</w:t>
      </w:r>
      <w:r w:rsidR="007269EC" w:rsidRPr="00A65F17">
        <w:rPr>
          <w:rFonts w:ascii="Times New Roman" w:hAnsi="Times New Roman" w:cs="Times New Roman"/>
          <w:i w:val="0"/>
          <w:iCs w:val="0"/>
          <w:sz w:val="24"/>
          <w:szCs w:val="24"/>
        </w:rPr>
        <w:t>, 59(1)</w:t>
      </w:r>
      <w:r w:rsidRPr="00A65F17">
        <w:rPr>
          <w:rFonts w:ascii="Times New Roman" w:hAnsi="Times New Roman" w:cs="Times New Roman"/>
          <w:i w:val="0"/>
          <w:iCs w:val="0"/>
          <w:sz w:val="24"/>
          <w:szCs w:val="24"/>
        </w:rPr>
        <w:t>, 134-143.</w:t>
      </w:r>
    </w:p>
    <w:p w14:paraId="1676F016" w14:textId="37B13335" w:rsidR="008D372C" w:rsidRPr="00A65F17" w:rsidRDefault="00DF64A7" w:rsidP="00DF64A7">
      <w:pPr>
        <w:spacing w:after="0" w:line="240" w:lineRule="auto"/>
        <w:ind w:left="720" w:right="227" w:hanging="720"/>
        <w:jc w:val="both"/>
        <w:rPr>
          <w:rFonts w:ascii="Times New Roman" w:hAnsi="Times New Roman" w:cs="Times New Roman"/>
          <w:i w:val="0"/>
          <w:iCs w:val="0"/>
          <w:sz w:val="24"/>
          <w:szCs w:val="24"/>
        </w:rPr>
      </w:pPr>
      <w:proofErr w:type="spellStart"/>
      <w:r w:rsidRPr="00A65F17">
        <w:rPr>
          <w:rFonts w:ascii="Times New Roman" w:hAnsi="Times New Roman" w:cs="Times New Roman"/>
          <w:i w:val="0"/>
          <w:iCs w:val="0"/>
          <w:sz w:val="24"/>
          <w:szCs w:val="24"/>
        </w:rPr>
        <w:t>Putro</w:t>
      </w:r>
      <w:proofErr w:type="spellEnd"/>
      <w:r w:rsidRPr="00A65F17">
        <w:rPr>
          <w:rFonts w:ascii="Times New Roman" w:hAnsi="Times New Roman" w:cs="Times New Roman"/>
          <w:i w:val="0"/>
          <w:iCs w:val="0"/>
          <w:sz w:val="24"/>
          <w:szCs w:val="24"/>
        </w:rPr>
        <w:t xml:space="preserve">, D., &amp; Risman, A. (2021). The Effect </w:t>
      </w:r>
      <w:r w:rsidR="00774A61">
        <w:rPr>
          <w:rFonts w:ascii="Times New Roman" w:hAnsi="Times New Roman" w:cs="Times New Roman"/>
          <w:i w:val="0"/>
          <w:iCs w:val="0"/>
          <w:sz w:val="24"/>
          <w:szCs w:val="24"/>
        </w:rPr>
        <w:t>o</w:t>
      </w:r>
      <w:r w:rsidRPr="00A65F17">
        <w:rPr>
          <w:rFonts w:ascii="Times New Roman" w:hAnsi="Times New Roman" w:cs="Times New Roman"/>
          <w:i w:val="0"/>
          <w:iCs w:val="0"/>
          <w:sz w:val="24"/>
          <w:szCs w:val="24"/>
        </w:rPr>
        <w:t xml:space="preserve">f Capital Structure </w:t>
      </w:r>
      <w:r w:rsidR="00075E87">
        <w:rPr>
          <w:rFonts w:ascii="Times New Roman" w:hAnsi="Times New Roman" w:cs="Times New Roman"/>
          <w:i w:val="0"/>
          <w:iCs w:val="0"/>
          <w:sz w:val="24"/>
          <w:szCs w:val="24"/>
        </w:rPr>
        <w:t>a</w:t>
      </w:r>
      <w:r w:rsidRPr="00A65F17">
        <w:rPr>
          <w:rFonts w:ascii="Times New Roman" w:hAnsi="Times New Roman" w:cs="Times New Roman"/>
          <w:i w:val="0"/>
          <w:iCs w:val="0"/>
          <w:sz w:val="24"/>
          <w:szCs w:val="24"/>
        </w:rPr>
        <w:t xml:space="preserve">nd Liquidity </w:t>
      </w:r>
      <w:r w:rsidR="00ED4618">
        <w:rPr>
          <w:rFonts w:ascii="Times New Roman" w:hAnsi="Times New Roman" w:cs="Times New Roman"/>
          <w:i w:val="0"/>
          <w:iCs w:val="0"/>
          <w:sz w:val="24"/>
          <w:szCs w:val="24"/>
        </w:rPr>
        <w:t>o</w:t>
      </w:r>
      <w:r w:rsidRPr="00A65F17">
        <w:rPr>
          <w:rFonts w:ascii="Times New Roman" w:hAnsi="Times New Roman" w:cs="Times New Roman"/>
          <w:i w:val="0"/>
          <w:iCs w:val="0"/>
          <w:sz w:val="24"/>
          <w:szCs w:val="24"/>
        </w:rPr>
        <w:t xml:space="preserve">n Firm Value Mediated </w:t>
      </w:r>
      <w:r w:rsidR="00ED4618">
        <w:rPr>
          <w:rFonts w:ascii="Times New Roman" w:hAnsi="Times New Roman" w:cs="Times New Roman"/>
          <w:i w:val="0"/>
          <w:iCs w:val="0"/>
          <w:sz w:val="24"/>
          <w:szCs w:val="24"/>
        </w:rPr>
        <w:t>b</w:t>
      </w:r>
      <w:r w:rsidRPr="00A65F17">
        <w:rPr>
          <w:rFonts w:ascii="Times New Roman" w:hAnsi="Times New Roman" w:cs="Times New Roman"/>
          <w:i w:val="0"/>
          <w:iCs w:val="0"/>
          <w:sz w:val="24"/>
          <w:szCs w:val="24"/>
        </w:rPr>
        <w:t xml:space="preserve">y Profitability. </w:t>
      </w:r>
      <w:r w:rsidRPr="00A65F17">
        <w:rPr>
          <w:rFonts w:ascii="Times New Roman" w:hAnsi="Times New Roman" w:cs="Times New Roman"/>
          <w:sz w:val="24"/>
          <w:szCs w:val="24"/>
        </w:rPr>
        <w:t xml:space="preserve">The </w:t>
      </w:r>
      <w:proofErr w:type="spellStart"/>
      <w:r w:rsidRPr="00A65F17">
        <w:rPr>
          <w:rFonts w:ascii="Times New Roman" w:hAnsi="Times New Roman" w:cs="Times New Roman"/>
          <w:sz w:val="24"/>
          <w:szCs w:val="24"/>
        </w:rPr>
        <w:t>EUrASEANs</w:t>
      </w:r>
      <w:proofErr w:type="spellEnd"/>
      <w:r w:rsidRPr="00A65F17">
        <w:rPr>
          <w:rFonts w:ascii="Times New Roman" w:hAnsi="Times New Roman" w:cs="Times New Roman"/>
          <w:sz w:val="24"/>
          <w:szCs w:val="24"/>
        </w:rPr>
        <w:t>: Journal on Global Socio-Economic Dynamics</w:t>
      </w:r>
      <w:r w:rsidRPr="00A65F17">
        <w:rPr>
          <w:rFonts w:ascii="Times New Roman" w:hAnsi="Times New Roman" w:cs="Times New Roman"/>
          <w:i w:val="0"/>
          <w:iCs w:val="0"/>
          <w:sz w:val="24"/>
          <w:szCs w:val="24"/>
        </w:rPr>
        <w:t>, 2(27), 26-34. DOI: 10.35678/2539-5645.2(27).2021.26-34</w:t>
      </w:r>
      <w:r w:rsidR="008D372C" w:rsidRPr="00A65F17">
        <w:rPr>
          <w:rFonts w:ascii="Times New Roman" w:hAnsi="Times New Roman" w:cs="Times New Roman"/>
          <w:i w:val="0"/>
          <w:iCs w:val="0"/>
          <w:sz w:val="24"/>
          <w:szCs w:val="24"/>
        </w:rPr>
        <w:t>.</w:t>
      </w:r>
    </w:p>
    <w:p w14:paraId="6BE54831" w14:textId="7C959112"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r w:rsidRPr="00A65F17">
        <w:rPr>
          <w:rFonts w:ascii="Times New Roman" w:hAnsi="Times New Roman" w:cs="Times New Roman"/>
          <w:i w:val="0"/>
          <w:iCs w:val="0"/>
          <w:sz w:val="24"/>
          <w:szCs w:val="24"/>
        </w:rPr>
        <w:t xml:space="preserve">Risman, A., Salim, U., </w:t>
      </w:r>
      <w:proofErr w:type="spellStart"/>
      <w:r w:rsidRPr="00A65F17">
        <w:rPr>
          <w:rFonts w:ascii="Times New Roman" w:hAnsi="Times New Roman" w:cs="Times New Roman"/>
          <w:i w:val="0"/>
          <w:iCs w:val="0"/>
          <w:sz w:val="24"/>
          <w:szCs w:val="24"/>
        </w:rPr>
        <w:t>Sumiati</w:t>
      </w:r>
      <w:proofErr w:type="spellEnd"/>
      <w:r w:rsidRPr="00A65F17">
        <w:rPr>
          <w:rFonts w:ascii="Times New Roman" w:hAnsi="Times New Roman" w:cs="Times New Roman"/>
          <w:i w:val="0"/>
          <w:iCs w:val="0"/>
          <w:sz w:val="24"/>
          <w:szCs w:val="24"/>
        </w:rPr>
        <w:t xml:space="preserve">, S., </w:t>
      </w:r>
      <w:r w:rsidR="007269EC" w:rsidRPr="00A65F17">
        <w:rPr>
          <w:rFonts w:ascii="Times New Roman" w:hAnsi="Times New Roman" w:cs="Times New Roman"/>
          <w:i w:val="0"/>
          <w:iCs w:val="0"/>
          <w:sz w:val="24"/>
          <w:szCs w:val="24"/>
        </w:rPr>
        <w:t xml:space="preserve">&amp; </w:t>
      </w:r>
      <w:proofErr w:type="spellStart"/>
      <w:r w:rsidRPr="00A65F17">
        <w:rPr>
          <w:rFonts w:ascii="Times New Roman" w:hAnsi="Times New Roman" w:cs="Times New Roman"/>
          <w:i w:val="0"/>
          <w:iCs w:val="0"/>
          <w:sz w:val="24"/>
          <w:szCs w:val="24"/>
        </w:rPr>
        <w:t>Indrawati</w:t>
      </w:r>
      <w:proofErr w:type="spellEnd"/>
      <w:r w:rsidRPr="00A65F17">
        <w:rPr>
          <w:rFonts w:ascii="Times New Roman" w:hAnsi="Times New Roman" w:cs="Times New Roman"/>
          <w:i w:val="0"/>
          <w:iCs w:val="0"/>
          <w:sz w:val="24"/>
          <w:szCs w:val="24"/>
        </w:rPr>
        <w:t xml:space="preserve">, N. K. (2017). Commodity Prices, Exchange Rates and Investment on Firm's Value Mediated by Business Risk: A Case from Indonesian Stock Exchange. </w:t>
      </w:r>
      <w:r w:rsidRPr="00A65F17">
        <w:rPr>
          <w:rFonts w:ascii="Times New Roman" w:hAnsi="Times New Roman" w:cs="Times New Roman"/>
          <w:sz w:val="24"/>
          <w:szCs w:val="24"/>
        </w:rPr>
        <w:t>European Research Studies Journal</w:t>
      </w:r>
      <w:r w:rsidR="007269EC" w:rsidRPr="00A65F17">
        <w:rPr>
          <w:rFonts w:ascii="Times New Roman" w:hAnsi="Times New Roman" w:cs="Times New Roman"/>
          <w:i w:val="0"/>
          <w:iCs w:val="0"/>
          <w:sz w:val="24"/>
          <w:szCs w:val="24"/>
        </w:rPr>
        <w:t xml:space="preserve">, 20(3A), </w:t>
      </w:r>
      <w:r w:rsidRPr="00A65F17">
        <w:rPr>
          <w:rFonts w:ascii="Times New Roman" w:hAnsi="Times New Roman" w:cs="Times New Roman"/>
          <w:i w:val="0"/>
          <w:iCs w:val="0"/>
          <w:sz w:val="24"/>
          <w:szCs w:val="24"/>
        </w:rPr>
        <w:t>511-524.</w:t>
      </w:r>
      <w:r w:rsidR="00DF64A7" w:rsidRPr="00A65F17">
        <w:rPr>
          <w:rFonts w:ascii="Times New Roman" w:hAnsi="Times New Roman" w:cs="Times New Roman"/>
          <w:i w:val="0"/>
          <w:iCs w:val="0"/>
          <w:sz w:val="24"/>
          <w:szCs w:val="24"/>
        </w:rPr>
        <w:t xml:space="preserve"> DOI: 10.35808/</w:t>
      </w:r>
      <w:proofErr w:type="spellStart"/>
      <w:r w:rsidR="00DF64A7" w:rsidRPr="00A65F17">
        <w:rPr>
          <w:rFonts w:ascii="Times New Roman" w:hAnsi="Times New Roman" w:cs="Times New Roman"/>
          <w:i w:val="0"/>
          <w:iCs w:val="0"/>
          <w:sz w:val="24"/>
          <w:szCs w:val="24"/>
        </w:rPr>
        <w:t>ersj</w:t>
      </w:r>
      <w:proofErr w:type="spellEnd"/>
      <w:r w:rsidR="00DF64A7" w:rsidRPr="00A65F17">
        <w:rPr>
          <w:rFonts w:ascii="Times New Roman" w:hAnsi="Times New Roman" w:cs="Times New Roman"/>
          <w:i w:val="0"/>
          <w:iCs w:val="0"/>
          <w:sz w:val="24"/>
          <w:szCs w:val="24"/>
        </w:rPr>
        <w:t>/725</w:t>
      </w:r>
    </w:p>
    <w:p w14:paraId="560F7596" w14:textId="07097016"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proofErr w:type="spellStart"/>
      <w:r w:rsidRPr="00A65F17">
        <w:rPr>
          <w:rFonts w:ascii="Times New Roman" w:hAnsi="Times New Roman" w:cs="Times New Roman"/>
          <w:i w:val="0"/>
          <w:iCs w:val="0"/>
          <w:sz w:val="24"/>
          <w:szCs w:val="24"/>
        </w:rPr>
        <w:t>Rofiq</w:t>
      </w:r>
      <w:proofErr w:type="spellEnd"/>
      <w:r w:rsidRPr="00A65F17">
        <w:rPr>
          <w:rFonts w:ascii="Times New Roman" w:hAnsi="Times New Roman" w:cs="Times New Roman"/>
          <w:i w:val="0"/>
          <w:iCs w:val="0"/>
          <w:sz w:val="24"/>
          <w:szCs w:val="24"/>
        </w:rPr>
        <w:t>, A.</w:t>
      </w:r>
      <w:r w:rsidR="00DF64A7" w:rsidRPr="00A65F17">
        <w:rPr>
          <w:rFonts w:ascii="Times New Roman" w:hAnsi="Times New Roman" w:cs="Times New Roman"/>
          <w:i w:val="0"/>
          <w:iCs w:val="0"/>
          <w:sz w:val="24"/>
          <w:szCs w:val="24"/>
        </w:rPr>
        <w:t>, Santoso, B. H.</w:t>
      </w:r>
      <w:r w:rsidRPr="00A65F17">
        <w:rPr>
          <w:rFonts w:ascii="Times New Roman" w:hAnsi="Times New Roman" w:cs="Times New Roman"/>
          <w:i w:val="0"/>
          <w:iCs w:val="0"/>
          <w:sz w:val="24"/>
          <w:szCs w:val="24"/>
        </w:rPr>
        <w:t xml:space="preserve"> (2015). </w:t>
      </w:r>
      <w:proofErr w:type="spellStart"/>
      <w:r w:rsidRPr="00A65F17">
        <w:rPr>
          <w:rFonts w:ascii="Times New Roman" w:hAnsi="Times New Roman" w:cs="Times New Roman"/>
          <w:i w:val="0"/>
          <w:iCs w:val="0"/>
          <w:sz w:val="24"/>
          <w:szCs w:val="24"/>
        </w:rPr>
        <w:t>Analisis</w:t>
      </w:r>
      <w:proofErr w:type="spellEnd"/>
      <w:r w:rsidRPr="00A65F17">
        <w:rPr>
          <w:rFonts w:ascii="Times New Roman" w:hAnsi="Times New Roman" w:cs="Times New Roman"/>
          <w:i w:val="0"/>
          <w:iCs w:val="0"/>
          <w:sz w:val="24"/>
          <w:szCs w:val="24"/>
        </w:rPr>
        <w:t xml:space="preserve"> Kinerja </w:t>
      </w:r>
      <w:proofErr w:type="spellStart"/>
      <w:r w:rsidRPr="00A65F17">
        <w:rPr>
          <w:rFonts w:ascii="Times New Roman" w:hAnsi="Times New Roman" w:cs="Times New Roman"/>
          <w:i w:val="0"/>
          <w:iCs w:val="0"/>
          <w:sz w:val="24"/>
          <w:szCs w:val="24"/>
        </w:rPr>
        <w:t>Reksa</w:t>
      </w:r>
      <w:proofErr w:type="spellEnd"/>
      <w:r w:rsidRPr="00A65F17">
        <w:rPr>
          <w:rFonts w:ascii="Times New Roman" w:hAnsi="Times New Roman" w:cs="Times New Roman"/>
          <w:i w:val="0"/>
          <w:iCs w:val="0"/>
          <w:sz w:val="24"/>
          <w:szCs w:val="24"/>
        </w:rPr>
        <w:t xml:space="preserve"> Dana </w:t>
      </w:r>
      <w:proofErr w:type="spellStart"/>
      <w:r w:rsidRPr="00A65F17">
        <w:rPr>
          <w:rFonts w:ascii="Times New Roman" w:hAnsi="Times New Roman" w:cs="Times New Roman"/>
          <w:i w:val="0"/>
          <w:iCs w:val="0"/>
          <w:sz w:val="24"/>
          <w:szCs w:val="24"/>
        </w:rPr>
        <w:t>Dengan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Menggunakan</w:t>
      </w:r>
      <w:proofErr w:type="spellEnd"/>
      <w:r w:rsidRPr="00A65F17">
        <w:rPr>
          <w:rFonts w:ascii="Times New Roman" w:hAnsi="Times New Roman" w:cs="Times New Roman"/>
          <w:i w:val="0"/>
          <w:iCs w:val="0"/>
          <w:sz w:val="24"/>
          <w:szCs w:val="24"/>
        </w:rPr>
        <w:t xml:space="preserve"> Model Sharpe, Treynor dan Jensen. </w:t>
      </w:r>
      <w:proofErr w:type="spellStart"/>
      <w:r w:rsidRPr="00A65F17">
        <w:rPr>
          <w:rFonts w:ascii="Times New Roman" w:hAnsi="Times New Roman" w:cs="Times New Roman"/>
          <w:sz w:val="24"/>
          <w:szCs w:val="24"/>
        </w:rPr>
        <w:t>Jurnal</w:t>
      </w:r>
      <w:proofErr w:type="spellEnd"/>
      <w:r w:rsidRPr="00A65F17">
        <w:rPr>
          <w:rFonts w:ascii="Times New Roman" w:hAnsi="Times New Roman" w:cs="Times New Roman"/>
          <w:sz w:val="24"/>
          <w:szCs w:val="24"/>
        </w:rPr>
        <w:t xml:space="preserve"> </w:t>
      </w:r>
      <w:proofErr w:type="spellStart"/>
      <w:r w:rsidRPr="00A65F17">
        <w:rPr>
          <w:rFonts w:ascii="Times New Roman" w:hAnsi="Times New Roman" w:cs="Times New Roman"/>
          <w:sz w:val="24"/>
          <w:szCs w:val="24"/>
        </w:rPr>
        <w:t>Ilmu</w:t>
      </w:r>
      <w:proofErr w:type="spellEnd"/>
      <w:r w:rsidRPr="00A65F17">
        <w:rPr>
          <w:rFonts w:ascii="Times New Roman" w:hAnsi="Times New Roman" w:cs="Times New Roman"/>
          <w:sz w:val="24"/>
          <w:szCs w:val="24"/>
        </w:rPr>
        <w:t xml:space="preserve"> dan </w:t>
      </w:r>
      <w:proofErr w:type="spellStart"/>
      <w:r w:rsidRPr="00A65F17">
        <w:rPr>
          <w:rFonts w:ascii="Times New Roman" w:hAnsi="Times New Roman" w:cs="Times New Roman"/>
          <w:sz w:val="24"/>
          <w:szCs w:val="24"/>
        </w:rPr>
        <w:t>Riset</w:t>
      </w:r>
      <w:proofErr w:type="spellEnd"/>
      <w:r w:rsidRPr="00A65F17">
        <w:rPr>
          <w:rFonts w:ascii="Times New Roman" w:hAnsi="Times New Roman" w:cs="Times New Roman"/>
          <w:sz w:val="24"/>
          <w:szCs w:val="24"/>
        </w:rPr>
        <w:t xml:space="preserve"> </w:t>
      </w:r>
      <w:proofErr w:type="spellStart"/>
      <w:r w:rsidRPr="00A65F17">
        <w:rPr>
          <w:rFonts w:ascii="Times New Roman" w:hAnsi="Times New Roman" w:cs="Times New Roman"/>
          <w:sz w:val="24"/>
          <w:szCs w:val="24"/>
        </w:rPr>
        <w:t>Manajemen</w:t>
      </w:r>
      <w:proofErr w:type="spellEnd"/>
      <w:r w:rsidRPr="00A65F17">
        <w:rPr>
          <w:rFonts w:ascii="Times New Roman" w:hAnsi="Times New Roman" w:cs="Times New Roman"/>
          <w:i w:val="0"/>
          <w:iCs w:val="0"/>
          <w:sz w:val="24"/>
          <w:szCs w:val="24"/>
        </w:rPr>
        <w:t xml:space="preserve"> </w:t>
      </w:r>
      <w:r w:rsidR="007269EC" w:rsidRPr="00A65F17">
        <w:rPr>
          <w:rFonts w:ascii="Times New Roman" w:hAnsi="Times New Roman" w:cs="Times New Roman"/>
          <w:i w:val="0"/>
          <w:iCs w:val="0"/>
          <w:sz w:val="24"/>
          <w:szCs w:val="24"/>
        </w:rPr>
        <w:t>, 4(</w:t>
      </w:r>
      <w:r w:rsidR="00DF64A7" w:rsidRPr="00A65F17">
        <w:rPr>
          <w:rFonts w:ascii="Times New Roman" w:hAnsi="Times New Roman" w:cs="Times New Roman"/>
          <w:i w:val="0"/>
          <w:iCs w:val="0"/>
          <w:sz w:val="24"/>
          <w:szCs w:val="24"/>
        </w:rPr>
        <w:t>7</w:t>
      </w:r>
      <w:r w:rsidR="007269EC" w:rsidRPr="00A65F17">
        <w:rPr>
          <w:rFonts w:ascii="Times New Roman" w:hAnsi="Times New Roman" w:cs="Times New Roman"/>
          <w:i w:val="0"/>
          <w:iCs w:val="0"/>
          <w:sz w:val="24"/>
          <w:szCs w:val="24"/>
        </w:rPr>
        <w:t>)</w:t>
      </w:r>
      <w:r w:rsidRPr="00A65F17">
        <w:rPr>
          <w:rFonts w:ascii="Times New Roman" w:hAnsi="Times New Roman" w:cs="Times New Roman"/>
          <w:i w:val="0"/>
          <w:iCs w:val="0"/>
          <w:sz w:val="24"/>
          <w:szCs w:val="24"/>
        </w:rPr>
        <w:t>, 1-20.</w:t>
      </w:r>
    </w:p>
    <w:p w14:paraId="2A1EEA03" w14:textId="5C9135A5"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proofErr w:type="spellStart"/>
      <w:r w:rsidRPr="00A65F17">
        <w:rPr>
          <w:rFonts w:ascii="Times New Roman" w:hAnsi="Times New Roman" w:cs="Times New Roman"/>
          <w:i w:val="0"/>
          <w:iCs w:val="0"/>
          <w:sz w:val="24"/>
          <w:szCs w:val="24"/>
        </w:rPr>
        <w:t>Rumintang</w:t>
      </w:r>
      <w:proofErr w:type="spellEnd"/>
      <w:r w:rsidRPr="00A65F17">
        <w:rPr>
          <w:rFonts w:ascii="Times New Roman" w:hAnsi="Times New Roman" w:cs="Times New Roman"/>
          <w:i w:val="0"/>
          <w:iCs w:val="0"/>
          <w:sz w:val="24"/>
          <w:szCs w:val="24"/>
        </w:rPr>
        <w:t xml:space="preserve">, A. G., </w:t>
      </w:r>
      <w:r w:rsidR="007269EC" w:rsidRPr="00A65F17">
        <w:rPr>
          <w:rFonts w:ascii="Times New Roman" w:hAnsi="Times New Roman" w:cs="Times New Roman"/>
          <w:i w:val="0"/>
          <w:iCs w:val="0"/>
          <w:sz w:val="24"/>
          <w:szCs w:val="24"/>
        </w:rPr>
        <w:t xml:space="preserve">&amp; </w:t>
      </w:r>
      <w:proofErr w:type="spellStart"/>
      <w:r w:rsidRPr="00A65F17">
        <w:rPr>
          <w:rFonts w:ascii="Times New Roman" w:hAnsi="Times New Roman" w:cs="Times New Roman"/>
          <w:i w:val="0"/>
          <w:iCs w:val="0"/>
          <w:sz w:val="24"/>
          <w:szCs w:val="24"/>
        </w:rPr>
        <w:t>Azhari</w:t>
      </w:r>
      <w:proofErr w:type="spellEnd"/>
      <w:r w:rsidRPr="00A65F17">
        <w:rPr>
          <w:rFonts w:ascii="Times New Roman" w:hAnsi="Times New Roman" w:cs="Times New Roman"/>
          <w:i w:val="0"/>
          <w:iCs w:val="0"/>
          <w:sz w:val="24"/>
          <w:szCs w:val="24"/>
        </w:rPr>
        <w:t xml:space="preserve">, M. (2015). </w:t>
      </w:r>
      <w:proofErr w:type="spellStart"/>
      <w:r w:rsidRPr="00A65F17">
        <w:rPr>
          <w:rFonts w:ascii="Times New Roman" w:hAnsi="Times New Roman" w:cs="Times New Roman"/>
          <w:i w:val="0"/>
          <w:iCs w:val="0"/>
          <w:sz w:val="24"/>
          <w:szCs w:val="24"/>
        </w:rPr>
        <w:t>Analisis</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Perbandingan</w:t>
      </w:r>
      <w:proofErr w:type="spellEnd"/>
      <w:r w:rsidRPr="00A65F17">
        <w:rPr>
          <w:rFonts w:ascii="Times New Roman" w:hAnsi="Times New Roman" w:cs="Times New Roman"/>
          <w:i w:val="0"/>
          <w:iCs w:val="0"/>
          <w:sz w:val="24"/>
          <w:szCs w:val="24"/>
        </w:rPr>
        <w:t xml:space="preserve"> Kinerja </w:t>
      </w:r>
      <w:proofErr w:type="spellStart"/>
      <w:r w:rsidRPr="00A65F17">
        <w:rPr>
          <w:rFonts w:ascii="Times New Roman" w:hAnsi="Times New Roman" w:cs="Times New Roman"/>
          <w:i w:val="0"/>
          <w:iCs w:val="0"/>
          <w:sz w:val="24"/>
          <w:szCs w:val="24"/>
        </w:rPr>
        <w:t>Reksa</w:t>
      </w:r>
      <w:proofErr w:type="spellEnd"/>
      <w:r w:rsidRPr="00A65F17">
        <w:rPr>
          <w:rFonts w:ascii="Times New Roman" w:hAnsi="Times New Roman" w:cs="Times New Roman"/>
          <w:i w:val="0"/>
          <w:iCs w:val="0"/>
          <w:sz w:val="24"/>
          <w:szCs w:val="24"/>
        </w:rPr>
        <w:t xml:space="preserve"> Dana Saham </w:t>
      </w:r>
      <w:proofErr w:type="spellStart"/>
      <w:r w:rsidRPr="00A65F17">
        <w:rPr>
          <w:rFonts w:ascii="Times New Roman" w:hAnsi="Times New Roman" w:cs="Times New Roman"/>
          <w:i w:val="0"/>
          <w:iCs w:val="0"/>
          <w:sz w:val="24"/>
          <w:szCs w:val="24"/>
        </w:rPr>
        <w:t>Konvensional</w:t>
      </w:r>
      <w:proofErr w:type="spellEnd"/>
      <w:r w:rsidRPr="00A65F17">
        <w:rPr>
          <w:rFonts w:ascii="Times New Roman" w:hAnsi="Times New Roman" w:cs="Times New Roman"/>
          <w:i w:val="0"/>
          <w:iCs w:val="0"/>
          <w:sz w:val="24"/>
          <w:szCs w:val="24"/>
        </w:rPr>
        <w:t xml:space="preserve"> Dan </w:t>
      </w:r>
      <w:proofErr w:type="spellStart"/>
      <w:r w:rsidRPr="00A65F17">
        <w:rPr>
          <w:rFonts w:ascii="Times New Roman" w:hAnsi="Times New Roman" w:cs="Times New Roman"/>
          <w:i w:val="0"/>
          <w:iCs w:val="0"/>
          <w:sz w:val="24"/>
          <w:szCs w:val="24"/>
        </w:rPr>
        <w:t>Reksa</w:t>
      </w:r>
      <w:proofErr w:type="spellEnd"/>
      <w:r w:rsidRPr="00A65F17">
        <w:rPr>
          <w:rFonts w:ascii="Times New Roman" w:hAnsi="Times New Roman" w:cs="Times New Roman"/>
          <w:i w:val="0"/>
          <w:iCs w:val="0"/>
          <w:sz w:val="24"/>
          <w:szCs w:val="24"/>
        </w:rPr>
        <w:t xml:space="preserve"> Dana Saham Syariah </w:t>
      </w:r>
      <w:proofErr w:type="spellStart"/>
      <w:r w:rsidRPr="00A65F17">
        <w:rPr>
          <w:rFonts w:ascii="Times New Roman" w:hAnsi="Times New Roman" w:cs="Times New Roman"/>
          <w:i w:val="0"/>
          <w:iCs w:val="0"/>
          <w:sz w:val="24"/>
          <w:szCs w:val="24"/>
        </w:rPr>
        <w:t>Dengan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Menggunakan</w:t>
      </w:r>
      <w:proofErr w:type="spellEnd"/>
      <w:r w:rsidRPr="00A65F17">
        <w:rPr>
          <w:rFonts w:ascii="Times New Roman" w:hAnsi="Times New Roman" w:cs="Times New Roman"/>
          <w:i w:val="0"/>
          <w:iCs w:val="0"/>
          <w:sz w:val="24"/>
          <w:szCs w:val="24"/>
        </w:rPr>
        <w:t xml:space="preserve"> </w:t>
      </w:r>
      <w:proofErr w:type="spellStart"/>
      <w:r w:rsidRPr="00A65F17">
        <w:rPr>
          <w:rFonts w:ascii="Times New Roman" w:hAnsi="Times New Roman" w:cs="Times New Roman"/>
          <w:i w:val="0"/>
          <w:iCs w:val="0"/>
          <w:sz w:val="24"/>
          <w:szCs w:val="24"/>
        </w:rPr>
        <w:t>Metode</w:t>
      </w:r>
      <w:proofErr w:type="spellEnd"/>
      <w:r w:rsidRPr="00A65F17">
        <w:rPr>
          <w:rFonts w:ascii="Times New Roman" w:hAnsi="Times New Roman" w:cs="Times New Roman"/>
          <w:i w:val="0"/>
          <w:iCs w:val="0"/>
          <w:sz w:val="24"/>
          <w:szCs w:val="24"/>
        </w:rPr>
        <w:t xml:space="preserve"> Sharpe, Treynor, Dan Jensen Pada </w:t>
      </w:r>
      <w:proofErr w:type="spellStart"/>
      <w:r w:rsidRPr="00A65F17">
        <w:rPr>
          <w:rFonts w:ascii="Times New Roman" w:hAnsi="Times New Roman" w:cs="Times New Roman"/>
          <w:i w:val="0"/>
          <w:iCs w:val="0"/>
          <w:sz w:val="24"/>
          <w:szCs w:val="24"/>
        </w:rPr>
        <w:t>Tahun</w:t>
      </w:r>
      <w:proofErr w:type="spellEnd"/>
      <w:r w:rsidRPr="00A65F17">
        <w:rPr>
          <w:rFonts w:ascii="Times New Roman" w:hAnsi="Times New Roman" w:cs="Times New Roman"/>
          <w:i w:val="0"/>
          <w:iCs w:val="0"/>
          <w:sz w:val="24"/>
          <w:szCs w:val="24"/>
        </w:rPr>
        <w:t xml:space="preserve"> 2014 Comparative Analysis of The Performance of Conventional Equity Fund and Syariah Equity Fund Using Sharpe, Treynor, And Jensen Method In 2014. </w:t>
      </w:r>
      <w:r w:rsidRPr="00A65F17">
        <w:rPr>
          <w:rFonts w:ascii="Times New Roman" w:hAnsi="Times New Roman" w:cs="Times New Roman"/>
          <w:sz w:val="24"/>
          <w:szCs w:val="24"/>
        </w:rPr>
        <w:t>e-Proceeding of Management</w:t>
      </w:r>
      <w:r w:rsidR="007269EC" w:rsidRPr="00A65F17">
        <w:rPr>
          <w:rFonts w:ascii="Times New Roman" w:hAnsi="Times New Roman" w:cs="Times New Roman"/>
          <w:i w:val="0"/>
          <w:iCs w:val="0"/>
          <w:sz w:val="24"/>
          <w:szCs w:val="24"/>
        </w:rPr>
        <w:t>,</w:t>
      </w:r>
      <w:r w:rsidRPr="00A65F17">
        <w:rPr>
          <w:rFonts w:ascii="Times New Roman" w:hAnsi="Times New Roman" w:cs="Times New Roman"/>
          <w:i w:val="0"/>
          <w:iCs w:val="0"/>
          <w:sz w:val="24"/>
          <w:szCs w:val="24"/>
        </w:rPr>
        <w:t xml:space="preserve"> </w:t>
      </w:r>
      <w:r w:rsidR="007269EC" w:rsidRPr="00A65F17">
        <w:rPr>
          <w:rFonts w:ascii="Times New Roman" w:hAnsi="Times New Roman" w:cs="Times New Roman"/>
          <w:i w:val="0"/>
          <w:iCs w:val="0"/>
          <w:sz w:val="24"/>
          <w:szCs w:val="24"/>
        </w:rPr>
        <w:t xml:space="preserve">2(2), </w:t>
      </w:r>
      <w:r w:rsidRPr="00A65F17">
        <w:rPr>
          <w:rFonts w:ascii="Times New Roman" w:hAnsi="Times New Roman" w:cs="Times New Roman"/>
          <w:i w:val="0"/>
          <w:iCs w:val="0"/>
          <w:sz w:val="24"/>
          <w:szCs w:val="24"/>
        </w:rPr>
        <w:t>1428-1435.</w:t>
      </w:r>
    </w:p>
    <w:p w14:paraId="7F044BDA" w14:textId="48D04AA1" w:rsidR="008D372C" w:rsidRPr="00A65F17" w:rsidRDefault="008D372C" w:rsidP="008D372C">
      <w:pPr>
        <w:spacing w:after="0" w:line="240" w:lineRule="auto"/>
        <w:ind w:left="720" w:right="227" w:hanging="720"/>
        <w:jc w:val="both"/>
        <w:rPr>
          <w:rFonts w:ascii="Times New Roman" w:hAnsi="Times New Roman" w:cs="Times New Roman"/>
          <w:i w:val="0"/>
          <w:iCs w:val="0"/>
          <w:sz w:val="24"/>
          <w:szCs w:val="24"/>
        </w:rPr>
      </w:pPr>
      <w:proofErr w:type="spellStart"/>
      <w:r w:rsidRPr="00A65F17">
        <w:rPr>
          <w:rFonts w:ascii="Times New Roman" w:hAnsi="Times New Roman" w:cs="Times New Roman"/>
          <w:i w:val="0"/>
          <w:iCs w:val="0"/>
          <w:sz w:val="24"/>
          <w:szCs w:val="24"/>
        </w:rPr>
        <w:t>Sarker</w:t>
      </w:r>
      <w:proofErr w:type="spellEnd"/>
      <w:r w:rsidRPr="00A65F17">
        <w:rPr>
          <w:rFonts w:ascii="Times New Roman" w:hAnsi="Times New Roman" w:cs="Times New Roman"/>
          <w:i w:val="0"/>
          <w:iCs w:val="0"/>
          <w:sz w:val="24"/>
          <w:szCs w:val="24"/>
        </w:rPr>
        <w:t xml:space="preserve">, R.M. (2015). Comparison among Different Models in Determining Optimal Portfolio: Evidence from Dhaka Stock Exchange in Bangladesh. </w:t>
      </w:r>
      <w:r w:rsidRPr="00A65F17">
        <w:rPr>
          <w:rFonts w:ascii="Times New Roman" w:hAnsi="Times New Roman" w:cs="Times New Roman"/>
          <w:sz w:val="24"/>
          <w:szCs w:val="24"/>
        </w:rPr>
        <w:t>Journal of Business Studies</w:t>
      </w:r>
      <w:r w:rsidRPr="00A65F17">
        <w:rPr>
          <w:rFonts w:ascii="Times New Roman" w:hAnsi="Times New Roman" w:cs="Times New Roman"/>
          <w:i w:val="0"/>
          <w:iCs w:val="0"/>
          <w:sz w:val="24"/>
          <w:szCs w:val="24"/>
        </w:rPr>
        <w:t xml:space="preserve">, </w:t>
      </w:r>
      <w:r w:rsidR="007269EC" w:rsidRPr="00A65F17">
        <w:rPr>
          <w:rFonts w:ascii="Times New Roman" w:hAnsi="Times New Roman" w:cs="Times New Roman"/>
          <w:i w:val="0"/>
          <w:iCs w:val="0"/>
          <w:sz w:val="24"/>
          <w:szCs w:val="24"/>
        </w:rPr>
        <w:t>36(3)</w:t>
      </w:r>
      <w:r w:rsidRPr="00A65F17">
        <w:rPr>
          <w:rFonts w:ascii="Times New Roman" w:hAnsi="Times New Roman" w:cs="Times New Roman"/>
          <w:i w:val="0"/>
          <w:iCs w:val="0"/>
          <w:sz w:val="24"/>
          <w:szCs w:val="24"/>
        </w:rPr>
        <w:t>, 39-56.</w:t>
      </w:r>
    </w:p>
    <w:p w14:paraId="62DEF76F" w14:textId="77777777" w:rsidR="008D372C" w:rsidRPr="00A65F17" w:rsidRDefault="008D372C" w:rsidP="008D372C">
      <w:pPr>
        <w:spacing w:after="0" w:line="240" w:lineRule="auto"/>
        <w:ind w:left="720" w:hanging="720"/>
        <w:jc w:val="both"/>
        <w:rPr>
          <w:rFonts w:ascii="Times New Roman" w:eastAsia="Times New Roman" w:hAnsi="Times New Roman" w:cs="Times New Roman"/>
          <w:i w:val="0"/>
          <w:iCs w:val="0"/>
          <w:sz w:val="24"/>
          <w:szCs w:val="24"/>
        </w:rPr>
      </w:pPr>
      <w:r w:rsidRPr="00A65F17">
        <w:rPr>
          <w:rFonts w:ascii="Times New Roman" w:eastAsia="Times New Roman" w:hAnsi="Times New Roman" w:cs="Times New Roman"/>
          <w:i w:val="0"/>
          <w:iCs w:val="0"/>
          <w:sz w:val="24"/>
          <w:szCs w:val="24"/>
        </w:rPr>
        <w:t xml:space="preserve">Sharpe, W. F. (1994). The Sharpe Ratio. </w:t>
      </w:r>
      <w:r w:rsidRPr="00A65F17">
        <w:rPr>
          <w:rFonts w:ascii="Times New Roman" w:eastAsia="Times New Roman" w:hAnsi="Times New Roman" w:cs="Times New Roman"/>
          <w:sz w:val="24"/>
          <w:szCs w:val="24"/>
        </w:rPr>
        <w:t>The Journal of Portfolio Management</w:t>
      </w:r>
      <w:r w:rsidRPr="00A65F17">
        <w:rPr>
          <w:rFonts w:ascii="Times New Roman" w:eastAsia="Times New Roman" w:hAnsi="Times New Roman" w:cs="Times New Roman"/>
          <w:i w:val="0"/>
          <w:iCs w:val="0"/>
          <w:sz w:val="24"/>
          <w:szCs w:val="24"/>
        </w:rPr>
        <w:t>, 21(1), 49–58.</w:t>
      </w:r>
    </w:p>
    <w:p w14:paraId="00CF250C" w14:textId="15462CC4" w:rsidR="003723E1" w:rsidRPr="00A65F17" w:rsidRDefault="007269EC" w:rsidP="008D372C">
      <w:pPr>
        <w:pStyle w:val="p0"/>
        <w:ind w:left="811" w:hanging="811"/>
        <w:jc w:val="both"/>
      </w:pPr>
      <w:r w:rsidRPr="00A65F17">
        <w:t xml:space="preserve">Wang, H., Di, J., Yang, Z., &amp; Han, Q. (2019). Assessment of </w:t>
      </w:r>
      <w:r w:rsidR="00501EBF" w:rsidRPr="00A65F17">
        <w:t xml:space="preserve">Mutual Fund Performance Based </w:t>
      </w:r>
      <w:r w:rsidRPr="00A65F17">
        <w:t xml:space="preserve">on Ensemble Empirical Mode Decomposition. </w:t>
      </w:r>
      <w:proofErr w:type="spellStart"/>
      <w:r w:rsidRPr="00A65F17">
        <w:rPr>
          <w:i/>
          <w:iCs/>
        </w:rPr>
        <w:t>Physica</w:t>
      </w:r>
      <w:proofErr w:type="spellEnd"/>
      <w:r w:rsidRPr="00A65F17">
        <w:rPr>
          <w:i/>
          <w:iCs/>
        </w:rPr>
        <w:t xml:space="preserve"> A: Statistical Mechanics and Its Applications</w:t>
      </w:r>
      <w:r w:rsidRPr="00A65F17">
        <w:t xml:space="preserve">, </w:t>
      </w:r>
      <w:r w:rsidR="008D372C" w:rsidRPr="00A65F17">
        <w:t>1-13</w:t>
      </w:r>
      <w:r w:rsidR="003723E1" w:rsidRPr="00A65F17">
        <w:t>.</w:t>
      </w:r>
      <w:r w:rsidRPr="00A65F17">
        <w:t xml:space="preserve"> </w:t>
      </w:r>
      <w:r w:rsidR="00CF04E1" w:rsidRPr="00A65F17">
        <w:t>DOI</w:t>
      </w:r>
      <w:r w:rsidRPr="00A65F17">
        <w:t>:10.1016/j.physa.2019.122804</w:t>
      </w:r>
    </w:p>
    <w:sectPr w:rsidR="003723E1" w:rsidRPr="00A65F17" w:rsidSect="0041789E">
      <w:headerReference w:type="even" r:id="rId21"/>
      <w:headerReference w:type="default" r:id="rId22"/>
      <w:footerReference w:type="even" r:id="rId23"/>
      <w:footerReference w:type="default" r:id="rId24"/>
      <w:headerReference w:type="first" r:id="rId25"/>
      <w:footerReference w:type="first" r:id="rId26"/>
      <w:pgSz w:w="11906" w:h="16838" w:code="9"/>
      <w:pgMar w:top="1701" w:right="1418" w:bottom="1701" w:left="1418" w:header="709" w:footer="567" w:gutter="0"/>
      <w:pgNumType w:start="52"/>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1764" w14:textId="77777777" w:rsidR="00034560" w:rsidRDefault="00034560">
      <w:pPr>
        <w:spacing w:after="0" w:line="240" w:lineRule="auto"/>
      </w:pPr>
      <w:r>
        <w:separator/>
      </w:r>
    </w:p>
  </w:endnote>
  <w:endnote w:type="continuationSeparator" w:id="0">
    <w:p w14:paraId="12FD4109" w14:textId="77777777" w:rsidR="00034560" w:rsidRDefault="0003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B16FCC" w:rsidRPr="00EF7480" w14:paraId="5BC8C780" w14:textId="77777777" w:rsidTr="00C769AA">
      <w:trPr>
        <w:jc w:val="center"/>
      </w:trPr>
      <w:tc>
        <w:tcPr>
          <w:tcW w:w="414" w:type="pct"/>
          <w:vAlign w:val="center"/>
        </w:tcPr>
        <w:p w14:paraId="4756A41E" w14:textId="77777777" w:rsidR="00B16FCC" w:rsidRPr="00EF7480" w:rsidRDefault="0003456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B16FCC" w:rsidRPr="00EF7480">
                <w:rPr>
                  <w:rFonts w:ascii="Tahoma" w:hAnsi="Tahoma" w:cs="Tahoma"/>
                  <w:b/>
                  <w:bCs/>
                  <w:i w:val="0"/>
                  <w:iCs w:val="0"/>
                  <w:sz w:val="24"/>
                  <w:szCs w:val="24"/>
                </w:rPr>
                <w:fldChar w:fldCharType="begin"/>
              </w:r>
              <w:r w:rsidR="00B16FCC" w:rsidRPr="00EF7480">
                <w:rPr>
                  <w:rFonts w:ascii="Tahoma" w:hAnsi="Tahoma" w:cs="Tahoma"/>
                  <w:b/>
                  <w:bCs/>
                  <w:i w:val="0"/>
                  <w:iCs w:val="0"/>
                  <w:sz w:val="24"/>
                  <w:szCs w:val="24"/>
                </w:rPr>
                <w:instrText xml:space="preserve"> PAGE   \* MERGEFORMAT </w:instrText>
              </w:r>
              <w:r w:rsidR="00B16FCC" w:rsidRPr="00EF7480">
                <w:rPr>
                  <w:rFonts w:ascii="Tahoma" w:hAnsi="Tahoma" w:cs="Tahoma"/>
                  <w:b/>
                  <w:bCs/>
                  <w:i w:val="0"/>
                  <w:iCs w:val="0"/>
                  <w:sz w:val="24"/>
                  <w:szCs w:val="24"/>
                </w:rPr>
                <w:fldChar w:fldCharType="separate"/>
              </w:r>
              <w:r w:rsidR="00B16FCC">
                <w:rPr>
                  <w:rFonts w:ascii="Tahoma" w:hAnsi="Tahoma" w:cs="Tahoma"/>
                  <w:b/>
                  <w:bCs/>
                  <w:i w:val="0"/>
                  <w:iCs w:val="0"/>
                  <w:noProof/>
                  <w:sz w:val="24"/>
                  <w:szCs w:val="24"/>
                </w:rPr>
                <w:t>6</w:t>
              </w:r>
              <w:r w:rsidR="00B16FCC"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B16FCC" w:rsidRPr="00EF7480" w:rsidRDefault="00B16FCC"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B16FCC" w:rsidRPr="00EF7480" w:rsidRDefault="00B16FCC"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B16FCC" w14:paraId="0519B44F" w14:textId="77777777" w:rsidTr="00C769AA">
      <w:trPr>
        <w:jc w:val="center"/>
      </w:trPr>
      <w:tc>
        <w:tcPr>
          <w:tcW w:w="4587" w:type="pct"/>
          <w:vAlign w:val="center"/>
        </w:tcPr>
        <w:p w14:paraId="7E9926D8" w14:textId="0C536C82" w:rsidR="00B16FCC" w:rsidRPr="00EF7480" w:rsidRDefault="0003456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B16FCC" w:rsidRPr="00EF7480">
                <w:rPr>
                  <w:rFonts w:ascii="Arial Narrow" w:hAnsi="Arial Narrow"/>
                  <w:b/>
                  <w:i w:val="0"/>
                  <w:iCs w:val="0"/>
                </w:rPr>
                <w:t>http://dx.doi.org/</w:t>
              </w:r>
              <w:r w:rsidR="00B16FCC" w:rsidRPr="00E80419">
                <w:rPr>
                  <w:rFonts w:ascii="Arial Narrow" w:hAnsi="Arial Narrow"/>
                  <w:b/>
                  <w:i w:val="0"/>
                  <w:iCs w:val="0"/>
                </w:rPr>
                <w:t>10.22441/indikator.v5i1.11239</w:t>
              </w:r>
            </w:sdtContent>
          </w:sdt>
        </w:p>
      </w:tc>
      <w:tc>
        <w:tcPr>
          <w:tcW w:w="413" w:type="pct"/>
          <w:vAlign w:val="center"/>
        </w:tcPr>
        <w:p w14:paraId="54741A17" w14:textId="77777777" w:rsidR="00B16FCC" w:rsidRPr="00EF7480" w:rsidRDefault="0003456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B16FCC" w:rsidRPr="00EF7480">
                <w:rPr>
                  <w:rFonts w:ascii="Tahoma" w:hAnsi="Tahoma" w:cs="Tahoma"/>
                  <w:b/>
                  <w:bCs/>
                  <w:i w:val="0"/>
                  <w:iCs w:val="0"/>
                  <w:sz w:val="24"/>
                  <w:szCs w:val="24"/>
                </w:rPr>
                <w:fldChar w:fldCharType="begin"/>
              </w:r>
              <w:r w:rsidR="00B16FCC" w:rsidRPr="00EF7480">
                <w:rPr>
                  <w:rFonts w:ascii="Tahoma" w:hAnsi="Tahoma" w:cs="Tahoma"/>
                  <w:b/>
                  <w:bCs/>
                  <w:i w:val="0"/>
                  <w:iCs w:val="0"/>
                  <w:sz w:val="24"/>
                  <w:szCs w:val="24"/>
                </w:rPr>
                <w:instrText xml:space="preserve"> PAGE   \* MERGEFORMAT </w:instrText>
              </w:r>
              <w:r w:rsidR="00B16FCC" w:rsidRPr="00EF7480">
                <w:rPr>
                  <w:rFonts w:ascii="Tahoma" w:hAnsi="Tahoma" w:cs="Tahoma"/>
                  <w:b/>
                  <w:bCs/>
                  <w:i w:val="0"/>
                  <w:iCs w:val="0"/>
                  <w:sz w:val="24"/>
                  <w:szCs w:val="24"/>
                </w:rPr>
                <w:fldChar w:fldCharType="separate"/>
              </w:r>
              <w:r w:rsidR="00B16FCC">
                <w:rPr>
                  <w:rFonts w:ascii="Tahoma" w:hAnsi="Tahoma" w:cs="Tahoma"/>
                  <w:b/>
                  <w:bCs/>
                  <w:i w:val="0"/>
                  <w:iCs w:val="0"/>
                  <w:noProof/>
                  <w:sz w:val="24"/>
                  <w:szCs w:val="24"/>
                </w:rPr>
                <w:t>7</w:t>
              </w:r>
              <w:r w:rsidR="00B16FCC" w:rsidRPr="00EF7480">
                <w:rPr>
                  <w:rFonts w:ascii="Tahoma" w:hAnsi="Tahoma" w:cs="Tahoma"/>
                  <w:b/>
                  <w:bCs/>
                  <w:i w:val="0"/>
                  <w:iCs w:val="0"/>
                  <w:noProof/>
                  <w:sz w:val="24"/>
                  <w:szCs w:val="24"/>
                </w:rPr>
                <w:fldChar w:fldCharType="end"/>
              </w:r>
            </w:sdtContent>
          </w:sdt>
        </w:p>
      </w:tc>
    </w:tr>
  </w:tbl>
  <w:p w14:paraId="4626E6E8" w14:textId="77777777" w:rsidR="00B16FCC" w:rsidRPr="00750B04" w:rsidRDefault="00B16FCC"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B16FCC" w14:paraId="2A94ADC4" w14:textId="77777777" w:rsidTr="00BC34C3">
      <w:trPr>
        <w:trHeight w:val="284"/>
        <w:jc w:val="center"/>
      </w:trPr>
      <w:tc>
        <w:tcPr>
          <w:tcW w:w="4587" w:type="pct"/>
          <w:shd w:val="clear" w:color="auto" w:fill="auto"/>
          <w:vAlign w:val="center"/>
        </w:tcPr>
        <w:p w14:paraId="21582184" w14:textId="2101C7D5" w:rsidR="00B16FCC" w:rsidRPr="00FD5BDB" w:rsidRDefault="00B16FCC"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413" w:type="pct"/>
          <w:shd w:val="clear" w:color="auto" w:fill="auto"/>
          <w:vAlign w:val="center"/>
        </w:tcPr>
        <w:p w14:paraId="4D0A98CC" w14:textId="77777777" w:rsidR="00B16FCC" w:rsidRPr="00FD5BDB" w:rsidRDefault="00B16FCC"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B16FCC" w:rsidRPr="00750B04" w:rsidRDefault="00B16FCC"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5FC5" w14:textId="77777777" w:rsidR="00034560" w:rsidRDefault="00034560">
      <w:pPr>
        <w:spacing w:after="0" w:line="240" w:lineRule="auto"/>
      </w:pPr>
      <w:r>
        <w:separator/>
      </w:r>
    </w:p>
  </w:footnote>
  <w:footnote w:type="continuationSeparator" w:id="0">
    <w:p w14:paraId="33CD7604" w14:textId="77777777" w:rsidR="00034560" w:rsidRDefault="0003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B16FCC"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28A00675" w:rsidR="00B16FCC" w:rsidRPr="00EF7480" w:rsidRDefault="00B16FCC" w:rsidP="00D50408">
              <w:pPr>
                <w:pStyle w:val="Footer"/>
                <w:tabs>
                  <w:tab w:val="center" w:pos="1171"/>
                  <w:tab w:val="right" w:pos="7260"/>
                </w:tabs>
                <w:spacing w:after="0" w:line="240" w:lineRule="auto"/>
                <w:jc w:val="both"/>
                <w:rPr>
                  <w:rFonts w:ascii="Tahoma" w:hAnsi="Tahoma" w:cs="Tahoma"/>
                  <w:i w:val="0"/>
                  <w:iCs w:val="0"/>
                </w:rPr>
              </w:pPr>
              <w:r>
                <w:tab/>
              </w:r>
              <w:r>
                <w:rPr>
                  <w:noProof/>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Pr="00F46C80">
                <w:rPr>
                  <w:rFonts w:ascii="Arial Narrow" w:hAnsi="Arial Narrow" w:cs="Tahoma"/>
                  <w:b/>
                  <w:i w:val="0"/>
                  <w:iCs w:val="0"/>
                  <w:lang w:val="id-ID"/>
                </w:rPr>
                <w:t xml:space="preserve"> </w:t>
              </w:r>
              <w:r>
                <w:rPr>
                  <w:rFonts w:ascii="Arial Narrow" w:hAnsi="Arial Narrow" w:cs="Tahoma"/>
                  <w:b/>
                  <w:i w:val="0"/>
                  <w:iCs w:val="0"/>
                </w:rPr>
                <w:t xml:space="preserve">  </w:t>
              </w:r>
              <w:r w:rsidR="00A8587D">
                <w:rPr>
                  <w:rFonts w:ascii="Arial Narrow" w:hAnsi="Arial Narrow" w:cs="Tahoma"/>
                  <w:b/>
                  <w:i w:val="0"/>
                  <w:iCs w:val="0"/>
                </w:rPr>
                <w:t xml:space="preserve">                 </w:t>
              </w:r>
              <w:r>
                <w:rPr>
                  <w:rFonts w:ascii="Arial Narrow" w:hAnsi="Arial Narrow" w:cs="Tahoma"/>
                  <w:b/>
                  <w:i w:val="0"/>
                  <w:iCs w:val="0"/>
                </w:rP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Pr>
                  <w:rFonts w:ascii="Arial Narrow" w:hAnsi="Arial Narrow" w:cs="Tahoma"/>
                  <w:b/>
                  <w:i w:val="0"/>
                  <w:iCs w:val="0"/>
                </w:rPr>
                <w:t>1</w:t>
              </w:r>
              <w:r w:rsidR="00A8587D">
                <w:rPr>
                  <w:rFonts w:ascii="Arial Narrow" w:hAnsi="Arial Narrow" w:cs="Tahoma"/>
                  <w:b/>
                  <w:i w:val="0"/>
                  <w:iCs w:val="0"/>
                </w:rPr>
                <w:t xml:space="preserve">, </w:t>
              </w:r>
              <w:proofErr w:type="gramStart"/>
              <w:r>
                <w:rPr>
                  <w:rFonts w:ascii="Arial Narrow" w:hAnsi="Arial Narrow" w:cs="Tahoma"/>
                  <w:b/>
                  <w:i w:val="0"/>
                  <w:iCs w:val="0"/>
                </w:rPr>
                <w:t xml:space="preserve">January </w:t>
              </w:r>
              <w:r w:rsidRPr="00F46C80">
                <w:rPr>
                  <w:rFonts w:ascii="Arial Narrow" w:hAnsi="Arial Narrow" w:cs="Tahoma"/>
                  <w:b/>
                  <w:i w:val="0"/>
                  <w:iCs w:val="0"/>
                  <w:lang w:val="id-ID"/>
                </w:rPr>
                <w:t xml:space="preserve"> 20</w:t>
              </w:r>
              <w:r>
                <w:rPr>
                  <w:rFonts w:ascii="Arial Narrow" w:hAnsi="Arial Narrow" w:cs="Tahoma"/>
                  <w:b/>
                  <w:i w:val="0"/>
                  <w:iCs w:val="0"/>
                </w:rPr>
                <w:t>22</w:t>
              </w:r>
              <w:proofErr w:type="gramEnd"/>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B16FCC" w:rsidRDefault="00B16FCC"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522D9958" w14:textId="3AE82C6D" w:rsidR="00B16FCC" w:rsidRPr="00EF7480" w:rsidRDefault="00B16FCC"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Pr="001A18F9">
                <w:rPr>
                  <w:rFonts w:ascii="Arial Narrow" w:hAnsi="Arial Narrow"/>
                  <w:b/>
                  <w:i w:val="0"/>
                </w:rPr>
                <w:t xml:space="preserve"> 2598-4888</w:t>
              </w:r>
            </w:p>
          </w:sdtContent>
        </w:sdt>
      </w:tc>
    </w:tr>
  </w:tbl>
  <w:p w14:paraId="26380E34" w14:textId="77777777" w:rsidR="00B16FCC" w:rsidRPr="007F4CA7" w:rsidRDefault="00B16FCC"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B16FCC"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49DFD7A9" w:rsidR="00B16FCC" w:rsidRPr="00EF7480" w:rsidRDefault="00B16FCC" w:rsidP="00D50408">
              <w:pPr>
                <w:pStyle w:val="Footer"/>
                <w:tabs>
                  <w:tab w:val="center" w:pos="1171"/>
                  <w:tab w:val="right" w:pos="7260"/>
                </w:tabs>
                <w:spacing w:after="0" w:line="240" w:lineRule="auto"/>
                <w:jc w:val="both"/>
                <w:rPr>
                  <w:rFonts w:ascii="Tahoma" w:hAnsi="Tahoma" w:cs="Tahoma"/>
                  <w:i w:val="0"/>
                  <w:iCs w:val="0"/>
                </w:rPr>
              </w:pPr>
              <w:r>
                <w:tab/>
              </w:r>
              <w:r>
                <w:rPr>
                  <w:noProof/>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00A8587D">
                <w:t xml:space="preserve">                         </w:t>
              </w:r>
              <w: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proofErr w:type="gramStart"/>
              <w:r>
                <w:rPr>
                  <w:rFonts w:ascii="Arial Narrow" w:hAnsi="Arial Narrow" w:cs="Tahoma"/>
                  <w:b/>
                  <w:i w:val="0"/>
                  <w:iCs w:val="0"/>
                </w:rPr>
                <w:t>1</w:t>
              </w:r>
              <w:r w:rsidR="00A8587D">
                <w:rPr>
                  <w:rFonts w:ascii="Arial Narrow" w:hAnsi="Arial Narrow" w:cs="Tahoma"/>
                  <w:b/>
                  <w:i w:val="0"/>
                  <w:iCs w:val="0"/>
                </w:rPr>
                <w:t xml:space="preserve">,  </w:t>
              </w:r>
              <w:r>
                <w:rPr>
                  <w:rFonts w:ascii="Arial Narrow" w:hAnsi="Arial Narrow" w:cs="Tahoma"/>
                  <w:b/>
                  <w:i w:val="0"/>
                  <w:iCs w:val="0"/>
                </w:rPr>
                <w:t>January</w:t>
              </w:r>
              <w:proofErr w:type="gramEnd"/>
              <w:r>
                <w:rPr>
                  <w:rFonts w:ascii="Arial Narrow" w:hAnsi="Arial Narrow" w:cs="Tahoma"/>
                  <w:b/>
                  <w:i w:val="0"/>
                  <w:iCs w:val="0"/>
                </w:rPr>
                <w:t xml:space="preserve"> </w:t>
              </w:r>
              <w:r w:rsidRPr="00F46C80">
                <w:rPr>
                  <w:rFonts w:ascii="Arial Narrow" w:hAnsi="Arial Narrow" w:cs="Tahoma"/>
                  <w:b/>
                  <w:i w:val="0"/>
                  <w:iCs w:val="0"/>
                  <w:lang w:val="id-ID"/>
                </w:rPr>
                <w:t xml:space="preserve"> 20</w:t>
              </w:r>
              <w:r>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B16FCC" w:rsidRDefault="00B16FCC"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B16FCC" w:rsidRPr="001A18F9" w:rsidRDefault="00B16FCC"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B16FCC" w:rsidRPr="007F4CA7" w:rsidRDefault="00B16FCC"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B16FCC"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6F58932E" w:rsidR="00B16FCC" w:rsidRPr="00E92575" w:rsidRDefault="00B16FCC" w:rsidP="00E92575">
              <w:pPr>
                <w:pStyle w:val="Header"/>
                <w:tabs>
                  <w:tab w:val="clear" w:pos="4513"/>
                  <w:tab w:val="clear" w:pos="9026"/>
                  <w:tab w:val="center" w:pos="1171"/>
                  <w:tab w:val="right" w:pos="9070"/>
                </w:tabs>
                <w:spacing w:after="0" w:line="240" w:lineRule="auto"/>
                <w:jc w:val="both"/>
              </w:pPr>
              <w:r>
                <w:tab/>
              </w:r>
              <w:r>
                <w:rPr>
                  <w:noProof/>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00A8587D">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proofErr w:type="gramStart"/>
              <w:r>
                <w:rPr>
                  <w:rFonts w:ascii="Arial Narrow" w:hAnsi="Arial Narrow" w:cs="Tahoma"/>
                  <w:b/>
                  <w:i w:val="0"/>
                  <w:iCs w:val="0"/>
                </w:rPr>
                <w:t>1</w:t>
              </w:r>
              <w:r w:rsidR="00A8587D">
                <w:rPr>
                  <w:rFonts w:ascii="Arial Narrow" w:hAnsi="Arial Narrow" w:cs="Tahoma"/>
                  <w:b/>
                  <w:i w:val="0"/>
                  <w:iCs w:val="0"/>
                </w:rPr>
                <w:t xml:space="preserve">, </w:t>
              </w:r>
              <w:r>
                <w:rPr>
                  <w:rFonts w:ascii="Arial Narrow" w:hAnsi="Arial Narrow" w:cs="Tahoma"/>
                  <w:b/>
                  <w:i w:val="0"/>
                  <w:iCs w:val="0"/>
                  <w:lang w:val="id-ID"/>
                </w:rPr>
                <w:t xml:space="preserve"> </w:t>
              </w:r>
              <w:r w:rsidRPr="00E80419">
                <w:rPr>
                  <w:rFonts w:ascii="Arial Narrow" w:hAnsi="Arial Narrow" w:cs="Tahoma"/>
                  <w:b/>
                  <w:i w:val="0"/>
                  <w:iCs w:val="0"/>
                </w:rPr>
                <w:t>January</w:t>
              </w:r>
              <w:proofErr w:type="gramEnd"/>
              <w:r w:rsidRPr="00E80419">
                <w:rPr>
                  <w:rFonts w:ascii="Arial Narrow" w:hAnsi="Arial Narrow" w:cs="Tahoma"/>
                  <w:b/>
                  <w:i w:val="0"/>
                  <w:iCs w:val="0"/>
                </w:rPr>
                <w:t xml:space="preserve"> </w:t>
              </w:r>
              <w:r w:rsidRPr="00E80419">
                <w:rPr>
                  <w:rFonts w:ascii="Arial Narrow" w:hAnsi="Arial Narrow" w:cs="Tahoma"/>
                  <w:b/>
                  <w:i w:val="0"/>
                  <w:iCs w:val="0"/>
                  <w:lang w:val="id-ID"/>
                </w:rPr>
                <w:t xml:space="preserve"> 20</w:t>
              </w:r>
              <w:r w:rsidRPr="00E80419">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B16FCC" w:rsidRDefault="00B16FCC"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r w:rsidRPr="007B70B1">
                <w:rPr>
                  <w:rFonts w:ascii="Arial Narrow" w:hAnsi="Arial Narrow"/>
                  <w:b/>
                  <w:i w:val="0"/>
                </w:rPr>
                <w:t xml:space="preserve"> </w:t>
              </w:r>
            </w:p>
            <w:p w14:paraId="4729069C" w14:textId="4D4A38C2" w:rsidR="00B16FCC" w:rsidRPr="00EF7480" w:rsidRDefault="00B16FCC"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Pr="001A18F9">
                <w:rPr>
                  <w:rFonts w:ascii="Arial Narrow" w:hAnsi="Arial Narrow"/>
                  <w:b/>
                  <w:i w:val="0"/>
                </w:rPr>
                <w:t>2598-4888</w:t>
              </w:r>
            </w:p>
          </w:sdtContent>
        </w:sdt>
      </w:tc>
    </w:tr>
  </w:tbl>
  <w:p w14:paraId="7C7D64C1" w14:textId="77777777" w:rsidR="00B16FCC" w:rsidRPr="00E92575" w:rsidRDefault="00B16FCC"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15:restartNumberingAfterBreak="0">
    <w:nsid w:val="3CD56530"/>
    <w:multiLevelType w:val="hybridMultilevel"/>
    <w:tmpl w:val="68F2A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21"/>
  </w:num>
  <w:num w:numId="4">
    <w:abstractNumId w:val="22"/>
  </w:num>
  <w:num w:numId="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0MjYyMzcxsjAwMTFS0lEKTi0uzszPAykwrAUA4wBNlCwAAAA="/>
  </w:docVars>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4560"/>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5E87"/>
    <w:rsid w:val="00077797"/>
    <w:rsid w:val="00081140"/>
    <w:rsid w:val="00083960"/>
    <w:rsid w:val="00086A3D"/>
    <w:rsid w:val="00086EB6"/>
    <w:rsid w:val="00087EFF"/>
    <w:rsid w:val="000922D1"/>
    <w:rsid w:val="0009280F"/>
    <w:rsid w:val="00095B51"/>
    <w:rsid w:val="00096854"/>
    <w:rsid w:val="000A123C"/>
    <w:rsid w:val="000A6B7D"/>
    <w:rsid w:val="000A7DE1"/>
    <w:rsid w:val="000A7FC2"/>
    <w:rsid w:val="000B00B0"/>
    <w:rsid w:val="000B1BF9"/>
    <w:rsid w:val="000B2D14"/>
    <w:rsid w:val="000B3213"/>
    <w:rsid w:val="000C2A6A"/>
    <w:rsid w:val="000C3E7D"/>
    <w:rsid w:val="000C4F78"/>
    <w:rsid w:val="000C588F"/>
    <w:rsid w:val="000D05FD"/>
    <w:rsid w:val="000D7EB9"/>
    <w:rsid w:val="000E4F48"/>
    <w:rsid w:val="000F03B4"/>
    <w:rsid w:val="000F3870"/>
    <w:rsid w:val="000F3D98"/>
    <w:rsid w:val="000F4BAA"/>
    <w:rsid w:val="000F4DEE"/>
    <w:rsid w:val="00102FC7"/>
    <w:rsid w:val="00106191"/>
    <w:rsid w:val="00110BDE"/>
    <w:rsid w:val="00113416"/>
    <w:rsid w:val="00113FE5"/>
    <w:rsid w:val="00114875"/>
    <w:rsid w:val="0011638A"/>
    <w:rsid w:val="001173F2"/>
    <w:rsid w:val="00124A6E"/>
    <w:rsid w:val="00127046"/>
    <w:rsid w:val="00136B06"/>
    <w:rsid w:val="00137AFC"/>
    <w:rsid w:val="00141B33"/>
    <w:rsid w:val="00145302"/>
    <w:rsid w:val="00147305"/>
    <w:rsid w:val="001532AD"/>
    <w:rsid w:val="00155D5C"/>
    <w:rsid w:val="00161B11"/>
    <w:rsid w:val="001745FA"/>
    <w:rsid w:val="00176658"/>
    <w:rsid w:val="00177799"/>
    <w:rsid w:val="001804E4"/>
    <w:rsid w:val="001816EE"/>
    <w:rsid w:val="001936B7"/>
    <w:rsid w:val="00193F21"/>
    <w:rsid w:val="00196C2F"/>
    <w:rsid w:val="001A18F9"/>
    <w:rsid w:val="001B0ED3"/>
    <w:rsid w:val="001B3357"/>
    <w:rsid w:val="001B453F"/>
    <w:rsid w:val="001B4DE4"/>
    <w:rsid w:val="001C6BBE"/>
    <w:rsid w:val="001C7693"/>
    <w:rsid w:val="001C7CA1"/>
    <w:rsid w:val="001E4A6A"/>
    <w:rsid w:val="001F0084"/>
    <w:rsid w:val="002100EB"/>
    <w:rsid w:val="0021047B"/>
    <w:rsid w:val="002106D9"/>
    <w:rsid w:val="00214A9A"/>
    <w:rsid w:val="00217FAE"/>
    <w:rsid w:val="0023054B"/>
    <w:rsid w:val="0024017D"/>
    <w:rsid w:val="00240804"/>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5DEB"/>
    <w:rsid w:val="002B74AF"/>
    <w:rsid w:val="002C0037"/>
    <w:rsid w:val="002C3E7C"/>
    <w:rsid w:val="002C402F"/>
    <w:rsid w:val="002D080C"/>
    <w:rsid w:val="002D5C52"/>
    <w:rsid w:val="002E1197"/>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723E1"/>
    <w:rsid w:val="00380B3F"/>
    <w:rsid w:val="00386C14"/>
    <w:rsid w:val="00387F4C"/>
    <w:rsid w:val="003913B1"/>
    <w:rsid w:val="003925BF"/>
    <w:rsid w:val="00392CFA"/>
    <w:rsid w:val="00394770"/>
    <w:rsid w:val="003961BA"/>
    <w:rsid w:val="003976AB"/>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1789E"/>
    <w:rsid w:val="00422203"/>
    <w:rsid w:val="004231A8"/>
    <w:rsid w:val="0043022B"/>
    <w:rsid w:val="00433EAB"/>
    <w:rsid w:val="00436697"/>
    <w:rsid w:val="00444014"/>
    <w:rsid w:val="00444348"/>
    <w:rsid w:val="00451D2D"/>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7CB"/>
    <w:rsid w:val="004E2C75"/>
    <w:rsid w:val="004E3390"/>
    <w:rsid w:val="004E47F5"/>
    <w:rsid w:val="004E6798"/>
    <w:rsid w:val="004F0385"/>
    <w:rsid w:val="004F640D"/>
    <w:rsid w:val="00501EBF"/>
    <w:rsid w:val="005042FC"/>
    <w:rsid w:val="005108DB"/>
    <w:rsid w:val="00516B50"/>
    <w:rsid w:val="00524A50"/>
    <w:rsid w:val="00526576"/>
    <w:rsid w:val="00527B79"/>
    <w:rsid w:val="00531437"/>
    <w:rsid w:val="00531827"/>
    <w:rsid w:val="0053225F"/>
    <w:rsid w:val="005334E3"/>
    <w:rsid w:val="00540076"/>
    <w:rsid w:val="005468A3"/>
    <w:rsid w:val="00553F7C"/>
    <w:rsid w:val="0055783C"/>
    <w:rsid w:val="00561F3E"/>
    <w:rsid w:val="005673DF"/>
    <w:rsid w:val="00571D5F"/>
    <w:rsid w:val="00580016"/>
    <w:rsid w:val="005868C8"/>
    <w:rsid w:val="00590DAC"/>
    <w:rsid w:val="00592F3B"/>
    <w:rsid w:val="005941ED"/>
    <w:rsid w:val="00597B15"/>
    <w:rsid w:val="005A4562"/>
    <w:rsid w:val="005A5AA6"/>
    <w:rsid w:val="005B0E75"/>
    <w:rsid w:val="005B73D0"/>
    <w:rsid w:val="005B7D6C"/>
    <w:rsid w:val="005C61CA"/>
    <w:rsid w:val="005C745D"/>
    <w:rsid w:val="005C75ED"/>
    <w:rsid w:val="005E0288"/>
    <w:rsid w:val="005E15A6"/>
    <w:rsid w:val="005F57C0"/>
    <w:rsid w:val="005F6440"/>
    <w:rsid w:val="00601923"/>
    <w:rsid w:val="006033DA"/>
    <w:rsid w:val="006143A8"/>
    <w:rsid w:val="0061455A"/>
    <w:rsid w:val="006145C1"/>
    <w:rsid w:val="00617BE2"/>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8122D"/>
    <w:rsid w:val="00681EC4"/>
    <w:rsid w:val="006837B4"/>
    <w:rsid w:val="006856BD"/>
    <w:rsid w:val="00690865"/>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9EC"/>
    <w:rsid w:val="00726C4B"/>
    <w:rsid w:val="00727DBE"/>
    <w:rsid w:val="0073256B"/>
    <w:rsid w:val="00733FE8"/>
    <w:rsid w:val="007415FE"/>
    <w:rsid w:val="007429A1"/>
    <w:rsid w:val="00743847"/>
    <w:rsid w:val="007450B1"/>
    <w:rsid w:val="007569DF"/>
    <w:rsid w:val="00757D4E"/>
    <w:rsid w:val="00760DF9"/>
    <w:rsid w:val="0076335E"/>
    <w:rsid w:val="0076680A"/>
    <w:rsid w:val="00774A61"/>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C69EE"/>
    <w:rsid w:val="007D0A0B"/>
    <w:rsid w:val="007D1E78"/>
    <w:rsid w:val="007E29D2"/>
    <w:rsid w:val="007E2EC8"/>
    <w:rsid w:val="007E3242"/>
    <w:rsid w:val="007E58AC"/>
    <w:rsid w:val="007E5D79"/>
    <w:rsid w:val="007F1157"/>
    <w:rsid w:val="007F1BDA"/>
    <w:rsid w:val="007F4CA7"/>
    <w:rsid w:val="007F55CA"/>
    <w:rsid w:val="008031FB"/>
    <w:rsid w:val="00810422"/>
    <w:rsid w:val="00810DC1"/>
    <w:rsid w:val="008127EE"/>
    <w:rsid w:val="00814D8A"/>
    <w:rsid w:val="008310E8"/>
    <w:rsid w:val="00836C64"/>
    <w:rsid w:val="008445AF"/>
    <w:rsid w:val="008460EF"/>
    <w:rsid w:val="008502D3"/>
    <w:rsid w:val="008560C6"/>
    <w:rsid w:val="00857C28"/>
    <w:rsid w:val="00874711"/>
    <w:rsid w:val="0087651F"/>
    <w:rsid w:val="008846FC"/>
    <w:rsid w:val="0089349F"/>
    <w:rsid w:val="0089414A"/>
    <w:rsid w:val="008A4BA9"/>
    <w:rsid w:val="008A4DE6"/>
    <w:rsid w:val="008B200A"/>
    <w:rsid w:val="008C169D"/>
    <w:rsid w:val="008C63C1"/>
    <w:rsid w:val="008D2B16"/>
    <w:rsid w:val="008D347E"/>
    <w:rsid w:val="008D3578"/>
    <w:rsid w:val="008D372C"/>
    <w:rsid w:val="008D3B0E"/>
    <w:rsid w:val="008D5F14"/>
    <w:rsid w:val="008D6EC4"/>
    <w:rsid w:val="008D72FA"/>
    <w:rsid w:val="008E0BC3"/>
    <w:rsid w:val="008E12E3"/>
    <w:rsid w:val="008F16D8"/>
    <w:rsid w:val="008F3A78"/>
    <w:rsid w:val="008F61F5"/>
    <w:rsid w:val="008F6A05"/>
    <w:rsid w:val="00900DE2"/>
    <w:rsid w:val="00901BEF"/>
    <w:rsid w:val="00902A54"/>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4931"/>
    <w:rsid w:val="009B5C12"/>
    <w:rsid w:val="009C208D"/>
    <w:rsid w:val="009C4A9F"/>
    <w:rsid w:val="009E54D6"/>
    <w:rsid w:val="009E5C94"/>
    <w:rsid w:val="009E7A1E"/>
    <w:rsid w:val="009F0E2D"/>
    <w:rsid w:val="009F2E02"/>
    <w:rsid w:val="00A013F1"/>
    <w:rsid w:val="00A07616"/>
    <w:rsid w:val="00A11412"/>
    <w:rsid w:val="00A129E3"/>
    <w:rsid w:val="00A13496"/>
    <w:rsid w:val="00A16467"/>
    <w:rsid w:val="00A211AE"/>
    <w:rsid w:val="00A222CC"/>
    <w:rsid w:val="00A252D0"/>
    <w:rsid w:val="00A25ECB"/>
    <w:rsid w:val="00A320B2"/>
    <w:rsid w:val="00A32E06"/>
    <w:rsid w:val="00A3707D"/>
    <w:rsid w:val="00A503F0"/>
    <w:rsid w:val="00A51C68"/>
    <w:rsid w:val="00A53F13"/>
    <w:rsid w:val="00A605CF"/>
    <w:rsid w:val="00A64876"/>
    <w:rsid w:val="00A65F17"/>
    <w:rsid w:val="00A67BDD"/>
    <w:rsid w:val="00A80DA5"/>
    <w:rsid w:val="00A82A8E"/>
    <w:rsid w:val="00A82C82"/>
    <w:rsid w:val="00A85364"/>
    <w:rsid w:val="00A8587D"/>
    <w:rsid w:val="00A86BEF"/>
    <w:rsid w:val="00A92EC8"/>
    <w:rsid w:val="00A94AD2"/>
    <w:rsid w:val="00AA4510"/>
    <w:rsid w:val="00AA70C3"/>
    <w:rsid w:val="00AB0D07"/>
    <w:rsid w:val="00AB143C"/>
    <w:rsid w:val="00AB1F41"/>
    <w:rsid w:val="00AB424B"/>
    <w:rsid w:val="00AC318B"/>
    <w:rsid w:val="00AD0801"/>
    <w:rsid w:val="00AD29B4"/>
    <w:rsid w:val="00AD45EE"/>
    <w:rsid w:val="00AE0C6D"/>
    <w:rsid w:val="00AE2177"/>
    <w:rsid w:val="00AE2330"/>
    <w:rsid w:val="00AE362C"/>
    <w:rsid w:val="00AE5051"/>
    <w:rsid w:val="00AE78BB"/>
    <w:rsid w:val="00AF443A"/>
    <w:rsid w:val="00B00EE4"/>
    <w:rsid w:val="00B05DC8"/>
    <w:rsid w:val="00B069F6"/>
    <w:rsid w:val="00B152B3"/>
    <w:rsid w:val="00B16FCC"/>
    <w:rsid w:val="00B222BB"/>
    <w:rsid w:val="00B25871"/>
    <w:rsid w:val="00B328CA"/>
    <w:rsid w:val="00B34900"/>
    <w:rsid w:val="00B35105"/>
    <w:rsid w:val="00B35C85"/>
    <w:rsid w:val="00B42621"/>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87253"/>
    <w:rsid w:val="00BA5D90"/>
    <w:rsid w:val="00BB20E9"/>
    <w:rsid w:val="00BB581C"/>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6121"/>
    <w:rsid w:val="00C07A26"/>
    <w:rsid w:val="00C13729"/>
    <w:rsid w:val="00C1481B"/>
    <w:rsid w:val="00C17707"/>
    <w:rsid w:val="00C17773"/>
    <w:rsid w:val="00C20DD3"/>
    <w:rsid w:val="00C23A37"/>
    <w:rsid w:val="00C253C6"/>
    <w:rsid w:val="00C2675F"/>
    <w:rsid w:val="00C27039"/>
    <w:rsid w:val="00C35726"/>
    <w:rsid w:val="00C35994"/>
    <w:rsid w:val="00C36851"/>
    <w:rsid w:val="00C40895"/>
    <w:rsid w:val="00C40983"/>
    <w:rsid w:val="00C4102C"/>
    <w:rsid w:val="00C42477"/>
    <w:rsid w:val="00C51B9A"/>
    <w:rsid w:val="00C549FC"/>
    <w:rsid w:val="00C555F2"/>
    <w:rsid w:val="00C603AA"/>
    <w:rsid w:val="00C64F8A"/>
    <w:rsid w:val="00C7053D"/>
    <w:rsid w:val="00C70EF8"/>
    <w:rsid w:val="00C769AA"/>
    <w:rsid w:val="00C80871"/>
    <w:rsid w:val="00C80CF3"/>
    <w:rsid w:val="00C84084"/>
    <w:rsid w:val="00C857A5"/>
    <w:rsid w:val="00C901B6"/>
    <w:rsid w:val="00C90F13"/>
    <w:rsid w:val="00C9250C"/>
    <w:rsid w:val="00C97DF6"/>
    <w:rsid w:val="00CA6620"/>
    <w:rsid w:val="00CA7244"/>
    <w:rsid w:val="00CA7D07"/>
    <w:rsid w:val="00CB4E56"/>
    <w:rsid w:val="00CC13F9"/>
    <w:rsid w:val="00CC201C"/>
    <w:rsid w:val="00CD44C5"/>
    <w:rsid w:val="00CD6EB6"/>
    <w:rsid w:val="00CD73CB"/>
    <w:rsid w:val="00CE4B19"/>
    <w:rsid w:val="00CE4D98"/>
    <w:rsid w:val="00CE66AB"/>
    <w:rsid w:val="00CF04E1"/>
    <w:rsid w:val="00CF0B04"/>
    <w:rsid w:val="00CF1156"/>
    <w:rsid w:val="00CF2CE0"/>
    <w:rsid w:val="00D13ECE"/>
    <w:rsid w:val="00D1745C"/>
    <w:rsid w:val="00D22784"/>
    <w:rsid w:val="00D22832"/>
    <w:rsid w:val="00D2397B"/>
    <w:rsid w:val="00D275CD"/>
    <w:rsid w:val="00D304D6"/>
    <w:rsid w:val="00D33023"/>
    <w:rsid w:val="00D36BE5"/>
    <w:rsid w:val="00D40348"/>
    <w:rsid w:val="00D43C7C"/>
    <w:rsid w:val="00D44340"/>
    <w:rsid w:val="00D50408"/>
    <w:rsid w:val="00D5640F"/>
    <w:rsid w:val="00D614C0"/>
    <w:rsid w:val="00D61DEA"/>
    <w:rsid w:val="00D667CE"/>
    <w:rsid w:val="00D80EB3"/>
    <w:rsid w:val="00D857DF"/>
    <w:rsid w:val="00D87298"/>
    <w:rsid w:val="00D92247"/>
    <w:rsid w:val="00DA060A"/>
    <w:rsid w:val="00DA1D6B"/>
    <w:rsid w:val="00DA2187"/>
    <w:rsid w:val="00DA281F"/>
    <w:rsid w:val="00DA4F45"/>
    <w:rsid w:val="00DB2F7C"/>
    <w:rsid w:val="00DB38A1"/>
    <w:rsid w:val="00DC6504"/>
    <w:rsid w:val="00DC6F37"/>
    <w:rsid w:val="00DD128C"/>
    <w:rsid w:val="00DE020B"/>
    <w:rsid w:val="00DE1CC8"/>
    <w:rsid w:val="00DE265B"/>
    <w:rsid w:val="00DE2A75"/>
    <w:rsid w:val="00DE4857"/>
    <w:rsid w:val="00DE5CC0"/>
    <w:rsid w:val="00DF2617"/>
    <w:rsid w:val="00DF424F"/>
    <w:rsid w:val="00DF64A7"/>
    <w:rsid w:val="00DF679C"/>
    <w:rsid w:val="00E0029F"/>
    <w:rsid w:val="00E1047C"/>
    <w:rsid w:val="00E16BCB"/>
    <w:rsid w:val="00E203D0"/>
    <w:rsid w:val="00E23209"/>
    <w:rsid w:val="00E24575"/>
    <w:rsid w:val="00E41CDC"/>
    <w:rsid w:val="00E45580"/>
    <w:rsid w:val="00E4613B"/>
    <w:rsid w:val="00E462F8"/>
    <w:rsid w:val="00E46EBC"/>
    <w:rsid w:val="00E50DFC"/>
    <w:rsid w:val="00E5192D"/>
    <w:rsid w:val="00E52BC1"/>
    <w:rsid w:val="00E548CA"/>
    <w:rsid w:val="00E5793A"/>
    <w:rsid w:val="00E60505"/>
    <w:rsid w:val="00E634AE"/>
    <w:rsid w:val="00E65F33"/>
    <w:rsid w:val="00E67786"/>
    <w:rsid w:val="00E72827"/>
    <w:rsid w:val="00E73321"/>
    <w:rsid w:val="00E73F9F"/>
    <w:rsid w:val="00E740EC"/>
    <w:rsid w:val="00E80419"/>
    <w:rsid w:val="00E81243"/>
    <w:rsid w:val="00E835A8"/>
    <w:rsid w:val="00E83B2A"/>
    <w:rsid w:val="00E841C6"/>
    <w:rsid w:val="00E845BC"/>
    <w:rsid w:val="00E84821"/>
    <w:rsid w:val="00E8574A"/>
    <w:rsid w:val="00E92575"/>
    <w:rsid w:val="00EA05B9"/>
    <w:rsid w:val="00EA3714"/>
    <w:rsid w:val="00EA6C83"/>
    <w:rsid w:val="00EA71D0"/>
    <w:rsid w:val="00EB28C9"/>
    <w:rsid w:val="00EB61E0"/>
    <w:rsid w:val="00EB7B2E"/>
    <w:rsid w:val="00EC0052"/>
    <w:rsid w:val="00EC013E"/>
    <w:rsid w:val="00EC04D7"/>
    <w:rsid w:val="00EC1F03"/>
    <w:rsid w:val="00ED0324"/>
    <w:rsid w:val="00ED4618"/>
    <w:rsid w:val="00ED7B7E"/>
    <w:rsid w:val="00EE1496"/>
    <w:rsid w:val="00EE4BD4"/>
    <w:rsid w:val="00EE5FD1"/>
    <w:rsid w:val="00EE67D3"/>
    <w:rsid w:val="00EF00B7"/>
    <w:rsid w:val="00EF04C2"/>
    <w:rsid w:val="00EF71B8"/>
    <w:rsid w:val="00EF7480"/>
    <w:rsid w:val="00F02085"/>
    <w:rsid w:val="00F04833"/>
    <w:rsid w:val="00F04EC3"/>
    <w:rsid w:val="00F12FB6"/>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78DE"/>
    <w:rsid w:val="00F77E82"/>
    <w:rsid w:val="00F804E3"/>
    <w:rsid w:val="00F81D83"/>
    <w:rsid w:val="00F82A9A"/>
    <w:rsid w:val="00F83586"/>
    <w:rsid w:val="00F84FAD"/>
    <w:rsid w:val="00F9587C"/>
    <w:rsid w:val="00F96ABB"/>
    <w:rsid w:val="00FA01A1"/>
    <w:rsid w:val="00FA2289"/>
    <w:rsid w:val="00FA3918"/>
    <w:rsid w:val="00FA45B1"/>
    <w:rsid w:val="00FB0B31"/>
    <w:rsid w:val="00FB2F2C"/>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D3CF67"/>
  <w15:docId w15:val="{46C6C83E-D719-4A3E-ABD6-4A5DC9A1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paragraph" w:customStyle="1" w:styleId="Normal1">
    <w:name w:val="Normal1"/>
    <w:rsid w:val="00D275CD"/>
    <w:pPr>
      <w:spacing w:after="200" w:line="276" w:lineRule="auto"/>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74A8F-4E4F-491E-93D2-B990AEBE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8</TotalTime>
  <Pages>11</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29937</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 Risman</cp:lastModifiedBy>
  <cp:revision>3</cp:revision>
  <cp:lastPrinted>2017-01-26T11:37:00Z</cp:lastPrinted>
  <dcterms:created xsi:type="dcterms:W3CDTF">2022-03-30T07:28:00Z</dcterms:created>
  <dcterms:modified xsi:type="dcterms:W3CDTF">2022-03-30T07:34:00Z</dcterms:modified>
</cp:coreProperties>
</file>