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B3D898" w14:textId="77777777" w:rsidR="00926464" w:rsidRDefault="00926464">
      <w:pPr>
        <w:tabs>
          <w:tab w:val="left" w:pos="5730"/>
        </w:tabs>
        <w:spacing w:after="0" w:line="240" w:lineRule="auto"/>
        <w:jc w:val="center"/>
        <w:rPr>
          <w:rFonts w:ascii="Times New Roman" w:eastAsia="Times New Roman" w:hAnsi="Times New Roman" w:cs="Times New Roman"/>
          <w:b/>
          <w:i w:val="0"/>
          <w:sz w:val="28"/>
          <w:szCs w:val="28"/>
        </w:rPr>
      </w:pPr>
      <w:r w:rsidRPr="00926464">
        <w:rPr>
          <w:rFonts w:ascii="Times New Roman" w:eastAsia="Times New Roman" w:hAnsi="Times New Roman" w:cs="Times New Roman"/>
          <w:b/>
          <w:i w:val="0"/>
          <w:sz w:val="28"/>
          <w:szCs w:val="28"/>
        </w:rPr>
        <w:t xml:space="preserve">Market Reactions to Religious National Holidays: Evidence from </w:t>
      </w:r>
      <w:proofErr w:type="spellStart"/>
      <w:r w:rsidRPr="00926464">
        <w:rPr>
          <w:rFonts w:ascii="Times New Roman" w:eastAsia="Times New Roman" w:hAnsi="Times New Roman" w:cs="Times New Roman"/>
          <w:b/>
          <w:i w:val="0"/>
          <w:sz w:val="28"/>
          <w:szCs w:val="28"/>
        </w:rPr>
        <w:t>Idul</w:t>
      </w:r>
      <w:proofErr w:type="spellEnd"/>
      <w:r w:rsidRPr="00926464">
        <w:rPr>
          <w:rFonts w:ascii="Times New Roman" w:eastAsia="Times New Roman" w:hAnsi="Times New Roman" w:cs="Times New Roman"/>
          <w:b/>
          <w:i w:val="0"/>
          <w:sz w:val="28"/>
          <w:szCs w:val="28"/>
        </w:rPr>
        <w:t xml:space="preserve"> </w:t>
      </w:r>
      <w:proofErr w:type="spellStart"/>
      <w:r w:rsidRPr="00926464">
        <w:rPr>
          <w:rFonts w:ascii="Times New Roman" w:eastAsia="Times New Roman" w:hAnsi="Times New Roman" w:cs="Times New Roman"/>
          <w:b/>
          <w:i w:val="0"/>
          <w:sz w:val="28"/>
          <w:szCs w:val="28"/>
        </w:rPr>
        <w:t>Fitri</w:t>
      </w:r>
      <w:proofErr w:type="spellEnd"/>
      <w:r w:rsidRPr="00926464">
        <w:rPr>
          <w:rFonts w:ascii="Times New Roman" w:eastAsia="Times New Roman" w:hAnsi="Times New Roman" w:cs="Times New Roman"/>
          <w:b/>
          <w:i w:val="0"/>
          <w:sz w:val="28"/>
          <w:szCs w:val="28"/>
        </w:rPr>
        <w:t xml:space="preserve"> and </w:t>
      </w:r>
      <w:proofErr w:type="spellStart"/>
      <w:r w:rsidRPr="00926464">
        <w:rPr>
          <w:rFonts w:ascii="Times New Roman" w:eastAsia="Times New Roman" w:hAnsi="Times New Roman" w:cs="Times New Roman"/>
          <w:b/>
          <w:i w:val="0"/>
          <w:sz w:val="28"/>
          <w:szCs w:val="28"/>
        </w:rPr>
        <w:t>Idul</w:t>
      </w:r>
      <w:proofErr w:type="spellEnd"/>
      <w:r w:rsidRPr="00926464">
        <w:rPr>
          <w:rFonts w:ascii="Times New Roman" w:eastAsia="Times New Roman" w:hAnsi="Times New Roman" w:cs="Times New Roman"/>
          <w:b/>
          <w:i w:val="0"/>
          <w:sz w:val="28"/>
          <w:szCs w:val="28"/>
        </w:rPr>
        <w:t xml:space="preserve"> Adha in Consumer Cyclical Firms Listed on </w:t>
      </w:r>
    </w:p>
    <w:p w14:paraId="2F0B028D" w14:textId="6163C61B" w:rsidR="00FC61C8" w:rsidRDefault="00926464">
      <w:pPr>
        <w:tabs>
          <w:tab w:val="left" w:pos="5730"/>
        </w:tabs>
        <w:spacing w:after="0" w:line="240" w:lineRule="auto"/>
        <w:jc w:val="center"/>
        <w:rPr>
          <w:rFonts w:ascii="Times New Roman" w:eastAsia="Times New Roman" w:hAnsi="Times New Roman" w:cs="Times New Roman"/>
          <w:b/>
          <w:i w:val="0"/>
          <w:sz w:val="28"/>
          <w:szCs w:val="28"/>
        </w:rPr>
      </w:pPr>
      <w:r w:rsidRPr="00926464">
        <w:rPr>
          <w:rFonts w:ascii="Times New Roman" w:eastAsia="Times New Roman" w:hAnsi="Times New Roman" w:cs="Times New Roman"/>
          <w:b/>
          <w:i w:val="0"/>
          <w:sz w:val="28"/>
          <w:szCs w:val="28"/>
        </w:rPr>
        <w:t>the Indonesia Stock Exchange</w:t>
      </w:r>
    </w:p>
    <w:p w14:paraId="1E4894FF" w14:textId="77777777" w:rsidR="00926464" w:rsidRDefault="00926464">
      <w:pPr>
        <w:tabs>
          <w:tab w:val="left" w:pos="5730"/>
        </w:tabs>
        <w:spacing w:after="0" w:line="240" w:lineRule="auto"/>
        <w:jc w:val="center"/>
        <w:rPr>
          <w:rFonts w:ascii="Times New Roman" w:eastAsia="Times New Roman" w:hAnsi="Times New Roman" w:cs="Times New Roman"/>
          <w:b/>
          <w:i w:val="0"/>
          <w:sz w:val="24"/>
          <w:szCs w:val="24"/>
        </w:rPr>
      </w:pPr>
    </w:p>
    <w:p w14:paraId="546DB6A2" w14:textId="7E33DF98" w:rsidR="00FC61C8" w:rsidRDefault="008A23C1">
      <w:pPr>
        <w:spacing w:after="0" w:line="240" w:lineRule="auto"/>
        <w:jc w:val="both"/>
        <w:rPr>
          <w:rFonts w:ascii="Times New Roman" w:eastAsia="Times New Roman" w:hAnsi="Times New Roman" w:cs="Times New Roman"/>
          <w:b/>
          <w:i w:val="0"/>
        </w:rPr>
      </w:pPr>
      <w:bookmarkStart w:id="0" w:name="_i716dfa5tweg" w:colFirst="0" w:colLast="0"/>
      <w:bookmarkEnd w:id="0"/>
      <w:proofErr w:type="spellStart"/>
      <w:r>
        <w:rPr>
          <w:rFonts w:ascii="Times New Roman" w:eastAsia="Times New Roman" w:hAnsi="Times New Roman" w:cs="Times New Roman"/>
          <w:b/>
          <w:i w:val="0"/>
        </w:rPr>
        <w:t>Khothibul</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Umam</w:t>
      </w:r>
      <w:proofErr w:type="spellEnd"/>
      <w:r>
        <w:rPr>
          <w:rFonts w:ascii="Times New Roman" w:eastAsia="Times New Roman" w:hAnsi="Times New Roman" w:cs="Times New Roman"/>
          <w:b/>
          <w:i w:val="0"/>
        </w:rPr>
        <w:t xml:space="preserve"> Hassan</w:t>
      </w:r>
      <w:r w:rsidR="00921218">
        <w:rPr>
          <w:rFonts w:ascii="Times New Roman" w:eastAsia="Times New Roman" w:hAnsi="Times New Roman" w:cs="Times New Roman"/>
          <w:b/>
          <w:i w:val="0"/>
          <w:vertAlign w:val="superscript"/>
        </w:rPr>
        <w:t>1)</w:t>
      </w:r>
      <w:r w:rsidR="00921218">
        <w:rPr>
          <w:rFonts w:ascii="Times New Roman" w:eastAsia="Times New Roman" w:hAnsi="Times New Roman" w:cs="Times New Roman"/>
          <w:b/>
          <w:i w:val="0"/>
        </w:rPr>
        <w:t xml:space="preserve">; </w:t>
      </w:r>
      <w:bookmarkStart w:id="1" w:name="_Hlk199402296"/>
      <w:r>
        <w:rPr>
          <w:rFonts w:ascii="Times New Roman" w:eastAsia="Times New Roman" w:hAnsi="Times New Roman" w:cs="Times New Roman"/>
          <w:b/>
          <w:i w:val="0"/>
        </w:rPr>
        <w:t>Tri Joko Prasetyo</w:t>
      </w:r>
      <w:r w:rsidR="00921218">
        <w:rPr>
          <w:rFonts w:ascii="Times New Roman" w:eastAsia="Times New Roman" w:hAnsi="Times New Roman" w:cs="Times New Roman"/>
          <w:b/>
          <w:i w:val="0"/>
          <w:vertAlign w:val="superscript"/>
        </w:rPr>
        <w:t>2</w:t>
      </w:r>
      <w:bookmarkEnd w:id="1"/>
      <w:r w:rsidR="00921218">
        <w:rPr>
          <w:rFonts w:ascii="Times New Roman" w:eastAsia="Times New Roman" w:hAnsi="Times New Roman" w:cs="Times New Roman"/>
          <w:b/>
          <w:i w:val="0"/>
          <w:vertAlign w:val="superscript"/>
        </w:rPr>
        <w:t>)</w:t>
      </w:r>
    </w:p>
    <w:p w14:paraId="100455C6" w14:textId="77777777" w:rsidR="00FC61C8" w:rsidRDefault="00FC61C8">
      <w:pPr>
        <w:spacing w:after="0" w:line="240" w:lineRule="auto"/>
        <w:jc w:val="both"/>
        <w:rPr>
          <w:rFonts w:ascii="Times New Roman" w:eastAsia="Times New Roman" w:hAnsi="Times New Roman" w:cs="Times New Roman"/>
          <w:b/>
          <w:sz w:val="24"/>
          <w:szCs w:val="24"/>
          <w:vertAlign w:val="superscript"/>
        </w:rPr>
      </w:pPr>
    </w:p>
    <w:p w14:paraId="115B3625" w14:textId="3284C683" w:rsidR="00FC61C8" w:rsidRDefault="00921218">
      <w:pPr>
        <w:spacing w:after="0" w:line="240" w:lineRule="auto"/>
        <w:jc w:val="both"/>
        <w:rPr>
          <w:rFonts w:ascii="Times New Roman" w:eastAsia="Times New Roman" w:hAnsi="Times New Roman" w:cs="Times New Roman"/>
          <w:b/>
          <w:sz w:val="18"/>
          <w:szCs w:val="18"/>
        </w:rPr>
      </w:pPr>
      <w:bookmarkStart w:id="2" w:name="_pu244kw6xwgm" w:colFirst="0" w:colLast="0"/>
      <w:bookmarkEnd w:id="2"/>
      <w:r>
        <w:rPr>
          <w:rFonts w:ascii="Times New Roman" w:eastAsia="Times New Roman" w:hAnsi="Times New Roman" w:cs="Times New Roman"/>
          <w:b/>
          <w:sz w:val="18"/>
          <w:szCs w:val="18"/>
          <w:vertAlign w:val="superscript"/>
        </w:rPr>
        <w:t>1)</w:t>
      </w:r>
      <w:r w:rsidR="008A23C1">
        <w:t>k</w:t>
      </w:r>
      <w:r w:rsidR="008A23C1" w:rsidRPr="008A23C1">
        <w:rPr>
          <w:rFonts w:ascii="Times New Roman" w:eastAsia="Times New Roman" w:hAnsi="Times New Roman" w:cs="Times New Roman"/>
          <w:b/>
          <w:sz w:val="18"/>
          <w:szCs w:val="18"/>
        </w:rPr>
        <w:t>hothibul</w:t>
      </w:r>
      <w:r w:rsidR="008A23C1">
        <w:rPr>
          <w:rFonts w:ascii="Times New Roman" w:eastAsia="Times New Roman" w:hAnsi="Times New Roman" w:cs="Times New Roman"/>
          <w:b/>
          <w:sz w:val="18"/>
          <w:szCs w:val="18"/>
        </w:rPr>
        <w:t>u</w:t>
      </w:r>
      <w:r w:rsidR="008A23C1" w:rsidRPr="008A23C1">
        <w:rPr>
          <w:rFonts w:ascii="Times New Roman" w:eastAsia="Times New Roman" w:hAnsi="Times New Roman" w:cs="Times New Roman"/>
          <w:b/>
          <w:sz w:val="18"/>
          <w:szCs w:val="18"/>
        </w:rPr>
        <w:t>mam</w:t>
      </w:r>
      <w:r w:rsidR="008A23C1">
        <w:rPr>
          <w:rFonts w:ascii="Times New Roman" w:eastAsia="Times New Roman" w:hAnsi="Times New Roman" w:cs="Times New Roman"/>
          <w:b/>
          <w:sz w:val="18"/>
          <w:szCs w:val="18"/>
        </w:rPr>
        <w:t>h</w:t>
      </w:r>
      <w:r w:rsidR="008A23C1" w:rsidRPr="008A23C1">
        <w:rPr>
          <w:rFonts w:ascii="Times New Roman" w:eastAsia="Times New Roman" w:hAnsi="Times New Roman" w:cs="Times New Roman"/>
          <w:b/>
          <w:sz w:val="18"/>
          <w:szCs w:val="18"/>
        </w:rPr>
        <w:t>assan</w:t>
      </w:r>
      <w:r>
        <w:rPr>
          <w:rFonts w:ascii="Times New Roman" w:eastAsia="Times New Roman" w:hAnsi="Times New Roman" w:cs="Times New Roman"/>
          <w:b/>
          <w:sz w:val="18"/>
          <w:szCs w:val="18"/>
        </w:rPr>
        <w:t xml:space="preserve">@gmail.com, Department of </w:t>
      </w:r>
      <w:r w:rsidR="00393874">
        <w:rPr>
          <w:rFonts w:ascii="Times New Roman" w:eastAsia="Times New Roman" w:hAnsi="Times New Roman" w:cs="Times New Roman"/>
          <w:b/>
          <w:sz w:val="18"/>
          <w:szCs w:val="18"/>
        </w:rPr>
        <w:t>Accounting</w:t>
      </w:r>
      <w:r>
        <w:rPr>
          <w:rFonts w:ascii="Times New Roman" w:eastAsia="Times New Roman" w:hAnsi="Times New Roman" w:cs="Times New Roman"/>
          <w:b/>
          <w:sz w:val="18"/>
          <w:szCs w:val="18"/>
        </w:rPr>
        <w:t>, Faculty of Economics and Business, Universitas Lampung, Indonesia</w:t>
      </w:r>
    </w:p>
    <w:p w14:paraId="57323781" w14:textId="1D333213" w:rsidR="00393874" w:rsidRDefault="00921218" w:rsidP="0039387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8A23C1" w:rsidRPr="008A23C1">
        <w:rPr>
          <w:rFonts w:ascii="Times New Roman" w:eastAsia="Times New Roman" w:hAnsi="Times New Roman" w:cs="Times New Roman"/>
          <w:b/>
          <w:sz w:val="18"/>
          <w:szCs w:val="18"/>
        </w:rPr>
        <w:t>Tri</w:t>
      </w:r>
      <w:r w:rsidR="008A23C1">
        <w:rPr>
          <w:rFonts w:ascii="Times New Roman" w:eastAsia="Times New Roman" w:hAnsi="Times New Roman" w:cs="Times New Roman"/>
          <w:b/>
          <w:sz w:val="18"/>
          <w:szCs w:val="18"/>
        </w:rPr>
        <w:t>j</w:t>
      </w:r>
      <w:r w:rsidR="008A23C1" w:rsidRPr="008A23C1">
        <w:rPr>
          <w:rFonts w:ascii="Times New Roman" w:eastAsia="Times New Roman" w:hAnsi="Times New Roman" w:cs="Times New Roman"/>
          <w:b/>
          <w:sz w:val="18"/>
          <w:szCs w:val="18"/>
        </w:rPr>
        <w:t>oko</w:t>
      </w:r>
      <w:r w:rsidR="00393874">
        <w:rPr>
          <w:rFonts w:ascii="Times New Roman" w:eastAsia="Times New Roman" w:hAnsi="Times New Roman" w:cs="Times New Roman"/>
          <w:b/>
          <w:sz w:val="18"/>
          <w:szCs w:val="18"/>
        </w:rPr>
        <w:t>.</w:t>
      </w:r>
      <w:r w:rsidR="008A23C1">
        <w:rPr>
          <w:rFonts w:ascii="Times New Roman" w:eastAsia="Times New Roman" w:hAnsi="Times New Roman" w:cs="Times New Roman"/>
          <w:b/>
          <w:sz w:val="18"/>
          <w:szCs w:val="18"/>
        </w:rPr>
        <w:t>p</w:t>
      </w:r>
      <w:r w:rsidR="008A23C1" w:rsidRPr="008A23C1">
        <w:rPr>
          <w:rFonts w:ascii="Times New Roman" w:eastAsia="Times New Roman" w:hAnsi="Times New Roman" w:cs="Times New Roman"/>
          <w:b/>
          <w:sz w:val="18"/>
          <w:szCs w:val="18"/>
        </w:rPr>
        <w:t>rasetyo</w:t>
      </w:r>
      <w:r>
        <w:rPr>
          <w:rFonts w:ascii="Times New Roman" w:eastAsia="Times New Roman" w:hAnsi="Times New Roman" w:cs="Times New Roman"/>
          <w:b/>
          <w:sz w:val="18"/>
          <w:szCs w:val="18"/>
        </w:rPr>
        <w:t xml:space="preserve">@feb.unila.ac.id, Department of </w:t>
      </w:r>
      <w:r w:rsidR="00393874">
        <w:rPr>
          <w:rFonts w:ascii="Times New Roman" w:eastAsia="Times New Roman" w:hAnsi="Times New Roman" w:cs="Times New Roman"/>
          <w:b/>
          <w:sz w:val="18"/>
          <w:szCs w:val="18"/>
        </w:rPr>
        <w:t>Accounting, Faculty of Economics and Business, Universitas Lampung, Indonesia</w:t>
      </w:r>
    </w:p>
    <w:p w14:paraId="66F03B82" w14:textId="3C882D99" w:rsidR="00FC61C8" w:rsidRDefault="00FC61C8">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FC61C8" w14:paraId="743C27D8" w14:textId="77777777">
        <w:tc>
          <w:tcPr>
            <w:tcW w:w="3011" w:type="dxa"/>
            <w:tcBorders>
              <w:top w:val="single" w:sz="8" w:space="0" w:color="000000"/>
              <w:bottom w:val="single" w:sz="8" w:space="0" w:color="000000"/>
            </w:tcBorders>
          </w:tcPr>
          <w:p w14:paraId="2927D1DB" w14:textId="77777777" w:rsidR="00FC61C8" w:rsidRDefault="00FC61C8">
            <w:pPr>
              <w:spacing w:after="0" w:line="240" w:lineRule="auto"/>
              <w:jc w:val="both"/>
              <w:rPr>
                <w:rFonts w:ascii="Times New Roman" w:eastAsia="Times New Roman" w:hAnsi="Times New Roman" w:cs="Times New Roman"/>
                <w:b/>
                <w:i w:val="0"/>
                <w:sz w:val="18"/>
                <w:szCs w:val="18"/>
              </w:rPr>
            </w:pPr>
          </w:p>
          <w:p w14:paraId="77AA7A0C" w14:textId="77777777" w:rsidR="00FC61C8" w:rsidRDefault="00921218">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6219271A" w14:textId="77777777" w:rsidR="00FC61C8" w:rsidRDefault="00FC61C8">
            <w:pPr>
              <w:spacing w:after="0" w:line="240" w:lineRule="auto"/>
              <w:ind w:right="170"/>
              <w:jc w:val="both"/>
              <w:rPr>
                <w:rFonts w:ascii="Times New Roman" w:eastAsia="Times New Roman" w:hAnsi="Times New Roman" w:cs="Times New Roman"/>
                <w:i w:val="0"/>
                <w:sz w:val="14"/>
                <w:szCs w:val="14"/>
              </w:rPr>
            </w:pPr>
          </w:p>
          <w:tbl>
            <w:tblPr>
              <w:tblStyle w:val="a0"/>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FC61C8" w14:paraId="061E7EDE" w14:textId="77777777">
              <w:tc>
                <w:tcPr>
                  <w:tcW w:w="2893" w:type="dxa"/>
                </w:tcPr>
                <w:p w14:paraId="79FDFD50"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1FEBE358" w14:textId="1DCFED49"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1; </w:t>
                  </w:r>
                  <w:r w:rsidR="00393874">
                    <w:rPr>
                      <w:rFonts w:ascii="Times New Roman" w:eastAsia="Times New Roman" w:hAnsi="Times New Roman" w:cs="Times New Roman"/>
                      <w:i w:val="0"/>
                      <w:color w:val="000000"/>
                      <w:sz w:val="16"/>
                      <w:szCs w:val="16"/>
                    </w:rPr>
                    <w:t>Capital Market</w:t>
                  </w:r>
                </w:p>
                <w:p w14:paraId="377D756B" w14:textId="369A8699"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2; </w:t>
                  </w:r>
                  <w:r w:rsidR="00393874">
                    <w:rPr>
                      <w:rFonts w:ascii="Times New Roman" w:eastAsia="Times New Roman" w:hAnsi="Times New Roman" w:cs="Times New Roman"/>
                      <w:i w:val="0"/>
                      <w:color w:val="000000"/>
                      <w:sz w:val="16"/>
                      <w:szCs w:val="16"/>
                    </w:rPr>
                    <w:t>Abnormal Returns</w:t>
                  </w:r>
                </w:p>
                <w:p w14:paraId="630E6A87" w14:textId="08C4A47F"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3; </w:t>
                  </w:r>
                  <w:r w:rsidR="00393874">
                    <w:rPr>
                      <w:rFonts w:ascii="Times New Roman" w:eastAsia="Times New Roman" w:hAnsi="Times New Roman" w:cs="Times New Roman"/>
                      <w:i w:val="0"/>
                      <w:color w:val="000000"/>
                      <w:sz w:val="16"/>
                      <w:szCs w:val="16"/>
                    </w:rPr>
                    <w:t>Trading Volume Activity</w:t>
                  </w:r>
                </w:p>
                <w:p w14:paraId="3B19A305" w14:textId="58712620"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4; </w:t>
                  </w:r>
                  <w:r w:rsidR="00393874">
                    <w:rPr>
                      <w:rFonts w:ascii="Times New Roman" w:eastAsia="Times New Roman" w:hAnsi="Times New Roman" w:cs="Times New Roman"/>
                      <w:i w:val="0"/>
                      <w:color w:val="000000"/>
                      <w:sz w:val="16"/>
                      <w:szCs w:val="16"/>
                    </w:rPr>
                    <w:t>Event Study</w:t>
                  </w:r>
                </w:p>
                <w:p w14:paraId="618FD8D2" w14:textId="65C22A20"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5; </w:t>
                  </w:r>
                  <w:r w:rsidR="00393874">
                    <w:rPr>
                      <w:rFonts w:ascii="Times New Roman" w:eastAsia="Times New Roman" w:hAnsi="Times New Roman" w:cs="Times New Roman"/>
                      <w:i w:val="0"/>
                      <w:color w:val="000000"/>
                      <w:sz w:val="16"/>
                      <w:szCs w:val="16"/>
                    </w:rPr>
                    <w:t>Consumer Cyclical</w:t>
                  </w:r>
                </w:p>
                <w:p w14:paraId="667DE09B" w14:textId="77777777" w:rsidR="00FC61C8" w:rsidRDefault="00FC61C8">
                  <w:pPr>
                    <w:spacing w:after="0" w:line="240" w:lineRule="auto"/>
                    <w:ind w:right="170"/>
                    <w:jc w:val="both"/>
                    <w:rPr>
                      <w:rFonts w:ascii="Times New Roman" w:eastAsia="Times New Roman" w:hAnsi="Times New Roman" w:cs="Times New Roman"/>
                      <w:i w:val="0"/>
                      <w:color w:val="FF0000"/>
                      <w:sz w:val="16"/>
                      <w:szCs w:val="16"/>
                    </w:rPr>
                  </w:pPr>
                </w:p>
              </w:tc>
            </w:tr>
            <w:tr w:rsidR="00FC61C8" w14:paraId="6DCCC3CE" w14:textId="77777777">
              <w:tc>
                <w:tcPr>
                  <w:tcW w:w="2893" w:type="dxa"/>
                </w:tcPr>
                <w:p w14:paraId="5AF5B4FB"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1F2CF314" w14:textId="3E959D0E" w:rsidR="00FC61C8" w:rsidRDefault="0092121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393874">
                    <w:rPr>
                      <w:rFonts w:ascii="Times New Roman" w:eastAsia="Times New Roman" w:hAnsi="Times New Roman" w:cs="Times New Roman"/>
                      <w:i w:val="0"/>
                      <w:sz w:val="16"/>
                      <w:szCs w:val="16"/>
                    </w:rPr>
                    <w:t xml:space="preserve">Mei </w:t>
                  </w:r>
                  <w:r>
                    <w:rPr>
                      <w:rFonts w:ascii="Times New Roman" w:eastAsia="Times New Roman" w:hAnsi="Times New Roman" w:cs="Times New Roman"/>
                      <w:i w:val="0"/>
                      <w:sz w:val="16"/>
                      <w:szCs w:val="16"/>
                    </w:rPr>
                    <w:t>10, 202</w:t>
                  </w:r>
                  <w:r w:rsidR="00393874">
                    <w:rPr>
                      <w:rFonts w:ascii="Times New Roman" w:eastAsia="Times New Roman" w:hAnsi="Times New Roman" w:cs="Times New Roman"/>
                      <w:i w:val="0"/>
                      <w:sz w:val="16"/>
                      <w:szCs w:val="16"/>
                    </w:rPr>
                    <w:t>5</w:t>
                  </w:r>
                </w:p>
                <w:p w14:paraId="1A75FD57" w14:textId="750717AD" w:rsidR="00FC61C8" w:rsidRDefault="0092121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393874">
                    <w:rPr>
                      <w:rFonts w:ascii="Times New Roman" w:eastAsia="Times New Roman" w:hAnsi="Times New Roman" w:cs="Times New Roman"/>
                      <w:i w:val="0"/>
                      <w:sz w:val="16"/>
                      <w:szCs w:val="16"/>
                    </w:rPr>
                    <w:t>Mei</w:t>
                  </w:r>
                  <w:r>
                    <w:rPr>
                      <w:rFonts w:ascii="Times New Roman" w:eastAsia="Times New Roman" w:hAnsi="Times New Roman" w:cs="Times New Roman"/>
                      <w:i w:val="0"/>
                      <w:sz w:val="16"/>
                      <w:szCs w:val="16"/>
                    </w:rPr>
                    <w:t xml:space="preserve"> </w:t>
                  </w:r>
                  <w:r w:rsidR="00393874">
                    <w:rPr>
                      <w:rFonts w:ascii="Times New Roman" w:eastAsia="Times New Roman" w:hAnsi="Times New Roman" w:cs="Times New Roman"/>
                      <w:i w:val="0"/>
                      <w:sz w:val="16"/>
                      <w:szCs w:val="16"/>
                    </w:rPr>
                    <w:t>20</w:t>
                  </w:r>
                  <w:r>
                    <w:rPr>
                      <w:rFonts w:ascii="Times New Roman" w:eastAsia="Times New Roman" w:hAnsi="Times New Roman" w:cs="Times New Roman"/>
                      <w:i w:val="0"/>
                      <w:sz w:val="16"/>
                      <w:szCs w:val="16"/>
                    </w:rPr>
                    <w:t>, 202</w:t>
                  </w:r>
                  <w:r w:rsidR="00393874">
                    <w:rPr>
                      <w:rFonts w:ascii="Times New Roman" w:eastAsia="Times New Roman" w:hAnsi="Times New Roman" w:cs="Times New Roman"/>
                      <w:i w:val="0"/>
                      <w:sz w:val="16"/>
                      <w:szCs w:val="16"/>
                    </w:rPr>
                    <w:t>5</w:t>
                  </w:r>
                </w:p>
                <w:p w14:paraId="3B84B97D" w14:textId="06A7EF94" w:rsidR="00FC61C8" w:rsidRDefault="00921218">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393874">
                    <w:rPr>
                      <w:rFonts w:ascii="Times New Roman" w:eastAsia="Times New Roman" w:hAnsi="Times New Roman" w:cs="Times New Roman"/>
                      <w:i w:val="0"/>
                      <w:sz w:val="16"/>
                      <w:szCs w:val="16"/>
                    </w:rPr>
                    <w:t xml:space="preserve">Mei </w:t>
                  </w:r>
                  <w:r>
                    <w:rPr>
                      <w:rFonts w:ascii="Times New Roman" w:eastAsia="Times New Roman" w:hAnsi="Times New Roman" w:cs="Times New Roman"/>
                      <w:i w:val="0"/>
                      <w:sz w:val="16"/>
                      <w:szCs w:val="16"/>
                    </w:rPr>
                    <w:t>28, 202</w:t>
                  </w:r>
                  <w:r w:rsidR="00393874">
                    <w:rPr>
                      <w:rFonts w:ascii="Times New Roman" w:eastAsia="Times New Roman" w:hAnsi="Times New Roman" w:cs="Times New Roman"/>
                      <w:i w:val="0"/>
                      <w:sz w:val="16"/>
                      <w:szCs w:val="16"/>
                    </w:rPr>
                    <w:t>5</w:t>
                  </w:r>
                </w:p>
              </w:tc>
            </w:tr>
            <w:tr w:rsidR="00FC61C8" w14:paraId="4D9FB84D" w14:textId="77777777">
              <w:trPr>
                <w:trHeight w:val="904"/>
              </w:trPr>
              <w:tc>
                <w:tcPr>
                  <w:tcW w:w="2893" w:type="dxa"/>
                </w:tcPr>
                <w:p w14:paraId="6380960B"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57090687" w14:textId="77777777" w:rsidR="00FC61C8" w:rsidRDefault="00FC61C8">
                  <w:pPr>
                    <w:spacing w:after="0" w:line="240" w:lineRule="auto"/>
                    <w:ind w:right="170"/>
                    <w:jc w:val="both"/>
                    <w:rPr>
                      <w:rFonts w:ascii="Times New Roman" w:eastAsia="Times New Roman" w:hAnsi="Times New Roman" w:cs="Times New Roman"/>
                      <w:i w:val="0"/>
                      <w:sz w:val="16"/>
                      <w:szCs w:val="16"/>
                    </w:rPr>
                  </w:pPr>
                </w:p>
                <w:p w14:paraId="57DCD337" w14:textId="66E8423E" w:rsidR="00F62A3F" w:rsidRPr="00F62A3F" w:rsidRDefault="00926464">
                  <w:pPr>
                    <w:spacing w:after="0" w:line="240" w:lineRule="auto"/>
                    <w:ind w:right="170"/>
                    <w:jc w:val="both"/>
                    <w:rPr>
                      <w:rFonts w:ascii="Times New Roman" w:eastAsia="Times New Roman" w:hAnsi="Times New Roman" w:cs="Times New Roman"/>
                      <w:sz w:val="16"/>
                      <w:szCs w:val="16"/>
                    </w:rPr>
                  </w:pPr>
                  <w:r w:rsidRPr="00926464">
                    <w:rPr>
                      <w:rFonts w:ascii="Times New Roman" w:eastAsia="Times New Roman" w:hAnsi="Times New Roman" w:cs="Times New Roman"/>
                      <w:i w:val="0"/>
                      <w:sz w:val="16"/>
                      <w:szCs w:val="16"/>
                      <w:lang w:val="fi-FI"/>
                    </w:rPr>
                    <w:t xml:space="preserve">Hassan, K. U., &amp; Prasetyo, T. J. (2025). </w:t>
                  </w:r>
                  <w:r w:rsidRPr="00926464">
                    <w:rPr>
                      <w:rFonts w:ascii="Times New Roman" w:eastAsia="Times New Roman" w:hAnsi="Times New Roman" w:cs="Times New Roman"/>
                      <w:i w:val="0"/>
                      <w:sz w:val="16"/>
                      <w:szCs w:val="16"/>
                    </w:rPr>
                    <w:t xml:space="preserve">Market reactions to religious national holidays: Evidence from </w:t>
                  </w:r>
                  <w:proofErr w:type="spellStart"/>
                  <w:r w:rsidRPr="00926464">
                    <w:rPr>
                      <w:rFonts w:ascii="Times New Roman" w:eastAsia="Times New Roman" w:hAnsi="Times New Roman" w:cs="Times New Roman"/>
                      <w:i w:val="0"/>
                      <w:sz w:val="16"/>
                      <w:szCs w:val="16"/>
                    </w:rPr>
                    <w:t>Idul</w:t>
                  </w:r>
                  <w:proofErr w:type="spellEnd"/>
                  <w:r w:rsidRPr="00926464">
                    <w:rPr>
                      <w:rFonts w:ascii="Times New Roman" w:eastAsia="Times New Roman" w:hAnsi="Times New Roman" w:cs="Times New Roman"/>
                      <w:i w:val="0"/>
                      <w:sz w:val="16"/>
                      <w:szCs w:val="16"/>
                    </w:rPr>
                    <w:t xml:space="preserve"> </w:t>
                  </w:r>
                  <w:proofErr w:type="spellStart"/>
                  <w:r w:rsidRPr="00926464">
                    <w:rPr>
                      <w:rFonts w:ascii="Times New Roman" w:eastAsia="Times New Roman" w:hAnsi="Times New Roman" w:cs="Times New Roman"/>
                      <w:i w:val="0"/>
                      <w:sz w:val="16"/>
                      <w:szCs w:val="16"/>
                    </w:rPr>
                    <w:t>Fitri</w:t>
                  </w:r>
                  <w:proofErr w:type="spellEnd"/>
                  <w:r w:rsidRPr="00926464">
                    <w:rPr>
                      <w:rFonts w:ascii="Times New Roman" w:eastAsia="Times New Roman" w:hAnsi="Times New Roman" w:cs="Times New Roman"/>
                      <w:i w:val="0"/>
                      <w:sz w:val="16"/>
                      <w:szCs w:val="16"/>
                    </w:rPr>
                    <w:t xml:space="preserve"> and </w:t>
                  </w:r>
                  <w:proofErr w:type="spellStart"/>
                  <w:r w:rsidRPr="00926464">
                    <w:rPr>
                      <w:rFonts w:ascii="Times New Roman" w:eastAsia="Times New Roman" w:hAnsi="Times New Roman" w:cs="Times New Roman"/>
                      <w:i w:val="0"/>
                      <w:sz w:val="16"/>
                      <w:szCs w:val="16"/>
                    </w:rPr>
                    <w:t>Idul</w:t>
                  </w:r>
                  <w:proofErr w:type="spellEnd"/>
                  <w:r w:rsidRPr="00926464">
                    <w:rPr>
                      <w:rFonts w:ascii="Times New Roman" w:eastAsia="Times New Roman" w:hAnsi="Times New Roman" w:cs="Times New Roman"/>
                      <w:i w:val="0"/>
                      <w:sz w:val="16"/>
                      <w:szCs w:val="16"/>
                    </w:rPr>
                    <w:t xml:space="preserve"> Adha in consumer cyclical firms listed on the Indonesia Stock Exchange. </w:t>
                  </w:r>
                  <w:proofErr w:type="spellStart"/>
                  <w:r w:rsidRPr="00926464">
                    <w:rPr>
                      <w:rFonts w:ascii="Times New Roman" w:eastAsia="Times New Roman" w:hAnsi="Times New Roman" w:cs="Times New Roman"/>
                      <w:iCs/>
                      <w:sz w:val="16"/>
                      <w:szCs w:val="16"/>
                    </w:rPr>
                    <w:t>Indikator</w:t>
                  </w:r>
                  <w:proofErr w:type="spellEnd"/>
                  <w:r w:rsidRPr="00926464">
                    <w:rPr>
                      <w:rFonts w:ascii="Times New Roman" w:eastAsia="Times New Roman" w:hAnsi="Times New Roman" w:cs="Times New Roman"/>
                      <w:iCs/>
                      <w:sz w:val="16"/>
                      <w:szCs w:val="16"/>
                    </w:rPr>
                    <w:t xml:space="preserve">: </w:t>
                  </w:r>
                  <w:proofErr w:type="spellStart"/>
                  <w:r w:rsidRPr="00926464">
                    <w:rPr>
                      <w:rFonts w:ascii="Times New Roman" w:eastAsia="Times New Roman" w:hAnsi="Times New Roman" w:cs="Times New Roman"/>
                      <w:iCs/>
                      <w:sz w:val="16"/>
                      <w:szCs w:val="16"/>
                    </w:rPr>
                    <w:t>Jurnal</w:t>
                  </w:r>
                  <w:proofErr w:type="spellEnd"/>
                  <w:r w:rsidRPr="00926464">
                    <w:rPr>
                      <w:rFonts w:ascii="Times New Roman" w:eastAsia="Times New Roman" w:hAnsi="Times New Roman" w:cs="Times New Roman"/>
                      <w:iCs/>
                      <w:sz w:val="16"/>
                      <w:szCs w:val="16"/>
                    </w:rPr>
                    <w:t xml:space="preserve"> </w:t>
                  </w:r>
                  <w:proofErr w:type="spellStart"/>
                  <w:r w:rsidRPr="00926464">
                    <w:rPr>
                      <w:rFonts w:ascii="Times New Roman" w:eastAsia="Times New Roman" w:hAnsi="Times New Roman" w:cs="Times New Roman"/>
                      <w:iCs/>
                      <w:sz w:val="16"/>
                      <w:szCs w:val="16"/>
                    </w:rPr>
                    <w:t>Ilmiah</w:t>
                  </w:r>
                  <w:proofErr w:type="spellEnd"/>
                  <w:r w:rsidRPr="00926464">
                    <w:rPr>
                      <w:rFonts w:ascii="Times New Roman" w:eastAsia="Times New Roman" w:hAnsi="Times New Roman" w:cs="Times New Roman"/>
                      <w:iCs/>
                      <w:sz w:val="16"/>
                      <w:szCs w:val="16"/>
                    </w:rPr>
                    <w:t xml:space="preserve"> </w:t>
                  </w:r>
                  <w:proofErr w:type="spellStart"/>
                  <w:r w:rsidRPr="00926464">
                    <w:rPr>
                      <w:rFonts w:ascii="Times New Roman" w:eastAsia="Times New Roman" w:hAnsi="Times New Roman" w:cs="Times New Roman"/>
                      <w:iCs/>
                      <w:sz w:val="16"/>
                      <w:szCs w:val="16"/>
                    </w:rPr>
                    <w:t>Manajemen</w:t>
                  </w:r>
                  <w:proofErr w:type="spellEnd"/>
                  <w:r w:rsidRPr="00926464">
                    <w:rPr>
                      <w:rFonts w:ascii="Times New Roman" w:eastAsia="Times New Roman" w:hAnsi="Times New Roman" w:cs="Times New Roman"/>
                      <w:iCs/>
                      <w:sz w:val="16"/>
                      <w:szCs w:val="16"/>
                    </w:rPr>
                    <w:t xml:space="preserve"> dan </w:t>
                  </w:r>
                  <w:proofErr w:type="spellStart"/>
                  <w:r w:rsidRPr="00926464">
                    <w:rPr>
                      <w:rFonts w:ascii="Times New Roman" w:eastAsia="Times New Roman" w:hAnsi="Times New Roman" w:cs="Times New Roman"/>
                      <w:iCs/>
                      <w:sz w:val="16"/>
                      <w:szCs w:val="16"/>
                    </w:rPr>
                    <w:t>Bisnis</w:t>
                  </w:r>
                  <w:proofErr w:type="spellEnd"/>
                  <w:r w:rsidRPr="00926464">
                    <w:rPr>
                      <w:rFonts w:ascii="Times New Roman" w:eastAsia="Times New Roman" w:hAnsi="Times New Roman" w:cs="Times New Roman"/>
                      <w:iCs/>
                      <w:sz w:val="16"/>
                      <w:szCs w:val="16"/>
                    </w:rPr>
                    <w:t>,</w:t>
                  </w:r>
                  <w:r w:rsidRPr="00926464">
                    <w:rPr>
                      <w:rFonts w:ascii="Times New Roman" w:eastAsia="Times New Roman" w:hAnsi="Times New Roman" w:cs="Times New Roman"/>
                      <w:i w:val="0"/>
                      <w:sz w:val="16"/>
                      <w:szCs w:val="16"/>
                    </w:rPr>
                    <w:t xml:space="preserve"> 9</w:t>
                  </w:r>
                  <w:r w:rsidRPr="00926464">
                    <w:rPr>
                      <w:rFonts w:ascii="Times New Roman" w:eastAsia="Times New Roman" w:hAnsi="Times New Roman" w:cs="Times New Roman"/>
                      <w:iCs/>
                      <w:sz w:val="16"/>
                      <w:szCs w:val="16"/>
                    </w:rPr>
                    <w:t>(2), 1</w:t>
                  </w:r>
                  <w:r>
                    <w:rPr>
                      <w:rFonts w:ascii="Times New Roman" w:eastAsia="Times New Roman" w:hAnsi="Times New Roman" w:cs="Times New Roman"/>
                      <w:iCs/>
                      <w:sz w:val="16"/>
                      <w:szCs w:val="16"/>
                    </w:rPr>
                    <w:t>-13</w:t>
                  </w:r>
                </w:p>
              </w:tc>
            </w:tr>
          </w:tbl>
          <w:p w14:paraId="036E3B37" w14:textId="77777777" w:rsidR="00FC61C8" w:rsidRDefault="00FC61C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tcPr>
          <w:p w14:paraId="36E26D45" w14:textId="77777777" w:rsidR="00FC61C8" w:rsidRDefault="00FC61C8">
            <w:pPr>
              <w:spacing w:after="0" w:line="240" w:lineRule="auto"/>
              <w:jc w:val="both"/>
              <w:rPr>
                <w:rFonts w:ascii="Times New Roman" w:eastAsia="Times New Roman" w:hAnsi="Times New Roman" w:cs="Times New Roman"/>
                <w:b/>
                <w:i w:val="0"/>
                <w:sz w:val="18"/>
                <w:szCs w:val="18"/>
              </w:rPr>
            </w:pPr>
          </w:p>
          <w:p w14:paraId="2786C410" w14:textId="2971DF33" w:rsidR="00FC61C8" w:rsidRDefault="0092121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781C650A" w14:textId="77777777" w:rsidR="00FC61C8" w:rsidRDefault="00FC61C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45D188E" w14:textId="77777777" w:rsidR="00FC61C8" w:rsidRDefault="00FC61C8">
            <w:pPr>
              <w:spacing w:after="0" w:line="240" w:lineRule="auto"/>
              <w:ind w:left="170"/>
              <w:jc w:val="both"/>
              <w:rPr>
                <w:rFonts w:ascii="Times New Roman" w:eastAsia="Times New Roman" w:hAnsi="Times New Roman" w:cs="Times New Roman"/>
                <w:b/>
                <w:i w:val="0"/>
                <w:sz w:val="18"/>
                <w:szCs w:val="18"/>
              </w:rPr>
            </w:pPr>
          </w:p>
          <w:p w14:paraId="0C9CBE45" w14:textId="5BB7ADAD" w:rsidR="00FC61C8" w:rsidRDefault="00926464">
            <w:pPr>
              <w:spacing w:after="0" w:line="240" w:lineRule="auto"/>
              <w:ind w:left="171" w:right="166"/>
              <w:jc w:val="both"/>
              <w:rPr>
                <w:rFonts w:ascii="Times New Roman" w:eastAsia="Times New Roman" w:hAnsi="Times New Roman" w:cs="Times New Roman"/>
                <w:b/>
                <w:i w:val="0"/>
                <w:sz w:val="18"/>
                <w:szCs w:val="18"/>
              </w:rPr>
            </w:pPr>
            <w:r w:rsidRPr="00926464">
              <w:rPr>
                <w:rFonts w:ascii="Times New Roman" w:eastAsia="Times New Roman" w:hAnsi="Times New Roman" w:cs="Times New Roman"/>
              </w:rPr>
              <w:t>This study examines the impact of Islamic religious holidays</w:t>
            </w:r>
            <w:r>
              <w:rPr>
                <w:rFonts w:ascii="Times New Roman" w:eastAsia="Times New Roman" w:hAnsi="Times New Roman" w:cs="Times New Roman"/>
              </w:rPr>
              <w:t xml:space="preserve"> </w:t>
            </w:r>
            <w:r w:rsidRPr="00926464">
              <w:rPr>
                <w:rFonts w:ascii="Times New Roman" w:eastAsia="Times New Roman" w:hAnsi="Times New Roman" w:cs="Times New Roman"/>
              </w:rPr>
              <w:t>Eid al-Fitr and Eid al-Adha</w:t>
            </w:r>
            <w:r>
              <w:rPr>
                <w:rFonts w:ascii="Times New Roman" w:eastAsia="Times New Roman" w:hAnsi="Times New Roman" w:cs="Times New Roman"/>
              </w:rPr>
              <w:t xml:space="preserve"> </w:t>
            </w:r>
            <w:r w:rsidRPr="00926464">
              <w:rPr>
                <w:rFonts w:ascii="Times New Roman" w:eastAsia="Times New Roman" w:hAnsi="Times New Roman" w:cs="Times New Roman"/>
              </w:rPr>
              <w:t>on the Indonesian capital market, focusing on abnormal returns (AR) and trading volume activity (TVA) in the consumer cyclicals sector. Using an event study methodology, data from 70 companies listed on the Indonesia Stock Exchange (IDX) from 2018 to 2022 were analyzed. The results indicate a significant market reaction to Eid al-Fitr, with abnormal returns observed on H−3 (three days before) and H+2 (two days after the event, suggesting investor anticipation of increased consumer spending. However, no significant AR or TVA anomalies were detected for Eid al-Adha, likely due to its lesser economic impact. Trading volumes showed no statistically significant changes during either holiday, aligning with the semi-strong form of the Efficient Market Hypothesis (EMH), which posits that public information is rapidly reflected in stock prices. These findings highlight the nuanced influence of cultural and religious events on market behavior, with Eid al-Fitr generating short-term inefficiencies while Eid al-Adha does not. The study contributes to the literature on behavioral finance and market efficiency in emerging economies, offering insights for investors and policymakers on holiday-driven market dynamics.</w:t>
            </w:r>
          </w:p>
        </w:tc>
      </w:tr>
    </w:tbl>
    <w:p w14:paraId="42D16DF3" w14:textId="77777777" w:rsidR="00FC61C8" w:rsidRDefault="00FC61C8">
      <w:pPr>
        <w:spacing w:after="0" w:line="240" w:lineRule="auto"/>
        <w:jc w:val="both"/>
        <w:rPr>
          <w:rFonts w:ascii="Times New Roman" w:eastAsia="Times New Roman" w:hAnsi="Times New Roman" w:cs="Times New Roman"/>
          <w:b/>
          <w:i w:val="0"/>
          <w:sz w:val="24"/>
          <w:szCs w:val="24"/>
        </w:rPr>
      </w:pPr>
    </w:p>
    <w:p w14:paraId="7773CD14"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695DD72" w14:textId="45783067" w:rsidR="008A23C1" w:rsidRPr="008A23C1"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8A23C1">
        <w:rPr>
          <w:rFonts w:ascii="Times New Roman" w:eastAsia="Times New Roman" w:hAnsi="Times New Roman" w:cs="Times New Roman"/>
          <w:i w:val="0"/>
          <w:color w:val="000000"/>
          <w:sz w:val="24"/>
          <w:szCs w:val="24"/>
        </w:rPr>
        <w:t>National holidays represent significant socio-cultural events that often bear substantial economic implications. These holidays can influence a country's economic landscape through changes in consumer spending behavior, operational efficiency of businesses, market liquidity, and sectoral movements (Hidayat, 2024). In Indonesia, national holidays and collective leave days</w:t>
      </w:r>
      <w:r>
        <w:rPr>
          <w:rFonts w:ascii="Times New Roman" w:eastAsia="Times New Roman" w:hAnsi="Times New Roman" w:cs="Times New Roman"/>
          <w:i w:val="0"/>
          <w:color w:val="000000"/>
          <w:sz w:val="24"/>
          <w:szCs w:val="24"/>
        </w:rPr>
        <w:t xml:space="preserve"> </w:t>
      </w:r>
      <w:r w:rsidRPr="008A23C1">
        <w:rPr>
          <w:rFonts w:ascii="Times New Roman" w:eastAsia="Times New Roman" w:hAnsi="Times New Roman" w:cs="Times New Roman"/>
          <w:i w:val="0"/>
          <w:color w:val="000000"/>
          <w:sz w:val="24"/>
          <w:szCs w:val="24"/>
        </w:rPr>
        <w:t xml:space="preserve">are numerous compared to other nations, reflecting the country's cultural and religious diversity. According to the Joint Decree (SKB) of three ministries—Religious Affairs, Manpower, and State Apparatus Utilization and Bureaucratic Reform—the year 2024 includes 17 national holidays and 10 collective leave days, totaling 27 days. This figure surpasses those of countries such as Singapore, the United States, and South Korea, which average fewer than 20 annual holidays (Aditya &amp; </w:t>
      </w:r>
      <w:proofErr w:type="spellStart"/>
      <w:r w:rsidRPr="008A23C1">
        <w:rPr>
          <w:rFonts w:ascii="Times New Roman" w:eastAsia="Times New Roman" w:hAnsi="Times New Roman" w:cs="Times New Roman"/>
          <w:i w:val="0"/>
          <w:color w:val="000000"/>
          <w:sz w:val="24"/>
          <w:szCs w:val="24"/>
        </w:rPr>
        <w:t>Agmasari</w:t>
      </w:r>
      <w:proofErr w:type="spellEnd"/>
      <w:r w:rsidRPr="008A23C1">
        <w:rPr>
          <w:rFonts w:ascii="Times New Roman" w:eastAsia="Times New Roman" w:hAnsi="Times New Roman" w:cs="Times New Roman"/>
          <w:i w:val="0"/>
          <w:color w:val="000000"/>
          <w:sz w:val="24"/>
          <w:szCs w:val="24"/>
        </w:rPr>
        <w:t>, 2020).</w:t>
      </w:r>
    </w:p>
    <w:p w14:paraId="0C602377" w14:textId="478CA0A7" w:rsidR="008A23C1" w:rsidRPr="008A23C1"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8A23C1">
        <w:rPr>
          <w:rFonts w:ascii="Times New Roman" w:eastAsia="Times New Roman" w:hAnsi="Times New Roman" w:cs="Times New Roman"/>
          <w:i w:val="0"/>
          <w:color w:val="000000"/>
          <w:sz w:val="24"/>
          <w:szCs w:val="24"/>
        </w:rPr>
        <w:t xml:space="preserve">While these holidays provide opportunities for rest and cultural observance, they also pose challenges for financial markets. Business and public activities often come to a halt during these periods, particularly impacting sectors that rely on continuous market operations, such as banking and capital markets. On days when stock exchanges are closed, market participants face increased uncertainty due to trading suspensions. This inactivity can lead to heightened volatility upon market reopening, as accumulated investor expectations are abruptly realized </w:t>
      </w:r>
      <w:r w:rsidRPr="008A23C1">
        <w:rPr>
          <w:rFonts w:ascii="Times New Roman" w:eastAsia="Times New Roman" w:hAnsi="Times New Roman" w:cs="Times New Roman"/>
          <w:i w:val="0"/>
          <w:color w:val="000000"/>
          <w:sz w:val="24"/>
          <w:szCs w:val="24"/>
        </w:rPr>
        <w:lastRenderedPageBreak/>
        <w:t xml:space="preserve">(Kudryavtsev, 2019; Ma et al., 2017). Moreover, shifts in trading volumes and price movements around these holidays have been documented globally, with evidence of both pre-holiday returns and post-holiday corrections (Ariel, 1990; Kim &amp; Park, 1994; </w:t>
      </w:r>
      <w:proofErr w:type="spellStart"/>
      <w:r w:rsidRPr="008A23C1">
        <w:rPr>
          <w:rFonts w:ascii="Times New Roman" w:eastAsia="Times New Roman" w:hAnsi="Times New Roman" w:cs="Times New Roman"/>
          <w:i w:val="0"/>
          <w:color w:val="000000"/>
          <w:sz w:val="24"/>
          <w:szCs w:val="24"/>
        </w:rPr>
        <w:t>Chiah</w:t>
      </w:r>
      <w:proofErr w:type="spellEnd"/>
      <w:r w:rsidRPr="008A23C1">
        <w:rPr>
          <w:rFonts w:ascii="Times New Roman" w:eastAsia="Times New Roman" w:hAnsi="Times New Roman" w:cs="Times New Roman"/>
          <w:i w:val="0"/>
          <w:color w:val="000000"/>
          <w:sz w:val="24"/>
          <w:szCs w:val="24"/>
        </w:rPr>
        <w:t xml:space="preserve"> &amp; Zhong, 2021; Wei &amp; Lin, 2023).</w:t>
      </w:r>
    </w:p>
    <w:p w14:paraId="4D1AC4E8" w14:textId="78FC05E6" w:rsidR="008A23C1" w:rsidRPr="008A23C1"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8A23C1">
        <w:rPr>
          <w:rFonts w:ascii="Times New Roman" w:eastAsia="Times New Roman" w:hAnsi="Times New Roman" w:cs="Times New Roman"/>
          <w:i w:val="0"/>
          <w:color w:val="000000"/>
          <w:sz w:val="24"/>
          <w:szCs w:val="24"/>
        </w:rPr>
        <w:t>The Indonesian Stock Exchange (IDX) hosts over 900 publicly traded companies, with a total market capitalization exceeding IDR 12,000 trillion as of mid-2024. Among these, firms in the consumer cyclicals sector exhibit distinctive sensitivities to macroeconomic conditions. Previous research suggests that these firms experience significant performance fluctuations around major Islamic holidays, particularly Eid al-Fitr and Eid al-Adha (Angela, 2023). These holidays stimulate temporary increases in consumer demand for non-essential goods such as clothing and festive foods, supported by cultural and religious norms that encourage celebration and generosity. The economic momentum generated by these events is reflected in indicators such as trade balance spikes and increases in the manufacturing Purchasing Managers' Index (PMI), particularly in months coinciding with Ramadan and Eid.</w:t>
      </w:r>
    </w:p>
    <w:p w14:paraId="16197A78" w14:textId="777B4395" w:rsidR="008A23C1" w:rsidRPr="008A23C1"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8A23C1">
        <w:rPr>
          <w:rFonts w:ascii="Times New Roman" w:eastAsia="Times New Roman" w:hAnsi="Times New Roman" w:cs="Times New Roman"/>
          <w:i w:val="0"/>
          <w:color w:val="000000"/>
          <w:sz w:val="24"/>
          <w:szCs w:val="24"/>
        </w:rPr>
        <w:t>In parallel, consumer behavior in Indonesia has been evolving, especially in the post-pandemic era. There has been a notable shift from traditional retail toward e-commerce platforms, with projections estimating over 99 million e-commerce users by 2029 (Statista, 2024). These behavioral shifts further complicate investor responses during holiday periods, particularly in evaluating the short-term performance of consumer-centric sectors.</w:t>
      </w:r>
    </w:p>
    <w:p w14:paraId="35CE3858" w14:textId="45B93CE6" w:rsidR="008A23C1" w:rsidRPr="008A23C1"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8A23C1">
        <w:rPr>
          <w:rFonts w:ascii="Times New Roman" w:eastAsia="Times New Roman" w:hAnsi="Times New Roman" w:cs="Times New Roman"/>
          <w:i w:val="0"/>
          <w:color w:val="000000"/>
          <w:sz w:val="24"/>
          <w:szCs w:val="24"/>
        </w:rPr>
        <w:t xml:space="preserve">Existing literature offers mixed evidence on the stock market’s reaction to national holidays. While some studies report significant abnormal returns around holidays, others find no measurable effect, especially within the context of Eid holidays in Indonesia (Ali et al., 2023; </w:t>
      </w:r>
      <w:proofErr w:type="spellStart"/>
      <w:r w:rsidRPr="008A23C1">
        <w:rPr>
          <w:rFonts w:ascii="Times New Roman" w:eastAsia="Times New Roman" w:hAnsi="Times New Roman" w:cs="Times New Roman"/>
          <w:i w:val="0"/>
          <w:color w:val="000000"/>
          <w:sz w:val="24"/>
          <w:szCs w:val="24"/>
        </w:rPr>
        <w:t>Khairani</w:t>
      </w:r>
      <w:proofErr w:type="spellEnd"/>
      <w:r w:rsidRPr="008A23C1">
        <w:rPr>
          <w:rFonts w:ascii="Times New Roman" w:eastAsia="Times New Roman" w:hAnsi="Times New Roman" w:cs="Times New Roman"/>
          <w:i w:val="0"/>
          <w:color w:val="000000"/>
          <w:sz w:val="24"/>
          <w:szCs w:val="24"/>
        </w:rPr>
        <w:t xml:space="preserve"> &amp; Adib, 2023; Saputra, 2019; Firdaus, 2021). These inconsistencies may be attributed to differing investor strategies—ranging from risk-averse passive investors to proactive, return-maximizing active investors (</w:t>
      </w:r>
      <w:proofErr w:type="spellStart"/>
      <w:r w:rsidRPr="008A23C1">
        <w:rPr>
          <w:rFonts w:ascii="Times New Roman" w:eastAsia="Times New Roman" w:hAnsi="Times New Roman" w:cs="Times New Roman"/>
          <w:i w:val="0"/>
          <w:color w:val="000000"/>
          <w:sz w:val="24"/>
          <w:szCs w:val="24"/>
        </w:rPr>
        <w:t>Baldenius</w:t>
      </w:r>
      <w:proofErr w:type="spellEnd"/>
      <w:r w:rsidRPr="008A23C1">
        <w:rPr>
          <w:rFonts w:ascii="Times New Roman" w:eastAsia="Times New Roman" w:hAnsi="Times New Roman" w:cs="Times New Roman"/>
          <w:i w:val="0"/>
          <w:color w:val="000000"/>
          <w:sz w:val="24"/>
          <w:szCs w:val="24"/>
        </w:rPr>
        <w:t xml:space="preserve"> &amp; Meng, 2010; Misra et al., 2020).</w:t>
      </w:r>
    </w:p>
    <w:p w14:paraId="308F753F" w14:textId="0CE8455A" w:rsidR="00FC61C8"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8A23C1">
        <w:rPr>
          <w:rFonts w:ascii="Times New Roman" w:eastAsia="Times New Roman" w:hAnsi="Times New Roman" w:cs="Times New Roman"/>
          <w:i w:val="0"/>
          <w:color w:val="000000"/>
          <w:sz w:val="24"/>
          <w:szCs w:val="24"/>
        </w:rPr>
        <w:t xml:space="preserve">Given the economic significance of Indonesia’s national holidays and the unique consumer dynamics surrounding Eid celebrations, this study aims to investigate whether Eid al-Fitr and Eid al-Adha trigger significant investor reactions in the capital market. By applying an event study methodology, we analyze </w:t>
      </w:r>
      <w:r>
        <w:rPr>
          <w:rFonts w:ascii="Times New Roman" w:eastAsia="Times New Roman" w:hAnsi="Times New Roman" w:cs="Times New Roman"/>
          <w:i w:val="0"/>
          <w:color w:val="000000"/>
          <w:sz w:val="24"/>
          <w:szCs w:val="24"/>
        </w:rPr>
        <w:t>abnormal</w:t>
      </w:r>
      <w:r w:rsidRPr="008A23C1">
        <w:rPr>
          <w:rFonts w:ascii="Times New Roman" w:eastAsia="Times New Roman" w:hAnsi="Times New Roman" w:cs="Times New Roman"/>
          <w:i w:val="0"/>
          <w:color w:val="000000"/>
          <w:sz w:val="24"/>
          <w:szCs w:val="24"/>
        </w:rPr>
        <w:t xml:space="preserve"> returns and trading volumes of firms in the consumer cyclicals sector listed on the IDX to assess whether these Islamic holidays elicit abnormal market behavior. </w:t>
      </w:r>
    </w:p>
    <w:p w14:paraId="464E987A" w14:textId="77777777" w:rsidR="00FC61C8" w:rsidRDefault="00FC61C8">
      <w:pPr>
        <w:spacing w:after="0" w:line="240" w:lineRule="auto"/>
        <w:jc w:val="both"/>
        <w:rPr>
          <w:rFonts w:ascii="Times New Roman" w:eastAsia="Times New Roman" w:hAnsi="Times New Roman" w:cs="Times New Roman"/>
          <w:b/>
          <w:i w:val="0"/>
          <w:sz w:val="24"/>
          <w:szCs w:val="24"/>
        </w:rPr>
      </w:pPr>
    </w:p>
    <w:p w14:paraId="503C5F1B"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AND HYPOTHESIS DEVELOPMENT </w:t>
      </w:r>
    </w:p>
    <w:p w14:paraId="465EE4F7" w14:textId="77777777" w:rsidR="00261CC9" w:rsidRDefault="00261CC9" w:rsidP="00261CC9">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261CC9">
        <w:rPr>
          <w:rFonts w:ascii="Times New Roman" w:eastAsia="Times New Roman" w:hAnsi="Times New Roman" w:cs="Times New Roman"/>
          <w:b/>
          <w:i w:val="0"/>
          <w:sz w:val="24"/>
          <w:szCs w:val="24"/>
        </w:rPr>
        <w:t xml:space="preserve">Efficient Market Hypothesis </w:t>
      </w:r>
    </w:p>
    <w:p w14:paraId="345BB124" w14:textId="75F15536" w:rsidR="00261CC9" w:rsidRPr="00261CC9" w:rsidRDefault="00261CC9" w:rsidP="00261CC9">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261CC9">
        <w:rPr>
          <w:rFonts w:ascii="Times New Roman" w:eastAsia="Times New Roman" w:hAnsi="Times New Roman" w:cs="Times New Roman"/>
          <w:i w:val="0"/>
          <w:color w:val="000000"/>
          <w:sz w:val="24"/>
          <w:szCs w:val="24"/>
        </w:rPr>
        <w:t xml:space="preserve">The </w:t>
      </w:r>
      <w:bookmarkStart w:id="3" w:name="_Hlk199394795"/>
      <w:r w:rsidRPr="00261CC9">
        <w:rPr>
          <w:rFonts w:ascii="Times New Roman" w:eastAsia="Times New Roman" w:hAnsi="Times New Roman" w:cs="Times New Roman"/>
          <w:i w:val="0"/>
          <w:color w:val="000000"/>
          <w:sz w:val="24"/>
          <w:szCs w:val="24"/>
        </w:rPr>
        <w:t>Efficient Market Hypothesis</w:t>
      </w:r>
      <w:bookmarkEnd w:id="3"/>
      <w:r w:rsidRPr="00261CC9">
        <w:rPr>
          <w:rFonts w:ascii="Times New Roman" w:eastAsia="Times New Roman" w:hAnsi="Times New Roman" w:cs="Times New Roman"/>
          <w:i w:val="0"/>
          <w:color w:val="000000"/>
          <w:sz w:val="24"/>
          <w:szCs w:val="24"/>
        </w:rPr>
        <w:t xml:space="preserve"> (EMH), first introduced by Eugene F. Fama, posits that financial markets are efficient when security prices fully reflect all available information at a given time (Fama, 1970). In such a market, it is impossible for investors to consistently achieve abnormal returns, since all relevant information—historical or public—is already incorporated into stock prices. EMH is categorized into three forms: the weak form, which reflects past trading data; the semi-strong form, which includes all publicly available information; and the strong form, which encompasses both public and private (insider) information (Fama, 1970).</w:t>
      </w:r>
    </w:p>
    <w:p w14:paraId="33ECBF5C" w14:textId="4EDCB539" w:rsidR="00261CC9" w:rsidRDefault="00261CC9"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261CC9">
        <w:rPr>
          <w:rFonts w:ascii="Times New Roman" w:eastAsia="Times New Roman" w:hAnsi="Times New Roman" w:cs="Times New Roman"/>
          <w:i w:val="0"/>
          <w:color w:val="000000"/>
          <w:sz w:val="24"/>
          <w:szCs w:val="24"/>
        </w:rPr>
        <w:t>In this study, the EMH framework is used to evaluate the efficiency of the consumer cyclicals sector in the Indonesian capital market by analyzing abnormal returns and trading volume activity (TVA) surrounding the Eid al-Fitr holiday. If significant price or volume anomalies are observed during this period without the release of relevant public or fundamental information, it may indicate that the sector does not fully satisfy market efficiency, thus suggesting the presence of information-based inefficiencies.</w:t>
      </w:r>
    </w:p>
    <w:p w14:paraId="05514D0E" w14:textId="77777777" w:rsidR="008A23C1" w:rsidRDefault="008A23C1" w:rsidP="008A23C1">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2DCB2D0F" w14:textId="6A103BC6" w:rsidR="00261CC9" w:rsidRDefault="00261CC9" w:rsidP="00261CC9">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C</w:t>
      </w:r>
      <w:r w:rsidRPr="00261CC9">
        <w:rPr>
          <w:rFonts w:ascii="Times New Roman" w:eastAsia="Times New Roman" w:hAnsi="Times New Roman" w:cs="Times New Roman"/>
          <w:b/>
          <w:i w:val="0"/>
          <w:color w:val="000000"/>
          <w:sz w:val="24"/>
          <w:szCs w:val="24"/>
        </w:rPr>
        <w:t xml:space="preserve">apital </w:t>
      </w:r>
      <w:r>
        <w:rPr>
          <w:rFonts w:ascii="Times New Roman" w:eastAsia="Times New Roman" w:hAnsi="Times New Roman" w:cs="Times New Roman"/>
          <w:b/>
          <w:i w:val="0"/>
          <w:color w:val="000000"/>
          <w:sz w:val="24"/>
          <w:szCs w:val="24"/>
        </w:rPr>
        <w:t>M</w:t>
      </w:r>
      <w:r w:rsidRPr="00261CC9">
        <w:rPr>
          <w:rFonts w:ascii="Times New Roman" w:eastAsia="Times New Roman" w:hAnsi="Times New Roman" w:cs="Times New Roman"/>
          <w:b/>
          <w:i w:val="0"/>
          <w:color w:val="000000"/>
          <w:sz w:val="24"/>
          <w:szCs w:val="24"/>
        </w:rPr>
        <w:t xml:space="preserve">arket </w:t>
      </w:r>
    </w:p>
    <w:p w14:paraId="410828FC" w14:textId="69D865ED" w:rsidR="00261CC9" w:rsidRPr="00261CC9" w:rsidRDefault="00261CC9" w:rsidP="00261CC9">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261CC9">
        <w:rPr>
          <w:rFonts w:ascii="Times New Roman" w:eastAsia="Times New Roman" w:hAnsi="Times New Roman" w:cs="Times New Roman"/>
          <w:i w:val="0"/>
          <w:color w:val="000000"/>
          <w:sz w:val="24"/>
          <w:szCs w:val="24"/>
        </w:rPr>
        <w:t>The capital market is a financial marketplace where long-term instruments such as equity (stocks), debt securities (bonds), derivatives, and other financial instruments are traded. It serves as a platform that connects entities with surplus capital (investors) and those in need of funds (issuers), thereby supporting both investment and financing activities. According to Indonesian Law No. 8 of 1995, the capital market encompasses public offerings and securities trading, as well as institutions and professions related to securities. Through this mechanism, the capital market becomes a core component of the national economy by facilitating the flow of capital necessary for business development and economic growth (</w:t>
      </w:r>
      <w:proofErr w:type="spellStart"/>
      <w:r w:rsidRPr="00261CC9">
        <w:rPr>
          <w:rFonts w:ascii="Times New Roman" w:eastAsia="Times New Roman" w:hAnsi="Times New Roman" w:cs="Times New Roman"/>
          <w:i w:val="0"/>
          <w:color w:val="000000"/>
          <w:sz w:val="24"/>
          <w:szCs w:val="24"/>
        </w:rPr>
        <w:t>Darmadji</w:t>
      </w:r>
      <w:proofErr w:type="spellEnd"/>
      <w:r w:rsidRPr="00261CC9">
        <w:rPr>
          <w:rFonts w:ascii="Times New Roman" w:eastAsia="Times New Roman" w:hAnsi="Times New Roman" w:cs="Times New Roman"/>
          <w:i w:val="0"/>
          <w:color w:val="000000"/>
          <w:sz w:val="24"/>
          <w:szCs w:val="24"/>
        </w:rPr>
        <w:t xml:space="preserve"> &amp; Fakhruddin, 2011).</w:t>
      </w:r>
    </w:p>
    <w:p w14:paraId="2A34272A" w14:textId="77777777" w:rsidR="00261CC9" w:rsidRDefault="00261CC9" w:rsidP="00261CC9">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261CC9">
        <w:rPr>
          <w:rFonts w:ascii="Times New Roman" w:eastAsia="Times New Roman" w:hAnsi="Times New Roman" w:cs="Times New Roman"/>
          <w:i w:val="0"/>
          <w:color w:val="000000"/>
          <w:sz w:val="24"/>
          <w:szCs w:val="24"/>
        </w:rPr>
        <w:t>Furthermore, the capital market performs two essential functions: a financial function and an economic function. The financial function enables investors to allocate their funds in hopes of receiving returns, while the economic function allows companies to obtain funding without waiting for operational profits. By serving both investors and issuers, the capital market helps maintain the continuity of the financial cycle and promotes economic efficiency. As capital flows from surplus units to deficit units, the market ensures optimal resource allocation and contributes to the development of the real sector (</w:t>
      </w:r>
      <w:proofErr w:type="spellStart"/>
      <w:r w:rsidRPr="00261CC9">
        <w:rPr>
          <w:rFonts w:ascii="Times New Roman" w:eastAsia="Times New Roman" w:hAnsi="Times New Roman" w:cs="Times New Roman"/>
          <w:i w:val="0"/>
          <w:color w:val="000000"/>
          <w:sz w:val="24"/>
          <w:szCs w:val="24"/>
        </w:rPr>
        <w:t>Darmadji</w:t>
      </w:r>
      <w:proofErr w:type="spellEnd"/>
      <w:r w:rsidRPr="00261CC9">
        <w:rPr>
          <w:rFonts w:ascii="Times New Roman" w:eastAsia="Times New Roman" w:hAnsi="Times New Roman" w:cs="Times New Roman"/>
          <w:i w:val="0"/>
          <w:color w:val="000000"/>
          <w:sz w:val="24"/>
          <w:szCs w:val="24"/>
        </w:rPr>
        <w:t xml:space="preserve"> &amp; Fakhruddin, 2011). </w:t>
      </w:r>
    </w:p>
    <w:p w14:paraId="248E1DCA" w14:textId="77777777" w:rsidR="00651E5E" w:rsidRDefault="00651E5E" w:rsidP="00651E5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5F2FF20" w14:textId="1CD12402" w:rsidR="00651E5E" w:rsidRPr="00651E5E" w:rsidRDefault="00651E5E" w:rsidP="00651E5E">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651E5E">
        <w:rPr>
          <w:rFonts w:ascii="Times New Roman" w:eastAsia="Times New Roman" w:hAnsi="Times New Roman" w:cs="Times New Roman"/>
          <w:b/>
          <w:i w:val="0"/>
          <w:color w:val="000000"/>
          <w:sz w:val="24"/>
          <w:szCs w:val="24"/>
        </w:rPr>
        <w:t xml:space="preserve">Hypothesis Development </w:t>
      </w:r>
    </w:p>
    <w:p w14:paraId="2714135D" w14:textId="726D3768" w:rsidR="009F7E44" w:rsidRPr="009F7E44" w:rsidRDefault="009F7E44" w:rsidP="009F7E4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9F7E44">
        <w:rPr>
          <w:rFonts w:ascii="Times New Roman" w:eastAsia="Times New Roman" w:hAnsi="Times New Roman" w:cs="Times New Roman"/>
          <w:i w:val="0"/>
          <w:color w:val="000000"/>
          <w:sz w:val="24"/>
          <w:szCs w:val="24"/>
        </w:rPr>
        <w:t>According to the Efficient Market Hypothesis (EMH), particularly its semi-strong form, all publicly available information should be rapidly and accurately reflected in stock prices. Religious holidays such as Eid al-Fitr and Eid al-Adha represent public events that generate substantial economic activity, especially in consumer-driven sectors. Increased household spending during these periods can influence investor expectations and market behavior. Empirical evidence from studies by Nanda</w:t>
      </w:r>
      <w:r w:rsidR="00641606">
        <w:rPr>
          <w:rFonts w:ascii="Times New Roman" w:eastAsia="Times New Roman" w:hAnsi="Times New Roman" w:cs="Times New Roman"/>
          <w:i w:val="0"/>
          <w:color w:val="000000"/>
          <w:sz w:val="24"/>
          <w:szCs w:val="24"/>
        </w:rPr>
        <w:t xml:space="preserve"> &amp; </w:t>
      </w:r>
      <w:proofErr w:type="spellStart"/>
      <w:r w:rsidRPr="009F7E44">
        <w:rPr>
          <w:rFonts w:ascii="Times New Roman" w:eastAsia="Times New Roman" w:hAnsi="Times New Roman" w:cs="Times New Roman"/>
          <w:i w:val="0"/>
          <w:color w:val="000000"/>
          <w:sz w:val="24"/>
          <w:szCs w:val="24"/>
        </w:rPr>
        <w:t>Wirakusuma</w:t>
      </w:r>
      <w:proofErr w:type="spellEnd"/>
      <w:r w:rsidRPr="009F7E44">
        <w:rPr>
          <w:rFonts w:ascii="Times New Roman" w:eastAsia="Times New Roman" w:hAnsi="Times New Roman" w:cs="Times New Roman"/>
          <w:i w:val="0"/>
          <w:color w:val="000000"/>
          <w:sz w:val="24"/>
          <w:szCs w:val="24"/>
        </w:rPr>
        <w:t xml:space="preserve"> (2020) and </w:t>
      </w:r>
      <w:proofErr w:type="spellStart"/>
      <w:r w:rsidRPr="009F7E44">
        <w:rPr>
          <w:rFonts w:ascii="Times New Roman" w:eastAsia="Times New Roman" w:hAnsi="Times New Roman" w:cs="Times New Roman"/>
          <w:i w:val="0"/>
          <w:color w:val="000000"/>
          <w:sz w:val="24"/>
          <w:szCs w:val="24"/>
        </w:rPr>
        <w:t>Dumitiru</w:t>
      </w:r>
      <w:proofErr w:type="spellEnd"/>
      <w:r w:rsidRPr="009F7E44">
        <w:rPr>
          <w:rFonts w:ascii="Times New Roman" w:eastAsia="Times New Roman" w:hAnsi="Times New Roman" w:cs="Times New Roman"/>
          <w:i w:val="0"/>
          <w:color w:val="000000"/>
          <w:sz w:val="24"/>
          <w:szCs w:val="24"/>
        </w:rPr>
        <w:t xml:space="preserve"> </w:t>
      </w:r>
      <w:r w:rsidR="00641606">
        <w:rPr>
          <w:rFonts w:ascii="Times New Roman" w:eastAsia="Times New Roman" w:hAnsi="Times New Roman" w:cs="Times New Roman"/>
          <w:i w:val="0"/>
          <w:color w:val="000000"/>
          <w:sz w:val="24"/>
          <w:szCs w:val="24"/>
        </w:rPr>
        <w:t>&amp;</w:t>
      </w:r>
      <w:r w:rsidRPr="009F7E44">
        <w:rPr>
          <w:rFonts w:ascii="Times New Roman" w:eastAsia="Times New Roman" w:hAnsi="Times New Roman" w:cs="Times New Roman"/>
          <w:i w:val="0"/>
          <w:color w:val="000000"/>
          <w:sz w:val="24"/>
          <w:szCs w:val="24"/>
        </w:rPr>
        <w:t xml:space="preserve"> Stefanescu (2020) shows that markets sometimes exhibit significant abnormal returns before and after these events, suggesting that information is not always fully or instantly absorbed. These findings point to possible market inefficiencies or behavioral biases.</w:t>
      </w:r>
    </w:p>
    <w:p w14:paraId="17582BA6" w14:textId="57E78EB8" w:rsidR="009F7E44" w:rsidRPr="009F7E44" w:rsidRDefault="009F7E44" w:rsidP="00651E5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9F7E44">
        <w:rPr>
          <w:rFonts w:ascii="Times New Roman" w:eastAsia="Times New Roman" w:hAnsi="Times New Roman" w:cs="Times New Roman"/>
          <w:i w:val="0"/>
          <w:color w:val="000000"/>
          <w:sz w:val="24"/>
          <w:szCs w:val="24"/>
        </w:rPr>
        <w:t>Based on this, the first hypothesis is formulated as follows:</w:t>
      </w:r>
    </w:p>
    <w:p w14:paraId="10D4C3B4" w14:textId="695B1CFB" w:rsidR="009F7E44" w:rsidRPr="009F7E44" w:rsidRDefault="009F7E44" w:rsidP="009F7E4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9F7E44">
        <w:rPr>
          <w:rFonts w:ascii="Times New Roman" w:eastAsia="Times New Roman" w:hAnsi="Times New Roman" w:cs="Times New Roman"/>
          <w:i w:val="0"/>
          <w:color w:val="000000"/>
          <w:sz w:val="24"/>
          <w:szCs w:val="24"/>
        </w:rPr>
        <w:t>H1a: There is a significant abnormal return surrounding the Eid al-Fitr period, indicating a market reaction to the event.</w:t>
      </w:r>
    </w:p>
    <w:p w14:paraId="5D610AE6" w14:textId="77777777" w:rsidR="009F7E44" w:rsidRDefault="009F7E44" w:rsidP="009F7E4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9F7E44">
        <w:rPr>
          <w:rFonts w:ascii="Times New Roman" w:eastAsia="Times New Roman" w:hAnsi="Times New Roman" w:cs="Times New Roman"/>
          <w:i w:val="0"/>
          <w:color w:val="000000"/>
          <w:sz w:val="24"/>
          <w:szCs w:val="24"/>
        </w:rPr>
        <w:t>H1b: There is a significant abnormal return surrounding the Eid al-Adha period, indicating a market reaction to the event.</w:t>
      </w:r>
    </w:p>
    <w:p w14:paraId="200A6AB4" w14:textId="77777777" w:rsidR="00651E5E" w:rsidRPr="00651E5E" w:rsidRDefault="00651E5E" w:rsidP="00651E5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en-ID"/>
        </w:rPr>
      </w:pPr>
      <w:r w:rsidRPr="00651E5E">
        <w:rPr>
          <w:rFonts w:ascii="Times New Roman" w:eastAsia="Times New Roman" w:hAnsi="Times New Roman" w:cs="Times New Roman"/>
          <w:i w:val="0"/>
          <w:color w:val="000000"/>
          <w:sz w:val="24"/>
          <w:szCs w:val="24"/>
          <w:lang w:val="en-ID"/>
        </w:rPr>
        <w:t xml:space="preserve">Trading volume activity (TVA) is widely recognized as a sensitive proxy for market liquidity and investor reaction to new information. During major public holidays such as Eid al-Fitr and Eid al-Adha, trading activity often exhibits distinct fluctuations due to investor anticipation or adjustments following market closures. Empirical studies conducted by Nanda and </w:t>
      </w:r>
      <w:proofErr w:type="spellStart"/>
      <w:r w:rsidRPr="00651E5E">
        <w:rPr>
          <w:rFonts w:ascii="Times New Roman" w:eastAsia="Times New Roman" w:hAnsi="Times New Roman" w:cs="Times New Roman"/>
          <w:i w:val="0"/>
          <w:color w:val="000000"/>
          <w:sz w:val="24"/>
          <w:szCs w:val="24"/>
          <w:lang w:val="en-ID"/>
        </w:rPr>
        <w:t>Wirakusuma</w:t>
      </w:r>
      <w:proofErr w:type="spellEnd"/>
      <w:r w:rsidRPr="00651E5E">
        <w:rPr>
          <w:rFonts w:ascii="Times New Roman" w:eastAsia="Times New Roman" w:hAnsi="Times New Roman" w:cs="Times New Roman"/>
          <w:i w:val="0"/>
          <w:color w:val="000000"/>
          <w:sz w:val="24"/>
          <w:szCs w:val="24"/>
          <w:lang w:val="en-ID"/>
        </w:rPr>
        <w:t xml:space="preserve"> (2020), Sabila et al. (2022), and Fleming et al. (2024) report significant changes in TVA before and after these religious events. These findings suggest that investor </w:t>
      </w:r>
      <w:proofErr w:type="spellStart"/>
      <w:r w:rsidRPr="00651E5E">
        <w:rPr>
          <w:rFonts w:ascii="Times New Roman" w:eastAsia="Times New Roman" w:hAnsi="Times New Roman" w:cs="Times New Roman"/>
          <w:i w:val="0"/>
          <w:color w:val="000000"/>
          <w:sz w:val="24"/>
          <w:szCs w:val="24"/>
          <w:lang w:val="en-ID"/>
        </w:rPr>
        <w:t>behavior</w:t>
      </w:r>
      <w:proofErr w:type="spellEnd"/>
      <w:r w:rsidRPr="00651E5E">
        <w:rPr>
          <w:rFonts w:ascii="Times New Roman" w:eastAsia="Times New Roman" w:hAnsi="Times New Roman" w:cs="Times New Roman"/>
          <w:i w:val="0"/>
          <w:color w:val="000000"/>
          <w:sz w:val="24"/>
          <w:szCs w:val="24"/>
          <w:lang w:val="en-ID"/>
        </w:rPr>
        <w:t xml:space="preserve"> is influenced not only by the information itself but also by seasonal and structural factors associated with the holiday period. Such fluctuations may reflect reactions to delayed information processing or portfolio repositioning after extended trading suspensions.</w:t>
      </w:r>
    </w:p>
    <w:p w14:paraId="4AAC3BD4" w14:textId="77777777" w:rsidR="00651E5E" w:rsidRPr="00651E5E" w:rsidRDefault="00651E5E" w:rsidP="00651E5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en-ID"/>
        </w:rPr>
      </w:pPr>
      <w:r w:rsidRPr="00651E5E">
        <w:rPr>
          <w:rFonts w:ascii="Times New Roman" w:eastAsia="Times New Roman" w:hAnsi="Times New Roman" w:cs="Times New Roman"/>
          <w:i w:val="0"/>
          <w:color w:val="000000"/>
          <w:sz w:val="24"/>
          <w:szCs w:val="24"/>
          <w:lang w:val="en-ID"/>
        </w:rPr>
        <w:t>Based on this rationale, the second hypothesis is formulated as follows:</w:t>
      </w:r>
    </w:p>
    <w:p w14:paraId="4C8015F2" w14:textId="77777777" w:rsidR="00651E5E" w:rsidRPr="00651E5E" w:rsidRDefault="00651E5E" w:rsidP="00651E5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en-ID"/>
        </w:rPr>
      </w:pPr>
      <w:r w:rsidRPr="00651E5E">
        <w:rPr>
          <w:rFonts w:ascii="Times New Roman" w:eastAsia="Times New Roman" w:hAnsi="Times New Roman" w:cs="Times New Roman"/>
          <w:i w:val="0"/>
          <w:color w:val="000000"/>
          <w:sz w:val="24"/>
          <w:szCs w:val="24"/>
          <w:lang w:val="en-ID"/>
        </w:rPr>
        <w:t>H2a: There is a significant change in trading volume activity (TVA) surrounding the Eid al-Fitr period, reflecting investor response to the event.</w:t>
      </w:r>
    </w:p>
    <w:p w14:paraId="68D6CE43" w14:textId="77777777" w:rsidR="00651E5E" w:rsidRPr="00651E5E" w:rsidRDefault="00651E5E" w:rsidP="00651E5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en-ID"/>
        </w:rPr>
      </w:pPr>
      <w:r w:rsidRPr="00651E5E">
        <w:rPr>
          <w:rFonts w:ascii="Times New Roman" w:eastAsia="Times New Roman" w:hAnsi="Times New Roman" w:cs="Times New Roman"/>
          <w:i w:val="0"/>
          <w:color w:val="000000"/>
          <w:sz w:val="24"/>
          <w:szCs w:val="24"/>
          <w:lang w:val="en-ID"/>
        </w:rPr>
        <w:t>H2b: There is a significant change in trading volume activity (TVA) surrounding the Eid al-Adha period, reflecting investor response to the event.</w:t>
      </w:r>
    </w:p>
    <w:p w14:paraId="0EE9181E" w14:textId="77777777" w:rsidR="00FC61C8" w:rsidRDefault="00FC61C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F4EF2C5"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1D7C01B2" w14:textId="13622CDD" w:rsidR="008620FD" w:rsidRPr="008620FD" w:rsidRDefault="008620FD" w:rsidP="008620FD">
      <w:pPr>
        <w:spacing w:after="0" w:line="240" w:lineRule="auto"/>
        <w:jc w:val="both"/>
        <w:rPr>
          <w:rFonts w:ascii="Times New Roman" w:eastAsia="Times New Roman" w:hAnsi="Times New Roman" w:cs="Times New Roman"/>
          <w:b/>
          <w:bCs/>
          <w:i w:val="0"/>
          <w:sz w:val="24"/>
          <w:szCs w:val="24"/>
        </w:rPr>
      </w:pPr>
      <w:r w:rsidRPr="008620FD">
        <w:rPr>
          <w:rFonts w:ascii="Times New Roman" w:eastAsia="Times New Roman" w:hAnsi="Times New Roman" w:cs="Times New Roman"/>
          <w:b/>
          <w:bCs/>
          <w:i w:val="0"/>
          <w:sz w:val="24"/>
          <w:szCs w:val="24"/>
        </w:rPr>
        <w:t>Types and Sources of Data</w:t>
      </w:r>
    </w:p>
    <w:p w14:paraId="475A2A78" w14:textId="385FE045" w:rsidR="008620FD" w:rsidRPr="008620FD" w:rsidRDefault="008620FD" w:rsidP="008620FD">
      <w:pPr>
        <w:spacing w:after="0" w:line="240" w:lineRule="auto"/>
        <w:ind w:firstLine="360"/>
        <w:jc w:val="both"/>
        <w:rPr>
          <w:rFonts w:ascii="Times New Roman" w:eastAsia="Times New Roman" w:hAnsi="Times New Roman" w:cs="Times New Roman"/>
          <w:i w:val="0"/>
          <w:sz w:val="24"/>
          <w:szCs w:val="24"/>
        </w:rPr>
      </w:pPr>
      <w:r w:rsidRPr="008620FD">
        <w:rPr>
          <w:rFonts w:ascii="Times New Roman" w:eastAsia="Times New Roman" w:hAnsi="Times New Roman" w:cs="Times New Roman"/>
          <w:i w:val="0"/>
          <w:sz w:val="24"/>
          <w:szCs w:val="24"/>
        </w:rPr>
        <w:t xml:space="preserve">This study employs a quantitative research approach as defined by </w:t>
      </w:r>
      <w:proofErr w:type="spellStart"/>
      <w:r w:rsidRPr="008620FD">
        <w:rPr>
          <w:rFonts w:ascii="Times New Roman" w:eastAsia="Times New Roman" w:hAnsi="Times New Roman" w:cs="Times New Roman"/>
          <w:i w:val="0"/>
          <w:sz w:val="24"/>
          <w:szCs w:val="24"/>
        </w:rPr>
        <w:t>Sugiyono</w:t>
      </w:r>
      <w:proofErr w:type="spellEnd"/>
      <w:r w:rsidRPr="008620FD">
        <w:rPr>
          <w:rFonts w:ascii="Times New Roman" w:eastAsia="Times New Roman" w:hAnsi="Times New Roman" w:cs="Times New Roman"/>
          <w:i w:val="0"/>
          <w:sz w:val="24"/>
          <w:szCs w:val="24"/>
        </w:rPr>
        <w:t xml:space="preserve"> (2015), which involves the use of numerical data and statistical analysis to test hypotheses on a given population or sample. Secondary data are utilized, consisting of daily closing prices of consumer cyclicals sector companies listed on the Indonesia Stock Exchange (IDX) from 2018 to 2022, daily closing prices of the Jakarta Composite Index (JCI) during the same period, and trading volume activity data. All data were obtained from the financial website www.finance.yahoo.com and focus on the periods surrounding specific event dates.</w:t>
      </w:r>
    </w:p>
    <w:p w14:paraId="742F20D7" w14:textId="512B8391" w:rsidR="008620FD" w:rsidRPr="008620FD" w:rsidRDefault="008620FD" w:rsidP="008620FD">
      <w:pPr>
        <w:spacing w:after="0" w:line="240" w:lineRule="auto"/>
        <w:jc w:val="both"/>
        <w:rPr>
          <w:rFonts w:ascii="Times New Roman" w:eastAsia="Times New Roman" w:hAnsi="Times New Roman" w:cs="Times New Roman"/>
          <w:b/>
          <w:bCs/>
          <w:i w:val="0"/>
          <w:sz w:val="24"/>
          <w:szCs w:val="24"/>
        </w:rPr>
      </w:pPr>
      <w:r w:rsidRPr="008620FD">
        <w:rPr>
          <w:rFonts w:ascii="Times New Roman" w:eastAsia="Times New Roman" w:hAnsi="Times New Roman" w:cs="Times New Roman"/>
          <w:b/>
          <w:bCs/>
          <w:i w:val="0"/>
          <w:sz w:val="24"/>
          <w:szCs w:val="24"/>
        </w:rPr>
        <w:t>Observation Period</w:t>
      </w:r>
    </w:p>
    <w:p w14:paraId="79648C09" w14:textId="77777777" w:rsidR="008620FD" w:rsidRDefault="008620FD" w:rsidP="008620FD">
      <w:pPr>
        <w:spacing w:after="0" w:line="240" w:lineRule="auto"/>
        <w:ind w:firstLine="360"/>
        <w:jc w:val="both"/>
        <w:rPr>
          <w:rFonts w:ascii="Times New Roman" w:eastAsia="Times New Roman" w:hAnsi="Times New Roman" w:cs="Times New Roman"/>
          <w:i w:val="0"/>
          <w:sz w:val="24"/>
          <w:szCs w:val="24"/>
        </w:rPr>
      </w:pPr>
      <w:r w:rsidRPr="008620FD">
        <w:rPr>
          <w:rFonts w:ascii="Times New Roman" w:eastAsia="Times New Roman" w:hAnsi="Times New Roman" w:cs="Times New Roman"/>
          <w:i w:val="0"/>
          <w:sz w:val="24"/>
          <w:szCs w:val="24"/>
        </w:rPr>
        <w:t>This study uses a 30-day estimation period (non-event window) and a 10-day event window. The 10-day event window was selected to avoid market reactions to other proximate events and to reduce bias that may result from a longer observation period. Additionally, the non-event window consists of 15 days before and after the event window, serving as a control period for comparison with the event window results.</w:t>
      </w:r>
    </w:p>
    <w:p w14:paraId="29E6CAE0" w14:textId="5607AD30" w:rsidR="009441FB" w:rsidRPr="009441FB" w:rsidRDefault="009441FB" w:rsidP="009441FB">
      <w:pPr>
        <w:spacing w:after="0" w:line="240" w:lineRule="auto"/>
        <w:jc w:val="both"/>
        <w:rPr>
          <w:rFonts w:ascii="Times New Roman" w:eastAsia="Times New Roman" w:hAnsi="Times New Roman" w:cs="Times New Roman"/>
          <w:b/>
          <w:bCs/>
          <w:i w:val="0"/>
          <w:sz w:val="24"/>
          <w:szCs w:val="24"/>
        </w:rPr>
      </w:pPr>
      <w:r w:rsidRPr="009441FB">
        <w:rPr>
          <w:rFonts w:ascii="Times New Roman" w:eastAsia="Times New Roman" w:hAnsi="Times New Roman" w:cs="Times New Roman"/>
          <w:b/>
          <w:bCs/>
          <w:i w:val="0"/>
          <w:sz w:val="24"/>
          <w:szCs w:val="24"/>
        </w:rPr>
        <w:t>Population and Sample</w:t>
      </w:r>
    </w:p>
    <w:p w14:paraId="42896D12" w14:textId="1601BF48" w:rsidR="009441FB" w:rsidRDefault="009441FB" w:rsidP="009441FB">
      <w:pPr>
        <w:spacing w:after="0" w:line="240" w:lineRule="auto"/>
        <w:ind w:firstLine="360"/>
        <w:jc w:val="both"/>
        <w:rPr>
          <w:rFonts w:ascii="Times New Roman" w:eastAsia="Times New Roman" w:hAnsi="Times New Roman" w:cs="Times New Roman"/>
          <w:i w:val="0"/>
          <w:sz w:val="24"/>
          <w:szCs w:val="24"/>
        </w:rPr>
      </w:pPr>
      <w:r w:rsidRPr="00651E5E">
        <w:rPr>
          <w:rFonts w:ascii="Times New Roman" w:eastAsia="Times New Roman" w:hAnsi="Times New Roman" w:cs="Times New Roman"/>
          <w:i w:val="0"/>
          <w:sz w:val="24"/>
          <w:szCs w:val="24"/>
        </w:rPr>
        <w:t>This study focuses on companies in the consumer cyclicals sector listed on the Indonesia Stock Exchange (IDX) during the period 2018–2022. The sample was selected using purposive sampling, a method of sampling based on specific criteria relevant to the research objectives (</w:t>
      </w:r>
      <w:proofErr w:type="spellStart"/>
      <w:r w:rsidRPr="00651E5E">
        <w:rPr>
          <w:rFonts w:ascii="Times New Roman" w:eastAsia="Times New Roman" w:hAnsi="Times New Roman" w:cs="Times New Roman"/>
          <w:i w:val="0"/>
          <w:sz w:val="24"/>
          <w:szCs w:val="24"/>
        </w:rPr>
        <w:t>Sugiyono</w:t>
      </w:r>
      <w:proofErr w:type="spellEnd"/>
      <w:r w:rsidRPr="00651E5E">
        <w:rPr>
          <w:rFonts w:ascii="Times New Roman" w:eastAsia="Times New Roman" w:hAnsi="Times New Roman" w:cs="Times New Roman"/>
          <w:i w:val="0"/>
          <w:sz w:val="24"/>
          <w:szCs w:val="24"/>
        </w:rPr>
        <w:t>, 2015). The selection criteria were: (1) companies classified under the consumer cyclicals sub-sectors, including Food Retail &amp; Distributors, Supermarkets &amp; Convenience Stores, Department Stores, Apparel &amp; Textile Retail, and Travel and Leisure; (2) companies actively engaged in stock trading throughout the study period; (3) companies listed on the Development, Acceleration, or Main Board; and (4) availability of complete data required for the analysis. Based on these criteria, from a total population of 164 consumer cyclicals companies, a sample of 14 companies per year was selected, resulting in a total of 70 companies over the five-year period.</w:t>
      </w:r>
    </w:p>
    <w:p w14:paraId="2AE6F1E1" w14:textId="5B6D39DE" w:rsidR="008620FD" w:rsidRPr="008620FD" w:rsidRDefault="008620FD" w:rsidP="008620FD">
      <w:pPr>
        <w:spacing w:after="0" w:line="240" w:lineRule="auto"/>
        <w:jc w:val="both"/>
        <w:rPr>
          <w:rFonts w:ascii="Times New Roman" w:eastAsia="Times New Roman" w:hAnsi="Times New Roman" w:cs="Times New Roman"/>
          <w:i w:val="0"/>
          <w:sz w:val="24"/>
          <w:szCs w:val="24"/>
          <w:lang w:val="en-ID"/>
        </w:rPr>
      </w:pPr>
      <w:r w:rsidRPr="008620FD">
        <w:rPr>
          <w:rFonts w:ascii="Times New Roman" w:eastAsia="Times New Roman" w:hAnsi="Times New Roman" w:cs="Times New Roman"/>
          <w:b/>
          <w:bCs/>
          <w:i w:val="0"/>
          <w:sz w:val="24"/>
          <w:szCs w:val="24"/>
          <w:lang w:val="en-ID"/>
        </w:rPr>
        <w:t xml:space="preserve">Data Analysis Methods </w:t>
      </w:r>
    </w:p>
    <w:p w14:paraId="6113799C" w14:textId="010B5D57" w:rsidR="008620FD" w:rsidRDefault="009441FB" w:rsidP="008620FD">
      <w:pPr>
        <w:spacing w:after="0" w:line="240" w:lineRule="auto"/>
        <w:ind w:firstLine="360"/>
        <w:jc w:val="both"/>
        <w:rPr>
          <w:rFonts w:ascii="Times New Roman" w:eastAsia="Times New Roman" w:hAnsi="Times New Roman" w:cs="Times New Roman"/>
          <w:i w:val="0"/>
          <w:sz w:val="24"/>
          <w:szCs w:val="24"/>
          <w:lang w:val="en-ID"/>
        </w:rPr>
      </w:pPr>
      <w:r w:rsidRPr="009441FB">
        <w:rPr>
          <w:rFonts w:ascii="Times New Roman" w:eastAsia="Times New Roman" w:hAnsi="Times New Roman" w:cs="Times New Roman"/>
          <w:i w:val="0"/>
          <w:sz w:val="24"/>
          <w:szCs w:val="24"/>
          <w:lang w:val="en-ID"/>
        </w:rPr>
        <w:t>This study employs descriptive statistics to summarize and describe the quantitative data, specifically focusing on Abnormal Return (AR) and Trading Volume Activity (TVA) to provide an overview of the variables. To compare the means between event periods (H-5 to H+5) and non-event periods (H-20 to H-6), an Independent Sample T-test is utilized, as these datasets are independent of each other. The standard significance level is generally set at 5%; however, this study adopts a 10% significance level (p &lt; 0.10) based on the data characteristics. For hypothesis testing, two approaches are applied depending on data normality: a paired t-test is used for normally distributed data, whereas the Wilcoxon signed-rank test is applied for non-normal data. Hypothesis 1 tests whether significant abnormal returns occur around Eid al-Fitr and Eid al-Adha by calculating actual returns, expected returns, abnormal returns, average abnormal returns, and subsequently conducting statistical tests. Hypothesis 2 examines changes in trading volume activity during the same event periods, calculating TVA for each stock and testing for significance similarly. Both tests use a 10% significance threshold to determine the presence of market reactions to the religious events.</w:t>
      </w:r>
    </w:p>
    <w:p w14:paraId="0E960BD0" w14:textId="77777777" w:rsidR="00651E5E" w:rsidRDefault="00651E5E" w:rsidP="009441FB">
      <w:pPr>
        <w:spacing w:after="0" w:line="240" w:lineRule="auto"/>
        <w:jc w:val="both"/>
        <w:rPr>
          <w:rFonts w:ascii="Times New Roman" w:eastAsia="Times New Roman" w:hAnsi="Times New Roman" w:cs="Times New Roman"/>
          <w:i w:val="0"/>
          <w:sz w:val="24"/>
          <w:szCs w:val="24"/>
        </w:rPr>
      </w:pPr>
    </w:p>
    <w:p w14:paraId="4A572680"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16160F8B" w14:textId="05DC1E48" w:rsidR="009441FB" w:rsidRDefault="009441FB" w:rsidP="009441FB">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9441FB">
        <w:rPr>
          <w:rFonts w:ascii="Times New Roman" w:eastAsia="Times New Roman" w:hAnsi="Times New Roman" w:cs="Times New Roman"/>
          <w:b/>
          <w:i w:val="0"/>
          <w:color w:val="000000"/>
          <w:sz w:val="24"/>
          <w:szCs w:val="24"/>
        </w:rPr>
        <w:t xml:space="preserve">Descriptive Statistical </w:t>
      </w:r>
      <w:r w:rsidR="00D71D04">
        <w:rPr>
          <w:rFonts w:ascii="Times New Roman" w:eastAsia="Times New Roman" w:hAnsi="Times New Roman" w:cs="Times New Roman"/>
          <w:b/>
          <w:i w:val="0"/>
          <w:color w:val="000000"/>
          <w:sz w:val="24"/>
          <w:szCs w:val="24"/>
        </w:rPr>
        <w:t>A</w:t>
      </w:r>
      <w:r w:rsidR="00C91714">
        <w:rPr>
          <w:rFonts w:ascii="Times New Roman" w:eastAsia="Times New Roman" w:hAnsi="Times New Roman" w:cs="Times New Roman"/>
          <w:b/>
          <w:i w:val="0"/>
          <w:color w:val="000000"/>
          <w:sz w:val="24"/>
          <w:szCs w:val="24"/>
        </w:rPr>
        <w:t>nalysis</w:t>
      </w:r>
    </w:p>
    <w:p w14:paraId="15901C08" w14:textId="4886E244" w:rsidR="00D71D04" w:rsidRDefault="00C91714" w:rsidP="00D71D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C91714">
        <w:rPr>
          <w:rFonts w:ascii="Times New Roman" w:eastAsia="Times New Roman" w:hAnsi="Times New Roman" w:cs="Times New Roman"/>
          <w:i w:val="0"/>
          <w:color w:val="000000"/>
          <w:sz w:val="24"/>
          <w:szCs w:val="24"/>
        </w:rPr>
        <w:t xml:space="preserve">In this study, the data used consist of the event window and non-window periods in the event study conducted on Eid al-Fitr and Eid al-Adha from 2018 to 2022. Generally, several </w:t>
      </w:r>
      <w:r w:rsidRPr="00C91714">
        <w:rPr>
          <w:rFonts w:ascii="Times New Roman" w:eastAsia="Times New Roman" w:hAnsi="Times New Roman" w:cs="Times New Roman"/>
          <w:i w:val="0"/>
          <w:color w:val="000000"/>
          <w:sz w:val="24"/>
          <w:szCs w:val="24"/>
        </w:rPr>
        <w:lastRenderedPageBreak/>
        <w:t>statistical parameters are used as references, including the mean, standard deviation, and standard error of the mean.</w:t>
      </w:r>
    </w:p>
    <w:p w14:paraId="1F51A1C9" w14:textId="77777777" w:rsidR="00E067A7" w:rsidRDefault="00E067A7" w:rsidP="00D71D0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3AE1E88F" w14:textId="18182F0A" w:rsidR="00C91714" w:rsidRDefault="00D71D04" w:rsidP="00D71D0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D71D04">
        <w:rPr>
          <w:rFonts w:ascii="Times New Roman" w:eastAsia="Times New Roman" w:hAnsi="Times New Roman" w:cs="Times New Roman"/>
          <w:b/>
          <w:bCs/>
          <w:i w:val="0"/>
          <w:color w:val="000000"/>
          <w:sz w:val="24"/>
          <w:szCs w:val="24"/>
        </w:rPr>
        <w:t xml:space="preserve">Eid al-Fitr </w:t>
      </w:r>
      <w:r>
        <w:rPr>
          <w:rFonts w:ascii="Times New Roman" w:eastAsia="Times New Roman" w:hAnsi="Times New Roman" w:cs="Times New Roman"/>
          <w:b/>
          <w:bCs/>
          <w:i w:val="0"/>
          <w:color w:val="000000"/>
          <w:sz w:val="24"/>
          <w:szCs w:val="24"/>
        </w:rPr>
        <w:t>E</w:t>
      </w:r>
      <w:r w:rsidRPr="00D71D04">
        <w:rPr>
          <w:rFonts w:ascii="Times New Roman" w:eastAsia="Times New Roman" w:hAnsi="Times New Roman" w:cs="Times New Roman"/>
          <w:b/>
          <w:bCs/>
          <w:i w:val="0"/>
          <w:color w:val="000000"/>
          <w:sz w:val="24"/>
          <w:szCs w:val="24"/>
        </w:rPr>
        <w:t>vent</w:t>
      </w:r>
    </w:p>
    <w:p w14:paraId="464E866C" w14:textId="77777777" w:rsidR="00D71D04" w:rsidRPr="00D71D04" w:rsidRDefault="00D71D04" w:rsidP="00D71D0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01629CAF" w14:textId="5B1A47DE" w:rsidR="00D71D04" w:rsidRPr="00D71D04" w:rsidRDefault="00C91714" w:rsidP="00D71D04">
      <w:pPr>
        <w:pStyle w:val="Caption"/>
        <w:keepNext/>
        <w:jc w:val="center"/>
        <w:rPr>
          <w:b/>
          <w:bCs/>
          <w:i w:val="0"/>
          <w:iCs w:val="0"/>
          <w:color w:val="000000" w:themeColor="text1"/>
          <w:sz w:val="24"/>
          <w:szCs w:val="24"/>
        </w:rPr>
      </w:pPr>
      <w:r>
        <w:rPr>
          <w:rFonts w:eastAsia="Times New Roman" w:cs="Times New Roman"/>
          <w:b/>
          <w:i w:val="0"/>
          <w:color w:val="000000"/>
          <w:sz w:val="24"/>
          <w:szCs w:val="24"/>
        </w:rPr>
        <w:t xml:space="preserve">Table 1. </w:t>
      </w:r>
      <w:r w:rsidRPr="00C91714">
        <w:rPr>
          <w:b/>
          <w:bCs/>
          <w:i w:val="0"/>
          <w:iCs w:val="0"/>
          <w:color w:val="000000" w:themeColor="text1"/>
          <w:sz w:val="24"/>
          <w:szCs w:val="24"/>
        </w:rPr>
        <w:t xml:space="preserve">Results of </w:t>
      </w:r>
      <w:r w:rsidR="00D71D04">
        <w:rPr>
          <w:b/>
          <w:bCs/>
          <w:i w:val="0"/>
          <w:iCs w:val="0"/>
          <w:color w:val="000000" w:themeColor="text1"/>
          <w:sz w:val="24"/>
          <w:szCs w:val="24"/>
        </w:rPr>
        <w:t xml:space="preserve"> </w:t>
      </w:r>
      <w:r w:rsidR="00D71D04" w:rsidRPr="009441FB">
        <w:rPr>
          <w:rFonts w:eastAsia="Times New Roman" w:cs="Times New Roman"/>
          <w:b/>
          <w:i w:val="0"/>
          <w:color w:val="000000"/>
          <w:sz w:val="24"/>
          <w:szCs w:val="24"/>
        </w:rPr>
        <w:t xml:space="preserve">Descriptive Statistical </w:t>
      </w:r>
      <w:r w:rsidR="00D71D04">
        <w:rPr>
          <w:rFonts w:eastAsia="Times New Roman" w:cs="Times New Roman"/>
          <w:b/>
          <w:i w:val="0"/>
          <w:color w:val="000000"/>
          <w:sz w:val="24"/>
          <w:szCs w:val="24"/>
        </w:rPr>
        <w:t xml:space="preserve"> Analysis of </w:t>
      </w:r>
      <w:r w:rsidRPr="00C91714">
        <w:rPr>
          <w:b/>
          <w:bCs/>
          <w:i w:val="0"/>
          <w:iCs w:val="0"/>
          <w:color w:val="000000" w:themeColor="text1"/>
          <w:sz w:val="24"/>
          <w:szCs w:val="24"/>
        </w:rPr>
        <w:t xml:space="preserve">Abnormal Return </w:t>
      </w: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0"/>
        <w:gridCol w:w="1350"/>
        <w:gridCol w:w="1915"/>
        <w:gridCol w:w="2124"/>
      </w:tblGrid>
      <w:tr w:rsidR="00C91714" w:rsidRPr="00C91714" w14:paraId="38E0887E" w14:textId="77777777" w:rsidTr="00C91714">
        <w:trPr>
          <w:trHeight w:val="288"/>
          <w:jc w:val="center"/>
        </w:trPr>
        <w:tc>
          <w:tcPr>
            <w:tcW w:w="1696" w:type="dxa"/>
            <w:noWrap/>
            <w:hideMark/>
          </w:tcPr>
          <w:p w14:paraId="0EE148AB" w14:textId="77777777" w:rsidR="00C91714" w:rsidRPr="00C91714" w:rsidRDefault="00C91714" w:rsidP="00D71D04">
            <w:pPr>
              <w:spacing w:line="240" w:lineRule="auto"/>
              <w:rPr>
                <w:rFonts w:ascii="Times New Roman" w:eastAsia="Times New Roman" w:hAnsi="Times New Roman" w:cs="Times New Roman"/>
                <w:b/>
                <w:bCs/>
                <w:i w:val="0"/>
                <w:iCs/>
                <w:color w:val="000000"/>
                <w:sz w:val="24"/>
                <w:szCs w:val="24"/>
                <w:lang w:val="en-ID"/>
              </w:rPr>
            </w:pPr>
            <w:proofErr w:type="spellStart"/>
            <w:r w:rsidRPr="00C91714">
              <w:rPr>
                <w:rFonts w:ascii="Times New Roman" w:eastAsia="Times New Roman" w:hAnsi="Times New Roman" w:cs="Times New Roman"/>
                <w:b/>
                <w:bCs/>
                <w:i w:val="0"/>
                <w:iCs/>
                <w:color w:val="000000"/>
                <w:sz w:val="24"/>
                <w:szCs w:val="24"/>
                <w:lang w:val="en-ID"/>
              </w:rPr>
              <w:t>Periode</w:t>
            </w:r>
            <w:proofErr w:type="spellEnd"/>
          </w:p>
        </w:tc>
        <w:tc>
          <w:tcPr>
            <w:tcW w:w="720" w:type="dxa"/>
            <w:noWrap/>
            <w:hideMark/>
          </w:tcPr>
          <w:p w14:paraId="73AD73E0" w14:textId="77777777" w:rsidR="00C91714" w:rsidRPr="00C91714" w:rsidRDefault="00C91714" w:rsidP="00D71D04">
            <w:pPr>
              <w:spacing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N</w:t>
            </w:r>
          </w:p>
        </w:tc>
        <w:tc>
          <w:tcPr>
            <w:tcW w:w="1350" w:type="dxa"/>
            <w:noWrap/>
            <w:hideMark/>
          </w:tcPr>
          <w:p w14:paraId="60435B93" w14:textId="77777777" w:rsidR="00C91714" w:rsidRPr="00C91714" w:rsidRDefault="00C91714" w:rsidP="00D71D04">
            <w:pPr>
              <w:spacing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Mean</w:t>
            </w:r>
          </w:p>
        </w:tc>
        <w:tc>
          <w:tcPr>
            <w:tcW w:w="1915" w:type="dxa"/>
            <w:noWrap/>
            <w:hideMark/>
          </w:tcPr>
          <w:p w14:paraId="131CF258" w14:textId="77777777" w:rsidR="00C91714" w:rsidRPr="00C91714" w:rsidRDefault="00C91714" w:rsidP="00D71D04">
            <w:pPr>
              <w:spacing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Std. Deviation</w:t>
            </w:r>
          </w:p>
        </w:tc>
        <w:tc>
          <w:tcPr>
            <w:tcW w:w="2124" w:type="dxa"/>
            <w:noWrap/>
            <w:hideMark/>
          </w:tcPr>
          <w:p w14:paraId="5889C893" w14:textId="77777777" w:rsidR="00C91714" w:rsidRPr="00C91714" w:rsidRDefault="00C91714" w:rsidP="00D71D04">
            <w:pPr>
              <w:spacing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Std. Error Mean</w:t>
            </w:r>
          </w:p>
        </w:tc>
      </w:tr>
      <w:tr w:rsidR="00C91714" w:rsidRPr="00C91714" w14:paraId="0FA94DC2" w14:textId="77777777" w:rsidTr="00C91714">
        <w:trPr>
          <w:trHeight w:val="288"/>
          <w:jc w:val="center"/>
        </w:trPr>
        <w:tc>
          <w:tcPr>
            <w:tcW w:w="1696" w:type="dxa"/>
            <w:noWrap/>
            <w:vAlign w:val="bottom"/>
            <w:hideMark/>
          </w:tcPr>
          <w:p w14:paraId="18E1227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Non-Event Window</w:t>
            </w:r>
          </w:p>
        </w:tc>
        <w:tc>
          <w:tcPr>
            <w:tcW w:w="720" w:type="dxa"/>
            <w:noWrap/>
            <w:vAlign w:val="bottom"/>
            <w:hideMark/>
          </w:tcPr>
          <w:p w14:paraId="0FF4F1A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42E737C9"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0.002392</w:t>
            </w:r>
          </w:p>
        </w:tc>
        <w:tc>
          <w:tcPr>
            <w:tcW w:w="1915" w:type="dxa"/>
            <w:noWrap/>
            <w:vAlign w:val="bottom"/>
            <w:hideMark/>
          </w:tcPr>
          <w:p w14:paraId="3B53E2A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0.009125</w:t>
            </w:r>
          </w:p>
        </w:tc>
        <w:tc>
          <w:tcPr>
            <w:tcW w:w="2124" w:type="dxa"/>
            <w:noWrap/>
            <w:vAlign w:val="bottom"/>
            <w:hideMark/>
          </w:tcPr>
          <w:p w14:paraId="1C29EE5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0.001091</w:t>
            </w:r>
          </w:p>
        </w:tc>
      </w:tr>
      <w:tr w:rsidR="00C91714" w:rsidRPr="00C91714" w14:paraId="0D3111E2" w14:textId="77777777" w:rsidTr="00C91714">
        <w:trPr>
          <w:trHeight w:val="288"/>
          <w:jc w:val="center"/>
        </w:trPr>
        <w:tc>
          <w:tcPr>
            <w:tcW w:w="1696" w:type="dxa"/>
            <w:noWrap/>
            <w:vAlign w:val="bottom"/>
            <w:hideMark/>
          </w:tcPr>
          <w:p w14:paraId="6D18D042"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H-5</w:t>
            </w:r>
          </w:p>
        </w:tc>
        <w:tc>
          <w:tcPr>
            <w:tcW w:w="720" w:type="dxa"/>
            <w:noWrap/>
            <w:vAlign w:val="bottom"/>
            <w:hideMark/>
          </w:tcPr>
          <w:p w14:paraId="6BFA6A7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00D22B4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0.002455</w:t>
            </w:r>
          </w:p>
        </w:tc>
        <w:tc>
          <w:tcPr>
            <w:tcW w:w="1915" w:type="dxa"/>
            <w:noWrap/>
            <w:vAlign w:val="bottom"/>
            <w:hideMark/>
          </w:tcPr>
          <w:p w14:paraId="19D2D52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0.04122</w:t>
            </w:r>
          </w:p>
        </w:tc>
        <w:tc>
          <w:tcPr>
            <w:tcW w:w="2124" w:type="dxa"/>
            <w:noWrap/>
            <w:vAlign w:val="bottom"/>
            <w:hideMark/>
          </w:tcPr>
          <w:p w14:paraId="4847FFE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0.004927</w:t>
            </w:r>
          </w:p>
        </w:tc>
      </w:tr>
      <w:tr w:rsidR="00C91714" w:rsidRPr="00C91714" w14:paraId="053E7458" w14:textId="77777777" w:rsidTr="00C91714">
        <w:trPr>
          <w:trHeight w:val="288"/>
          <w:jc w:val="center"/>
        </w:trPr>
        <w:tc>
          <w:tcPr>
            <w:tcW w:w="1696" w:type="dxa"/>
            <w:noWrap/>
            <w:vAlign w:val="bottom"/>
            <w:hideMark/>
          </w:tcPr>
          <w:p w14:paraId="2E87B58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H-4</w:t>
            </w:r>
          </w:p>
        </w:tc>
        <w:tc>
          <w:tcPr>
            <w:tcW w:w="720" w:type="dxa"/>
            <w:noWrap/>
            <w:vAlign w:val="bottom"/>
            <w:hideMark/>
          </w:tcPr>
          <w:p w14:paraId="274B351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0B40664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0.003116</w:t>
            </w:r>
          </w:p>
        </w:tc>
        <w:tc>
          <w:tcPr>
            <w:tcW w:w="1915" w:type="dxa"/>
            <w:noWrap/>
            <w:vAlign w:val="bottom"/>
            <w:hideMark/>
          </w:tcPr>
          <w:p w14:paraId="40A1ABF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0.037052</w:t>
            </w:r>
          </w:p>
        </w:tc>
        <w:tc>
          <w:tcPr>
            <w:tcW w:w="2124" w:type="dxa"/>
            <w:noWrap/>
            <w:vAlign w:val="bottom"/>
            <w:hideMark/>
          </w:tcPr>
          <w:p w14:paraId="154EA5E1"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0.004429</w:t>
            </w:r>
          </w:p>
        </w:tc>
      </w:tr>
      <w:tr w:rsidR="00C91714" w:rsidRPr="00C91714" w14:paraId="66836B5A" w14:textId="77777777" w:rsidTr="00C91714">
        <w:trPr>
          <w:trHeight w:val="288"/>
          <w:jc w:val="center"/>
        </w:trPr>
        <w:tc>
          <w:tcPr>
            <w:tcW w:w="1696" w:type="dxa"/>
            <w:noWrap/>
            <w:vAlign w:val="bottom"/>
            <w:hideMark/>
          </w:tcPr>
          <w:p w14:paraId="48021202"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H-3</w:t>
            </w:r>
          </w:p>
        </w:tc>
        <w:tc>
          <w:tcPr>
            <w:tcW w:w="720" w:type="dxa"/>
            <w:noWrap/>
            <w:vAlign w:val="bottom"/>
            <w:hideMark/>
          </w:tcPr>
          <w:p w14:paraId="1279BFD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63C1E1F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0.014842</w:t>
            </w:r>
          </w:p>
        </w:tc>
        <w:tc>
          <w:tcPr>
            <w:tcW w:w="1915" w:type="dxa"/>
            <w:noWrap/>
            <w:vAlign w:val="bottom"/>
            <w:hideMark/>
          </w:tcPr>
          <w:p w14:paraId="20069D6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0.060003</w:t>
            </w:r>
          </w:p>
        </w:tc>
        <w:tc>
          <w:tcPr>
            <w:tcW w:w="2124" w:type="dxa"/>
            <w:noWrap/>
            <w:vAlign w:val="bottom"/>
            <w:hideMark/>
          </w:tcPr>
          <w:p w14:paraId="38D1DFCC"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0.007172</w:t>
            </w:r>
          </w:p>
        </w:tc>
      </w:tr>
      <w:tr w:rsidR="00C91714" w:rsidRPr="00C91714" w14:paraId="2D294690" w14:textId="77777777" w:rsidTr="00C91714">
        <w:trPr>
          <w:trHeight w:val="288"/>
          <w:jc w:val="center"/>
        </w:trPr>
        <w:tc>
          <w:tcPr>
            <w:tcW w:w="1696" w:type="dxa"/>
            <w:noWrap/>
            <w:vAlign w:val="bottom"/>
            <w:hideMark/>
          </w:tcPr>
          <w:p w14:paraId="5ABA3828"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H-2</w:t>
            </w:r>
          </w:p>
        </w:tc>
        <w:tc>
          <w:tcPr>
            <w:tcW w:w="720" w:type="dxa"/>
            <w:noWrap/>
            <w:vAlign w:val="bottom"/>
            <w:hideMark/>
          </w:tcPr>
          <w:p w14:paraId="350935E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3D66349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-0.00084</w:t>
            </w:r>
          </w:p>
        </w:tc>
        <w:tc>
          <w:tcPr>
            <w:tcW w:w="1915" w:type="dxa"/>
            <w:noWrap/>
            <w:vAlign w:val="bottom"/>
            <w:hideMark/>
          </w:tcPr>
          <w:p w14:paraId="14FD466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0.063986</w:t>
            </w:r>
          </w:p>
        </w:tc>
        <w:tc>
          <w:tcPr>
            <w:tcW w:w="2124" w:type="dxa"/>
            <w:noWrap/>
            <w:vAlign w:val="bottom"/>
            <w:hideMark/>
          </w:tcPr>
          <w:p w14:paraId="5381947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0.007648</w:t>
            </w:r>
          </w:p>
        </w:tc>
      </w:tr>
      <w:tr w:rsidR="00C91714" w:rsidRPr="00C91714" w14:paraId="4C920941" w14:textId="77777777" w:rsidTr="00C91714">
        <w:trPr>
          <w:trHeight w:val="288"/>
          <w:jc w:val="center"/>
        </w:trPr>
        <w:tc>
          <w:tcPr>
            <w:tcW w:w="1696" w:type="dxa"/>
            <w:noWrap/>
            <w:vAlign w:val="bottom"/>
            <w:hideMark/>
          </w:tcPr>
          <w:p w14:paraId="2384D808"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H-1</w:t>
            </w:r>
          </w:p>
        </w:tc>
        <w:tc>
          <w:tcPr>
            <w:tcW w:w="720" w:type="dxa"/>
            <w:noWrap/>
            <w:vAlign w:val="bottom"/>
            <w:hideMark/>
          </w:tcPr>
          <w:p w14:paraId="3A607CF4"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22A6728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0.014421</w:t>
            </w:r>
          </w:p>
        </w:tc>
        <w:tc>
          <w:tcPr>
            <w:tcW w:w="1915" w:type="dxa"/>
            <w:noWrap/>
            <w:vAlign w:val="bottom"/>
            <w:hideMark/>
          </w:tcPr>
          <w:p w14:paraId="6683C53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0.073418</w:t>
            </w:r>
          </w:p>
        </w:tc>
        <w:tc>
          <w:tcPr>
            <w:tcW w:w="2124" w:type="dxa"/>
            <w:noWrap/>
            <w:vAlign w:val="bottom"/>
            <w:hideMark/>
          </w:tcPr>
          <w:p w14:paraId="6831763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0.008775</w:t>
            </w:r>
          </w:p>
        </w:tc>
      </w:tr>
      <w:tr w:rsidR="00C91714" w:rsidRPr="00C91714" w14:paraId="59C6E1B0" w14:textId="77777777" w:rsidTr="00C91714">
        <w:trPr>
          <w:trHeight w:val="288"/>
          <w:jc w:val="center"/>
        </w:trPr>
        <w:tc>
          <w:tcPr>
            <w:tcW w:w="1696" w:type="dxa"/>
            <w:noWrap/>
            <w:vAlign w:val="bottom"/>
            <w:hideMark/>
          </w:tcPr>
          <w:p w14:paraId="1979EF9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H+1</w:t>
            </w:r>
          </w:p>
        </w:tc>
        <w:tc>
          <w:tcPr>
            <w:tcW w:w="720" w:type="dxa"/>
            <w:noWrap/>
            <w:vAlign w:val="bottom"/>
            <w:hideMark/>
          </w:tcPr>
          <w:p w14:paraId="75E81ED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64F3C212"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-0.00732</w:t>
            </w:r>
          </w:p>
        </w:tc>
        <w:tc>
          <w:tcPr>
            <w:tcW w:w="1915" w:type="dxa"/>
            <w:noWrap/>
            <w:vAlign w:val="bottom"/>
            <w:hideMark/>
          </w:tcPr>
          <w:p w14:paraId="76690D91"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0.062941</w:t>
            </w:r>
          </w:p>
        </w:tc>
        <w:tc>
          <w:tcPr>
            <w:tcW w:w="2124" w:type="dxa"/>
            <w:noWrap/>
            <w:vAlign w:val="bottom"/>
            <w:hideMark/>
          </w:tcPr>
          <w:p w14:paraId="373A7C7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0.007523</w:t>
            </w:r>
          </w:p>
        </w:tc>
      </w:tr>
      <w:tr w:rsidR="00C91714" w:rsidRPr="00C91714" w14:paraId="13324C55" w14:textId="77777777" w:rsidTr="00C91714">
        <w:trPr>
          <w:trHeight w:val="288"/>
          <w:jc w:val="center"/>
        </w:trPr>
        <w:tc>
          <w:tcPr>
            <w:tcW w:w="1696" w:type="dxa"/>
            <w:noWrap/>
            <w:vAlign w:val="bottom"/>
            <w:hideMark/>
          </w:tcPr>
          <w:p w14:paraId="3DCCF6B4"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H+2</w:t>
            </w:r>
          </w:p>
        </w:tc>
        <w:tc>
          <w:tcPr>
            <w:tcW w:w="720" w:type="dxa"/>
            <w:noWrap/>
            <w:vAlign w:val="bottom"/>
            <w:hideMark/>
          </w:tcPr>
          <w:p w14:paraId="7B21221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4125D03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0.01801</w:t>
            </w:r>
          </w:p>
        </w:tc>
        <w:tc>
          <w:tcPr>
            <w:tcW w:w="1915" w:type="dxa"/>
            <w:noWrap/>
            <w:vAlign w:val="bottom"/>
            <w:hideMark/>
          </w:tcPr>
          <w:p w14:paraId="62B23548"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0.074518</w:t>
            </w:r>
          </w:p>
        </w:tc>
        <w:tc>
          <w:tcPr>
            <w:tcW w:w="2124" w:type="dxa"/>
            <w:noWrap/>
            <w:vAlign w:val="bottom"/>
            <w:hideMark/>
          </w:tcPr>
          <w:p w14:paraId="69B300C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0.008907</w:t>
            </w:r>
          </w:p>
        </w:tc>
      </w:tr>
      <w:tr w:rsidR="00C91714" w:rsidRPr="00C91714" w14:paraId="587F41CB" w14:textId="77777777" w:rsidTr="00C91714">
        <w:trPr>
          <w:trHeight w:val="288"/>
          <w:jc w:val="center"/>
        </w:trPr>
        <w:tc>
          <w:tcPr>
            <w:tcW w:w="1696" w:type="dxa"/>
            <w:noWrap/>
            <w:vAlign w:val="bottom"/>
            <w:hideMark/>
          </w:tcPr>
          <w:p w14:paraId="0BA7118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H+3</w:t>
            </w:r>
          </w:p>
        </w:tc>
        <w:tc>
          <w:tcPr>
            <w:tcW w:w="720" w:type="dxa"/>
            <w:noWrap/>
            <w:vAlign w:val="bottom"/>
            <w:hideMark/>
          </w:tcPr>
          <w:p w14:paraId="235827C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07FBF9C8"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-0.00086</w:t>
            </w:r>
          </w:p>
        </w:tc>
        <w:tc>
          <w:tcPr>
            <w:tcW w:w="1915" w:type="dxa"/>
            <w:noWrap/>
            <w:vAlign w:val="bottom"/>
            <w:hideMark/>
          </w:tcPr>
          <w:p w14:paraId="68AA2F5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0.040245</w:t>
            </w:r>
          </w:p>
        </w:tc>
        <w:tc>
          <w:tcPr>
            <w:tcW w:w="2124" w:type="dxa"/>
            <w:noWrap/>
            <w:vAlign w:val="bottom"/>
            <w:hideMark/>
          </w:tcPr>
          <w:p w14:paraId="63E80E7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0.00481</w:t>
            </w:r>
          </w:p>
        </w:tc>
      </w:tr>
      <w:tr w:rsidR="00C91714" w:rsidRPr="00C91714" w14:paraId="04C2D866" w14:textId="77777777" w:rsidTr="00C91714">
        <w:trPr>
          <w:trHeight w:val="288"/>
          <w:jc w:val="center"/>
        </w:trPr>
        <w:tc>
          <w:tcPr>
            <w:tcW w:w="1696" w:type="dxa"/>
            <w:noWrap/>
            <w:vAlign w:val="bottom"/>
            <w:hideMark/>
          </w:tcPr>
          <w:p w14:paraId="250BF7C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H+4</w:t>
            </w:r>
          </w:p>
        </w:tc>
        <w:tc>
          <w:tcPr>
            <w:tcW w:w="720" w:type="dxa"/>
            <w:noWrap/>
            <w:vAlign w:val="bottom"/>
            <w:hideMark/>
          </w:tcPr>
          <w:p w14:paraId="572DE19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163341B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-0.00167</w:t>
            </w:r>
          </w:p>
        </w:tc>
        <w:tc>
          <w:tcPr>
            <w:tcW w:w="1915" w:type="dxa"/>
            <w:noWrap/>
            <w:vAlign w:val="bottom"/>
            <w:hideMark/>
          </w:tcPr>
          <w:p w14:paraId="476C81E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0.057945</w:t>
            </w:r>
          </w:p>
        </w:tc>
        <w:tc>
          <w:tcPr>
            <w:tcW w:w="2124" w:type="dxa"/>
            <w:noWrap/>
            <w:vAlign w:val="bottom"/>
            <w:hideMark/>
          </w:tcPr>
          <w:p w14:paraId="28C0BA9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0.006926</w:t>
            </w:r>
          </w:p>
        </w:tc>
      </w:tr>
      <w:tr w:rsidR="00C91714" w:rsidRPr="00C91714" w14:paraId="7715F9D0" w14:textId="77777777" w:rsidTr="00C91714">
        <w:trPr>
          <w:trHeight w:val="288"/>
          <w:jc w:val="center"/>
        </w:trPr>
        <w:tc>
          <w:tcPr>
            <w:tcW w:w="1696" w:type="dxa"/>
            <w:noWrap/>
            <w:vAlign w:val="bottom"/>
            <w:hideMark/>
          </w:tcPr>
          <w:p w14:paraId="41F4749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H+5</w:t>
            </w:r>
          </w:p>
        </w:tc>
        <w:tc>
          <w:tcPr>
            <w:tcW w:w="720" w:type="dxa"/>
            <w:noWrap/>
            <w:vAlign w:val="bottom"/>
            <w:hideMark/>
          </w:tcPr>
          <w:p w14:paraId="5A2A36F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350" w:type="dxa"/>
            <w:noWrap/>
            <w:vAlign w:val="bottom"/>
            <w:hideMark/>
          </w:tcPr>
          <w:p w14:paraId="208ADD8C"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-0.00935</w:t>
            </w:r>
          </w:p>
        </w:tc>
        <w:tc>
          <w:tcPr>
            <w:tcW w:w="1915" w:type="dxa"/>
            <w:noWrap/>
            <w:vAlign w:val="bottom"/>
            <w:hideMark/>
          </w:tcPr>
          <w:p w14:paraId="0A62127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0.06863</w:t>
            </w:r>
          </w:p>
        </w:tc>
        <w:tc>
          <w:tcPr>
            <w:tcW w:w="2124" w:type="dxa"/>
            <w:noWrap/>
            <w:vAlign w:val="bottom"/>
            <w:hideMark/>
          </w:tcPr>
          <w:p w14:paraId="6F6B0118" w14:textId="77777777" w:rsidR="00C91714" w:rsidRPr="00C91714" w:rsidRDefault="00C91714" w:rsidP="00C91714">
            <w:pPr>
              <w:keepNext/>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0.008203</w:t>
            </w:r>
          </w:p>
        </w:tc>
      </w:tr>
    </w:tbl>
    <w:p w14:paraId="40DFB67E" w14:textId="758216B9" w:rsidR="00C91714" w:rsidRPr="00C91714" w:rsidRDefault="00C9171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rPr>
      </w:pPr>
      <w:r>
        <w:rPr>
          <w:rFonts w:ascii="Times New Roman" w:eastAsia="Times New Roman" w:hAnsi="Times New Roman" w:cs="Times New Roman"/>
          <w:i w:val="0"/>
          <w:sz w:val="25"/>
          <w:szCs w:val="25"/>
        </w:rPr>
        <w:t xml:space="preserve">    </w:t>
      </w:r>
      <w:r w:rsidRPr="00C91714">
        <w:rPr>
          <w:rFonts w:ascii="Times New Roman" w:eastAsia="Times New Roman" w:hAnsi="Times New Roman" w:cs="Times New Roman"/>
          <w:i w:val="0"/>
        </w:rPr>
        <w:t>Source: Data Processed SPSS 22</w:t>
      </w:r>
    </w:p>
    <w:p w14:paraId="287F8DAD" w14:textId="77777777" w:rsidR="00C91714" w:rsidRDefault="00C9171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12F305F5" w14:textId="77777777" w:rsidR="00C91714" w:rsidRDefault="00C9171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C91714">
        <w:rPr>
          <w:rFonts w:ascii="Times New Roman" w:eastAsia="Times New Roman" w:hAnsi="Times New Roman" w:cs="Times New Roman"/>
          <w:i w:val="0"/>
          <w:color w:val="000000"/>
          <w:sz w:val="24"/>
          <w:szCs w:val="24"/>
        </w:rPr>
        <w:t>Descriptive statistics of abnormal returns (AR) during the Eid al-Fitr event window from 2018 to 2022 show greater variation compared to the baseline non-event period. The mean AR ranged from -0.0094 (H+5) to 0.0180 (H+2), with relatively high standard deviation fluctuations between 0.0402 and 0.0745. In contrast, the mean and standard deviation during the non-event period remained stable at 0.00239 and 0.00913, respectively, as this period served as a fixed comparison. These results indicate more dynamic volatility and average abnormal returns around Eid al-Fitr, suggesting a potential market reaction to the event that will be further examined through inferential hypothesis testing.</w:t>
      </w:r>
    </w:p>
    <w:p w14:paraId="1E7DD091" w14:textId="77777777" w:rsidR="00C91714" w:rsidRDefault="00C9171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6948A549" w14:textId="3901CEEF" w:rsidR="00CB6130" w:rsidRPr="00CB6130" w:rsidRDefault="00C91714" w:rsidP="00D71D04">
      <w:pPr>
        <w:pStyle w:val="Caption"/>
        <w:keepNext/>
        <w:jc w:val="center"/>
        <w:rPr>
          <w:b/>
          <w:bCs/>
          <w:i w:val="0"/>
          <w:iCs w:val="0"/>
          <w:color w:val="000000" w:themeColor="text1"/>
          <w:sz w:val="24"/>
          <w:szCs w:val="24"/>
        </w:rPr>
      </w:pPr>
      <w:bookmarkStart w:id="4" w:name="_Toc198910195"/>
      <w:r w:rsidRPr="006276CB">
        <w:rPr>
          <w:b/>
          <w:bCs/>
          <w:i w:val="0"/>
          <w:iCs w:val="0"/>
          <w:color w:val="000000" w:themeColor="text1"/>
          <w:sz w:val="24"/>
          <w:szCs w:val="24"/>
        </w:rPr>
        <w:t xml:space="preserve">Table </w:t>
      </w:r>
      <w:r w:rsidRPr="006276CB">
        <w:rPr>
          <w:b/>
          <w:bCs/>
          <w:i w:val="0"/>
          <w:iCs w:val="0"/>
          <w:color w:val="000000" w:themeColor="text1"/>
          <w:sz w:val="24"/>
          <w:szCs w:val="24"/>
        </w:rPr>
        <w:fldChar w:fldCharType="begin"/>
      </w:r>
      <w:r w:rsidRPr="006276CB">
        <w:rPr>
          <w:b/>
          <w:bCs/>
          <w:i w:val="0"/>
          <w:iCs w:val="0"/>
          <w:color w:val="000000" w:themeColor="text1"/>
          <w:sz w:val="24"/>
          <w:szCs w:val="24"/>
        </w:rPr>
        <w:instrText xml:space="preserve"> SEQ Table_4. \* ARABIC </w:instrText>
      </w:r>
      <w:r w:rsidRPr="006276CB">
        <w:rPr>
          <w:b/>
          <w:bCs/>
          <w:i w:val="0"/>
          <w:iCs w:val="0"/>
          <w:color w:val="000000" w:themeColor="text1"/>
          <w:sz w:val="24"/>
          <w:szCs w:val="24"/>
        </w:rPr>
        <w:fldChar w:fldCharType="separate"/>
      </w:r>
      <w:r w:rsidR="00C707CA">
        <w:rPr>
          <w:b/>
          <w:bCs/>
          <w:i w:val="0"/>
          <w:iCs w:val="0"/>
          <w:noProof/>
          <w:color w:val="000000" w:themeColor="text1"/>
          <w:sz w:val="24"/>
          <w:szCs w:val="24"/>
        </w:rPr>
        <w:t>1</w:t>
      </w:r>
      <w:r w:rsidRPr="006276CB">
        <w:rPr>
          <w:b/>
          <w:bCs/>
          <w:i w:val="0"/>
          <w:iCs w:val="0"/>
          <w:color w:val="000000" w:themeColor="text1"/>
          <w:sz w:val="24"/>
          <w:szCs w:val="24"/>
        </w:rPr>
        <w:fldChar w:fldCharType="end"/>
      </w:r>
      <w:r>
        <w:rPr>
          <w:b/>
          <w:bCs/>
          <w:i w:val="0"/>
          <w:iCs w:val="0"/>
          <w:color w:val="000000" w:themeColor="text1"/>
          <w:sz w:val="24"/>
          <w:szCs w:val="24"/>
        </w:rPr>
        <w:t xml:space="preserve">. </w:t>
      </w:r>
      <w:r w:rsidR="00D71D04" w:rsidRPr="00C91714">
        <w:rPr>
          <w:b/>
          <w:bCs/>
          <w:i w:val="0"/>
          <w:iCs w:val="0"/>
          <w:color w:val="000000" w:themeColor="text1"/>
          <w:sz w:val="24"/>
          <w:szCs w:val="24"/>
        </w:rPr>
        <w:t xml:space="preserve">Results of </w:t>
      </w:r>
      <w:r w:rsidR="00D71D04">
        <w:rPr>
          <w:b/>
          <w:bCs/>
          <w:i w:val="0"/>
          <w:iCs w:val="0"/>
          <w:color w:val="000000" w:themeColor="text1"/>
          <w:sz w:val="24"/>
          <w:szCs w:val="24"/>
        </w:rPr>
        <w:t xml:space="preserve"> </w:t>
      </w:r>
      <w:r w:rsidR="00D71D04" w:rsidRPr="009441FB">
        <w:rPr>
          <w:rFonts w:eastAsia="Times New Roman" w:cs="Times New Roman"/>
          <w:b/>
          <w:i w:val="0"/>
          <w:color w:val="000000"/>
          <w:sz w:val="24"/>
          <w:szCs w:val="24"/>
        </w:rPr>
        <w:t xml:space="preserve">Descriptive Statistical </w:t>
      </w:r>
      <w:r w:rsidR="00D71D04">
        <w:rPr>
          <w:rFonts w:eastAsia="Times New Roman" w:cs="Times New Roman"/>
          <w:b/>
          <w:i w:val="0"/>
          <w:color w:val="000000"/>
          <w:sz w:val="24"/>
          <w:szCs w:val="24"/>
        </w:rPr>
        <w:t xml:space="preserve"> Analysis of </w:t>
      </w:r>
      <w:bookmarkEnd w:id="4"/>
      <w:r w:rsidR="00D71D04" w:rsidRPr="00D71D04">
        <w:rPr>
          <w:b/>
          <w:bCs/>
          <w:i w:val="0"/>
          <w:iCs w:val="0"/>
          <w:color w:val="000000" w:themeColor="text1"/>
          <w:sz w:val="24"/>
          <w:szCs w:val="24"/>
        </w:rPr>
        <w:t>Trading Volume Activity</w:t>
      </w:r>
    </w:p>
    <w:tbl>
      <w:tblPr>
        <w:tblW w:w="7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960"/>
        <w:gridCol w:w="1116"/>
        <w:gridCol w:w="1203"/>
        <w:gridCol w:w="1504"/>
        <w:gridCol w:w="1817"/>
      </w:tblGrid>
      <w:tr w:rsidR="00C91714" w:rsidRPr="00C91714" w14:paraId="5DFA29BA" w14:textId="77777777" w:rsidTr="00C91714">
        <w:trPr>
          <w:trHeight w:val="288"/>
          <w:jc w:val="center"/>
        </w:trPr>
        <w:tc>
          <w:tcPr>
            <w:tcW w:w="1308" w:type="dxa"/>
            <w:noWrap/>
            <w:hideMark/>
          </w:tcPr>
          <w:p w14:paraId="5D6F617A" w14:textId="77777777" w:rsidR="00C91714" w:rsidRPr="00C91714" w:rsidRDefault="00C91714" w:rsidP="00C91714">
            <w:pPr>
              <w:spacing w:after="0" w:line="240" w:lineRule="auto"/>
              <w:rPr>
                <w:rFonts w:ascii="Times New Roman" w:eastAsia="Times New Roman" w:hAnsi="Times New Roman" w:cs="Times New Roman"/>
                <w:b/>
                <w:bCs/>
                <w:i w:val="0"/>
                <w:iCs/>
                <w:color w:val="000000"/>
                <w:sz w:val="24"/>
                <w:szCs w:val="24"/>
                <w:lang w:val="en-ID"/>
              </w:rPr>
            </w:pPr>
            <w:bookmarkStart w:id="5" w:name="_Toc196813107"/>
            <w:proofErr w:type="spellStart"/>
            <w:r w:rsidRPr="00C91714">
              <w:rPr>
                <w:rFonts w:ascii="Times New Roman" w:eastAsia="Times New Roman" w:hAnsi="Times New Roman" w:cs="Times New Roman"/>
                <w:b/>
                <w:bCs/>
                <w:i w:val="0"/>
                <w:iCs/>
                <w:color w:val="000000"/>
                <w:sz w:val="24"/>
                <w:szCs w:val="24"/>
                <w:lang w:val="en-ID"/>
              </w:rPr>
              <w:t>Periode</w:t>
            </w:r>
            <w:proofErr w:type="spellEnd"/>
          </w:p>
        </w:tc>
        <w:tc>
          <w:tcPr>
            <w:tcW w:w="960" w:type="dxa"/>
            <w:noWrap/>
            <w:hideMark/>
          </w:tcPr>
          <w:p w14:paraId="14FB65C2" w14:textId="77777777" w:rsidR="00C91714" w:rsidRPr="00C91714" w:rsidRDefault="00C91714" w:rsidP="00C91714">
            <w:pPr>
              <w:spacing w:after="0"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N</w:t>
            </w:r>
          </w:p>
        </w:tc>
        <w:tc>
          <w:tcPr>
            <w:tcW w:w="1116" w:type="dxa"/>
            <w:noWrap/>
            <w:hideMark/>
          </w:tcPr>
          <w:p w14:paraId="0B7B6E30" w14:textId="77777777" w:rsidR="00C91714" w:rsidRPr="00C91714" w:rsidRDefault="00C91714" w:rsidP="00C91714">
            <w:pPr>
              <w:spacing w:after="0"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Mean</w:t>
            </w:r>
          </w:p>
        </w:tc>
        <w:tc>
          <w:tcPr>
            <w:tcW w:w="1203" w:type="dxa"/>
            <w:noWrap/>
            <w:hideMark/>
          </w:tcPr>
          <w:p w14:paraId="193EEF72" w14:textId="77777777" w:rsidR="00C91714" w:rsidRPr="00C91714" w:rsidRDefault="00C91714" w:rsidP="00C91714">
            <w:pPr>
              <w:spacing w:after="0"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Std. Deviation</w:t>
            </w:r>
          </w:p>
        </w:tc>
        <w:tc>
          <w:tcPr>
            <w:tcW w:w="1504" w:type="dxa"/>
            <w:noWrap/>
            <w:hideMark/>
          </w:tcPr>
          <w:p w14:paraId="1E74B13F" w14:textId="77777777" w:rsidR="00C91714" w:rsidRPr="00C91714" w:rsidRDefault="00C91714" w:rsidP="00C91714">
            <w:pPr>
              <w:spacing w:after="0" w:line="240" w:lineRule="auto"/>
              <w:rPr>
                <w:rFonts w:ascii="Times New Roman" w:eastAsia="Times New Roman" w:hAnsi="Times New Roman" w:cs="Times New Roman"/>
                <w:b/>
                <w:bCs/>
                <w:i w:val="0"/>
                <w:iCs/>
                <w:color w:val="000000"/>
                <w:sz w:val="24"/>
                <w:szCs w:val="24"/>
                <w:lang w:val="en-ID"/>
              </w:rPr>
            </w:pPr>
            <w:r w:rsidRPr="00C91714">
              <w:rPr>
                <w:rFonts w:ascii="Times New Roman" w:eastAsia="Times New Roman" w:hAnsi="Times New Roman" w:cs="Times New Roman"/>
                <w:b/>
                <w:bCs/>
                <w:i w:val="0"/>
                <w:iCs/>
                <w:color w:val="000000"/>
                <w:sz w:val="24"/>
                <w:szCs w:val="24"/>
                <w:lang w:val="en-ID"/>
              </w:rPr>
              <w:t>Std. Error Mean</w:t>
            </w:r>
          </w:p>
        </w:tc>
        <w:tc>
          <w:tcPr>
            <w:tcW w:w="1817" w:type="dxa"/>
          </w:tcPr>
          <w:p w14:paraId="7DC086A3" w14:textId="6F831175" w:rsidR="00C91714" w:rsidRPr="00C91714" w:rsidRDefault="00CB6130" w:rsidP="00C91714">
            <w:pPr>
              <w:spacing w:after="0" w:line="240" w:lineRule="auto"/>
              <w:rPr>
                <w:rFonts w:ascii="Times New Roman" w:eastAsia="Times New Roman" w:hAnsi="Times New Roman" w:cs="Times New Roman"/>
                <w:b/>
                <w:bCs/>
                <w:i w:val="0"/>
                <w:iCs/>
                <w:color w:val="000000"/>
                <w:sz w:val="24"/>
                <w:szCs w:val="24"/>
                <w:lang w:val="en-ID"/>
              </w:rPr>
            </w:pPr>
            <w:r w:rsidRPr="00CB6130">
              <w:rPr>
                <w:rFonts w:ascii="Times New Roman" w:eastAsia="Times New Roman" w:hAnsi="Times New Roman" w:cs="Times New Roman"/>
                <w:b/>
                <w:bCs/>
                <w:i w:val="0"/>
                <w:iCs/>
                <w:sz w:val="24"/>
                <w:szCs w:val="24"/>
              </w:rPr>
              <w:t>Traded Shares</w:t>
            </w:r>
          </w:p>
        </w:tc>
      </w:tr>
      <w:tr w:rsidR="00C91714" w:rsidRPr="00C91714" w14:paraId="0EFF32EB" w14:textId="77777777" w:rsidTr="00C91714">
        <w:trPr>
          <w:trHeight w:val="288"/>
          <w:jc w:val="center"/>
        </w:trPr>
        <w:tc>
          <w:tcPr>
            <w:tcW w:w="1308" w:type="dxa"/>
            <w:noWrap/>
            <w:vAlign w:val="bottom"/>
            <w:hideMark/>
          </w:tcPr>
          <w:p w14:paraId="611FB0F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Non-Windows</w:t>
            </w:r>
          </w:p>
        </w:tc>
        <w:tc>
          <w:tcPr>
            <w:tcW w:w="960" w:type="dxa"/>
            <w:noWrap/>
            <w:vAlign w:val="bottom"/>
            <w:hideMark/>
          </w:tcPr>
          <w:p w14:paraId="17D5D3B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01290734"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0.001993</w:t>
            </w:r>
          </w:p>
        </w:tc>
        <w:tc>
          <w:tcPr>
            <w:tcW w:w="1203" w:type="dxa"/>
            <w:noWrap/>
            <w:vAlign w:val="bottom"/>
            <w:hideMark/>
          </w:tcPr>
          <w:p w14:paraId="1E060DF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0.003867</w:t>
            </w:r>
          </w:p>
        </w:tc>
        <w:tc>
          <w:tcPr>
            <w:tcW w:w="1504" w:type="dxa"/>
            <w:noWrap/>
            <w:vAlign w:val="bottom"/>
            <w:hideMark/>
          </w:tcPr>
          <w:p w14:paraId="695184E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0.000462</w:t>
            </w:r>
          </w:p>
        </w:tc>
        <w:tc>
          <w:tcPr>
            <w:tcW w:w="1817" w:type="dxa"/>
            <w:vAlign w:val="bottom"/>
          </w:tcPr>
          <w:p w14:paraId="77659482"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180275131.9</w:t>
            </w:r>
          </w:p>
        </w:tc>
      </w:tr>
      <w:tr w:rsidR="00C91714" w:rsidRPr="00C91714" w14:paraId="447B3402" w14:textId="77777777" w:rsidTr="00C91714">
        <w:trPr>
          <w:trHeight w:val="288"/>
          <w:jc w:val="center"/>
        </w:trPr>
        <w:tc>
          <w:tcPr>
            <w:tcW w:w="1308" w:type="dxa"/>
            <w:noWrap/>
            <w:vAlign w:val="bottom"/>
            <w:hideMark/>
          </w:tcPr>
          <w:p w14:paraId="6F51263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H-5</w:t>
            </w:r>
          </w:p>
        </w:tc>
        <w:tc>
          <w:tcPr>
            <w:tcW w:w="960" w:type="dxa"/>
            <w:noWrap/>
            <w:vAlign w:val="bottom"/>
            <w:hideMark/>
          </w:tcPr>
          <w:p w14:paraId="17347C81"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53991709"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0.003233</w:t>
            </w:r>
          </w:p>
        </w:tc>
        <w:tc>
          <w:tcPr>
            <w:tcW w:w="1203" w:type="dxa"/>
            <w:noWrap/>
            <w:vAlign w:val="bottom"/>
            <w:hideMark/>
          </w:tcPr>
          <w:p w14:paraId="33159A9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0.016241</w:t>
            </w:r>
          </w:p>
        </w:tc>
        <w:tc>
          <w:tcPr>
            <w:tcW w:w="1504" w:type="dxa"/>
            <w:noWrap/>
            <w:vAlign w:val="bottom"/>
            <w:hideMark/>
          </w:tcPr>
          <w:p w14:paraId="5ED9A43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0.001941</w:t>
            </w:r>
          </w:p>
        </w:tc>
        <w:tc>
          <w:tcPr>
            <w:tcW w:w="1817" w:type="dxa"/>
            <w:vAlign w:val="bottom"/>
          </w:tcPr>
          <w:p w14:paraId="5E7EE099"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296441936.7</w:t>
            </w:r>
          </w:p>
        </w:tc>
      </w:tr>
      <w:tr w:rsidR="00C91714" w:rsidRPr="00C91714" w14:paraId="3D7E386C" w14:textId="77777777" w:rsidTr="00C91714">
        <w:trPr>
          <w:trHeight w:val="288"/>
          <w:jc w:val="center"/>
        </w:trPr>
        <w:tc>
          <w:tcPr>
            <w:tcW w:w="1308" w:type="dxa"/>
            <w:noWrap/>
            <w:vAlign w:val="bottom"/>
            <w:hideMark/>
          </w:tcPr>
          <w:p w14:paraId="4587162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H-4</w:t>
            </w:r>
          </w:p>
        </w:tc>
        <w:tc>
          <w:tcPr>
            <w:tcW w:w="960" w:type="dxa"/>
            <w:noWrap/>
            <w:vAlign w:val="bottom"/>
            <w:hideMark/>
          </w:tcPr>
          <w:p w14:paraId="6A6ABA4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1B7A02C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0.002241</w:t>
            </w:r>
          </w:p>
        </w:tc>
        <w:tc>
          <w:tcPr>
            <w:tcW w:w="1203" w:type="dxa"/>
            <w:noWrap/>
            <w:vAlign w:val="bottom"/>
            <w:hideMark/>
          </w:tcPr>
          <w:p w14:paraId="32C947D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0.008788</w:t>
            </w:r>
          </w:p>
        </w:tc>
        <w:tc>
          <w:tcPr>
            <w:tcW w:w="1504" w:type="dxa"/>
            <w:noWrap/>
            <w:vAlign w:val="bottom"/>
            <w:hideMark/>
          </w:tcPr>
          <w:p w14:paraId="6ED6AC4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0.00105</w:t>
            </w:r>
          </w:p>
        </w:tc>
        <w:tc>
          <w:tcPr>
            <w:tcW w:w="1817" w:type="dxa"/>
            <w:vAlign w:val="bottom"/>
          </w:tcPr>
          <w:p w14:paraId="3C9BBBB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235105275.5</w:t>
            </w:r>
          </w:p>
        </w:tc>
      </w:tr>
      <w:tr w:rsidR="00C91714" w:rsidRPr="00C91714" w14:paraId="7BD8A7A7" w14:textId="77777777" w:rsidTr="00C91714">
        <w:trPr>
          <w:trHeight w:val="288"/>
          <w:jc w:val="center"/>
        </w:trPr>
        <w:tc>
          <w:tcPr>
            <w:tcW w:w="1308" w:type="dxa"/>
            <w:noWrap/>
            <w:vAlign w:val="bottom"/>
            <w:hideMark/>
          </w:tcPr>
          <w:p w14:paraId="2E475D41"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H-3</w:t>
            </w:r>
          </w:p>
        </w:tc>
        <w:tc>
          <w:tcPr>
            <w:tcW w:w="960" w:type="dxa"/>
            <w:noWrap/>
            <w:vAlign w:val="bottom"/>
            <w:hideMark/>
          </w:tcPr>
          <w:p w14:paraId="02D14E2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32B0B35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0.002766</w:t>
            </w:r>
          </w:p>
        </w:tc>
        <w:tc>
          <w:tcPr>
            <w:tcW w:w="1203" w:type="dxa"/>
            <w:noWrap/>
            <w:vAlign w:val="bottom"/>
            <w:hideMark/>
          </w:tcPr>
          <w:p w14:paraId="3FDDFEA2"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0.00733</w:t>
            </w:r>
          </w:p>
        </w:tc>
        <w:tc>
          <w:tcPr>
            <w:tcW w:w="1504" w:type="dxa"/>
            <w:noWrap/>
            <w:vAlign w:val="bottom"/>
            <w:hideMark/>
          </w:tcPr>
          <w:p w14:paraId="427E636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0.000876</w:t>
            </w:r>
          </w:p>
        </w:tc>
        <w:tc>
          <w:tcPr>
            <w:tcW w:w="1817" w:type="dxa"/>
            <w:vAlign w:val="bottom"/>
          </w:tcPr>
          <w:p w14:paraId="05B7EBA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225246536.9</w:t>
            </w:r>
          </w:p>
        </w:tc>
      </w:tr>
      <w:tr w:rsidR="00C91714" w:rsidRPr="00C91714" w14:paraId="60636C2F" w14:textId="77777777" w:rsidTr="00C91714">
        <w:trPr>
          <w:trHeight w:val="288"/>
          <w:jc w:val="center"/>
        </w:trPr>
        <w:tc>
          <w:tcPr>
            <w:tcW w:w="1308" w:type="dxa"/>
            <w:noWrap/>
            <w:vAlign w:val="bottom"/>
            <w:hideMark/>
          </w:tcPr>
          <w:p w14:paraId="41A4BC2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H-2</w:t>
            </w:r>
          </w:p>
        </w:tc>
        <w:tc>
          <w:tcPr>
            <w:tcW w:w="960" w:type="dxa"/>
            <w:noWrap/>
            <w:vAlign w:val="bottom"/>
            <w:hideMark/>
          </w:tcPr>
          <w:p w14:paraId="67D257F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0B8582F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0.00234</w:t>
            </w:r>
          </w:p>
        </w:tc>
        <w:tc>
          <w:tcPr>
            <w:tcW w:w="1203" w:type="dxa"/>
            <w:noWrap/>
            <w:vAlign w:val="bottom"/>
            <w:hideMark/>
          </w:tcPr>
          <w:p w14:paraId="1BFED8B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0.006795</w:t>
            </w:r>
          </w:p>
        </w:tc>
        <w:tc>
          <w:tcPr>
            <w:tcW w:w="1504" w:type="dxa"/>
            <w:noWrap/>
            <w:vAlign w:val="bottom"/>
            <w:hideMark/>
          </w:tcPr>
          <w:p w14:paraId="1ACD805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0.000812</w:t>
            </w:r>
          </w:p>
        </w:tc>
        <w:tc>
          <w:tcPr>
            <w:tcW w:w="1817" w:type="dxa"/>
            <w:vAlign w:val="bottom"/>
          </w:tcPr>
          <w:p w14:paraId="58C032A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199712800</w:t>
            </w:r>
          </w:p>
        </w:tc>
      </w:tr>
      <w:tr w:rsidR="00C91714" w:rsidRPr="00C91714" w14:paraId="2800DD8E" w14:textId="77777777" w:rsidTr="00C91714">
        <w:trPr>
          <w:trHeight w:val="288"/>
          <w:jc w:val="center"/>
        </w:trPr>
        <w:tc>
          <w:tcPr>
            <w:tcW w:w="1308" w:type="dxa"/>
            <w:noWrap/>
            <w:vAlign w:val="bottom"/>
            <w:hideMark/>
          </w:tcPr>
          <w:p w14:paraId="613A202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H-1</w:t>
            </w:r>
          </w:p>
        </w:tc>
        <w:tc>
          <w:tcPr>
            <w:tcW w:w="960" w:type="dxa"/>
            <w:noWrap/>
            <w:vAlign w:val="bottom"/>
            <w:hideMark/>
          </w:tcPr>
          <w:p w14:paraId="0DF0C3F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689B03B1"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0.00203</w:t>
            </w:r>
          </w:p>
        </w:tc>
        <w:tc>
          <w:tcPr>
            <w:tcW w:w="1203" w:type="dxa"/>
            <w:noWrap/>
            <w:vAlign w:val="bottom"/>
            <w:hideMark/>
          </w:tcPr>
          <w:p w14:paraId="1DE98E25"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0.005005</w:t>
            </w:r>
          </w:p>
        </w:tc>
        <w:tc>
          <w:tcPr>
            <w:tcW w:w="1504" w:type="dxa"/>
            <w:noWrap/>
            <w:vAlign w:val="bottom"/>
            <w:hideMark/>
          </w:tcPr>
          <w:p w14:paraId="23FEEA0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0.000598</w:t>
            </w:r>
          </w:p>
        </w:tc>
        <w:tc>
          <w:tcPr>
            <w:tcW w:w="1817" w:type="dxa"/>
            <w:vAlign w:val="bottom"/>
          </w:tcPr>
          <w:p w14:paraId="0565A894"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167082220.9</w:t>
            </w:r>
          </w:p>
        </w:tc>
      </w:tr>
      <w:tr w:rsidR="00C91714" w:rsidRPr="00C91714" w14:paraId="27B67B61" w14:textId="77777777" w:rsidTr="00C91714">
        <w:trPr>
          <w:trHeight w:val="288"/>
          <w:jc w:val="center"/>
        </w:trPr>
        <w:tc>
          <w:tcPr>
            <w:tcW w:w="1308" w:type="dxa"/>
            <w:noWrap/>
            <w:vAlign w:val="bottom"/>
            <w:hideMark/>
          </w:tcPr>
          <w:p w14:paraId="4440555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H+1</w:t>
            </w:r>
          </w:p>
        </w:tc>
        <w:tc>
          <w:tcPr>
            <w:tcW w:w="960" w:type="dxa"/>
            <w:noWrap/>
            <w:vAlign w:val="bottom"/>
            <w:hideMark/>
          </w:tcPr>
          <w:p w14:paraId="7317ED9B"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78035A2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0.002722</w:t>
            </w:r>
          </w:p>
        </w:tc>
        <w:tc>
          <w:tcPr>
            <w:tcW w:w="1203" w:type="dxa"/>
            <w:noWrap/>
            <w:vAlign w:val="bottom"/>
            <w:hideMark/>
          </w:tcPr>
          <w:p w14:paraId="33A76EC1"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0.006389</w:t>
            </w:r>
          </w:p>
        </w:tc>
        <w:tc>
          <w:tcPr>
            <w:tcW w:w="1504" w:type="dxa"/>
            <w:noWrap/>
            <w:vAlign w:val="bottom"/>
            <w:hideMark/>
          </w:tcPr>
          <w:p w14:paraId="3950A61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0.000764</w:t>
            </w:r>
          </w:p>
        </w:tc>
        <w:tc>
          <w:tcPr>
            <w:tcW w:w="1817" w:type="dxa"/>
            <w:vAlign w:val="bottom"/>
          </w:tcPr>
          <w:p w14:paraId="65FFF71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238399680</w:t>
            </w:r>
          </w:p>
        </w:tc>
      </w:tr>
      <w:tr w:rsidR="00C91714" w:rsidRPr="00C91714" w14:paraId="11E9C000" w14:textId="77777777" w:rsidTr="00C91714">
        <w:trPr>
          <w:trHeight w:val="288"/>
          <w:jc w:val="center"/>
        </w:trPr>
        <w:tc>
          <w:tcPr>
            <w:tcW w:w="1308" w:type="dxa"/>
            <w:noWrap/>
            <w:vAlign w:val="bottom"/>
            <w:hideMark/>
          </w:tcPr>
          <w:p w14:paraId="1EA80C29"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H+2</w:t>
            </w:r>
          </w:p>
        </w:tc>
        <w:tc>
          <w:tcPr>
            <w:tcW w:w="960" w:type="dxa"/>
            <w:noWrap/>
            <w:vAlign w:val="bottom"/>
            <w:hideMark/>
          </w:tcPr>
          <w:p w14:paraId="2FE74528"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5654D53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0.002124</w:t>
            </w:r>
          </w:p>
        </w:tc>
        <w:tc>
          <w:tcPr>
            <w:tcW w:w="1203" w:type="dxa"/>
            <w:noWrap/>
            <w:vAlign w:val="bottom"/>
            <w:hideMark/>
          </w:tcPr>
          <w:p w14:paraId="0F8475F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0.006395</w:t>
            </w:r>
          </w:p>
        </w:tc>
        <w:tc>
          <w:tcPr>
            <w:tcW w:w="1504" w:type="dxa"/>
            <w:noWrap/>
            <w:vAlign w:val="bottom"/>
            <w:hideMark/>
          </w:tcPr>
          <w:p w14:paraId="67AEA6E0"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0.000764</w:t>
            </w:r>
          </w:p>
        </w:tc>
        <w:tc>
          <w:tcPr>
            <w:tcW w:w="1817" w:type="dxa"/>
            <w:vAlign w:val="bottom"/>
          </w:tcPr>
          <w:p w14:paraId="3244BBE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200195980.9</w:t>
            </w:r>
          </w:p>
        </w:tc>
      </w:tr>
      <w:tr w:rsidR="00C91714" w:rsidRPr="00C91714" w14:paraId="01B8F8BD" w14:textId="77777777" w:rsidTr="00C91714">
        <w:trPr>
          <w:trHeight w:val="288"/>
          <w:jc w:val="center"/>
        </w:trPr>
        <w:tc>
          <w:tcPr>
            <w:tcW w:w="1308" w:type="dxa"/>
            <w:noWrap/>
            <w:vAlign w:val="bottom"/>
            <w:hideMark/>
          </w:tcPr>
          <w:p w14:paraId="4F77781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H+3</w:t>
            </w:r>
          </w:p>
        </w:tc>
        <w:tc>
          <w:tcPr>
            <w:tcW w:w="960" w:type="dxa"/>
            <w:noWrap/>
            <w:vAlign w:val="bottom"/>
            <w:hideMark/>
          </w:tcPr>
          <w:p w14:paraId="354818FA"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29F2EEE3"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0.001922</w:t>
            </w:r>
          </w:p>
        </w:tc>
        <w:tc>
          <w:tcPr>
            <w:tcW w:w="1203" w:type="dxa"/>
            <w:noWrap/>
            <w:vAlign w:val="bottom"/>
            <w:hideMark/>
          </w:tcPr>
          <w:p w14:paraId="67C3398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0.005685</w:t>
            </w:r>
          </w:p>
        </w:tc>
        <w:tc>
          <w:tcPr>
            <w:tcW w:w="1504" w:type="dxa"/>
            <w:noWrap/>
            <w:vAlign w:val="bottom"/>
            <w:hideMark/>
          </w:tcPr>
          <w:p w14:paraId="4783D42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0.000679</w:t>
            </w:r>
          </w:p>
        </w:tc>
        <w:tc>
          <w:tcPr>
            <w:tcW w:w="1817" w:type="dxa"/>
            <w:vAlign w:val="bottom"/>
          </w:tcPr>
          <w:p w14:paraId="276FA92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194971557.5</w:t>
            </w:r>
          </w:p>
        </w:tc>
      </w:tr>
      <w:tr w:rsidR="00C91714" w:rsidRPr="00C91714" w14:paraId="6D5E0FEA" w14:textId="77777777" w:rsidTr="00C91714">
        <w:trPr>
          <w:trHeight w:val="288"/>
          <w:jc w:val="center"/>
        </w:trPr>
        <w:tc>
          <w:tcPr>
            <w:tcW w:w="1308" w:type="dxa"/>
            <w:noWrap/>
            <w:vAlign w:val="bottom"/>
            <w:hideMark/>
          </w:tcPr>
          <w:p w14:paraId="302B2DA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lastRenderedPageBreak/>
              <w:t>H+4</w:t>
            </w:r>
          </w:p>
        </w:tc>
        <w:tc>
          <w:tcPr>
            <w:tcW w:w="960" w:type="dxa"/>
            <w:noWrap/>
            <w:vAlign w:val="bottom"/>
            <w:hideMark/>
          </w:tcPr>
          <w:p w14:paraId="0382FB9F"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52FBC3B9"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0.001873</w:t>
            </w:r>
          </w:p>
        </w:tc>
        <w:tc>
          <w:tcPr>
            <w:tcW w:w="1203" w:type="dxa"/>
            <w:noWrap/>
            <w:vAlign w:val="bottom"/>
            <w:hideMark/>
          </w:tcPr>
          <w:p w14:paraId="1F907C8E"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0.006274</w:t>
            </w:r>
          </w:p>
        </w:tc>
        <w:tc>
          <w:tcPr>
            <w:tcW w:w="1504" w:type="dxa"/>
            <w:noWrap/>
            <w:vAlign w:val="bottom"/>
            <w:hideMark/>
          </w:tcPr>
          <w:p w14:paraId="05072017"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0.00075</w:t>
            </w:r>
          </w:p>
        </w:tc>
        <w:tc>
          <w:tcPr>
            <w:tcW w:w="1817" w:type="dxa"/>
            <w:vAlign w:val="bottom"/>
          </w:tcPr>
          <w:p w14:paraId="7D66D749"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180512399.4</w:t>
            </w:r>
          </w:p>
        </w:tc>
      </w:tr>
      <w:tr w:rsidR="00C91714" w:rsidRPr="00C91714" w14:paraId="72F47B39" w14:textId="77777777" w:rsidTr="00C91714">
        <w:trPr>
          <w:trHeight w:val="288"/>
          <w:jc w:val="center"/>
        </w:trPr>
        <w:tc>
          <w:tcPr>
            <w:tcW w:w="1308" w:type="dxa"/>
            <w:noWrap/>
            <w:vAlign w:val="bottom"/>
            <w:hideMark/>
          </w:tcPr>
          <w:p w14:paraId="4C9582B6"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H+5</w:t>
            </w:r>
          </w:p>
        </w:tc>
        <w:tc>
          <w:tcPr>
            <w:tcW w:w="960" w:type="dxa"/>
            <w:noWrap/>
            <w:vAlign w:val="bottom"/>
            <w:hideMark/>
          </w:tcPr>
          <w:p w14:paraId="1EC45FF4"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70</w:t>
            </w:r>
          </w:p>
        </w:tc>
        <w:tc>
          <w:tcPr>
            <w:tcW w:w="1116" w:type="dxa"/>
            <w:noWrap/>
            <w:vAlign w:val="bottom"/>
            <w:hideMark/>
          </w:tcPr>
          <w:p w14:paraId="6EA1D354"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0.001798</w:t>
            </w:r>
          </w:p>
        </w:tc>
        <w:tc>
          <w:tcPr>
            <w:tcW w:w="1203" w:type="dxa"/>
            <w:noWrap/>
            <w:vAlign w:val="bottom"/>
            <w:hideMark/>
          </w:tcPr>
          <w:p w14:paraId="5135267D" w14:textId="77777777" w:rsidR="00C91714" w:rsidRPr="00C91714" w:rsidRDefault="00C91714" w:rsidP="00C91714">
            <w:pPr>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0.004392</w:t>
            </w:r>
          </w:p>
        </w:tc>
        <w:tc>
          <w:tcPr>
            <w:tcW w:w="1504" w:type="dxa"/>
            <w:noWrap/>
            <w:vAlign w:val="bottom"/>
            <w:hideMark/>
          </w:tcPr>
          <w:p w14:paraId="7F1275AE" w14:textId="77777777" w:rsidR="00C91714" w:rsidRPr="00C91714" w:rsidRDefault="00C91714" w:rsidP="00C91714">
            <w:pPr>
              <w:keepNext/>
              <w:spacing w:after="0" w:line="240" w:lineRule="auto"/>
              <w:rPr>
                <w:rFonts w:ascii="Times New Roman" w:eastAsia="Times New Roman" w:hAnsi="Times New Roman" w:cs="Times New Roman"/>
                <w:i w:val="0"/>
                <w:iCs/>
                <w:color w:val="000000"/>
                <w:sz w:val="24"/>
                <w:szCs w:val="24"/>
                <w:lang w:val="en-ID"/>
              </w:rPr>
            </w:pPr>
            <w:r w:rsidRPr="00C91714">
              <w:rPr>
                <w:rFonts w:ascii="Times New Roman" w:eastAsia="Times New Roman" w:hAnsi="Times New Roman" w:cs="Times New Roman"/>
                <w:i w:val="0"/>
                <w:iCs/>
                <w:color w:val="000000"/>
                <w:sz w:val="24"/>
                <w:szCs w:val="24"/>
                <w:lang w:val="en-ID"/>
              </w:rPr>
              <w:t>0.000525</w:t>
            </w:r>
          </w:p>
        </w:tc>
        <w:tc>
          <w:tcPr>
            <w:tcW w:w="1817" w:type="dxa"/>
            <w:vAlign w:val="bottom"/>
          </w:tcPr>
          <w:p w14:paraId="0239801D" w14:textId="77777777" w:rsidR="00C91714" w:rsidRPr="00C91714" w:rsidRDefault="00C91714" w:rsidP="00C91714">
            <w:pPr>
              <w:keepNext/>
              <w:spacing w:after="0" w:line="240" w:lineRule="auto"/>
              <w:rPr>
                <w:rFonts w:ascii="Times New Roman" w:eastAsia="Times New Roman" w:hAnsi="Times New Roman" w:cs="Times New Roman"/>
                <w:i w:val="0"/>
                <w:iCs/>
                <w:color w:val="000000"/>
                <w:sz w:val="24"/>
                <w:szCs w:val="24"/>
                <w:lang w:val="en-ID"/>
              </w:rPr>
            </w:pPr>
            <w:r w:rsidRPr="00C91714">
              <w:rPr>
                <w:rFonts w:ascii="Times New Roman" w:hAnsi="Times New Roman" w:cs="Times New Roman"/>
                <w:i w:val="0"/>
                <w:iCs/>
                <w:sz w:val="24"/>
                <w:szCs w:val="24"/>
              </w:rPr>
              <w:t>212953251.4</w:t>
            </w:r>
          </w:p>
        </w:tc>
      </w:tr>
    </w:tbl>
    <w:bookmarkEnd w:id="5"/>
    <w:p w14:paraId="2189EE7B" w14:textId="10880085" w:rsidR="00C91714" w:rsidRPr="00C91714" w:rsidRDefault="00C91714" w:rsidP="00C9171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rPr>
      </w:pPr>
      <w:r>
        <w:rPr>
          <w:rFonts w:ascii="Times New Roman" w:eastAsia="Times New Roman" w:hAnsi="Times New Roman" w:cs="Times New Roman"/>
          <w:i w:val="0"/>
        </w:rPr>
        <w:t xml:space="preserve">    </w:t>
      </w:r>
      <w:r w:rsidRPr="00C91714">
        <w:rPr>
          <w:rFonts w:ascii="Times New Roman" w:eastAsia="Times New Roman" w:hAnsi="Times New Roman" w:cs="Times New Roman"/>
          <w:i w:val="0"/>
        </w:rPr>
        <w:t>Source: Data Processed SPSS 22</w:t>
      </w:r>
    </w:p>
    <w:p w14:paraId="061B108F" w14:textId="77777777" w:rsidR="00CB6130" w:rsidRDefault="00CB6130"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1B9C7B22" w14:textId="77777777" w:rsidR="00CB6130" w:rsidRPr="00CB6130" w:rsidRDefault="00CB6130" w:rsidP="00CB6130">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 xml:space="preserve">The descriptive statistical analysis of </w:t>
      </w:r>
      <w:bookmarkStart w:id="6" w:name="_Hlk199399248"/>
      <w:r w:rsidRPr="00CB6130">
        <w:rPr>
          <w:rFonts w:ascii="Times New Roman" w:eastAsia="Times New Roman" w:hAnsi="Times New Roman" w:cs="Times New Roman"/>
          <w:i w:val="0"/>
          <w:color w:val="000000"/>
          <w:sz w:val="24"/>
          <w:szCs w:val="24"/>
          <w:lang w:val="en-ID"/>
        </w:rPr>
        <w:t xml:space="preserve">Trading Volume Activity </w:t>
      </w:r>
      <w:bookmarkEnd w:id="6"/>
      <w:r w:rsidRPr="00CB6130">
        <w:rPr>
          <w:rFonts w:ascii="Times New Roman" w:eastAsia="Times New Roman" w:hAnsi="Times New Roman" w:cs="Times New Roman"/>
          <w:i w:val="0"/>
          <w:color w:val="000000"/>
          <w:sz w:val="24"/>
          <w:szCs w:val="24"/>
          <w:lang w:val="en-ID"/>
        </w:rPr>
        <w:t>(TVA) during the event window of Eid al-Fitr from 2018 to 2022 shows that the average TVA in the event window is consistently higher than in the non-event window. Across all days from H−5 to H+5, the mean TVA values were greater than those in the non-event period, albeit with relatively small differences.</w:t>
      </w:r>
    </w:p>
    <w:p w14:paraId="5D2C901B" w14:textId="77777777" w:rsidR="00CB6130" w:rsidRDefault="00CB6130" w:rsidP="00CB6130">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Furthermore, the standard deviation of TVA during the event window is higher than that of the non-event period, indicating increased volatility in trading volume around the Eid al-Fitr holiday. Although the mean TVA gradually declined from H-5 to H+5, it remained above the non-event mean, suggesting heightened investor activity triggered by the Eid momentum. This is supported by the average number of shares traded, which significantly increased during the days leading up to the holiday. For instance, on H-5, the average trading volume reached approximately 296 million shares, considerably higher than the non-event average of 180 million shares. Despite fluctuations after the holiday, trading volume remained elevated for several days, reinforcing the observed rise in market activity aligned with TVA movements.</w:t>
      </w:r>
    </w:p>
    <w:p w14:paraId="40D351B2" w14:textId="77777777" w:rsidR="00D71D04" w:rsidRDefault="00D71D04" w:rsidP="00CB6130">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en-ID"/>
        </w:rPr>
      </w:pPr>
    </w:p>
    <w:p w14:paraId="7B5EA33E" w14:textId="1F436388" w:rsidR="00CB6130" w:rsidRDefault="00D71D04" w:rsidP="00D71D04">
      <w:pPr>
        <w:pBdr>
          <w:top w:val="nil"/>
          <w:left w:val="nil"/>
          <w:bottom w:val="nil"/>
          <w:right w:val="nil"/>
          <w:between w:val="nil"/>
        </w:pBdr>
        <w:spacing w:after="0" w:line="240" w:lineRule="auto"/>
        <w:jc w:val="both"/>
        <w:rPr>
          <w:rFonts w:ascii="Times New Roman" w:hAnsi="Times New Roman" w:cs="Times New Roman"/>
          <w:b/>
          <w:bCs/>
          <w:i w:val="0"/>
          <w:color w:val="000000" w:themeColor="text1"/>
          <w:sz w:val="24"/>
          <w:szCs w:val="24"/>
        </w:rPr>
      </w:pPr>
      <w:r w:rsidRPr="00D71D04">
        <w:rPr>
          <w:rFonts w:ascii="Times New Roman" w:hAnsi="Times New Roman" w:cs="Times New Roman"/>
          <w:b/>
          <w:bCs/>
          <w:i w:val="0"/>
          <w:color w:val="000000" w:themeColor="text1"/>
          <w:sz w:val="24"/>
          <w:szCs w:val="24"/>
        </w:rPr>
        <w:t xml:space="preserve">Eid al-Adha </w:t>
      </w:r>
      <w:r>
        <w:rPr>
          <w:rFonts w:ascii="Times New Roman" w:hAnsi="Times New Roman" w:cs="Times New Roman"/>
          <w:b/>
          <w:bCs/>
          <w:i w:val="0"/>
          <w:color w:val="000000" w:themeColor="text1"/>
          <w:sz w:val="24"/>
          <w:szCs w:val="24"/>
        </w:rPr>
        <w:t>E</w:t>
      </w:r>
      <w:r w:rsidRPr="00D71D04">
        <w:rPr>
          <w:rFonts w:ascii="Times New Roman" w:hAnsi="Times New Roman" w:cs="Times New Roman"/>
          <w:b/>
          <w:bCs/>
          <w:i w:val="0"/>
          <w:color w:val="000000" w:themeColor="text1"/>
          <w:sz w:val="24"/>
          <w:szCs w:val="24"/>
        </w:rPr>
        <w:t>vent</w:t>
      </w:r>
    </w:p>
    <w:p w14:paraId="5E0B0AC1" w14:textId="77777777" w:rsidR="00D71D04" w:rsidRPr="00D71D04" w:rsidRDefault="00D71D04" w:rsidP="00D71D0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lang w:val="en-ID"/>
        </w:rPr>
      </w:pPr>
    </w:p>
    <w:p w14:paraId="3BB56893" w14:textId="07D13E99" w:rsidR="00CB6130" w:rsidRPr="00CB6130" w:rsidRDefault="00CB6130" w:rsidP="00D71D04">
      <w:pPr>
        <w:pStyle w:val="Caption"/>
        <w:keepNext/>
        <w:jc w:val="center"/>
        <w:rPr>
          <w:b/>
          <w:bCs/>
          <w:i w:val="0"/>
          <w:iCs w:val="0"/>
          <w:color w:val="000000" w:themeColor="text1"/>
          <w:sz w:val="24"/>
          <w:szCs w:val="24"/>
        </w:rPr>
      </w:pPr>
      <w:r>
        <w:rPr>
          <w:rFonts w:eastAsia="Times New Roman" w:cs="Times New Roman"/>
          <w:b/>
          <w:i w:val="0"/>
          <w:color w:val="000000"/>
          <w:sz w:val="24"/>
          <w:szCs w:val="24"/>
        </w:rPr>
        <w:t xml:space="preserve">Table 3. </w:t>
      </w:r>
      <w:r w:rsidRPr="00C91714">
        <w:rPr>
          <w:b/>
          <w:bCs/>
          <w:i w:val="0"/>
          <w:iCs w:val="0"/>
          <w:color w:val="000000" w:themeColor="text1"/>
          <w:sz w:val="24"/>
          <w:szCs w:val="24"/>
        </w:rPr>
        <w:t xml:space="preserve">Results of </w:t>
      </w:r>
      <w:r w:rsidR="00D71D04" w:rsidRPr="009441FB">
        <w:rPr>
          <w:rFonts w:eastAsia="Times New Roman" w:cs="Times New Roman"/>
          <w:b/>
          <w:i w:val="0"/>
          <w:color w:val="000000"/>
          <w:sz w:val="24"/>
          <w:szCs w:val="24"/>
        </w:rPr>
        <w:t xml:space="preserve">Descriptive Statistical </w:t>
      </w:r>
      <w:r w:rsidR="00D71D04">
        <w:rPr>
          <w:rFonts w:eastAsia="Times New Roman" w:cs="Times New Roman"/>
          <w:b/>
          <w:i w:val="0"/>
          <w:color w:val="000000"/>
          <w:sz w:val="24"/>
          <w:szCs w:val="24"/>
        </w:rPr>
        <w:t xml:space="preserve"> Analysis of </w:t>
      </w:r>
      <w:r w:rsidRPr="00C91714">
        <w:rPr>
          <w:b/>
          <w:bCs/>
          <w:i w:val="0"/>
          <w:iCs w:val="0"/>
          <w:color w:val="000000" w:themeColor="text1"/>
          <w:sz w:val="24"/>
          <w:szCs w:val="24"/>
        </w:rPr>
        <w:t xml:space="preserve">Abnormal Return </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841"/>
        <w:gridCol w:w="1701"/>
        <w:gridCol w:w="1843"/>
        <w:gridCol w:w="2624"/>
      </w:tblGrid>
      <w:tr w:rsidR="00CB6130" w:rsidRPr="00CB6130" w14:paraId="5250219E" w14:textId="77777777" w:rsidTr="00CB6130">
        <w:trPr>
          <w:trHeight w:val="864"/>
          <w:jc w:val="center"/>
        </w:trPr>
        <w:tc>
          <w:tcPr>
            <w:tcW w:w="1139" w:type="dxa"/>
            <w:vAlign w:val="center"/>
            <w:hideMark/>
          </w:tcPr>
          <w:p w14:paraId="4FCA5D0F" w14:textId="77777777" w:rsidR="00CB6130" w:rsidRPr="00CB6130" w:rsidRDefault="00CB6130" w:rsidP="00D71D04">
            <w:pPr>
              <w:spacing w:line="240" w:lineRule="auto"/>
              <w:jc w:val="center"/>
              <w:rPr>
                <w:rFonts w:ascii="Times New Roman" w:eastAsia="Times New Roman" w:hAnsi="Times New Roman" w:cs="Times New Roman"/>
                <w:b/>
                <w:bCs/>
                <w:i w:val="0"/>
                <w:color w:val="000000"/>
                <w:sz w:val="24"/>
                <w:szCs w:val="24"/>
                <w:lang w:val="en-ID"/>
              </w:rPr>
            </w:pPr>
            <w:proofErr w:type="spellStart"/>
            <w:r w:rsidRPr="00CB6130">
              <w:rPr>
                <w:rFonts w:ascii="Times New Roman" w:eastAsia="Times New Roman" w:hAnsi="Times New Roman" w:cs="Times New Roman"/>
                <w:b/>
                <w:bCs/>
                <w:i w:val="0"/>
                <w:color w:val="000000"/>
                <w:sz w:val="24"/>
                <w:szCs w:val="24"/>
                <w:lang w:val="en-ID"/>
              </w:rPr>
              <w:t>Periode</w:t>
            </w:r>
            <w:proofErr w:type="spellEnd"/>
          </w:p>
        </w:tc>
        <w:tc>
          <w:tcPr>
            <w:tcW w:w="841" w:type="dxa"/>
            <w:vAlign w:val="center"/>
            <w:hideMark/>
          </w:tcPr>
          <w:p w14:paraId="2160FB2B" w14:textId="77777777" w:rsidR="00CB6130" w:rsidRPr="00CB6130" w:rsidRDefault="00CB6130" w:rsidP="00D71D04">
            <w:pPr>
              <w:spacing w:line="240" w:lineRule="auto"/>
              <w:jc w:val="center"/>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N</w:t>
            </w:r>
          </w:p>
        </w:tc>
        <w:tc>
          <w:tcPr>
            <w:tcW w:w="1701" w:type="dxa"/>
            <w:vAlign w:val="center"/>
            <w:hideMark/>
          </w:tcPr>
          <w:p w14:paraId="2090579F" w14:textId="77777777" w:rsidR="00CB6130" w:rsidRPr="00CB6130" w:rsidRDefault="00CB6130" w:rsidP="00D71D04">
            <w:pPr>
              <w:spacing w:line="240" w:lineRule="auto"/>
              <w:jc w:val="center"/>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Mean</w:t>
            </w:r>
          </w:p>
        </w:tc>
        <w:tc>
          <w:tcPr>
            <w:tcW w:w="1843" w:type="dxa"/>
            <w:vAlign w:val="center"/>
            <w:hideMark/>
          </w:tcPr>
          <w:p w14:paraId="5C7E2EAD" w14:textId="77777777" w:rsidR="00CB6130" w:rsidRPr="00CB6130" w:rsidRDefault="00CB6130" w:rsidP="00D71D04">
            <w:pPr>
              <w:spacing w:line="240" w:lineRule="auto"/>
              <w:jc w:val="center"/>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Std. Deviation</w:t>
            </w:r>
          </w:p>
        </w:tc>
        <w:tc>
          <w:tcPr>
            <w:tcW w:w="2624" w:type="dxa"/>
            <w:vAlign w:val="center"/>
            <w:hideMark/>
          </w:tcPr>
          <w:p w14:paraId="6FD17A5C" w14:textId="77777777" w:rsidR="00CB6130" w:rsidRPr="00CB6130" w:rsidRDefault="00CB6130" w:rsidP="00D71D04">
            <w:pPr>
              <w:spacing w:line="240" w:lineRule="auto"/>
              <w:jc w:val="center"/>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Std. Error Mean</w:t>
            </w:r>
          </w:p>
        </w:tc>
      </w:tr>
      <w:tr w:rsidR="00CB6130" w:rsidRPr="00CB6130" w14:paraId="651A0A22" w14:textId="77777777" w:rsidTr="00CB6130">
        <w:trPr>
          <w:trHeight w:val="584"/>
          <w:jc w:val="center"/>
        </w:trPr>
        <w:tc>
          <w:tcPr>
            <w:tcW w:w="1139" w:type="dxa"/>
            <w:vAlign w:val="center"/>
            <w:hideMark/>
          </w:tcPr>
          <w:p w14:paraId="67269086"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 xml:space="preserve">Non-Windows </w:t>
            </w:r>
          </w:p>
        </w:tc>
        <w:tc>
          <w:tcPr>
            <w:tcW w:w="841" w:type="dxa"/>
            <w:vAlign w:val="center"/>
            <w:hideMark/>
          </w:tcPr>
          <w:p w14:paraId="4D83549F"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42523FD6"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0.000151</w:t>
            </w:r>
          </w:p>
        </w:tc>
        <w:tc>
          <w:tcPr>
            <w:tcW w:w="1843" w:type="dxa"/>
            <w:vAlign w:val="center"/>
            <w:hideMark/>
          </w:tcPr>
          <w:p w14:paraId="6867DA0B"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0.010368</w:t>
            </w:r>
          </w:p>
        </w:tc>
        <w:tc>
          <w:tcPr>
            <w:tcW w:w="2624" w:type="dxa"/>
            <w:vAlign w:val="center"/>
            <w:hideMark/>
          </w:tcPr>
          <w:p w14:paraId="7324C803"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0.001239</w:t>
            </w:r>
          </w:p>
        </w:tc>
      </w:tr>
      <w:tr w:rsidR="00CB6130" w:rsidRPr="00CB6130" w14:paraId="2AC04503" w14:textId="77777777" w:rsidTr="00CB6130">
        <w:trPr>
          <w:trHeight w:val="288"/>
          <w:jc w:val="center"/>
        </w:trPr>
        <w:tc>
          <w:tcPr>
            <w:tcW w:w="1139" w:type="dxa"/>
            <w:vAlign w:val="center"/>
            <w:hideMark/>
          </w:tcPr>
          <w:p w14:paraId="33039BAF"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841" w:type="dxa"/>
            <w:vAlign w:val="center"/>
            <w:hideMark/>
          </w:tcPr>
          <w:p w14:paraId="2C78608B"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211C716A"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-0.00135</w:t>
            </w:r>
          </w:p>
        </w:tc>
        <w:tc>
          <w:tcPr>
            <w:tcW w:w="1843" w:type="dxa"/>
            <w:vAlign w:val="center"/>
            <w:hideMark/>
          </w:tcPr>
          <w:p w14:paraId="5B37BCD5"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0.027709</w:t>
            </w:r>
          </w:p>
        </w:tc>
        <w:tc>
          <w:tcPr>
            <w:tcW w:w="2624" w:type="dxa"/>
            <w:vAlign w:val="center"/>
            <w:hideMark/>
          </w:tcPr>
          <w:p w14:paraId="0454229B"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0.003312</w:t>
            </w:r>
          </w:p>
        </w:tc>
      </w:tr>
      <w:tr w:rsidR="00CB6130" w:rsidRPr="00CB6130" w14:paraId="405AA0A9" w14:textId="77777777" w:rsidTr="00CB6130">
        <w:trPr>
          <w:trHeight w:val="288"/>
          <w:jc w:val="center"/>
        </w:trPr>
        <w:tc>
          <w:tcPr>
            <w:tcW w:w="1139" w:type="dxa"/>
            <w:vAlign w:val="center"/>
            <w:hideMark/>
          </w:tcPr>
          <w:p w14:paraId="2D24607A"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841" w:type="dxa"/>
            <w:vAlign w:val="center"/>
            <w:hideMark/>
          </w:tcPr>
          <w:p w14:paraId="679600BC"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00A71307"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w:t>
            </w:r>
          </w:p>
        </w:tc>
        <w:tc>
          <w:tcPr>
            <w:tcW w:w="1843" w:type="dxa"/>
            <w:vAlign w:val="center"/>
            <w:hideMark/>
          </w:tcPr>
          <w:p w14:paraId="2491A825"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0.027096</w:t>
            </w:r>
          </w:p>
        </w:tc>
        <w:tc>
          <w:tcPr>
            <w:tcW w:w="2624" w:type="dxa"/>
            <w:vAlign w:val="center"/>
            <w:hideMark/>
          </w:tcPr>
          <w:p w14:paraId="02EC5A8E"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0.003239</w:t>
            </w:r>
          </w:p>
        </w:tc>
      </w:tr>
      <w:tr w:rsidR="00CB6130" w:rsidRPr="00CB6130" w14:paraId="1D247A03" w14:textId="77777777" w:rsidTr="00CB6130">
        <w:trPr>
          <w:trHeight w:val="288"/>
          <w:jc w:val="center"/>
        </w:trPr>
        <w:tc>
          <w:tcPr>
            <w:tcW w:w="1139" w:type="dxa"/>
            <w:vAlign w:val="center"/>
            <w:hideMark/>
          </w:tcPr>
          <w:p w14:paraId="6FD255E3"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841" w:type="dxa"/>
            <w:vAlign w:val="center"/>
            <w:hideMark/>
          </w:tcPr>
          <w:p w14:paraId="7335E07F"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74F24BDD"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0.001741</w:t>
            </w:r>
          </w:p>
        </w:tc>
        <w:tc>
          <w:tcPr>
            <w:tcW w:w="1843" w:type="dxa"/>
            <w:vAlign w:val="center"/>
            <w:hideMark/>
          </w:tcPr>
          <w:p w14:paraId="0E555480"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0.048122</w:t>
            </w:r>
          </w:p>
        </w:tc>
        <w:tc>
          <w:tcPr>
            <w:tcW w:w="2624" w:type="dxa"/>
            <w:vAlign w:val="center"/>
            <w:hideMark/>
          </w:tcPr>
          <w:p w14:paraId="7A9765AC"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0.005752</w:t>
            </w:r>
          </w:p>
        </w:tc>
      </w:tr>
      <w:tr w:rsidR="00CB6130" w:rsidRPr="00CB6130" w14:paraId="0C61830A" w14:textId="77777777" w:rsidTr="00CB6130">
        <w:trPr>
          <w:trHeight w:val="288"/>
          <w:jc w:val="center"/>
        </w:trPr>
        <w:tc>
          <w:tcPr>
            <w:tcW w:w="1139" w:type="dxa"/>
            <w:vAlign w:val="center"/>
            <w:hideMark/>
          </w:tcPr>
          <w:p w14:paraId="1B6988C1"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841" w:type="dxa"/>
            <w:vAlign w:val="center"/>
            <w:hideMark/>
          </w:tcPr>
          <w:p w14:paraId="3AB0086A"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0E3F9C1C"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-0.00074</w:t>
            </w:r>
          </w:p>
        </w:tc>
        <w:tc>
          <w:tcPr>
            <w:tcW w:w="1843" w:type="dxa"/>
            <w:vAlign w:val="center"/>
            <w:hideMark/>
          </w:tcPr>
          <w:p w14:paraId="39548A3B"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0.048034</w:t>
            </w:r>
          </w:p>
        </w:tc>
        <w:tc>
          <w:tcPr>
            <w:tcW w:w="2624" w:type="dxa"/>
            <w:vAlign w:val="center"/>
            <w:hideMark/>
          </w:tcPr>
          <w:p w14:paraId="7B47CBC7"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0.005741</w:t>
            </w:r>
          </w:p>
        </w:tc>
      </w:tr>
      <w:tr w:rsidR="00CB6130" w:rsidRPr="00CB6130" w14:paraId="26FA7F8B" w14:textId="77777777" w:rsidTr="00CB6130">
        <w:trPr>
          <w:trHeight w:val="288"/>
          <w:jc w:val="center"/>
        </w:trPr>
        <w:tc>
          <w:tcPr>
            <w:tcW w:w="1139" w:type="dxa"/>
            <w:vAlign w:val="center"/>
            <w:hideMark/>
          </w:tcPr>
          <w:p w14:paraId="13ECBFEC"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841" w:type="dxa"/>
            <w:vAlign w:val="center"/>
            <w:hideMark/>
          </w:tcPr>
          <w:p w14:paraId="7C8B776E"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0D71A7BB"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0.000227</w:t>
            </w:r>
          </w:p>
        </w:tc>
        <w:tc>
          <w:tcPr>
            <w:tcW w:w="1843" w:type="dxa"/>
            <w:vAlign w:val="center"/>
            <w:hideMark/>
          </w:tcPr>
          <w:p w14:paraId="5C3C72A5"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0.048835</w:t>
            </w:r>
          </w:p>
        </w:tc>
        <w:tc>
          <w:tcPr>
            <w:tcW w:w="2624" w:type="dxa"/>
            <w:vAlign w:val="center"/>
            <w:hideMark/>
          </w:tcPr>
          <w:p w14:paraId="1607093F"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0.005837</w:t>
            </w:r>
          </w:p>
        </w:tc>
      </w:tr>
      <w:tr w:rsidR="00CB6130" w:rsidRPr="00CB6130" w14:paraId="1C7E6054" w14:textId="77777777" w:rsidTr="00CB6130">
        <w:trPr>
          <w:trHeight w:val="288"/>
          <w:jc w:val="center"/>
        </w:trPr>
        <w:tc>
          <w:tcPr>
            <w:tcW w:w="1139" w:type="dxa"/>
            <w:vAlign w:val="center"/>
            <w:hideMark/>
          </w:tcPr>
          <w:p w14:paraId="72FBC02C"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841" w:type="dxa"/>
            <w:vAlign w:val="center"/>
            <w:hideMark/>
          </w:tcPr>
          <w:p w14:paraId="3F085F88"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3F45AE83"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0.000838</w:t>
            </w:r>
          </w:p>
        </w:tc>
        <w:tc>
          <w:tcPr>
            <w:tcW w:w="1843" w:type="dxa"/>
            <w:vAlign w:val="center"/>
            <w:hideMark/>
          </w:tcPr>
          <w:p w14:paraId="6F44A3B7"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0.032708</w:t>
            </w:r>
          </w:p>
        </w:tc>
        <w:tc>
          <w:tcPr>
            <w:tcW w:w="2624" w:type="dxa"/>
            <w:vAlign w:val="center"/>
            <w:hideMark/>
          </w:tcPr>
          <w:p w14:paraId="3749924D"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0.003909</w:t>
            </w:r>
          </w:p>
        </w:tc>
      </w:tr>
      <w:tr w:rsidR="00CB6130" w:rsidRPr="00CB6130" w14:paraId="7196E1DD" w14:textId="77777777" w:rsidTr="00CB6130">
        <w:trPr>
          <w:trHeight w:val="288"/>
          <w:jc w:val="center"/>
        </w:trPr>
        <w:tc>
          <w:tcPr>
            <w:tcW w:w="1139" w:type="dxa"/>
            <w:vAlign w:val="center"/>
            <w:hideMark/>
          </w:tcPr>
          <w:p w14:paraId="37422D84"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841" w:type="dxa"/>
            <w:vAlign w:val="center"/>
            <w:hideMark/>
          </w:tcPr>
          <w:p w14:paraId="00D8E0DF"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1B377C2B"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-0.0026</w:t>
            </w:r>
          </w:p>
        </w:tc>
        <w:tc>
          <w:tcPr>
            <w:tcW w:w="1843" w:type="dxa"/>
            <w:vAlign w:val="center"/>
            <w:hideMark/>
          </w:tcPr>
          <w:p w14:paraId="3AA33718"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0.030678</w:t>
            </w:r>
          </w:p>
        </w:tc>
        <w:tc>
          <w:tcPr>
            <w:tcW w:w="2624" w:type="dxa"/>
            <w:vAlign w:val="center"/>
            <w:hideMark/>
          </w:tcPr>
          <w:p w14:paraId="22855EE9"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0.003667</w:t>
            </w:r>
          </w:p>
        </w:tc>
      </w:tr>
      <w:tr w:rsidR="00CB6130" w:rsidRPr="00CB6130" w14:paraId="40CF33F6" w14:textId="77777777" w:rsidTr="00CB6130">
        <w:trPr>
          <w:trHeight w:val="288"/>
          <w:jc w:val="center"/>
        </w:trPr>
        <w:tc>
          <w:tcPr>
            <w:tcW w:w="1139" w:type="dxa"/>
            <w:vAlign w:val="center"/>
            <w:hideMark/>
          </w:tcPr>
          <w:p w14:paraId="4463D797"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841" w:type="dxa"/>
            <w:vAlign w:val="center"/>
            <w:hideMark/>
          </w:tcPr>
          <w:p w14:paraId="4552A2E2"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0E3F8894"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-0.00515</w:t>
            </w:r>
          </w:p>
        </w:tc>
        <w:tc>
          <w:tcPr>
            <w:tcW w:w="1843" w:type="dxa"/>
            <w:vAlign w:val="center"/>
            <w:hideMark/>
          </w:tcPr>
          <w:p w14:paraId="36674C64"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0.032751</w:t>
            </w:r>
          </w:p>
        </w:tc>
        <w:tc>
          <w:tcPr>
            <w:tcW w:w="2624" w:type="dxa"/>
            <w:vAlign w:val="center"/>
            <w:hideMark/>
          </w:tcPr>
          <w:p w14:paraId="33EA5BC4"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0.003914</w:t>
            </w:r>
          </w:p>
        </w:tc>
      </w:tr>
      <w:tr w:rsidR="00CB6130" w:rsidRPr="00CB6130" w14:paraId="429AB7CC" w14:textId="77777777" w:rsidTr="00CB6130">
        <w:trPr>
          <w:trHeight w:val="288"/>
          <w:jc w:val="center"/>
        </w:trPr>
        <w:tc>
          <w:tcPr>
            <w:tcW w:w="1139" w:type="dxa"/>
            <w:vAlign w:val="center"/>
            <w:hideMark/>
          </w:tcPr>
          <w:p w14:paraId="68094253"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841" w:type="dxa"/>
            <w:vAlign w:val="center"/>
            <w:hideMark/>
          </w:tcPr>
          <w:p w14:paraId="464261D0"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7BAF4578"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-0.0016</w:t>
            </w:r>
          </w:p>
        </w:tc>
        <w:tc>
          <w:tcPr>
            <w:tcW w:w="1843" w:type="dxa"/>
            <w:vAlign w:val="center"/>
            <w:hideMark/>
          </w:tcPr>
          <w:p w14:paraId="0E0915CA"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0.031999</w:t>
            </w:r>
          </w:p>
        </w:tc>
        <w:tc>
          <w:tcPr>
            <w:tcW w:w="2624" w:type="dxa"/>
            <w:vAlign w:val="center"/>
            <w:hideMark/>
          </w:tcPr>
          <w:p w14:paraId="0D95B057"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0.003825</w:t>
            </w:r>
          </w:p>
        </w:tc>
      </w:tr>
      <w:tr w:rsidR="00CB6130" w:rsidRPr="00CB6130" w14:paraId="30589F25" w14:textId="77777777" w:rsidTr="00CB6130">
        <w:trPr>
          <w:trHeight w:val="288"/>
          <w:jc w:val="center"/>
        </w:trPr>
        <w:tc>
          <w:tcPr>
            <w:tcW w:w="1139" w:type="dxa"/>
            <w:vAlign w:val="center"/>
            <w:hideMark/>
          </w:tcPr>
          <w:p w14:paraId="4489DDCF" w14:textId="77777777" w:rsidR="00CB6130" w:rsidRPr="00CB6130" w:rsidRDefault="00CB6130" w:rsidP="00CB6130">
            <w:pPr>
              <w:spacing w:after="0"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841" w:type="dxa"/>
            <w:vAlign w:val="center"/>
            <w:hideMark/>
          </w:tcPr>
          <w:p w14:paraId="780F19B9"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701" w:type="dxa"/>
            <w:vAlign w:val="center"/>
            <w:hideMark/>
          </w:tcPr>
          <w:p w14:paraId="765AD201"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-0.00083</w:t>
            </w:r>
          </w:p>
        </w:tc>
        <w:tc>
          <w:tcPr>
            <w:tcW w:w="1843" w:type="dxa"/>
            <w:vAlign w:val="center"/>
            <w:hideMark/>
          </w:tcPr>
          <w:p w14:paraId="15375DB0" w14:textId="77777777" w:rsidR="00CB6130" w:rsidRPr="00CB6130" w:rsidRDefault="00CB6130" w:rsidP="00CB6130">
            <w:pPr>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0.030962</w:t>
            </w:r>
          </w:p>
        </w:tc>
        <w:tc>
          <w:tcPr>
            <w:tcW w:w="2624" w:type="dxa"/>
            <w:vAlign w:val="center"/>
            <w:hideMark/>
          </w:tcPr>
          <w:p w14:paraId="0811DD04" w14:textId="77777777" w:rsidR="00CB6130" w:rsidRPr="00CB6130" w:rsidRDefault="00CB6130" w:rsidP="00CB6130">
            <w:pPr>
              <w:keepNext/>
              <w:spacing w:after="0"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0.003701</w:t>
            </w:r>
          </w:p>
        </w:tc>
      </w:tr>
    </w:tbl>
    <w:p w14:paraId="7FF40756" w14:textId="35257A52" w:rsidR="00CB6130" w:rsidRDefault="00D71D04" w:rsidP="00CB6130">
      <w:pPr>
        <w:pBdr>
          <w:top w:val="nil"/>
          <w:left w:val="nil"/>
          <w:bottom w:val="nil"/>
          <w:right w:val="nil"/>
          <w:between w:val="nil"/>
        </w:pBdr>
        <w:spacing w:after="0" w:line="240" w:lineRule="auto"/>
        <w:rPr>
          <w:rFonts w:ascii="Times New Roman" w:eastAsia="Times New Roman" w:hAnsi="Times New Roman" w:cs="Times New Roman"/>
          <w:i w:val="0"/>
        </w:rPr>
      </w:pPr>
      <w:r>
        <w:rPr>
          <w:rFonts w:ascii="Times New Roman" w:eastAsia="Times New Roman" w:hAnsi="Times New Roman" w:cs="Times New Roman"/>
          <w:i w:val="0"/>
        </w:rPr>
        <w:t xml:space="preserve">         </w:t>
      </w:r>
      <w:r w:rsidRPr="00C91714">
        <w:rPr>
          <w:rFonts w:ascii="Times New Roman" w:eastAsia="Times New Roman" w:hAnsi="Times New Roman" w:cs="Times New Roman"/>
          <w:i w:val="0"/>
        </w:rPr>
        <w:t>Source: Data Processed SPSS 22</w:t>
      </w:r>
    </w:p>
    <w:p w14:paraId="19595A47" w14:textId="77777777" w:rsidR="00D71D04" w:rsidRPr="00CB6130" w:rsidRDefault="00D71D04"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7BE6F94B" w14:textId="5D568BB2" w:rsidR="00D71D04" w:rsidRDefault="00D71D04" w:rsidP="00D71D04">
      <w:pPr>
        <w:pStyle w:val="Caption"/>
        <w:keepNext/>
        <w:ind w:firstLine="426"/>
        <w:rPr>
          <w:rFonts w:cs="Times New Roman"/>
          <w:i w:val="0"/>
          <w:color w:val="000000" w:themeColor="text1"/>
          <w:sz w:val="24"/>
          <w:szCs w:val="24"/>
          <w:lang w:val="en-US"/>
        </w:rPr>
      </w:pPr>
      <w:r w:rsidRPr="00D71D04">
        <w:rPr>
          <w:rFonts w:cs="Times New Roman"/>
          <w:i w:val="0"/>
          <w:color w:val="000000" w:themeColor="text1"/>
          <w:sz w:val="24"/>
          <w:szCs w:val="24"/>
          <w:lang w:val="en-US"/>
        </w:rPr>
        <w:t>The descriptive analysis of abnormal returns (AR) during the Eid al-Adha event window (2018–2022) shows lower average ARs compared to the non-event period, with most values negative or near zero, except on H-3, H-1, and H+1. Standard deviations are consistently higher during the event window, indicating greater volatility. These results suggest limited and inconsistent market reactions to Eid al-Adha, with no clear directional trend.</w:t>
      </w:r>
    </w:p>
    <w:p w14:paraId="72F4E839" w14:textId="77777777" w:rsidR="00C707CA" w:rsidRPr="00C707CA" w:rsidRDefault="00C707CA" w:rsidP="00C707CA">
      <w:pPr>
        <w:rPr>
          <w:lang w:eastAsia="ja-JP"/>
        </w:rPr>
      </w:pPr>
    </w:p>
    <w:p w14:paraId="3253CBDB" w14:textId="13ACE8F4" w:rsidR="00CB6130" w:rsidRPr="00D71D04" w:rsidRDefault="00CB6130" w:rsidP="00D71D04">
      <w:pPr>
        <w:pBdr>
          <w:top w:val="nil"/>
          <w:left w:val="nil"/>
          <w:bottom w:val="nil"/>
          <w:right w:val="nil"/>
          <w:between w:val="nil"/>
        </w:pBdr>
        <w:spacing w:line="240" w:lineRule="auto"/>
        <w:jc w:val="center"/>
        <w:rPr>
          <w:rFonts w:ascii="Times New Roman" w:eastAsia="Times New Roman" w:hAnsi="Times New Roman" w:cs="Times New Roman"/>
          <w:i w:val="0"/>
          <w:color w:val="000000"/>
          <w:sz w:val="24"/>
          <w:szCs w:val="24"/>
          <w:lang w:val="en-ID"/>
        </w:rPr>
      </w:pPr>
      <w:r w:rsidRPr="00D71D04">
        <w:rPr>
          <w:rFonts w:ascii="Times New Roman" w:hAnsi="Times New Roman" w:cs="Times New Roman"/>
          <w:b/>
          <w:bCs/>
          <w:i w:val="0"/>
          <w:color w:val="000000" w:themeColor="text1"/>
          <w:sz w:val="24"/>
          <w:szCs w:val="24"/>
        </w:rPr>
        <w:lastRenderedPageBreak/>
        <w:t xml:space="preserve">Table </w:t>
      </w:r>
      <w:r w:rsidR="00D71D04" w:rsidRPr="00D71D04">
        <w:rPr>
          <w:rFonts w:ascii="Times New Roman" w:hAnsi="Times New Roman" w:cs="Times New Roman"/>
          <w:b/>
          <w:bCs/>
          <w:i w:val="0"/>
          <w:iCs/>
          <w:color w:val="000000" w:themeColor="text1"/>
          <w:sz w:val="24"/>
          <w:szCs w:val="24"/>
        </w:rPr>
        <w:t>4</w:t>
      </w:r>
      <w:r w:rsidRPr="00D71D04">
        <w:rPr>
          <w:rFonts w:ascii="Times New Roman" w:hAnsi="Times New Roman" w:cs="Times New Roman"/>
          <w:b/>
          <w:bCs/>
          <w:i w:val="0"/>
          <w:iCs/>
          <w:color w:val="000000" w:themeColor="text1"/>
          <w:sz w:val="24"/>
          <w:szCs w:val="24"/>
        </w:rPr>
        <w:t xml:space="preserve">. </w:t>
      </w:r>
      <w:r w:rsidR="00D71D04" w:rsidRPr="00D71D04">
        <w:rPr>
          <w:rFonts w:ascii="Times New Roman" w:hAnsi="Times New Roman" w:cs="Times New Roman"/>
          <w:b/>
          <w:bCs/>
          <w:i w:val="0"/>
          <w:color w:val="000000" w:themeColor="text1"/>
          <w:sz w:val="24"/>
          <w:szCs w:val="24"/>
        </w:rPr>
        <w:t xml:space="preserve">Results </w:t>
      </w:r>
      <w:proofErr w:type="gramStart"/>
      <w:r w:rsidR="00D71D04" w:rsidRPr="00D71D04">
        <w:rPr>
          <w:rFonts w:ascii="Times New Roman" w:hAnsi="Times New Roman" w:cs="Times New Roman"/>
          <w:b/>
          <w:bCs/>
          <w:i w:val="0"/>
          <w:color w:val="000000" w:themeColor="text1"/>
          <w:sz w:val="24"/>
          <w:szCs w:val="24"/>
        </w:rPr>
        <w:t xml:space="preserve">of </w:t>
      </w:r>
      <w:r w:rsidR="00D71D04" w:rsidRPr="00D71D04">
        <w:rPr>
          <w:rFonts w:ascii="Times New Roman" w:hAnsi="Times New Roman" w:cs="Times New Roman"/>
          <w:b/>
          <w:bCs/>
          <w:i w:val="0"/>
          <w:iCs/>
          <w:color w:val="000000" w:themeColor="text1"/>
          <w:sz w:val="24"/>
          <w:szCs w:val="24"/>
        </w:rPr>
        <w:t xml:space="preserve"> </w:t>
      </w:r>
      <w:r w:rsidR="00D71D04" w:rsidRPr="00D71D04">
        <w:rPr>
          <w:rFonts w:ascii="Times New Roman" w:eastAsia="Times New Roman" w:hAnsi="Times New Roman" w:cs="Times New Roman"/>
          <w:b/>
          <w:i w:val="0"/>
          <w:color w:val="000000"/>
          <w:sz w:val="24"/>
          <w:szCs w:val="24"/>
        </w:rPr>
        <w:t>Descriptive</w:t>
      </w:r>
      <w:proofErr w:type="gramEnd"/>
      <w:r w:rsidR="00D71D04" w:rsidRPr="00D71D04">
        <w:rPr>
          <w:rFonts w:ascii="Times New Roman" w:eastAsia="Times New Roman" w:hAnsi="Times New Roman" w:cs="Times New Roman"/>
          <w:b/>
          <w:i w:val="0"/>
          <w:color w:val="000000"/>
          <w:sz w:val="24"/>
          <w:szCs w:val="24"/>
        </w:rPr>
        <w:t xml:space="preserve"> </w:t>
      </w:r>
      <w:proofErr w:type="gramStart"/>
      <w:r w:rsidR="00D71D04" w:rsidRPr="00D71D04">
        <w:rPr>
          <w:rFonts w:ascii="Times New Roman" w:eastAsia="Times New Roman" w:hAnsi="Times New Roman" w:cs="Times New Roman"/>
          <w:b/>
          <w:i w:val="0"/>
          <w:color w:val="000000"/>
          <w:sz w:val="24"/>
          <w:szCs w:val="24"/>
        </w:rPr>
        <w:t>Statistical  Analysis</w:t>
      </w:r>
      <w:proofErr w:type="gramEnd"/>
      <w:r w:rsidR="00D71D04" w:rsidRPr="00D71D04">
        <w:rPr>
          <w:rFonts w:ascii="Times New Roman" w:eastAsia="Times New Roman" w:hAnsi="Times New Roman" w:cs="Times New Roman"/>
          <w:b/>
          <w:i w:val="0"/>
          <w:color w:val="000000"/>
          <w:sz w:val="24"/>
          <w:szCs w:val="24"/>
        </w:rPr>
        <w:t xml:space="preserve"> of </w:t>
      </w:r>
      <w:r w:rsidR="00D71D04" w:rsidRPr="00D71D04">
        <w:rPr>
          <w:rFonts w:ascii="Times New Roman" w:hAnsi="Times New Roman" w:cs="Times New Roman"/>
          <w:b/>
          <w:bCs/>
          <w:i w:val="0"/>
          <w:color w:val="000000" w:themeColor="text1"/>
          <w:sz w:val="24"/>
          <w:szCs w:val="24"/>
        </w:rPr>
        <w:t>Trading Volume Activity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456"/>
        <w:gridCol w:w="1116"/>
        <w:gridCol w:w="1203"/>
        <w:gridCol w:w="2139"/>
        <w:gridCol w:w="1842"/>
      </w:tblGrid>
      <w:tr w:rsidR="00CB6130" w:rsidRPr="00CB6130" w14:paraId="15E0ADB5" w14:textId="77777777" w:rsidTr="00D71D04">
        <w:trPr>
          <w:trHeight w:val="864"/>
          <w:jc w:val="center"/>
        </w:trPr>
        <w:tc>
          <w:tcPr>
            <w:tcW w:w="1177" w:type="dxa"/>
            <w:vAlign w:val="center"/>
            <w:hideMark/>
          </w:tcPr>
          <w:p w14:paraId="0C489326" w14:textId="77777777" w:rsidR="00CB6130" w:rsidRPr="00CB6130" w:rsidRDefault="00CB6130" w:rsidP="00AB5651">
            <w:pPr>
              <w:spacing w:line="240" w:lineRule="auto"/>
              <w:rPr>
                <w:rFonts w:ascii="Times New Roman" w:eastAsia="Times New Roman" w:hAnsi="Times New Roman" w:cs="Times New Roman"/>
                <w:b/>
                <w:bCs/>
                <w:i w:val="0"/>
                <w:color w:val="000000"/>
                <w:sz w:val="24"/>
                <w:szCs w:val="24"/>
                <w:lang w:val="en-ID"/>
              </w:rPr>
            </w:pPr>
            <w:proofErr w:type="spellStart"/>
            <w:r w:rsidRPr="00CB6130">
              <w:rPr>
                <w:rFonts w:ascii="Times New Roman" w:eastAsia="Times New Roman" w:hAnsi="Times New Roman" w:cs="Times New Roman"/>
                <w:b/>
                <w:bCs/>
                <w:i w:val="0"/>
                <w:color w:val="000000"/>
                <w:sz w:val="24"/>
                <w:szCs w:val="24"/>
                <w:lang w:val="en-ID"/>
              </w:rPr>
              <w:t>Periode</w:t>
            </w:r>
            <w:proofErr w:type="spellEnd"/>
          </w:p>
        </w:tc>
        <w:tc>
          <w:tcPr>
            <w:tcW w:w="456" w:type="dxa"/>
            <w:vAlign w:val="center"/>
            <w:hideMark/>
          </w:tcPr>
          <w:p w14:paraId="5741C8D5" w14:textId="77777777" w:rsidR="00CB6130" w:rsidRPr="00CB6130" w:rsidRDefault="00CB6130" w:rsidP="00AB5651">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N</w:t>
            </w:r>
          </w:p>
        </w:tc>
        <w:tc>
          <w:tcPr>
            <w:tcW w:w="1116" w:type="dxa"/>
            <w:vAlign w:val="center"/>
            <w:hideMark/>
          </w:tcPr>
          <w:p w14:paraId="11C27DC8" w14:textId="77777777" w:rsidR="00CB6130" w:rsidRPr="00CB6130" w:rsidRDefault="00CB6130" w:rsidP="00AB5651">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Mean</w:t>
            </w:r>
          </w:p>
        </w:tc>
        <w:tc>
          <w:tcPr>
            <w:tcW w:w="1203" w:type="dxa"/>
            <w:vAlign w:val="center"/>
            <w:hideMark/>
          </w:tcPr>
          <w:p w14:paraId="6D60126F" w14:textId="77777777" w:rsidR="00CB6130" w:rsidRPr="00CB6130" w:rsidRDefault="00CB6130" w:rsidP="00AB5651">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Std. Deviation</w:t>
            </w:r>
          </w:p>
        </w:tc>
        <w:tc>
          <w:tcPr>
            <w:tcW w:w="2139" w:type="dxa"/>
            <w:vAlign w:val="center"/>
            <w:hideMark/>
          </w:tcPr>
          <w:p w14:paraId="19B00FAF" w14:textId="77777777" w:rsidR="00CB6130" w:rsidRPr="00CB6130" w:rsidRDefault="00CB6130" w:rsidP="00AB5651">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Std. Error Mean</w:t>
            </w:r>
          </w:p>
        </w:tc>
        <w:tc>
          <w:tcPr>
            <w:tcW w:w="1842" w:type="dxa"/>
          </w:tcPr>
          <w:p w14:paraId="12565AA9" w14:textId="4D8DD44C" w:rsidR="00CB6130" w:rsidRPr="00CB6130" w:rsidRDefault="00D71D04" w:rsidP="00AB5651">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iCs/>
                <w:sz w:val="24"/>
                <w:szCs w:val="24"/>
              </w:rPr>
              <w:t>Traded Shares</w:t>
            </w:r>
          </w:p>
        </w:tc>
      </w:tr>
      <w:tr w:rsidR="00CB6130" w:rsidRPr="00CB6130" w14:paraId="74CF6306" w14:textId="77777777" w:rsidTr="00D71D04">
        <w:trPr>
          <w:trHeight w:val="576"/>
          <w:jc w:val="center"/>
        </w:trPr>
        <w:tc>
          <w:tcPr>
            <w:tcW w:w="1177" w:type="dxa"/>
            <w:vAlign w:val="center"/>
            <w:hideMark/>
          </w:tcPr>
          <w:p w14:paraId="6774C7F3" w14:textId="77777777" w:rsidR="00CB6130" w:rsidRPr="00CB6130" w:rsidRDefault="00CB6130" w:rsidP="00AB5651">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Non-Windows</w:t>
            </w:r>
          </w:p>
        </w:tc>
        <w:tc>
          <w:tcPr>
            <w:tcW w:w="456" w:type="dxa"/>
            <w:vAlign w:val="center"/>
            <w:hideMark/>
          </w:tcPr>
          <w:p w14:paraId="0627B542"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3C6161BE"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0.002673</w:t>
            </w:r>
          </w:p>
        </w:tc>
        <w:tc>
          <w:tcPr>
            <w:tcW w:w="1203" w:type="dxa"/>
            <w:vAlign w:val="center"/>
            <w:hideMark/>
          </w:tcPr>
          <w:p w14:paraId="7EEF9BC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0.010115</w:t>
            </w:r>
          </w:p>
        </w:tc>
        <w:tc>
          <w:tcPr>
            <w:tcW w:w="2139" w:type="dxa"/>
            <w:vAlign w:val="center"/>
            <w:hideMark/>
          </w:tcPr>
          <w:p w14:paraId="4937EE65"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0.001209</w:t>
            </w:r>
          </w:p>
        </w:tc>
        <w:tc>
          <w:tcPr>
            <w:tcW w:w="1842" w:type="dxa"/>
            <w:vAlign w:val="bottom"/>
          </w:tcPr>
          <w:p w14:paraId="01C16F1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156110459</w:t>
            </w:r>
          </w:p>
        </w:tc>
      </w:tr>
      <w:tr w:rsidR="00CB6130" w:rsidRPr="00CB6130" w14:paraId="7C8F7D88" w14:textId="77777777" w:rsidTr="00D71D04">
        <w:trPr>
          <w:trHeight w:val="288"/>
          <w:jc w:val="center"/>
        </w:trPr>
        <w:tc>
          <w:tcPr>
            <w:tcW w:w="1177" w:type="dxa"/>
            <w:vAlign w:val="center"/>
            <w:hideMark/>
          </w:tcPr>
          <w:p w14:paraId="5316DAB0"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456" w:type="dxa"/>
            <w:vAlign w:val="center"/>
            <w:hideMark/>
          </w:tcPr>
          <w:p w14:paraId="2ED065EF"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0BE34D0E"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0.001382</w:t>
            </w:r>
          </w:p>
        </w:tc>
        <w:tc>
          <w:tcPr>
            <w:tcW w:w="1203" w:type="dxa"/>
            <w:vAlign w:val="center"/>
            <w:hideMark/>
          </w:tcPr>
          <w:p w14:paraId="2A0FD3A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0.003463</w:t>
            </w:r>
          </w:p>
        </w:tc>
        <w:tc>
          <w:tcPr>
            <w:tcW w:w="2139" w:type="dxa"/>
            <w:vAlign w:val="center"/>
            <w:hideMark/>
          </w:tcPr>
          <w:p w14:paraId="3C375EA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0.000414</w:t>
            </w:r>
          </w:p>
        </w:tc>
        <w:tc>
          <w:tcPr>
            <w:tcW w:w="1842" w:type="dxa"/>
            <w:vAlign w:val="bottom"/>
          </w:tcPr>
          <w:p w14:paraId="3337BE62"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124616908.5</w:t>
            </w:r>
          </w:p>
        </w:tc>
      </w:tr>
      <w:tr w:rsidR="00CB6130" w:rsidRPr="00CB6130" w14:paraId="653EA2F5" w14:textId="77777777" w:rsidTr="00D71D04">
        <w:trPr>
          <w:trHeight w:val="288"/>
          <w:jc w:val="center"/>
        </w:trPr>
        <w:tc>
          <w:tcPr>
            <w:tcW w:w="1177" w:type="dxa"/>
            <w:vAlign w:val="center"/>
            <w:hideMark/>
          </w:tcPr>
          <w:p w14:paraId="27CFB2A2"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456" w:type="dxa"/>
            <w:vAlign w:val="center"/>
            <w:hideMark/>
          </w:tcPr>
          <w:p w14:paraId="6604BDCD"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5EF25037"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0.002315</w:t>
            </w:r>
          </w:p>
        </w:tc>
        <w:tc>
          <w:tcPr>
            <w:tcW w:w="1203" w:type="dxa"/>
            <w:vAlign w:val="center"/>
            <w:hideMark/>
          </w:tcPr>
          <w:p w14:paraId="10FC39A8"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0.008511</w:t>
            </w:r>
          </w:p>
        </w:tc>
        <w:tc>
          <w:tcPr>
            <w:tcW w:w="2139" w:type="dxa"/>
            <w:vAlign w:val="center"/>
            <w:hideMark/>
          </w:tcPr>
          <w:p w14:paraId="373C962F"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0.001017</w:t>
            </w:r>
          </w:p>
        </w:tc>
        <w:tc>
          <w:tcPr>
            <w:tcW w:w="1842" w:type="dxa"/>
            <w:vAlign w:val="bottom"/>
          </w:tcPr>
          <w:p w14:paraId="2A5A4CB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127045930.8</w:t>
            </w:r>
          </w:p>
        </w:tc>
      </w:tr>
      <w:tr w:rsidR="00CB6130" w:rsidRPr="00CB6130" w14:paraId="659505A2" w14:textId="77777777" w:rsidTr="00D71D04">
        <w:trPr>
          <w:trHeight w:val="288"/>
          <w:jc w:val="center"/>
        </w:trPr>
        <w:tc>
          <w:tcPr>
            <w:tcW w:w="1177" w:type="dxa"/>
            <w:vAlign w:val="center"/>
            <w:hideMark/>
          </w:tcPr>
          <w:p w14:paraId="2EFE88F7"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456" w:type="dxa"/>
            <w:vAlign w:val="center"/>
            <w:hideMark/>
          </w:tcPr>
          <w:p w14:paraId="75D93E2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2A323084"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0.001869</w:t>
            </w:r>
          </w:p>
        </w:tc>
        <w:tc>
          <w:tcPr>
            <w:tcW w:w="1203" w:type="dxa"/>
            <w:vAlign w:val="center"/>
            <w:hideMark/>
          </w:tcPr>
          <w:p w14:paraId="627C0367"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0.004668</w:t>
            </w:r>
          </w:p>
        </w:tc>
        <w:tc>
          <w:tcPr>
            <w:tcW w:w="2139" w:type="dxa"/>
            <w:vAlign w:val="center"/>
            <w:hideMark/>
          </w:tcPr>
          <w:p w14:paraId="4A9B8340"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0.000558</w:t>
            </w:r>
          </w:p>
        </w:tc>
        <w:tc>
          <w:tcPr>
            <w:tcW w:w="1842" w:type="dxa"/>
            <w:vAlign w:val="bottom"/>
          </w:tcPr>
          <w:p w14:paraId="4B06F941"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106613458</w:t>
            </w:r>
          </w:p>
        </w:tc>
      </w:tr>
      <w:tr w:rsidR="00CB6130" w:rsidRPr="00CB6130" w14:paraId="50BBD71F" w14:textId="77777777" w:rsidTr="00D71D04">
        <w:trPr>
          <w:trHeight w:val="288"/>
          <w:jc w:val="center"/>
        </w:trPr>
        <w:tc>
          <w:tcPr>
            <w:tcW w:w="1177" w:type="dxa"/>
            <w:vAlign w:val="center"/>
            <w:hideMark/>
          </w:tcPr>
          <w:p w14:paraId="2105FB95"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456" w:type="dxa"/>
            <w:vAlign w:val="center"/>
            <w:hideMark/>
          </w:tcPr>
          <w:p w14:paraId="7D9153E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4B4C976A"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0.001675</w:t>
            </w:r>
          </w:p>
        </w:tc>
        <w:tc>
          <w:tcPr>
            <w:tcW w:w="1203" w:type="dxa"/>
            <w:vAlign w:val="center"/>
            <w:hideMark/>
          </w:tcPr>
          <w:p w14:paraId="545996E5"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0.005041</w:t>
            </w:r>
          </w:p>
        </w:tc>
        <w:tc>
          <w:tcPr>
            <w:tcW w:w="2139" w:type="dxa"/>
            <w:vAlign w:val="center"/>
            <w:hideMark/>
          </w:tcPr>
          <w:p w14:paraId="0BFEC3C9"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0.000603</w:t>
            </w:r>
          </w:p>
        </w:tc>
        <w:tc>
          <w:tcPr>
            <w:tcW w:w="1842" w:type="dxa"/>
            <w:vAlign w:val="bottom"/>
          </w:tcPr>
          <w:p w14:paraId="47A99B69"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100179398.4</w:t>
            </w:r>
          </w:p>
        </w:tc>
      </w:tr>
      <w:tr w:rsidR="00CB6130" w:rsidRPr="00CB6130" w14:paraId="10AFC34F" w14:textId="77777777" w:rsidTr="00D71D04">
        <w:trPr>
          <w:trHeight w:val="288"/>
          <w:jc w:val="center"/>
        </w:trPr>
        <w:tc>
          <w:tcPr>
            <w:tcW w:w="1177" w:type="dxa"/>
            <w:vAlign w:val="center"/>
            <w:hideMark/>
          </w:tcPr>
          <w:p w14:paraId="5138A125"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456" w:type="dxa"/>
            <w:vAlign w:val="center"/>
            <w:hideMark/>
          </w:tcPr>
          <w:p w14:paraId="048ADCF7"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5E4B9F02"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0.00437</w:t>
            </w:r>
          </w:p>
        </w:tc>
        <w:tc>
          <w:tcPr>
            <w:tcW w:w="1203" w:type="dxa"/>
            <w:vAlign w:val="center"/>
            <w:hideMark/>
          </w:tcPr>
          <w:p w14:paraId="1620012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0.02324</w:t>
            </w:r>
          </w:p>
        </w:tc>
        <w:tc>
          <w:tcPr>
            <w:tcW w:w="2139" w:type="dxa"/>
            <w:vAlign w:val="center"/>
            <w:hideMark/>
          </w:tcPr>
          <w:p w14:paraId="64D9A89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0.002778</w:t>
            </w:r>
          </w:p>
        </w:tc>
        <w:tc>
          <w:tcPr>
            <w:tcW w:w="1842" w:type="dxa"/>
            <w:vAlign w:val="bottom"/>
          </w:tcPr>
          <w:p w14:paraId="0D264849"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148088694</w:t>
            </w:r>
          </w:p>
        </w:tc>
      </w:tr>
      <w:tr w:rsidR="00CB6130" w:rsidRPr="00CB6130" w14:paraId="4BB53F3F" w14:textId="77777777" w:rsidTr="00D71D04">
        <w:trPr>
          <w:trHeight w:val="288"/>
          <w:jc w:val="center"/>
        </w:trPr>
        <w:tc>
          <w:tcPr>
            <w:tcW w:w="1177" w:type="dxa"/>
            <w:vAlign w:val="center"/>
            <w:hideMark/>
          </w:tcPr>
          <w:p w14:paraId="41E45650"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456" w:type="dxa"/>
            <w:vAlign w:val="center"/>
            <w:hideMark/>
          </w:tcPr>
          <w:p w14:paraId="6FCFFFC5"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19941810"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0.002486</w:t>
            </w:r>
          </w:p>
        </w:tc>
        <w:tc>
          <w:tcPr>
            <w:tcW w:w="1203" w:type="dxa"/>
            <w:vAlign w:val="center"/>
            <w:hideMark/>
          </w:tcPr>
          <w:p w14:paraId="616BDC14"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0.008241</w:t>
            </w:r>
          </w:p>
        </w:tc>
        <w:tc>
          <w:tcPr>
            <w:tcW w:w="2139" w:type="dxa"/>
            <w:vAlign w:val="center"/>
            <w:hideMark/>
          </w:tcPr>
          <w:p w14:paraId="01E6C2F0"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0.000985</w:t>
            </w:r>
          </w:p>
        </w:tc>
        <w:tc>
          <w:tcPr>
            <w:tcW w:w="1842" w:type="dxa"/>
            <w:vAlign w:val="bottom"/>
          </w:tcPr>
          <w:p w14:paraId="0CD1123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139227032.7</w:t>
            </w:r>
          </w:p>
        </w:tc>
      </w:tr>
      <w:tr w:rsidR="00CB6130" w:rsidRPr="00CB6130" w14:paraId="275324C4" w14:textId="77777777" w:rsidTr="00D71D04">
        <w:trPr>
          <w:trHeight w:val="288"/>
          <w:jc w:val="center"/>
        </w:trPr>
        <w:tc>
          <w:tcPr>
            <w:tcW w:w="1177" w:type="dxa"/>
            <w:vAlign w:val="center"/>
            <w:hideMark/>
          </w:tcPr>
          <w:p w14:paraId="03482E3F"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456" w:type="dxa"/>
            <w:vAlign w:val="center"/>
            <w:hideMark/>
          </w:tcPr>
          <w:p w14:paraId="0322CD54"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692BC9F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0.001811</w:t>
            </w:r>
          </w:p>
        </w:tc>
        <w:tc>
          <w:tcPr>
            <w:tcW w:w="1203" w:type="dxa"/>
            <w:vAlign w:val="center"/>
            <w:hideMark/>
          </w:tcPr>
          <w:p w14:paraId="4FEFC6EA"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0.003961</w:t>
            </w:r>
          </w:p>
        </w:tc>
        <w:tc>
          <w:tcPr>
            <w:tcW w:w="2139" w:type="dxa"/>
            <w:vAlign w:val="center"/>
            <w:hideMark/>
          </w:tcPr>
          <w:p w14:paraId="3CAEEE6D"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0.000473</w:t>
            </w:r>
          </w:p>
        </w:tc>
        <w:tc>
          <w:tcPr>
            <w:tcW w:w="1842" w:type="dxa"/>
            <w:vAlign w:val="bottom"/>
          </w:tcPr>
          <w:p w14:paraId="1DFDA943"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133787597.9</w:t>
            </w:r>
          </w:p>
        </w:tc>
      </w:tr>
      <w:tr w:rsidR="00CB6130" w:rsidRPr="00CB6130" w14:paraId="3C98178D" w14:textId="77777777" w:rsidTr="00D71D04">
        <w:trPr>
          <w:trHeight w:val="288"/>
          <w:jc w:val="center"/>
        </w:trPr>
        <w:tc>
          <w:tcPr>
            <w:tcW w:w="1177" w:type="dxa"/>
            <w:vAlign w:val="center"/>
            <w:hideMark/>
          </w:tcPr>
          <w:p w14:paraId="3BB63A3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456" w:type="dxa"/>
            <w:vAlign w:val="center"/>
            <w:hideMark/>
          </w:tcPr>
          <w:p w14:paraId="58E4F121"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620356F4"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0.002482</w:t>
            </w:r>
          </w:p>
        </w:tc>
        <w:tc>
          <w:tcPr>
            <w:tcW w:w="1203" w:type="dxa"/>
            <w:vAlign w:val="center"/>
            <w:hideMark/>
          </w:tcPr>
          <w:p w14:paraId="352BB1E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0.009287</w:t>
            </w:r>
          </w:p>
        </w:tc>
        <w:tc>
          <w:tcPr>
            <w:tcW w:w="2139" w:type="dxa"/>
            <w:vAlign w:val="center"/>
            <w:hideMark/>
          </w:tcPr>
          <w:p w14:paraId="6855780F"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0.00111</w:t>
            </w:r>
          </w:p>
        </w:tc>
        <w:tc>
          <w:tcPr>
            <w:tcW w:w="1842" w:type="dxa"/>
            <w:vAlign w:val="bottom"/>
          </w:tcPr>
          <w:p w14:paraId="31EBC2A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108532814.8</w:t>
            </w:r>
          </w:p>
        </w:tc>
      </w:tr>
      <w:tr w:rsidR="00CB6130" w:rsidRPr="00CB6130" w14:paraId="3A52C8D7" w14:textId="77777777" w:rsidTr="00D71D04">
        <w:trPr>
          <w:trHeight w:val="288"/>
          <w:jc w:val="center"/>
        </w:trPr>
        <w:tc>
          <w:tcPr>
            <w:tcW w:w="1177" w:type="dxa"/>
            <w:vAlign w:val="center"/>
            <w:hideMark/>
          </w:tcPr>
          <w:p w14:paraId="31CC589C"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456" w:type="dxa"/>
            <w:vAlign w:val="center"/>
            <w:hideMark/>
          </w:tcPr>
          <w:p w14:paraId="07703117"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7617FFB7"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0.001562</w:t>
            </w:r>
          </w:p>
        </w:tc>
        <w:tc>
          <w:tcPr>
            <w:tcW w:w="1203" w:type="dxa"/>
            <w:vAlign w:val="center"/>
            <w:hideMark/>
          </w:tcPr>
          <w:p w14:paraId="11BA10CF"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0.00306</w:t>
            </w:r>
          </w:p>
        </w:tc>
        <w:tc>
          <w:tcPr>
            <w:tcW w:w="2139" w:type="dxa"/>
            <w:vAlign w:val="center"/>
            <w:hideMark/>
          </w:tcPr>
          <w:p w14:paraId="2A239C75"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0.000366</w:t>
            </w:r>
          </w:p>
        </w:tc>
        <w:tc>
          <w:tcPr>
            <w:tcW w:w="1842" w:type="dxa"/>
            <w:vAlign w:val="bottom"/>
          </w:tcPr>
          <w:p w14:paraId="33360461"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116109198</w:t>
            </w:r>
          </w:p>
        </w:tc>
      </w:tr>
      <w:tr w:rsidR="00CB6130" w:rsidRPr="00CB6130" w14:paraId="29C1F06B" w14:textId="77777777" w:rsidTr="00D71D04">
        <w:trPr>
          <w:trHeight w:val="288"/>
          <w:jc w:val="center"/>
        </w:trPr>
        <w:tc>
          <w:tcPr>
            <w:tcW w:w="1177" w:type="dxa"/>
            <w:vAlign w:val="center"/>
            <w:hideMark/>
          </w:tcPr>
          <w:p w14:paraId="14EFC483"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456" w:type="dxa"/>
            <w:vAlign w:val="center"/>
            <w:hideMark/>
          </w:tcPr>
          <w:p w14:paraId="4D52985A"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70</w:t>
            </w:r>
          </w:p>
        </w:tc>
        <w:tc>
          <w:tcPr>
            <w:tcW w:w="1116" w:type="dxa"/>
            <w:vAlign w:val="center"/>
            <w:hideMark/>
          </w:tcPr>
          <w:p w14:paraId="74AB8876"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0.001617</w:t>
            </w:r>
          </w:p>
        </w:tc>
        <w:tc>
          <w:tcPr>
            <w:tcW w:w="1203" w:type="dxa"/>
            <w:vAlign w:val="center"/>
            <w:hideMark/>
          </w:tcPr>
          <w:p w14:paraId="739F19EA" w14:textId="77777777" w:rsidR="00CB6130" w:rsidRPr="00CB6130" w:rsidRDefault="00CB6130" w:rsidP="00AB5651">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0.003673</w:t>
            </w:r>
          </w:p>
        </w:tc>
        <w:tc>
          <w:tcPr>
            <w:tcW w:w="2139" w:type="dxa"/>
            <w:vAlign w:val="center"/>
            <w:hideMark/>
          </w:tcPr>
          <w:p w14:paraId="39B21A5F" w14:textId="77777777" w:rsidR="00CB6130" w:rsidRPr="00CB6130" w:rsidRDefault="00CB6130" w:rsidP="00AB5651">
            <w:pPr>
              <w:keepNext/>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0.000439</w:t>
            </w:r>
          </w:p>
        </w:tc>
        <w:tc>
          <w:tcPr>
            <w:tcW w:w="1842" w:type="dxa"/>
            <w:vAlign w:val="bottom"/>
          </w:tcPr>
          <w:p w14:paraId="00AA8BCD" w14:textId="77777777" w:rsidR="00CB6130" w:rsidRPr="00CB6130" w:rsidRDefault="00CB6130" w:rsidP="00AB5651">
            <w:pPr>
              <w:keepNext/>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rPr>
              <w:t>103383553</w:t>
            </w:r>
          </w:p>
        </w:tc>
      </w:tr>
    </w:tbl>
    <w:p w14:paraId="15B382A7" w14:textId="32DB2822" w:rsidR="00CB6130" w:rsidRPr="00CB6130" w:rsidRDefault="00D71D04"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r>
        <w:rPr>
          <w:rFonts w:ascii="Times New Roman" w:eastAsia="Times New Roman" w:hAnsi="Times New Roman" w:cs="Times New Roman"/>
          <w:i w:val="0"/>
          <w:color w:val="000000"/>
          <w:sz w:val="24"/>
          <w:szCs w:val="24"/>
          <w:lang w:val="en-ID"/>
        </w:rPr>
        <w:t xml:space="preserve">         </w:t>
      </w:r>
      <w:r w:rsidRPr="00C91714">
        <w:rPr>
          <w:rFonts w:ascii="Times New Roman" w:eastAsia="Times New Roman" w:hAnsi="Times New Roman" w:cs="Times New Roman"/>
          <w:i w:val="0"/>
        </w:rPr>
        <w:t>Source: Data Processed SPSS 22</w:t>
      </w:r>
    </w:p>
    <w:p w14:paraId="0371E69C" w14:textId="77777777" w:rsidR="00CB6130" w:rsidRDefault="00CB6130"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7ED2A84D" w14:textId="589FEEED" w:rsidR="00D71D04" w:rsidRDefault="00D71D04" w:rsidP="00B617F8">
      <w:pPr>
        <w:pBdr>
          <w:top w:val="nil"/>
          <w:left w:val="nil"/>
          <w:bottom w:val="nil"/>
          <w:right w:val="nil"/>
          <w:between w:val="nil"/>
        </w:pBdr>
        <w:spacing w:after="0" w:line="240" w:lineRule="auto"/>
        <w:ind w:firstLine="426"/>
        <w:jc w:val="both"/>
        <w:rPr>
          <w:rFonts w:ascii="Times New Roman" w:eastAsia="Times New Roman" w:hAnsi="Times New Roman" w:cs="Times New Roman"/>
          <w:i w:val="0"/>
          <w:iCs/>
          <w:color w:val="000000"/>
          <w:sz w:val="24"/>
          <w:szCs w:val="24"/>
        </w:rPr>
      </w:pPr>
      <w:r w:rsidRPr="00D71D04">
        <w:rPr>
          <w:rFonts w:ascii="Times New Roman" w:eastAsia="Times New Roman" w:hAnsi="Times New Roman" w:cs="Times New Roman"/>
          <w:i w:val="0"/>
          <w:iCs/>
          <w:color w:val="000000"/>
          <w:sz w:val="24"/>
          <w:szCs w:val="24"/>
        </w:rPr>
        <w:t>Descriptive analysis of Trading Volume Activity (TVA) during the Eid al-Adha event window (2018–2022) shows that average TVA and traded stock volumes were generally lower compared to the non-event period. TVA values ranged steadily from 0.001 to 0.004, with smaller standard deviations. Traded stock volumes during H−5 to H+5 were also lower, such as 124 million shares on H−5 compared to 156 million during the non-event period. This indicates that the Eid al-Adha event did not trigger a significant increase in trading activity.</w:t>
      </w:r>
    </w:p>
    <w:p w14:paraId="62E9DA97" w14:textId="77777777" w:rsidR="00B617F8" w:rsidRPr="00B617F8" w:rsidRDefault="00B617F8" w:rsidP="00B617F8">
      <w:pPr>
        <w:pBdr>
          <w:top w:val="nil"/>
          <w:left w:val="nil"/>
          <w:bottom w:val="nil"/>
          <w:right w:val="nil"/>
          <w:between w:val="nil"/>
        </w:pBdr>
        <w:spacing w:after="0" w:line="240" w:lineRule="auto"/>
        <w:ind w:firstLine="426"/>
        <w:jc w:val="both"/>
        <w:rPr>
          <w:rFonts w:ascii="Times New Roman" w:eastAsia="Times New Roman" w:hAnsi="Times New Roman" w:cs="Times New Roman"/>
          <w:i w:val="0"/>
          <w:iCs/>
          <w:color w:val="000000"/>
          <w:sz w:val="24"/>
          <w:szCs w:val="24"/>
        </w:rPr>
      </w:pPr>
    </w:p>
    <w:p w14:paraId="35E7DE75" w14:textId="69FFD87C" w:rsidR="00B617F8" w:rsidRDefault="00B617F8" w:rsidP="00CB6130">
      <w:pPr>
        <w:pBdr>
          <w:top w:val="nil"/>
          <w:left w:val="nil"/>
          <w:bottom w:val="nil"/>
          <w:right w:val="nil"/>
          <w:between w:val="nil"/>
        </w:pBdr>
        <w:spacing w:after="0" w:line="240" w:lineRule="auto"/>
        <w:rPr>
          <w:rFonts w:ascii="Times New Roman" w:eastAsia="Times New Roman" w:hAnsi="Times New Roman" w:cs="Times New Roman"/>
          <w:b/>
          <w:bCs/>
          <w:i w:val="0"/>
          <w:iCs/>
          <w:color w:val="000000"/>
          <w:sz w:val="24"/>
          <w:szCs w:val="24"/>
        </w:rPr>
      </w:pPr>
      <w:r w:rsidRPr="00B617F8">
        <w:rPr>
          <w:rFonts w:ascii="Times New Roman" w:eastAsia="Times New Roman" w:hAnsi="Times New Roman" w:cs="Times New Roman"/>
          <w:b/>
          <w:bCs/>
          <w:i w:val="0"/>
          <w:iCs/>
          <w:color w:val="000000"/>
          <w:sz w:val="24"/>
          <w:szCs w:val="24"/>
        </w:rPr>
        <w:t>Results of Significance Testing</w:t>
      </w:r>
    </w:p>
    <w:p w14:paraId="6CB3866D"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b/>
          <w:bCs/>
          <w:i w:val="0"/>
          <w:iCs/>
          <w:color w:val="000000"/>
          <w:sz w:val="24"/>
          <w:szCs w:val="24"/>
        </w:rPr>
      </w:pPr>
    </w:p>
    <w:p w14:paraId="015C36C6" w14:textId="77777777" w:rsidR="00C707CA" w:rsidRDefault="00C707CA" w:rsidP="00C707CA">
      <w:pPr>
        <w:pBdr>
          <w:top w:val="nil"/>
          <w:left w:val="nil"/>
          <w:bottom w:val="nil"/>
          <w:right w:val="nil"/>
          <w:between w:val="nil"/>
        </w:pBdr>
        <w:spacing w:after="0" w:line="240" w:lineRule="auto"/>
        <w:jc w:val="center"/>
        <w:rPr>
          <w:rFonts w:ascii="Times New Roman" w:hAnsi="Times New Roman" w:cs="Times New Roman"/>
          <w:b/>
          <w:bCs/>
          <w:i w:val="0"/>
          <w:color w:val="000000" w:themeColor="text1"/>
          <w:sz w:val="24"/>
          <w:szCs w:val="24"/>
        </w:rPr>
      </w:pPr>
      <w:r w:rsidRPr="00C707CA">
        <w:rPr>
          <w:rFonts w:ascii="Times New Roman" w:hAnsi="Times New Roman" w:cs="Times New Roman"/>
          <w:b/>
          <w:bCs/>
          <w:i w:val="0"/>
          <w:color w:val="000000" w:themeColor="text1"/>
          <w:sz w:val="24"/>
          <w:szCs w:val="24"/>
        </w:rPr>
        <w:t>Table 5. Results of Significance Test for Abnormal Return during</w:t>
      </w:r>
    </w:p>
    <w:p w14:paraId="18B2524A" w14:textId="742D1A70" w:rsidR="0002238B" w:rsidRPr="0002238B" w:rsidRDefault="00C707CA" w:rsidP="00C707CA">
      <w:pPr>
        <w:pBdr>
          <w:top w:val="nil"/>
          <w:left w:val="nil"/>
          <w:bottom w:val="nil"/>
          <w:right w:val="nil"/>
          <w:between w:val="nil"/>
        </w:pBdr>
        <w:spacing w:line="240" w:lineRule="auto"/>
        <w:jc w:val="center"/>
        <w:rPr>
          <w:rFonts w:ascii="Times New Roman" w:eastAsia="Times New Roman" w:hAnsi="Times New Roman" w:cs="Times New Roman"/>
          <w:b/>
          <w:bCs/>
          <w:i w:val="0"/>
          <w:iCs/>
          <w:color w:val="000000"/>
          <w:sz w:val="24"/>
          <w:szCs w:val="24"/>
        </w:rPr>
      </w:pPr>
      <w:r w:rsidRPr="00C707CA">
        <w:rPr>
          <w:rFonts w:ascii="Times New Roman" w:hAnsi="Times New Roman" w:cs="Times New Roman"/>
          <w:b/>
          <w:bCs/>
          <w:i w:val="0"/>
          <w:color w:val="000000" w:themeColor="text1"/>
          <w:sz w:val="24"/>
          <w:szCs w:val="24"/>
        </w:rPr>
        <w:t xml:space="preserve"> Eid al-Fitr and Eid al-Adha Events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596"/>
        <w:gridCol w:w="1723"/>
        <w:gridCol w:w="1596"/>
        <w:gridCol w:w="1806"/>
      </w:tblGrid>
      <w:tr w:rsidR="00B617F8" w:rsidRPr="00CB6130" w14:paraId="72736F8E" w14:textId="1D29D526" w:rsidTr="00B617F8">
        <w:trPr>
          <w:trHeight w:val="864"/>
          <w:jc w:val="center"/>
        </w:trPr>
        <w:tc>
          <w:tcPr>
            <w:tcW w:w="645" w:type="dxa"/>
            <w:vAlign w:val="center"/>
          </w:tcPr>
          <w:p w14:paraId="1D647A21" w14:textId="349B6272" w:rsidR="00B617F8" w:rsidRPr="00CB6130" w:rsidRDefault="00B617F8" w:rsidP="00B617F8">
            <w:pPr>
              <w:spacing w:after="0" w:line="240" w:lineRule="auto"/>
              <w:jc w:val="center"/>
              <w:rPr>
                <w:rFonts w:ascii="Times New Roman" w:eastAsia="Times New Roman" w:hAnsi="Times New Roman" w:cs="Times New Roman"/>
                <w:b/>
                <w:bCs/>
                <w:i w:val="0"/>
                <w:color w:val="000000"/>
                <w:sz w:val="24"/>
                <w:szCs w:val="24"/>
                <w:lang w:val="en-ID"/>
              </w:rPr>
            </w:pPr>
          </w:p>
        </w:tc>
        <w:tc>
          <w:tcPr>
            <w:tcW w:w="3319" w:type="dxa"/>
            <w:gridSpan w:val="2"/>
            <w:vAlign w:val="center"/>
          </w:tcPr>
          <w:p w14:paraId="5B5F4F56" w14:textId="15C7F189" w:rsidR="00B617F8" w:rsidRPr="00B617F8" w:rsidRDefault="00B617F8" w:rsidP="00B617F8">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D71D04">
              <w:rPr>
                <w:rFonts w:ascii="Times New Roman" w:eastAsia="Times New Roman" w:hAnsi="Times New Roman" w:cs="Times New Roman"/>
                <w:b/>
                <w:bCs/>
                <w:i w:val="0"/>
                <w:color w:val="000000"/>
                <w:sz w:val="24"/>
                <w:szCs w:val="24"/>
              </w:rPr>
              <w:t xml:space="preserve">Eid al-Fitr </w:t>
            </w:r>
            <w:r>
              <w:rPr>
                <w:rFonts w:ascii="Times New Roman" w:eastAsia="Times New Roman" w:hAnsi="Times New Roman" w:cs="Times New Roman"/>
                <w:b/>
                <w:bCs/>
                <w:i w:val="0"/>
                <w:color w:val="000000"/>
                <w:sz w:val="24"/>
                <w:szCs w:val="24"/>
              </w:rPr>
              <w:t>E</w:t>
            </w:r>
            <w:r w:rsidRPr="00D71D04">
              <w:rPr>
                <w:rFonts w:ascii="Times New Roman" w:eastAsia="Times New Roman" w:hAnsi="Times New Roman" w:cs="Times New Roman"/>
                <w:b/>
                <w:bCs/>
                <w:i w:val="0"/>
                <w:color w:val="000000"/>
                <w:sz w:val="24"/>
                <w:szCs w:val="24"/>
              </w:rPr>
              <w:t>vent</w:t>
            </w:r>
          </w:p>
        </w:tc>
        <w:tc>
          <w:tcPr>
            <w:tcW w:w="3402" w:type="dxa"/>
            <w:gridSpan w:val="2"/>
            <w:vAlign w:val="bottom"/>
          </w:tcPr>
          <w:p w14:paraId="257C3BF2" w14:textId="77777777" w:rsidR="00B617F8" w:rsidRDefault="00B617F8" w:rsidP="00B617F8">
            <w:pPr>
              <w:pBdr>
                <w:top w:val="nil"/>
                <w:left w:val="nil"/>
                <w:bottom w:val="nil"/>
                <w:right w:val="nil"/>
                <w:between w:val="nil"/>
              </w:pBdr>
              <w:spacing w:after="0" w:line="240" w:lineRule="auto"/>
              <w:jc w:val="center"/>
              <w:rPr>
                <w:rFonts w:ascii="Times New Roman" w:hAnsi="Times New Roman" w:cs="Times New Roman"/>
                <w:b/>
                <w:bCs/>
                <w:i w:val="0"/>
                <w:color w:val="000000" w:themeColor="text1"/>
                <w:sz w:val="24"/>
                <w:szCs w:val="24"/>
              </w:rPr>
            </w:pPr>
            <w:r w:rsidRPr="00D71D04">
              <w:rPr>
                <w:rFonts w:ascii="Times New Roman" w:hAnsi="Times New Roman" w:cs="Times New Roman"/>
                <w:b/>
                <w:bCs/>
                <w:i w:val="0"/>
                <w:color w:val="000000" w:themeColor="text1"/>
                <w:sz w:val="24"/>
                <w:szCs w:val="24"/>
              </w:rPr>
              <w:t xml:space="preserve">Eid al-Adha </w:t>
            </w:r>
            <w:r>
              <w:rPr>
                <w:rFonts w:ascii="Times New Roman" w:hAnsi="Times New Roman" w:cs="Times New Roman"/>
                <w:b/>
                <w:bCs/>
                <w:i w:val="0"/>
                <w:color w:val="000000" w:themeColor="text1"/>
                <w:sz w:val="24"/>
                <w:szCs w:val="24"/>
              </w:rPr>
              <w:t>E</w:t>
            </w:r>
            <w:r w:rsidRPr="00D71D04">
              <w:rPr>
                <w:rFonts w:ascii="Times New Roman" w:hAnsi="Times New Roman" w:cs="Times New Roman"/>
                <w:b/>
                <w:bCs/>
                <w:i w:val="0"/>
                <w:color w:val="000000" w:themeColor="text1"/>
                <w:sz w:val="24"/>
                <w:szCs w:val="24"/>
              </w:rPr>
              <w:t>vent</w:t>
            </w:r>
          </w:p>
          <w:p w14:paraId="05D616A0" w14:textId="29CF4B0B" w:rsidR="00B617F8" w:rsidRPr="00CB6130" w:rsidRDefault="00B617F8" w:rsidP="00B617F8">
            <w:pPr>
              <w:spacing w:after="0" w:line="240" w:lineRule="auto"/>
              <w:rPr>
                <w:rFonts w:ascii="Times New Roman" w:eastAsia="Times New Roman" w:hAnsi="Times New Roman" w:cs="Times New Roman"/>
                <w:b/>
                <w:bCs/>
                <w:i w:val="0"/>
                <w:color w:val="000000"/>
                <w:sz w:val="24"/>
                <w:szCs w:val="24"/>
                <w:lang w:val="en-ID"/>
              </w:rPr>
            </w:pPr>
          </w:p>
        </w:tc>
      </w:tr>
      <w:tr w:rsidR="00B617F8" w:rsidRPr="00CB6130" w14:paraId="3A06BCB1" w14:textId="77777777" w:rsidTr="00B617F8">
        <w:trPr>
          <w:trHeight w:val="864"/>
          <w:jc w:val="center"/>
        </w:trPr>
        <w:tc>
          <w:tcPr>
            <w:tcW w:w="645" w:type="dxa"/>
            <w:vAlign w:val="center"/>
          </w:tcPr>
          <w:p w14:paraId="1DFBC9F4" w14:textId="232904A4" w:rsidR="00B617F8" w:rsidRDefault="00B617F8" w:rsidP="00B617F8">
            <w:pPr>
              <w:spacing w:line="240" w:lineRule="auto"/>
              <w:jc w:val="center"/>
              <w:rPr>
                <w:rFonts w:ascii="Times New Roman" w:eastAsia="Times New Roman" w:hAnsi="Times New Roman" w:cs="Times New Roman"/>
                <w:b/>
                <w:bCs/>
                <w:i w:val="0"/>
                <w:color w:val="000000"/>
                <w:sz w:val="24"/>
                <w:szCs w:val="24"/>
                <w:lang w:val="en-ID"/>
              </w:rPr>
            </w:pPr>
            <w:r>
              <w:rPr>
                <w:rFonts w:ascii="Times New Roman" w:eastAsia="Times New Roman" w:hAnsi="Times New Roman" w:cs="Times New Roman"/>
                <w:b/>
                <w:bCs/>
                <w:i w:val="0"/>
                <w:color w:val="000000"/>
                <w:sz w:val="24"/>
                <w:szCs w:val="24"/>
                <w:lang w:val="en-ID"/>
              </w:rPr>
              <w:t>Day</w:t>
            </w:r>
          </w:p>
        </w:tc>
        <w:tc>
          <w:tcPr>
            <w:tcW w:w="1596" w:type="dxa"/>
            <w:vAlign w:val="center"/>
          </w:tcPr>
          <w:p w14:paraId="5F7F45F8" w14:textId="77A3CC22" w:rsidR="00B617F8" w:rsidRPr="00CB6130" w:rsidRDefault="00B617F8" w:rsidP="00B617F8">
            <w:pPr>
              <w:spacing w:line="240" w:lineRule="auto"/>
              <w:jc w:val="center"/>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Mean Difference</w:t>
            </w:r>
          </w:p>
        </w:tc>
        <w:tc>
          <w:tcPr>
            <w:tcW w:w="1723" w:type="dxa"/>
            <w:vAlign w:val="center"/>
          </w:tcPr>
          <w:p w14:paraId="30AC1B01" w14:textId="61DB3C45" w:rsidR="00B617F8" w:rsidRPr="00CB6130" w:rsidRDefault="00B617F8" w:rsidP="00B617F8">
            <w:pPr>
              <w:spacing w:line="240" w:lineRule="auto"/>
              <w:jc w:val="center"/>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Sig. (2-tailed)</w:t>
            </w:r>
          </w:p>
        </w:tc>
        <w:tc>
          <w:tcPr>
            <w:tcW w:w="1596" w:type="dxa"/>
            <w:vAlign w:val="bottom"/>
          </w:tcPr>
          <w:p w14:paraId="5594BC05" w14:textId="32A41017" w:rsidR="00B617F8" w:rsidRPr="00CB6130" w:rsidRDefault="00B617F8" w:rsidP="00B617F8">
            <w:pPr>
              <w:spacing w:line="240" w:lineRule="auto"/>
              <w:jc w:val="center"/>
              <w:rPr>
                <w:rFonts w:ascii="Times New Roman" w:hAnsi="Times New Roman" w:cs="Times New Roman"/>
                <w:b/>
                <w:bCs/>
                <w:i w:val="0"/>
                <w:sz w:val="24"/>
                <w:szCs w:val="24"/>
                <w:lang w:val="en-ID"/>
              </w:rPr>
            </w:pPr>
            <w:r w:rsidRPr="00CB6130">
              <w:rPr>
                <w:rFonts w:ascii="Times New Roman" w:hAnsi="Times New Roman" w:cs="Times New Roman"/>
                <w:b/>
                <w:bCs/>
                <w:i w:val="0"/>
                <w:sz w:val="24"/>
                <w:szCs w:val="24"/>
                <w:lang w:val="en-ID"/>
              </w:rPr>
              <w:t>Mean Difference</w:t>
            </w:r>
          </w:p>
        </w:tc>
        <w:tc>
          <w:tcPr>
            <w:tcW w:w="1806" w:type="dxa"/>
            <w:vAlign w:val="bottom"/>
          </w:tcPr>
          <w:p w14:paraId="45FDF0AB" w14:textId="5B0A00D8" w:rsidR="00B617F8" w:rsidRPr="00CB6130" w:rsidRDefault="00B617F8" w:rsidP="00B617F8">
            <w:pPr>
              <w:spacing w:line="240" w:lineRule="auto"/>
              <w:jc w:val="center"/>
              <w:rPr>
                <w:rFonts w:ascii="Times New Roman" w:hAnsi="Times New Roman" w:cs="Times New Roman"/>
                <w:b/>
                <w:bCs/>
                <w:i w:val="0"/>
                <w:sz w:val="24"/>
                <w:szCs w:val="24"/>
                <w:lang w:val="en-ID"/>
              </w:rPr>
            </w:pPr>
            <w:r w:rsidRPr="00CB6130">
              <w:rPr>
                <w:rFonts w:ascii="Times New Roman" w:hAnsi="Times New Roman" w:cs="Times New Roman"/>
                <w:b/>
                <w:bCs/>
                <w:i w:val="0"/>
                <w:sz w:val="24"/>
                <w:szCs w:val="24"/>
                <w:lang w:val="en-ID"/>
              </w:rPr>
              <w:t>Sig. (2-tailed)</w:t>
            </w:r>
          </w:p>
        </w:tc>
      </w:tr>
      <w:tr w:rsidR="00CB6130" w:rsidRPr="00CB6130" w14:paraId="47ABC94D" w14:textId="012EADA1" w:rsidTr="00B617F8">
        <w:trPr>
          <w:trHeight w:val="288"/>
          <w:jc w:val="center"/>
        </w:trPr>
        <w:tc>
          <w:tcPr>
            <w:tcW w:w="645" w:type="dxa"/>
            <w:vAlign w:val="center"/>
            <w:hideMark/>
          </w:tcPr>
          <w:p w14:paraId="518B8835"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1596" w:type="dxa"/>
            <w:vAlign w:val="center"/>
            <w:hideMark/>
          </w:tcPr>
          <w:p w14:paraId="70F52933"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rPr>
              <w:t>0.0000632285</w:t>
            </w:r>
          </w:p>
        </w:tc>
        <w:tc>
          <w:tcPr>
            <w:tcW w:w="1723" w:type="dxa"/>
            <w:vAlign w:val="center"/>
            <w:hideMark/>
          </w:tcPr>
          <w:p w14:paraId="083A8277"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0.99</w:t>
            </w:r>
          </w:p>
        </w:tc>
        <w:tc>
          <w:tcPr>
            <w:tcW w:w="1596" w:type="dxa"/>
            <w:vAlign w:val="bottom"/>
          </w:tcPr>
          <w:p w14:paraId="637D25D6" w14:textId="39962559"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-0.001501436</w:t>
            </w:r>
          </w:p>
        </w:tc>
        <w:tc>
          <w:tcPr>
            <w:tcW w:w="1806" w:type="dxa"/>
            <w:vAlign w:val="bottom"/>
          </w:tcPr>
          <w:p w14:paraId="5321669F" w14:textId="502398EE"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0.671</w:t>
            </w:r>
          </w:p>
        </w:tc>
      </w:tr>
      <w:tr w:rsidR="00CB6130" w:rsidRPr="00CB6130" w14:paraId="2F4F1FF1" w14:textId="436AC079" w:rsidTr="00B617F8">
        <w:trPr>
          <w:trHeight w:val="288"/>
          <w:jc w:val="center"/>
        </w:trPr>
        <w:tc>
          <w:tcPr>
            <w:tcW w:w="645" w:type="dxa"/>
            <w:vAlign w:val="center"/>
            <w:hideMark/>
          </w:tcPr>
          <w:p w14:paraId="2456600C"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lastRenderedPageBreak/>
              <w:t>H-4</w:t>
            </w:r>
          </w:p>
        </w:tc>
        <w:tc>
          <w:tcPr>
            <w:tcW w:w="1596" w:type="dxa"/>
            <w:vAlign w:val="center"/>
            <w:hideMark/>
          </w:tcPr>
          <w:p w14:paraId="20AF745E"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0.000724</w:t>
            </w:r>
          </w:p>
        </w:tc>
        <w:tc>
          <w:tcPr>
            <w:tcW w:w="1723" w:type="dxa"/>
            <w:vAlign w:val="center"/>
            <w:hideMark/>
          </w:tcPr>
          <w:p w14:paraId="061002FC"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0.874</w:t>
            </w:r>
          </w:p>
        </w:tc>
        <w:tc>
          <w:tcPr>
            <w:tcW w:w="1596" w:type="dxa"/>
            <w:vAlign w:val="bottom"/>
          </w:tcPr>
          <w:p w14:paraId="0AE96DAF" w14:textId="495E1473"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-0.003155277</w:t>
            </w:r>
          </w:p>
        </w:tc>
        <w:tc>
          <w:tcPr>
            <w:tcW w:w="1806" w:type="dxa"/>
            <w:vAlign w:val="bottom"/>
          </w:tcPr>
          <w:p w14:paraId="382192F0" w14:textId="39434B28"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0.364</w:t>
            </w:r>
          </w:p>
        </w:tc>
      </w:tr>
      <w:tr w:rsidR="00CB6130" w:rsidRPr="00CB6130" w14:paraId="6934EE77" w14:textId="7B0EDC26" w:rsidTr="00B617F8">
        <w:trPr>
          <w:trHeight w:val="288"/>
          <w:jc w:val="center"/>
        </w:trPr>
        <w:tc>
          <w:tcPr>
            <w:tcW w:w="645" w:type="dxa"/>
            <w:vAlign w:val="center"/>
            <w:hideMark/>
          </w:tcPr>
          <w:p w14:paraId="09892257"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1596" w:type="dxa"/>
            <w:vAlign w:val="center"/>
            <w:hideMark/>
          </w:tcPr>
          <w:p w14:paraId="6CF72983"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0.01245</w:t>
            </w:r>
          </w:p>
        </w:tc>
        <w:tc>
          <w:tcPr>
            <w:tcW w:w="1723" w:type="dxa"/>
            <w:vAlign w:val="center"/>
            <w:hideMark/>
          </w:tcPr>
          <w:p w14:paraId="6100727C"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0.088</w:t>
            </w:r>
          </w:p>
        </w:tc>
        <w:tc>
          <w:tcPr>
            <w:tcW w:w="1596" w:type="dxa"/>
            <w:vAlign w:val="bottom"/>
          </w:tcPr>
          <w:p w14:paraId="6F8BE4CD" w14:textId="5663873E"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0.0015898507</w:t>
            </w:r>
          </w:p>
        </w:tc>
        <w:tc>
          <w:tcPr>
            <w:tcW w:w="1806" w:type="dxa"/>
            <w:vAlign w:val="bottom"/>
          </w:tcPr>
          <w:p w14:paraId="64D58DA6" w14:textId="43483DD3"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0.787</w:t>
            </w:r>
          </w:p>
        </w:tc>
      </w:tr>
      <w:tr w:rsidR="00CB6130" w:rsidRPr="00CB6130" w14:paraId="128EFF4C" w14:textId="6FA7F8D6" w:rsidTr="00B617F8">
        <w:trPr>
          <w:trHeight w:val="288"/>
          <w:jc w:val="center"/>
        </w:trPr>
        <w:tc>
          <w:tcPr>
            <w:tcW w:w="645" w:type="dxa"/>
            <w:vAlign w:val="center"/>
            <w:hideMark/>
          </w:tcPr>
          <w:p w14:paraId="2EAD28E4"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1596" w:type="dxa"/>
            <w:vAlign w:val="center"/>
            <w:hideMark/>
          </w:tcPr>
          <w:p w14:paraId="44068E9E"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-0.00233</w:t>
            </w:r>
          </w:p>
        </w:tc>
        <w:tc>
          <w:tcPr>
            <w:tcW w:w="1723" w:type="dxa"/>
            <w:vAlign w:val="center"/>
            <w:hideMark/>
          </w:tcPr>
          <w:p w14:paraId="4A9A0A6E"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0.676</w:t>
            </w:r>
          </w:p>
        </w:tc>
        <w:tc>
          <w:tcPr>
            <w:tcW w:w="1596" w:type="dxa"/>
            <w:vAlign w:val="bottom"/>
          </w:tcPr>
          <w:p w14:paraId="5DB735C3" w14:textId="3EF23ACB"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-0.000889663</w:t>
            </w:r>
          </w:p>
        </w:tc>
        <w:tc>
          <w:tcPr>
            <w:tcW w:w="1806" w:type="dxa"/>
            <w:vAlign w:val="bottom"/>
          </w:tcPr>
          <w:p w14:paraId="58967279" w14:textId="6DC6478C"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0.88</w:t>
            </w:r>
          </w:p>
        </w:tc>
      </w:tr>
      <w:tr w:rsidR="00CB6130" w:rsidRPr="00CB6130" w14:paraId="7BB438F5" w14:textId="1EB276BB" w:rsidTr="00B617F8">
        <w:trPr>
          <w:trHeight w:val="288"/>
          <w:jc w:val="center"/>
        </w:trPr>
        <w:tc>
          <w:tcPr>
            <w:tcW w:w="645" w:type="dxa"/>
            <w:vAlign w:val="center"/>
            <w:hideMark/>
          </w:tcPr>
          <w:p w14:paraId="12E4B837"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1596" w:type="dxa"/>
            <w:vAlign w:val="center"/>
            <w:hideMark/>
          </w:tcPr>
          <w:p w14:paraId="6B7BD2E5"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0.012039</w:t>
            </w:r>
          </w:p>
        </w:tc>
        <w:tc>
          <w:tcPr>
            <w:tcW w:w="1723" w:type="dxa"/>
            <w:vAlign w:val="center"/>
            <w:hideMark/>
          </w:tcPr>
          <w:p w14:paraId="08568EE2"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0.176</w:t>
            </w:r>
          </w:p>
        </w:tc>
        <w:tc>
          <w:tcPr>
            <w:tcW w:w="1596" w:type="dxa"/>
            <w:vAlign w:val="bottom"/>
          </w:tcPr>
          <w:p w14:paraId="6E6B9155" w14:textId="0D468B0C"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0.0000751211</w:t>
            </w:r>
          </w:p>
        </w:tc>
        <w:tc>
          <w:tcPr>
            <w:tcW w:w="1806" w:type="dxa"/>
            <w:vAlign w:val="bottom"/>
          </w:tcPr>
          <w:p w14:paraId="2FB36669" w14:textId="66511623"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0.99</w:t>
            </w:r>
          </w:p>
        </w:tc>
      </w:tr>
      <w:tr w:rsidR="00CB6130" w:rsidRPr="00CB6130" w14:paraId="15252BEB" w14:textId="106C9FCA" w:rsidTr="00B617F8">
        <w:trPr>
          <w:trHeight w:val="288"/>
          <w:jc w:val="center"/>
        </w:trPr>
        <w:tc>
          <w:tcPr>
            <w:tcW w:w="645" w:type="dxa"/>
            <w:vAlign w:val="center"/>
            <w:hideMark/>
          </w:tcPr>
          <w:p w14:paraId="4BFA0C6F"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1596" w:type="dxa"/>
            <w:vAlign w:val="center"/>
            <w:hideMark/>
          </w:tcPr>
          <w:p w14:paraId="52BBDADC"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-0.00971</w:t>
            </w:r>
          </w:p>
        </w:tc>
        <w:tc>
          <w:tcPr>
            <w:tcW w:w="1723" w:type="dxa"/>
            <w:vAlign w:val="center"/>
            <w:hideMark/>
          </w:tcPr>
          <w:p w14:paraId="0BC81047"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0.204</w:t>
            </w:r>
          </w:p>
        </w:tc>
        <w:tc>
          <w:tcPr>
            <w:tcW w:w="1596" w:type="dxa"/>
            <w:vAlign w:val="bottom"/>
          </w:tcPr>
          <w:p w14:paraId="15CF2FDC" w14:textId="3EC544E5"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0.0006685573</w:t>
            </w:r>
          </w:p>
        </w:tc>
        <w:tc>
          <w:tcPr>
            <w:tcW w:w="1806" w:type="dxa"/>
            <w:vAlign w:val="bottom"/>
          </w:tcPr>
          <w:p w14:paraId="486BC42B" w14:textId="30F0D4D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0.867</w:t>
            </w:r>
          </w:p>
        </w:tc>
      </w:tr>
      <w:tr w:rsidR="00CB6130" w:rsidRPr="00CB6130" w14:paraId="748A49E8" w14:textId="695176C4" w:rsidTr="00B617F8">
        <w:trPr>
          <w:trHeight w:val="288"/>
          <w:jc w:val="center"/>
        </w:trPr>
        <w:tc>
          <w:tcPr>
            <w:tcW w:w="645" w:type="dxa"/>
            <w:vAlign w:val="center"/>
            <w:hideMark/>
          </w:tcPr>
          <w:p w14:paraId="4E128BB8"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1596" w:type="dxa"/>
            <w:vAlign w:val="center"/>
            <w:hideMark/>
          </w:tcPr>
          <w:p w14:paraId="3886F846"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0.015618</w:t>
            </w:r>
          </w:p>
        </w:tc>
        <w:tc>
          <w:tcPr>
            <w:tcW w:w="1723" w:type="dxa"/>
            <w:vAlign w:val="center"/>
            <w:hideMark/>
          </w:tcPr>
          <w:p w14:paraId="2CEF5485"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0.084</w:t>
            </w:r>
          </w:p>
        </w:tc>
        <w:tc>
          <w:tcPr>
            <w:tcW w:w="1596" w:type="dxa"/>
            <w:vAlign w:val="bottom"/>
          </w:tcPr>
          <w:p w14:paraId="210DC335" w14:textId="112C510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-0.002751652</w:t>
            </w:r>
          </w:p>
        </w:tc>
        <w:tc>
          <w:tcPr>
            <w:tcW w:w="1806" w:type="dxa"/>
            <w:vAlign w:val="bottom"/>
          </w:tcPr>
          <w:p w14:paraId="28069176" w14:textId="6C2D3B2E"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0.479</w:t>
            </w:r>
          </w:p>
        </w:tc>
      </w:tr>
      <w:tr w:rsidR="00CB6130" w:rsidRPr="00CB6130" w14:paraId="7C0A3627" w14:textId="1F07211A" w:rsidTr="00B617F8">
        <w:trPr>
          <w:trHeight w:val="288"/>
          <w:jc w:val="center"/>
        </w:trPr>
        <w:tc>
          <w:tcPr>
            <w:tcW w:w="645" w:type="dxa"/>
            <w:vAlign w:val="center"/>
            <w:hideMark/>
          </w:tcPr>
          <w:p w14:paraId="78423014"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1596" w:type="dxa"/>
            <w:vAlign w:val="center"/>
            <w:hideMark/>
          </w:tcPr>
          <w:p w14:paraId="1E3B7790"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-0.00325</w:t>
            </w:r>
          </w:p>
        </w:tc>
        <w:tc>
          <w:tcPr>
            <w:tcW w:w="1723" w:type="dxa"/>
            <w:vAlign w:val="center"/>
            <w:hideMark/>
          </w:tcPr>
          <w:p w14:paraId="6A66925F"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0.511</w:t>
            </w:r>
          </w:p>
        </w:tc>
        <w:tc>
          <w:tcPr>
            <w:tcW w:w="1596" w:type="dxa"/>
            <w:vAlign w:val="bottom"/>
          </w:tcPr>
          <w:p w14:paraId="2A8B990E" w14:textId="3940C436"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-0.005297938</w:t>
            </w:r>
          </w:p>
        </w:tc>
        <w:tc>
          <w:tcPr>
            <w:tcW w:w="1806" w:type="dxa"/>
            <w:vAlign w:val="bottom"/>
          </w:tcPr>
          <w:p w14:paraId="487B8886" w14:textId="04B41AE5"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0.201</w:t>
            </w:r>
          </w:p>
        </w:tc>
      </w:tr>
      <w:tr w:rsidR="00CB6130" w:rsidRPr="00CB6130" w14:paraId="16F82872" w14:textId="46315FBC" w:rsidTr="00B617F8">
        <w:trPr>
          <w:trHeight w:val="288"/>
          <w:jc w:val="center"/>
        </w:trPr>
        <w:tc>
          <w:tcPr>
            <w:tcW w:w="645" w:type="dxa"/>
            <w:vAlign w:val="center"/>
            <w:hideMark/>
          </w:tcPr>
          <w:p w14:paraId="2ECC68BC"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1596" w:type="dxa"/>
            <w:vAlign w:val="center"/>
            <w:hideMark/>
          </w:tcPr>
          <w:p w14:paraId="72DAC3CB"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-0.00047</w:t>
            </w:r>
          </w:p>
        </w:tc>
        <w:tc>
          <w:tcPr>
            <w:tcW w:w="1723" w:type="dxa"/>
            <w:vAlign w:val="center"/>
            <w:hideMark/>
          </w:tcPr>
          <w:p w14:paraId="4D96383C"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0.563</w:t>
            </w:r>
          </w:p>
        </w:tc>
        <w:tc>
          <w:tcPr>
            <w:tcW w:w="1596" w:type="dxa"/>
            <w:vAlign w:val="bottom"/>
          </w:tcPr>
          <w:p w14:paraId="01818CDB" w14:textId="05700428"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-0.000982153</w:t>
            </w:r>
          </w:p>
        </w:tc>
        <w:tc>
          <w:tcPr>
            <w:tcW w:w="1806" w:type="dxa"/>
            <w:vAlign w:val="bottom"/>
          </w:tcPr>
          <w:p w14:paraId="62055D23" w14:textId="355C324C"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0.664</w:t>
            </w:r>
          </w:p>
        </w:tc>
      </w:tr>
      <w:tr w:rsidR="00CB6130" w:rsidRPr="00CB6130" w14:paraId="4DAD0459" w14:textId="02D2EEAC" w:rsidTr="00B617F8">
        <w:trPr>
          <w:trHeight w:val="288"/>
          <w:jc w:val="center"/>
        </w:trPr>
        <w:tc>
          <w:tcPr>
            <w:tcW w:w="645" w:type="dxa"/>
            <w:vAlign w:val="center"/>
            <w:hideMark/>
          </w:tcPr>
          <w:p w14:paraId="49345E4D"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1596" w:type="dxa"/>
            <w:vAlign w:val="center"/>
            <w:hideMark/>
          </w:tcPr>
          <w:p w14:paraId="79129559" w14:textId="77777777" w:rsidR="00CB6130" w:rsidRPr="00CB6130" w:rsidRDefault="00CB6130" w:rsidP="00CB6130">
            <w:pPr>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-0.00117</w:t>
            </w:r>
          </w:p>
        </w:tc>
        <w:tc>
          <w:tcPr>
            <w:tcW w:w="1723" w:type="dxa"/>
            <w:vAlign w:val="center"/>
            <w:hideMark/>
          </w:tcPr>
          <w:p w14:paraId="58F86E51" w14:textId="77777777" w:rsidR="00CB6130" w:rsidRPr="00CB6130" w:rsidRDefault="00CB6130" w:rsidP="00CB6130">
            <w:pPr>
              <w:keepNext/>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0.158</w:t>
            </w:r>
          </w:p>
        </w:tc>
        <w:tc>
          <w:tcPr>
            <w:tcW w:w="1596" w:type="dxa"/>
            <w:vAlign w:val="bottom"/>
          </w:tcPr>
          <w:p w14:paraId="30B9AA73" w14:textId="4DD7B483" w:rsidR="00CB6130" w:rsidRPr="00CB6130" w:rsidRDefault="00CB6130" w:rsidP="00CB6130">
            <w:pPr>
              <w:keepNext/>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-0.000982153</w:t>
            </w:r>
          </w:p>
        </w:tc>
        <w:tc>
          <w:tcPr>
            <w:tcW w:w="1806" w:type="dxa"/>
            <w:vAlign w:val="bottom"/>
          </w:tcPr>
          <w:p w14:paraId="5DCCC721" w14:textId="6734EAE4" w:rsidR="00CB6130" w:rsidRPr="00CB6130" w:rsidRDefault="00CB6130" w:rsidP="00CB6130">
            <w:pPr>
              <w:keepNext/>
              <w:spacing w:line="240" w:lineRule="auto"/>
              <w:jc w:val="right"/>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0.802</w:t>
            </w:r>
          </w:p>
        </w:tc>
      </w:tr>
    </w:tbl>
    <w:p w14:paraId="3D04AE10" w14:textId="4369DA8A" w:rsidR="00C707CA" w:rsidRDefault="00C707CA" w:rsidP="00C707CA">
      <w:pPr>
        <w:pBdr>
          <w:top w:val="nil"/>
          <w:left w:val="nil"/>
          <w:bottom w:val="nil"/>
          <w:right w:val="nil"/>
          <w:between w:val="nil"/>
        </w:pBdr>
        <w:spacing w:after="0" w:line="240" w:lineRule="auto"/>
        <w:rPr>
          <w:rFonts w:ascii="Times New Roman" w:eastAsia="Times New Roman" w:hAnsi="Times New Roman" w:cs="Times New Roman"/>
          <w:i w:val="0"/>
        </w:rPr>
      </w:pPr>
      <w:r>
        <w:rPr>
          <w:rFonts w:ascii="Times New Roman" w:eastAsia="Times New Roman" w:hAnsi="Times New Roman" w:cs="Times New Roman"/>
          <w:i w:val="0"/>
        </w:rPr>
        <w:t xml:space="preserve">                </w:t>
      </w:r>
      <w:r w:rsidRPr="00C91714">
        <w:rPr>
          <w:rFonts w:ascii="Times New Roman" w:eastAsia="Times New Roman" w:hAnsi="Times New Roman" w:cs="Times New Roman"/>
          <w:i w:val="0"/>
        </w:rPr>
        <w:t>Source: Data Processed SPSS 22</w:t>
      </w:r>
    </w:p>
    <w:p w14:paraId="65E351E2" w14:textId="77777777" w:rsidR="00080E7B" w:rsidRDefault="00080E7B" w:rsidP="00080E7B">
      <w:pPr>
        <w:pBdr>
          <w:top w:val="nil"/>
          <w:left w:val="nil"/>
          <w:bottom w:val="nil"/>
          <w:right w:val="nil"/>
          <w:between w:val="nil"/>
        </w:pBdr>
        <w:spacing w:after="0" w:line="240" w:lineRule="auto"/>
        <w:rPr>
          <w:rFonts w:ascii="Times New Roman" w:eastAsia="Times New Roman" w:hAnsi="Times New Roman" w:cs="Times New Roman"/>
          <w:b/>
          <w:bCs/>
          <w:i w:val="0"/>
          <w:iCs/>
          <w:color w:val="000000"/>
          <w:sz w:val="24"/>
          <w:szCs w:val="24"/>
          <w:lang w:val="en-ID"/>
        </w:rPr>
      </w:pPr>
    </w:p>
    <w:p w14:paraId="46D1D649" w14:textId="437B2265" w:rsidR="00CB6130" w:rsidRPr="00080E7B" w:rsidRDefault="00080E7B" w:rsidP="00080E7B">
      <w:pPr>
        <w:pBdr>
          <w:top w:val="nil"/>
          <w:left w:val="nil"/>
          <w:bottom w:val="nil"/>
          <w:right w:val="nil"/>
          <w:between w:val="nil"/>
        </w:pBdr>
        <w:spacing w:after="0" w:line="240" w:lineRule="auto"/>
        <w:rPr>
          <w:rFonts w:ascii="Times New Roman" w:hAnsi="Times New Roman" w:cs="Times New Roman"/>
          <w:b/>
          <w:bCs/>
          <w:i w:val="0"/>
          <w:color w:val="000000" w:themeColor="text1"/>
          <w:sz w:val="24"/>
          <w:szCs w:val="24"/>
        </w:rPr>
      </w:pPr>
      <w:r>
        <w:rPr>
          <w:rFonts w:ascii="Times New Roman" w:eastAsia="Times New Roman" w:hAnsi="Times New Roman" w:cs="Times New Roman"/>
          <w:b/>
          <w:bCs/>
          <w:i w:val="0"/>
          <w:iCs/>
          <w:color w:val="000000"/>
          <w:sz w:val="24"/>
          <w:szCs w:val="24"/>
          <w:lang w:val="en-ID"/>
        </w:rPr>
        <w:t xml:space="preserve">Capital Market Reaction to Abnormal Return to </w:t>
      </w:r>
      <w:r w:rsidRPr="00D71D04">
        <w:rPr>
          <w:rFonts w:ascii="Times New Roman" w:eastAsia="Times New Roman" w:hAnsi="Times New Roman" w:cs="Times New Roman"/>
          <w:b/>
          <w:bCs/>
          <w:i w:val="0"/>
          <w:color w:val="000000"/>
          <w:sz w:val="24"/>
          <w:szCs w:val="24"/>
        </w:rPr>
        <w:t>Eid al-Fitr</w:t>
      </w:r>
      <w:r>
        <w:rPr>
          <w:rFonts w:ascii="Times New Roman" w:eastAsia="Times New Roman" w:hAnsi="Times New Roman" w:cs="Times New Roman"/>
          <w:b/>
          <w:bCs/>
          <w:i w:val="0"/>
          <w:color w:val="000000"/>
          <w:sz w:val="24"/>
          <w:szCs w:val="24"/>
        </w:rPr>
        <w:t xml:space="preserve"> and </w:t>
      </w:r>
      <w:r w:rsidRPr="00D71D04">
        <w:rPr>
          <w:rFonts w:ascii="Times New Roman" w:hAnsi="Times New Roman" w:cs="Times New Roman"/>
          <w:b/>
          <w:bCs/>
          <w:i w:val="0"/>
          <w:color w:val="000000" w:themeColor="text1"/>
          <w:sz w:val="24"/>
          <w:szCs w:val="24"/>
        </w:rPr>
        <w:t xml:space="preserve">Eid al-Adha </w:t>
      </w:r>
      <w:r>
        <w:rPr>
          <w:rFonts w:ascii="Times New Roman" w:hAnsi="Times New Roman" w:cs="Times New Roman"/>
          <w:b/>
          <w:bCs/>
          <w:i w:val="0"/>
          <w:color w:val="000000" w:themeColor="text1"/>
          <w:sz w:val="24"/>
          <w:szCs w:val="24"/>
        </w:rPr>
        <w:t>E</w:t>
      </w:r>
      <w:r w:rsidRPr="00D71D04">
        <w:rPr>
          <w:rFonts w:ascii="Times New Roman" w:hAnsi="Times New Roman" w:cs="Times New Roman"/>
          <w:b/>
          <w:bCs/>
          <w:i w:val="0"/>
          <w:color w:val="000000" w:themeColor="text1"/>
          <w:sz w:val="24"/>
          <w:szCs w:val="24"/>
        </w:rPr>
        <w:t>vent</w:t>
      </w:r>
    </w:p>
    <w:p w14:paraId="7D9ED1FD" w14:textId="44A0F4F9" w:rsidR="00B617F8" w:rsidRPr="00B617F8" w:rsidRDefault="00B617F8" w:rsidP="00B617F8">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en-ID"/>
        </w:rPr>
      </w:pPr>
      <w:r w:rsidRPr="00B617F8">
        <w:rPr>
          <w:rFonts w:ascii="Times New Roman" w:eastAsia="Times New Roman" w:hAnsi="Times New Roman" w:cs="Times New Roman"/>
          <w:i w:val="0"/>
          <w:color w:val="000000"/>
          <w:sz w:val="24"/>
          <w:szCs w:val="24"/>
          <w:lang w:val="en-ID"/>
        </w:rPr>
        <w:t xml:space="preserve">Significance test results on abnormal return (AR) during the event window of Eid al-Fitr from 2018 to 2022 indicate a market reaction that is not fully aligned with the semi-strong form of the Efficient Market Hypothesis (EMH). Using the independent sample t-test at a 10% significance level, two days showed statistically significant AR values: H-3 (p = 0.088) and H+2 (p = 0.084), both with positive mean differences (0.0124 and 0.0156, respectively). These findings suggest optimistic investor sentiment both before and after the holiday. The presence of significant abnormal returns implies that the market did not absorb public information instantly, with anticipatory and delayed reactions particularly tied to expected increases in consumption. These results support previous studies Nanda &amp; </w:t>
      </w:r>
      <w:proofErr w:type="spellStart"/>
      <w:r w:rsidRPr="00B617F8">
        <w:rPr>
          <w:rFonts w:ascii="Times New Roman" w:eastAsia="Times New Roman" w:hAnsi="Times New Roman" w:cs="Times New Roman"/>
          <w:i w:val="0"/>
          <w:color w:val="000000"/>
          <w:sz w:val="24"/>
          <w:szCs w:val="24"/>
          <w:lang w:val="en-ID"/>
        </w:rPr>
        <w:t>Wirakusuma</w:t>
      </w:r>
      <w:proofErr w:type="spellEnd"/>
      <w:r w:rsidR="00E067A7">
        <w:rPr>
          <w:rFonts w:ascii="Times New Roman" w:eastAsia="Times New Roman" w:hAnsi="Times New Roman" w:cs="Times New Roman"/>
          <w:i w:val="0"/>
          <w:color w:val="000000"/>
          <w:sz w:val="24"/>
          <w:szCs w:val="24"/>
          <w:lang w:val="en-ID"/>
        </w:rPr>
        <w:t xml:space="preserve"> (</w:t>
      </w:r>
      <w:r w:rsidRPr="00B617F8">
        <w:rPr>
          <w:rFonts w:ascii="Times New Roman" w:eastAsia="Times New Roman" w:hAnsi="Times New Roman" w:cs="Times New Roman"/>
          <w:i w:val="0"/>
          <w:color w:val="000000"/>
          <w:sz w:val="24"/>
          <w:szCs w:val="24"/>
          <w:lang w:val="en-ID"/>
        </w:rPr>
        <w:t>2020</w:t>
      </w:r>
      <w:r w:rsidR="00E067A7">
        <w:rPr>
          <w:rFonts w:ascii="Times New Roman" w:eastAsia="Times New Roman" w:hAnsi="Times New Roman" w:cs="Times New Roman"/>
          <w:i w:val="0"/>
          <w:color w:val="000000"/>
          <w:sz w:val="24"/>
          <w:szCs w:val="24"/>
          <w:lang w:val="en-ID"/>
        </w:rPr>
        <w:t>)</w:t>
      </w:r>
      <w:r w:rsidRPr="00B617F8">
        <w:rPr>
          <w:rFonts w:ascii="Times New Roman" w:eastAsia="Times New Roman" w:hAnsi="Times New Roman" w:cs="Times New Roman"/>
          <w:i w:val="0"/>
          <w:color w:val="000000"/>
          <w:sz w:val="24"/>
          <w:szCs w:val="24"/>
          <w:lang w:val="en-ID"/>
        </w:rPr>
        <w:t xml:space="preserve"> </w:t>
      </w:r>
      <w:r w:rsidR="00E067A7">
        <w:rPr>
          <w:rFonts w:ascii="Times New Roman" w:eastAsia="Times New Roman" w:hAnsi="Times New Roman" w:cs="Times New Roman"/>
          <w:i w:val="0"/>
          <w:color w:val="000000"/>
          <w:sz w:val="24"/>
          <w:szCs w:val="24"/>
          <w:lang w:val="en-ID"/>
        </w:rPr>
        <w:t xml:space="preserve">and </w:t>
      </w:r>
      <w:proofErr w:type="spellStart"/>
      <w:r w:rsidRPr="00B617F8">
        <w:rPr>
          <w:rFonts w:ascii="Times New Roman" w:eastAsia="Times New Roman" w:hAnsi="Times New Roman" w:cs="Times New Roman"/>
          <w:i w:val="0"/>
          <w:color w:val="000000"/>
          <w:sz w:val="24"/>
          <w:szCs w:val="24"/>
          <w:lang w:val="en-ID"/>
        </w:rPr>
        <w:t>Dumitiru</w:t>
      </w:r>
      <w:proofErr w:type="spellEnd"/>
      <w:r w:rsidRPr="00B617F8">
        <w:rPr>
          <w:rFonts w:ascii="Times New Roman" w:eastAsia="Times New Roman" w:hAnsi="Times New Roman" w:cs="Times New Roman"/>
          <w:i w:val="0"/>
          <w:color w:val="000000"/>
          <w:sz w:val="24"/>
          <w:szCs w:val="24"/>
          <w:lang w:val="en-ID"/>
        </w:rPr>
        <w:t xml:space="preserve"> &amp; Stefanescu</w:t>
      </w:r>
      <w:r w:rsidR="00E067A7">
        <w:rPr>
          <w:rFonts w:ascii="Times New Roman" w:eastAsia="Times New Roman" w:hAnsi="Times New Roman" w:cs="Times New Roman"/>
          <w:i w:val="0"/>
          <w:color w:val="000000"/>
          <w:sz w:val="24"/>
          <w:szCs w:val="24"/>
          <w:lang w:val="en-ID"/>
        </w:rPr>
        <w:t xml:space="preserve"> (</w:t>
      </w:r>
      <w:r w:rsidRPr="00B617F8">
        <w:rPr>
          <w:rFonts w:ascii="Times New Roman" w:eastAsia="Times New Roman" w:hAnsi="Times New Roman" w:cs="Times New Roman"/>
          <w:i w:val="0"/>
          <w:color w:val="000000"/>
          <w:sz w:val="24"/>
          <w:szCs w:val="24"/>
          <w:lang w:val="en-ID"/>
        </w:rPr>
        <w:t>2020) indicating that national holidays can trigger short-term anomalies. Consequently, hypothesis H1a that there is a market reaction to Eid al-Fitr is accepted.</w:t>
      </w:r>
    </w:p>
    <w:p w14:paraId="50EADC0F" w14:textId="6C15A1F3" w:rsidR="00B617F8" w:rsidRPr="00B617F8" w:rsidRDefault="00B617F8" w:rsidP="00B617F8">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en-ID"/>
        </w:rPr>
      </w:pPr>
      <w:r w:rsidRPr="00B617F8">
        <w:rPr>
          <w:rFonts w:ascii="Times New Roman" w:eastAsia="Times New Roman" w:hAnsi="Times New Roman" w:cs="Times New Roman"/>
          <w:i w:val="0"/>
          <w:color w:val="000000"/>
          <w:sz w:val="24"/>
          <w:szCs w:val="24"/>
          <w:lang w:val="en-ID"/>
        </w:rPr>
        <w:t>In contrast, significance test results on AR during the Eid al-Adha event window from 2018 to 2022 reveal no statistically significant market reaction. All p-values from the independent sample t-test were above 10%, with the lowest being 0.</w:t>
      </w:r>
      <w:r w:rsidR="0002238B">
        <w:rPr>
          <w:rFonts w:ascii="Times New Roman" w:eastAsia="Times New Roman" w:hAnsi="Times New Roman" w:cs="Times New Roman"/>
          <w:i w:val="0"/>
          <w:color w:val="000000"/>
          <w:sz w:val="24"/>
          <w:szCs w:val="24"/>
          <w:lang w:val="en-ID"/>
        </w:rPr>
        <w:t>201</w:t>
      </w:r>
      <w:r w:rsidRPr="00B617F8">
        <w:rPr>
          <w:rFonts w:ascii="Times New Roman" w:eastAsia="Times New Roman" w:hAnsi="Times New Roman" w:cs="Times New Roman"/>
          <w:i w:val="0"/>
          <w:color w:val="000000"/>
          <w:sz w:val="24"/>
          <w:szCs w:val="24"/>
          <w:lang w:val="en-ID"/>
        </w:rPr>
        <w:t xml:space="preserve"> on H+3. Mean differences were mostly negative and inconsistent, suggesting that Eid al-Adha did not significantly affect investor </w:t>
      </w:r>
      <w:proofErr w:type="spellStart"/>
      <w:r w:rsidRPr="00B617F8">
        <w:rPr>
          <w:rFonts w:ascii="Times New Roman" w:eastAsia="Times New Roman" w:hAnsi="Times New Roman" w:cs="Times New Roman"/>
          <w:i w:val="0"/>
          <w:color w:val="000000"/>
          <w:sz w:val="24"/>
          <w:szCs w:val="24"/>
          <w:lang w:val="en-ID"/>
        </w:rPr>
        <w:t>behavior</w:t>
      </w:r>
      <w:proofErr w:type="spellEnd"/>
      <w:r w:rsidRPr="00B617F8">
        <w:rPr>
          <w:rFonts w:ascii="Times New Roman" w:eastAsia="Times New Roman" w:hAnsi="Times New Roman" w:cs="Times New Roman"/>
          <w:i w:val="0"/>
          <w:color w:val="000000"/>
          <w:sz w:val="24"/>
          <w:szCs w:val="24"/>
          <w:lang w:val="en-ID"/>
        </w:rPr>
        <w:t xml:space="preserve"> or stock prices. This supports the semi-strong EMH, indicating that public information related to Eid al-Adha was fully reflected in stock prices without delay. Unlike Eid al-Fitr, Eid al-Adha is not typically associated with large shifts in consumer spending, leading to stable investor activity. These findings align with Saputra (2019) but contrast with studies reporting significant AR around public holidays. Thus, hypothesis H1b that there is a market reaction to Eid al-Adha is rejected.</w:t>
      </w:r>
    </w:p>
    <w:p w14:paraId="29D98686" w14:textId="77777777" w:rsidR="00CB6130" w:rsidRDefault="00CB6130"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4B7EC415"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68BC777F"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5DE127E0"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66FC326F"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35A78B2C"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5B5B9E41"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0EE48AB6" w14:textId="77777777" w:rsidR="00C707CA" w:rsidRDefault="00C707CA"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72063A45" w14:textId="31743FB8" w:rsidR="00C707CA" w:rsidRDefault="00C707CA" w:rsidP="00C707CA">
      <w:pPr>
        <w:pBdr>
          <w:top w:val="nil"/>
          <w:left w:val="nil"/>
          <w:bottom w:val="nil"/>
          <w:right w:val="nil"/>
          <w:between w:val="nil"/>
        </w:pBdr>
        <w:spacing w:after="0" w:line="240" w:lineRule="auto"/>
        <w:jc w:val="center"/>
        <w:rPr>
          <w:rFonts w:ascii="Times New Roman" w:hAnsi="Times New Roman" w:cs="Times New Roman"/>
          <w:b/>
          <w:bCs/>
          <w:i w:val="0"/>
          <w:color w:val="000000" w:themeColor="text1"/>
          <w:sz w:val="24"/>
          <w:szCs w:val="24"/>
        </w:rPr>
      </w:pPr>
      <w:r w:rsidRPr="00C707CA">
        <w:rPr>
          <w:rFonts w:ascii="Times New Roman" w:hAnsi="Times New Roman" w:cs="Times New Roman"/>
          <w:b/>
          <w:bCs/>
          <w:i w:val="0"/>
          <w:color w:val="000000" w:themeColor="text1"/>
          <w:sz w:val="24"/>
          <w:szCs w:val="24"/>
        </w:rPr>
        <w:t xml:space="preserve">Table </w:t>
      </w:r>
      <w:r>
        <w:rPr>
          <w:rFonts w:ascii="Times New Roman" w:hAnsi="Times New Roman" w:cs="Times New Roman"/>
          <w:b/>
          <w:bCs/>
          <w:i w:val="0"/>
          <w:color w:val="000000" w:themeColor="text1"/>
          <w:sz w:val="24"/>
          <w:szCs w:val="24"/>
        </w:rPr>
        <w:t>6</w:t>
      </w:r>
      <w:r w:rsidRPr="00C707CA">
        <w:rPr>
          <w:rFonts w:ascii="Times New Roman" w:hAnsi="Times New Roman" w:cs="Times New Roman"/>
          <w:b/>
          <w:bCs/>
          <w:i w:val="0"/>
          <w:color w:val="000000" w:themeColor="text1"/>
          <w:sz w:val="24"/>
          <w:szCs w:val="24"/>
        </w:rPr>
        <w:t xml:space="preserve">. Results of Significance Test for </w:t>
      </w:r>
      <w:r w:rsidRPr="00080E7B">
        <w:rPr>
          <w:rFonts w:ascii="Times New Roman" w:eastAsia="Times New Roman" w:hAnsi="Times New Roman" w:cs="Times New Roman"/>
          <w:b/>
          <w:bCs/>
          <w:i w:val="0"/>
          <w:iCs/>
          <w:color w:val="000000"/>
          <w:sz w:val="24"/>
          <w:szCs w:val="24"/>
          <w:lang w:val="en-ID"/>
        </w:rPr>
        <w:t xml:space="preserve">Trading Volume Activity </w:t>
      </w:r>
      <w:r w:rsidRPr="00C707CA">
        <w:rPr>
          <w:rFonts w:ascii="Times New Roman" w:hAnsi="Times New Roman" w:cs="Times New Roman"/>
          <w:b/>
          <w:bCs/>
          <w:i w:val="0"/>
          <w:color w:val="000000" w:themeColor="text1"/>
          <w:sz w:val="24"/>
          <w:szCs w:val="24"/>
        </w:rPr>
        <w:t>during</w:t>
      </w:r>
    </w:p>
    <w:p w14:paraId="6B27D43E" w14:textId="6790C9DF" w:rsidR="00C707CA" w:rsidRPr="00C707CA" w:rsidRDefault="00C707CA" w:rsidP="00C707CA">
      <w:pPr>
        <w:pBdr>
          <w:top w:val="nil"/>
          <w:left w:val="nil"/>
          <w:bottom w:val="nil"/>
          <w:right w:val="nil"/>
          <w:between w:val="nil"/>
        </w:pBdr>
        <w:spacing w:line="240" w:lineRule="auto"/>
        <w:jc w:val="center"/>
        <w:rPr>
          <w:rFonts w:ascii="Times New Roman" w:eastAsia="Times New Roman" w:hAnsi="Times New Roman" w:cs="Times New Roman"/>
          <w:b/>
          <w:bCs/>
          <w:i w:val="0"/>
          <w:iCs/>
          <w:color w:val="000000"/>
          <w:sz w:val="24"/>
          <w:szCs w:val="24"/>
        </w:rPr>
      </w:pPr>
      <w:r w:rsidRPr="00C707CA">
        <w:rPr>
          <w:rFonts w:ascii="Times New Roman" w:hAnsi="Times New Roman" w:cs="Times New Roman"/>
          <w:b/>
          <w:bCs/>
          <w:i w:val="0"/>
          <w:color w:val="000000" w:themeColor="text1"/>
          <w:sz w:val="24"/>
          <w:szCs w:val="24"/>
        </w:rPr>
        <w:t xml:space="preserve"> Eid al-Fitr and Eid al-Adha Events</w:t>
      </w:r>
    </w:p>
    <w:p w14:paraId="43B9934E" w14:textId="77777777" w:rsidR="00CB6130" w:rsidRPr="00080E7B" w:rsidRDefault="00CB6130"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731"/>
        <w:gridCol w:w="1689"/>
        <w:gridCol w:w="1689"/>
        <w:gridCol w:w="1689"/>
      </w:tblGrid>
      <w:tr w:rsidR="00CB6130" w:rsidRPr="00CB6130" w14:paraId="0E8AFB88" w14:textId="0EFEE730" w:rsidTr="00CB6130">
        <w:trPr>
          <w:trHeight w:val="576"/>
          <w:jc w:val="center"/>
        </w:trPr>
        <w:tc>
          <w:tcPr>
            <w:tcW w:w="715" w:type="dxa"/>
            <w:vAlign w:val="center"/>
            <w:hideMark/>
          </w:tcPr>
          <w:p w14:paraId="1120C84F" w14:textId="0A0AD9EA" w:rsidR="00CB6130" w:rsidRPr="00CB6130" w:rsidRDefault="00D71D04" w:rsidP="00CB6130">
            <w:pPr>
              <w:spacing w:line="240" w:lineRule="auto"/>
              <w:rPr>
                <w:rFonts w:ascii="Times New Roman" w:eastAsia="Times New Roman" w:hAnsi="Times New Roman" w:cs="Times New Roman"/>
                <w:b/>
                <w:bCs/>
                <w:i w:val="0"/>
                <w:color w:val="000000"/>
                <w:sz w:val="24"/>
                <w:szCs w:val="24"/>
                <w:lang w:val="en-ID"/>
              </w:rPr>
            </w:pPr>
            <w:r>
              <w:rPr>
                <w:rFonts w:ascii="Times New Roman" w:eastAsia="Times New Roman" w:hAnsi="Times New Roman" w:cs="Times New Roman"/>
                <w:b/>
                <w:bCs/>
                <w:i w:val="0"/>
                <w:color w:val="000000"/>
                <w:sz w:val="24"/>
                <w:szCs w:val="24"/>
                <w:lang w:val="en-ID"/>
              </w:rPr>
              <w:t>Day</w:t>
            </w:r>
          </w:p>
        </w:tc>
        <w:tc>
          <w:tcPr>
            <w:tcW w:w="1731" w:type="dxa"/>
            <w:vAlign w:val="center"/>
            <w:hideMark/>
          </w:tcPr>
          <w:p w14:paraId="31B1285C" w14:textId="77777777" w:rsidR="00CB6130" w:rsidRPr="00CB6130" w:rsidRDefault="00CB6130" w:rsidP="00CB6130">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Mean Difference</w:t>
            </w:r>
          </w:p>
        </w:tc>
        <w:tc>
          <w:tcPr>
            <w:tcW w:w="1689" w:type="dxa"/>
            <w:vAlign w:val="center"/>
            <w:hideMark/>
          </w:tcPr>
          <w:p w14:paraId="74662AF5" w14:textId="77777777" w:rsidR="00CB6130" w:rsidRPr="00CB6130" w:rsidRDefault="00CB6130" w:rsidP="00CB6130">
            <w:pPr>
              <w:spacing w:line="240" w:lineRule="auto"/>
              <w:rPr>
                <w:rFonts w:ascii="Times New Roman" w:eastAsia="Times New Roman" w:hAnsi="Times New Roman" w:cs="Times New Roman"/>
                <w:b/>
                <w:bCs/>
                <w:i w:val="0"/>
                <w:color w:val="000000"/>
                <w:sz w:val="24"/>
                <w:szCs w:val="24"/>
                <w:lang w:val="en-ID"/>
              </w:rPr>
            </w:pPr>
            <w:r w:rsidRPr="00CB6130">
              <w:rPr>
                <w:rFonts w:ascii="Times New Roman" w:eastAsia="Times New Roman" w:hAnsi="Times New Roman" w:cs="Times New Roman"/>
                <w:b/>
                <w:bCs/>
                <w:i w:val="0"/>
                <w:color w:val="000000"/>
                <w:sz w:val="24"/>
                <w:szCs w:val="24"/>
                <w:lang w:val="en-ID"/>
              </w:rPr>
              <w:t>Sig. (2-tailed)</w:t>
            </w:r>
          </w:p>
        </w:tc>
        <w:tc>
          <w:tcPr>
            <w:tcW w:w="1689" w:type="dxa"/>
            <w:vAlign w:val="bottom"/>
          </w:tcPr>
          <w:p w14:paraId="3612689E" w14:textId="10E29EE4" w:rsidR="00CB6130" w:rsidRPr="00CB6130" w:rsidRDefault="00CB6130" w:rsidP="00CB6130">
            <w:pPr>
              <w:spacing w:line="240" w:lineRule="auto"/>
              <w:rPr>
                <w:rFonts w:ascii="Times New Roman" w:eastAsia="Times New Roman" w:hAnsi="Times New Roman" w:cs="Times New Roman"/>
                <w:b/>
                <w:bCs/>
                <w:i w:val="0"/>
                <w:color w:val="000000"/>
                <w:sz w:val="24"/>
                <w:szCs w:val="24"/>
                <w:lang w:val="en-ID"/>
              </w:rPr>
            </w:pPr>
            <w:r w:rsidRPr="00CB6130">
              <w:rPr>
                <w:rFonts w:ascii="Times New Roman" w:hAnsi="Times New Roman" w:cs="Times New Roman"/>
                <w:b/>
                <w:bCs/>
                <w:i w:val="0"/>
                <w:sz w:val="24"/>
                <w:szCs w:val="24"/>
                <w:lang w:val="en-ID"/>
              </w:rPr>
              <w:t>Mean Difference</w:t>
            </w:r>
          </w:p>
        </w:tc>
        <w:tc>
          <w:tcPr>
            <w:tcW w:w="1689" w:type="dxa"/>
            <w:vAlign w:val="bottom"/>
          </w:tcPr>
          <w:p w14:paraId="7B44548E" w14:textId="60F65323" w:rsidR="00CB6130" w:rsidRPr="00CB6130" w:rsidRDefault="00CB6130" w:rsidP="00CB6130">
            <w:pPr>
              <w:spacing w:line="240" w:lineRule="auto"/>
              <w:rPr>
                <w:rFonts w:ascii="Times New Roman" w:eastAsia="Times New Roman" w:hAnsi="Times New Roman" w:cs="Times New Roman"/>
                <w:b/>
                <w:bCs/>
                <w:i w:val="0"/>
                <w:color w:val="000000"/>
                <w:sz w:val="24"/>
                <w:szCs w:val="24"/>
                <w:lang w:val="en-ID"/>
              </w:rPr>
            </w:pPr>
            <w:r w:rsidRPr="00CB6130">
              <w:rPr>
                <w:rFonts w:ascii="Times New Roman" w:hAnsi="Times New Roman" w:cs="Times New Roman"/>
                <w:b/>
                <w:bCs/>
                <w:i w:val="0"/>
                <w:sz w:val="24"/>
                <w:szCs w:val="24"/>
                <w:lang w:val="en-ID"/>
              </w:rPr>
              <w:t>Sig. (2-tailed)</w:t>
            </w:r>
          </w:p>
        </w:tc>
      </w:tr>
      <w:tr w:rsidR="00CB6130" w:rsidRPr="00CB6130" w14:paraId="7740CACF" w14:textId="076CBFA7" w:rsidTr="00CB6130">
        <w:trPr>
          <w:trHeight w:val="288"/>
          <w:jc w:val="center"/>
        </w:trPr>
        <w:tc>
          <w:tcPr>
            <w:tcW w:w="715" w:type="dxa"/>
            <w:vAlign w:val="center"/>
            <w:hideMark/>
          </w:tcPr>
          <w:p w14:paraId="04E05412"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1731" w:type="dxa"/>
            <w:vAlign w:val="center"/>
            <w:hideMark/>
          </w:tcPr>
          <w:p w14:paraId="2D05EAD7"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0.001240204</w:t>
            </w:r>
          </w:p>
        </w:tc>
        <w:tc>
          <w:tcPr>
            <w:tcW w:w="1689" w:type="dxa"/>
            <w:vAlign w:val="center"/>
            <w:hideMark/>
          </w:tcPr>
          <w:p w14:paraId="570F0BB4"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0.535</w:t>
            </w:r>
          </w:p>
        </w:tc>
        <w:tc>
          <w:tcPr>
            <w:tcW w:w="1689" w:type="dxa"/>
            <w:vAlign w:val="bottom"/>
          </w:tcPr>
          <w:p w14:paraId="31DE8E0F" w14:textId="0E45AA78"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-0.00129158</w:t>
            </w:r>
          </w:p>
        </w:tc>
        <w:tc>
          <w:tcPr>
            <w:tcW w:w="1689" w:type="dxa"/>
            <w:vAlign w:val="bottom"/>
          </w:tcPr>
          <w:p w14:paraId="41FCAF97" w14:textId="21A98946"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0.314</w:t>
            </w:r>
          </w:p>
        </w:tc>
      </w:tr>
      <w:tr w:rsidR="00CB6130" w:rsidRPr="00CB6130" w14:paraId="5BC8CE39" w14:textId="15E8FB0A" w:rsidTr="00CB6130">
        <w:trPr>
          <w:trHeight w:val="288"/>
          <w:jc w:val="center"/>
        </w:trPr>
        <w:tc>
          <w:tcPr>
            <w:tcW w:w="715" w:type="dxa"/>
            <w:vAlign w:val="center"/>
            <w:hideMark/>
          </w:tcPr>
          <w:p w14:paraId="0BB15FEA"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1731" w:type="dxa"/>
            <w:vAlign w:val="center"/>
            <w:hideMark/>
          </w:tcPr>
          <w:p w14:paraId="2EB93919"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0.000248338</w:t>
            </w:r>
          </w:p>
        </w:tc>
        <w:tc>
          <w:tcPr>
            <w:tcW w:w="1689" w:type="dxa"/>
            <w:vAlign w:val="center"/>
            <w:hideMark/>
          </w:tcPr>
          <w:p w14:paraId="12D04A8D"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0.829</w:t>
            </w:r>
          </w:p>
        </w:tc>
        <w:tc>
          <w:tcPr>
            <w:tcW w:w="1689" w:type="dxa"/>
            <w:vAlign w:val="bottom"/>
          </w:tcPr>
          <w:p w14:paraId="083DB8DC" w14:textId="359E38B1"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-0.000358464</w:t>
            </w:r>
          </w:p>
        </w:tc>
        <w:tc>
          <w:tcPr>
            <w:tcW w:w="1689" w:type="dxa"/>
            <w:vAlign w:val="bottom"/>
          </w:tcPr>
          <w:p w14:paraId="42E98D97" w14:textId="11F1B273"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0.821</w:t>
            </w:r>
          </w:p>
        </w:tc>
      </w:tr>
      <w:tr w:rsidR="00CB6130" w:rsidRPr="00CB6130" w14:paraId="69DBA5B2" w14:textId="14E9A024" w:rsidTr="00CB6130">
        <w:trPr>
          <w:trHeight w:val="288"/>
          <w:jc w:val="center"/>
        </w:trPr>
        <w:tc>
          <w:tcPr>
            <w:tcW w:w="715" w:type="dxa"/>
            <w:vAlign w:val="center"/>
            <w:hideMark/>
          </w:tcPr>
          <w:p w14:paraId="419C5A17"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1731" w:type="dxa"/>
            <w:vAlign w:val="center"/>
            <w:hideMark/>
          </w:tcPr>
          <w:p w14:paraId="26390816"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0.000773405</w:t>
            </w:r>
          </w:p>
        </w:tc>
        <w:tc>
          <w:tcPr>
            <w:tcW w:w="1689" w:type="dxa"/>
            <w:vAlign w:val="center"/>
            <w:hideMark/>
          </w:tcPr>
          <w:p w14:paraId="74F804C3"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0.436</w:t>
            </w:r>
          </w:p>
        </w:tc>
        <w:tc>
          <w:tcPr>
            <w:tcW w:w="1689" w:type="dxa"/>
            <w:vAlign w:val="bottom"/>
          </w:tcPr>
          <w:p w14:paraId="6901182B" w14:textId="3D990D86"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-0.00084372</w:t>
            </w:r>
          </w:p>
        </w:tc>
        <w:tc>
          <w:tcPr>
            <w:tcW w:w="1689" w:type="dxa"/>
            <w:vAlign w:val="bottom"/>
          </w:tcPr>
          <w:p w14:paraId="6A090927" w14:textId="33A8AAAB"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0.547</w:t>
            </w:r>
          </w:p>
        </w:tc>
      </w:tr>
      <w:tr w:rsidR="00CB6130" w:rsidRPr="00CB6130" w14:paraId="17E5DFB9" w14:textId="77B10DB5" w:rsidTr="00CB6130">
        <w:trPr>
          <w:trHeight w:val="288"/>
          <w:jc w:val="center"/>
        </w:trPr>
        <w:tc>
          <w:tcPr>
            <w:tcW w:w="715" w:type="dxa"/>
            <w:vAlign w:val="center"/>
            <w:hideMark/>
          </w:tcPr>
          <w:p w14:paraId="2A709D6B"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1731" w:type="dxa"/>
            <w:vAlign w:val="center"/>
            <w:hideMark/>
          </w:tcPr>
          <w:p w14:paraId="3D53E019"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0.000347653</w:t>
            </w:r>
          </w:p>
        </w:tc>
        <w:tc>
          <w:tcPr>
            <w:tcW w:w="1689" w:type="dxa"/>
            <w:vAlign w:val="center"/>
            <w:hideMark/>
          </w:tcPr>
          <w:p w14:paraId="55C8EAD5"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0.71</w:t>
            </w:r>
          </w:p>
        </w:tc>
        <w:tc>
          <w:tcPr>
            <w:tcW w:w="1689" w:type="dxa"/>
            <w:vAlign w:val="bottom"/>
          </w:tcPr>
          <w:p w14:paraId="4FF84C64" w14:textId="17DD8BE1"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-0.000997851</w:t>
            </w:r>
          </w:p>
        </w:tc>
        <w:tc>
          <w:tcPr>
            <w:tcW w:w="1689" w:type="dxa"/>
            <w:vAlign w:val="bottom"/>
          </w:tcPr>
          <w:p w14:paraId="03976BF4" w14:textId="294BFCB9"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0.462</w:t>
            </w:r>
          </w:p>
        </w:tc>
      </w:tr>
      <w:tr w:rsidR="00CB6130" w:rsidRPr="00CB6130" w14:paraId="50869514" w14:textId="63151806" w:rsidTr="00CB6130">
        <w:trPr>
          <w:trHeight w:val="288"/>
          <w:jc w:val="center"/>
        </w:trPr>
        <w:tc>
          <w:tcPr>
            <w:tcW w:w="715" w:type="dxa"/>
            <w:vAlign w:val="center"/>
            <w:hideMark/>
          </w:tcPr>
          <w:p w14:paraId="68C476B9"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1731" w:type="dxa"/>
            <w:vAlign w:val="center"/>
            <w:hideMark/>
          </w:tcPr>
          <w:p w14:paraId="540B9217"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rPr>
              <w:t>0.0000373502</w:t>
            </w:r>
          </w:p>
        </w:tc>
        <w:tc>
          <w:tcPr>
            <w:tcW w:w="1689" w:type="dxa"/>
            <w:vAlign w:val="center"/>
            <w:hideMark/>
          </w:tcPr>
          <w:p w14:paraId="5AF051FF"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0.961</w:t>
            </w:r>
          </w:p>
        </w:tc>
        <w:tc>
          <w:tcPr>
            <w:tcW w:w="1689" w:type="dxa"/>
            <w:vAlign w:val="bottom"/>
          </w:tcPr>
          <w:p w14:paraId="45070D9C" w14:textId="0653380E"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0.0016972336</w:t>
            </w:r>
          </w:p>
        </w:tc>
        <w:tc>
          <w:tcPr>
            <w:tcW w:w="1689" w:type="dxa"/>
            <w:vAlign w:val="bottom"/>
          </w:tcPr>
          <w:p w14:paraId="3AA1FD2D" w14:textId="419A28C2"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0.576</w:t>
            </w:r>
          </w:p>
        </w:tc>
      </w:tr>
      <w:tr w:rsidR="00CB6130" w:rsidRPr="00CB6130" w14:paraId="7EC5D688" w14:textId="737A8993" w:rsidTr="00CB6130">
        <w:trPr>
          <w:trHeight w:val="288"/>
          <w:jc w:val="center"/>
        </w:trPr>
        <w:tc>
          <w:tcPr>
            <w:tcW w:w="715" w:type="dxa"/>
            <w:vAlign w:val="center"/>
            <w:hideMark/>
          </w:tcPr>
          <w:p w14:paraId="5611FA41"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H+1</w:t>
            </w:r>
          </w:p>
        </w:tc>
        <w:tc>
          <w:tcPr>
            <w:tcW w:w="1731" w:type="dxa"/>
            <w:vAlign w:val="center"/>
            <w:hideMark/>
          </w:tcPr>
          <w:p w14:paraId="0ABA6F3A"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0.000728912</w:t>
            </w:r>
          </w:p>
        </w:tc>
        <w:tc>
          <w:tcPr>
            <w:tcW w:w="1689" w:type="dxa"/>
            <w:vAlign w:val="center"/>
            <w:hideMark/>
          </w:tcPr>
          <w:p w14:paraId="2D49AEDB"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0.416</w:t>
            </w:r>
          </w:p>
        </w:tc>
        <w:tc>
          <w:tcPr>
            <w:tcW w:w="1689" w:type="dxa"/>
            <w:vAlign w:val="bottom"/>
          </w:tcPr>
          <w:p w14:paraId="0402BF78" w14:textId="5BB0BBD0"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-0.001871175</w:t>
            </w:r>
          </w:p>
        </w:tc>
        <w:tc>
          <w:tcPr>
            <w:tcW w:w="1689" w:type="dxa"/>
            <w:vAlign w:val="bottom"/>
          </w:tcPr>
          <w:p w14:paraId="787817FC" w14:textId="2621FDC5"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0.905</w:t>
            </w:r>
          </w:p>
        </w:tc>
      </w:tr>
      <w:tr w:rsidR="00CB6130" w:rsidRPr="00CB6130" w14:paraId="5A7DCA5B" w14:textId="323D23FF" w:rsidTr="00CB6130">
        <w:trPr>
          <w:trHeight w:val="288"/>
          <w:jc w:val="center"/>
        </w:trPr>
        <w:tc>
          <w:tcPr>
            <w:tcW w:w="715" w:type="dxa"/>
            <w:vAlign w:val="center"/>
            <w:hideMark/>
          </w:tcPr>
          <w:p w14:paraId="06C40A7C"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H+2</w:t>
            </w:r>
          </w:p>
        </w:tc>
        <w:tc>
          <w:tcPr>
            <w:tcW w:w="1731" w:type="dxa"/>
            <w:vAlign w:val="center"/>
            <w:hideMark/>
          </w:tcPr>
          <w:p w14:paraId="29D2D9E4"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0.000131564</w:t>
            </w:r>
          </w:p>
        </w:tc>
        <w:tc>
          <w:tcPr>
            <w:tcW w:w="1689" w:type="dxa"/>
            <w:vAlign w:val="center"/>
            <w:hideMark/>
          </w:tcPr>
          <w:p w14:paraId="18FDC511"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0.883</w:t>
            </w:r>
          </w:p>
        </w:tc>
        <w:tc>
          <w:tcPr>
            <w:tcW w:w="1689" w:type="dxa"/>
            <w:vAlign w:val="bottom"/>
          </w:tcPr>
          <w:p w14:paraId="400945D7" w14:textId="0C283115"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-0.00086272</w:t>
            </w:r>
          </w:p>
        </w:tc>
        <w:tc>
          <w:tcPr>
            <w:tcW w:w="1689" w:type="dxa"/>
            <w:vAlign w:val="bottom"/>
          </w:tcPr>
          <w:p w14:paraId="3EC92D6F" w14:textId="7CEFA2F5"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0.507</w:t>
            </w:r>
          </w:p>
        </w:tc>
      </w:tr>
      <w:tr w:rsidR="00CB6130" w:rsidRPr="00CB6130" w14:paraId="03982D0C" w14:textId="46E0DD7B" w:rsidTr="00CB6130">
        <w:trPr>
          <w:trHeight w:val="288"/>
          <w:jc w:val="center"/>
        </w:trPr>
        <w:tc>
          <w:tcPr>
            <w:tcW w:w="715" w:type="dxa"/>
            <w:vAlign w:val="center"/>
            <w:hideMark/>
          </w:tcPr>
          <w:p w14:paraId="26C8F334"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H+3</w:t>
            </w:r>
          </w:p>
        </w:tc>
        <w:tc>
          <w:tcPr>
            <w:tcW w:w="1731" w:type="dxa"/>
            <w:vAlign w:val="center"/>
            <w:hideMark/>
          </w:tcPr>
          <w:p w14:paraId="0626EC2F"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rPr>
              <w:t>-0.000070240</w:t>
            </w:r>
          </w:p>
        </w:tc>
        <w:tc>
          <w:tcPr>
            <w:tcW w:w="1689" w:type="dxa"/>
            <w:vAlign w:val="center"/>
            <w:hideMark/>
          </w:tcPr>
          <w:p w14:paraId="1E3F75D5"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0.932</w:t>
            </w:r>
          </w:p>
        </w:tc>
        <w:tc>
          <w:tcPr>
            <w:tcW w:w="1689" w:type="dxa"/>
            <w:vAlign w:val="bottom"/>
          </w:tcPr>
          <w:p w14:paraId="2699D6B7" w14:textId="3AF0C3DA"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-0.0001910706</w:t>
            </w:r>
          </w:p>
        </w:tc>
        <w:tc>
          <w:tcPr>
            <w:tcW w:w="1689" w:type="dxa"/>
            <w:vAlign w:val="bottom"/>
          </w:tcPr>
          <w:p w14:paraId="76CEFBED" w14:textId="419657C3"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0.907</w:t>
            </w:r>
          </w:p>
        </w:tc>
      </w:tr>
      <w:tr w:rsidR="00CB6130" w:rsidRPr="00CB6130" w14:paraId="43CB8C4C" w14:textId="7DA39DF1" w:rsidTr="00CB6130">
        <w:trPr>
          <w:trHeight w:val="288"/>
          <w:jc w:val="center"/>
        </w:trPr>
        <w:tc>
          <w:tcPr>
            <w:tcW w:w="715" w:type="dxa"/>
            <w:vAlign w:val="center"/>
            <w:hideMark/>
          </w:tcPr>
          <w:p w14:paraId="0004CF79"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H+4</w:t>
            </w:r>
          </w:p>
        </w:tc>
        <w:tc>
          <w:tcPr>
            <w:tcW w:w="1731" w:type="dxa"/>
            <w:vAlign w:val="center"/>
            <w:hideMark/>
          </w:tcPr>
          <w:p w14:paraId="53980B94"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-0.000119233</w:t>
            </w:r>
          </w:p>
        </w:tc>
        <w:tc>
          <w:tcPr>
            <w:tcW w:w="1689" w:type="dxa"/>
            <w:vAlign w:val="center"/>
            <w:hideMark/>
          </w:tcPr>
          <w:p w14:paraId="0B011692"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0.893</w:t>
            </w:r>
          </w:p>
        </w:tc>
        <w:tc>
          <w:tcPr>
            <w:tcW w:w="1689" w:type="dxa"/>
            <w:vAlign w:val="bottom"/>
          </w:tcPr>
          <w:p w14:paraId="59D10A4F" w14:textId="20DEE12D"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-0.001116543</w:t>
            </w:r>
          </w:p>
        </w:tc>
        <w:tc>
          <w:tcPr>
            <w:tcW w:w="1689" w:type="dxa"/>
            <w:vAlign w:val="bottom"/>
          </w:tcPr>
          <w:p w14:paraId="43854DF8" w14:textId="21713438"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0.381</w:t>
            </w:r>
          </w:p>
        </w:tc>
      </w:tr>
      <w:tr w:rsidR="00CB6130" w:rsidRPr="00CB6130" w14:paraId="2DD9F4A8" w14:textId="6C0CF1B1" w:rsidTr="00CB6130">
        <w:trPr>
          <w:trHeight w:val="288"/>
          <w:jc w:val="center"/>
        </w:trPr>
        <w:tc>
          <w:tcPr>
            <w:tcW w:w="715" w:type="dxa"/>
            <w:vAlign w:val="center"/>
            <w:hideMark/>
          </w:tcPr>
          <w:p w14:paraId="72D20E5B"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H+5</w:t>
            </w:r>
          </w:p>
        </w:tc>
        <w:tc>
          <w:tcPr>
            <w:tcW w:w="1731" w:type="dxa"/>
            <w:vAlign w:val="center"/>
            <w:hideMark/>
          </w:tcPr>
          <w:p w14:paraId="7F7DB596" w14:textId="77777777" w:rsidR="00CB6130" w:rsidRPr="00CB6130" w:rsidRDefault="00CB6130" w:rsidP="00CB6130">
            <w:pPr>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-0.000195138</w:t>
            </w:r>
          </w:p>
        </w:tc>
        <w:tc>
          <w:tcPr>
            <w:tcW w:w="1689" w:type="dxa"/>
            <w:vAlign w:val="center"/>
            <w:hideMark/>
          </w:tcPr>
          <w:p w14:paraId="14AC3780" w14:textId="77777777" w:rsidR="00CB6130" w:rsidRPr="00CB6130" w:rsidRDefault="00CB6130" w:rsidP="00CB6130">
            <w:pPr>
              <w:keepNext/>
              <w:spacing w:line="240" w:lineRule="auto"/>
              <w:rPr>
                <w:rFonts w:ascii="Times New Roman" w:eastAsia="Times New Roman" w:hAnsi="Times New Roman" w:cs="Times New Roman"/>
                <w:i w:val="0"/>
                <w:color w:val="000000"/>
                <w:sz w:val="24"/>
                <w:szCs w:val="24"/>
                <w:lang w:val="en-ID"/>
              </w:rPr>
            </w:pPr>
            <w:r w:rsidRPr="00CB6130">
              <w:rPr>
                <w:rFonts w:ascii="Times New Roman" w:eastAsia="Times New Roman" w:hAnsi="Times New Roman" w:cs="Times New Roman"/>
                <w:i w:val="0"/>
                <w:color w:val="000000"/>
                <w:sz w:val="24"/>
                <w:szCs w:val="24"/>
                <w:lang w:val="en-ID"/>
              </w:rPr>
              <w:t>0.781</w:t>
            </w:r>
          </w:p>
        </w:tc>
        <w:tc>
          <w:tcPr>
            <w:tcW w:w="1689" w:type="dxa"/>
            <w:vAlign w:val="bottom"/>
          </w:tcPr>
          <w:p w14:paraId="06D28BEE" w14:textId="397EDFAC" w:rsidR="00CB6130" w:rsidRPr="00CB6130" w:rsidRDefault="00CB6130" w:rsidP="00CB6130">
            <w:pPr>
              <w:keepNext/>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-0.001065543</w:t>
            </w:r>
          </w:p>
        </w:tc>
        <w:tc>
          <w:tcPr>
            <w:tcW w:w="1689" w:type="dxa"/>
            <w:vAlign w:val="bottom"/>
          </w:tcPr>
          <w:p w14:paraId="564EE5DA" w14:textId="53578C52" w:rsidR="00CB6130" w:rsidRPr="00CB6130" w:rsidRDefault="00CB6130" w:rsidP="00CB6130">
            <w:pPr>
              <w:keepNext/>
              <w:spacing w:line="240" w:lineRule="auto"/>
              <w:rPr>
                <w:rFonts w:ascii="Times New Roman" w:eastAsia="Times New Roman" w:hAnsi="Times New Roman" w:cs="Times New Roman"/>
                <w:i w:val="0"/>
                <w:color w:val="000000"/>
                <w:sz w:val="24"/>
                <w:szCs w:val="24"/>
                <w:lang w:val="en-ID"/>
              </w:rPr>
            </w:pPr>
            <w:r w:rsidRPr="00CB6130">
              <w:rPr>
                <w:rFonts w:ascii="Times New Roman" w:hAnsi="Times New Roman" w:cs="Times New Roman"/>
                <w:i w:val="0"/>
                <w:sz w:val="24"/>
                <w:szCs w:val="24"/>
                <w:lang w:val="en-ID"/>
              </w:rPr>
              <w:t>0.413</w:t>
            </w:r>
          </w:p>
        </w:tc>
      </w:tr>
    </w:tbl>
    <w:p w14:paraId="4EF1C510" w14:textId="4900685F" w:rsidR="00C707CA" w:rsidRDefault="00C707CA" w:rsidP="00C707CA">
      <w:pPr>
        <w:pBdr>
          <w:top w:val="nil"/>
          <w:left w:val="nil"/>
          <w:bottom w:val="nil"/>
          <w:right w:val="nil"/>
          <w:between w:val="nil"/>
        </w:pBdr>
        <w:spacing w:after="0" w:line="240" w:lineRule="auto"/>
        <w:rPr>
          <w:rFonts w:ascii="Times New Roman" w:eastAsia="Times New Roman" w:hAnsi="Times New Roman" w:cs="Times New Roman"/>
          <w:i w:val="0"/>
        </w:rPr>
      </w:pPr>
      <w:r>
        <w:rPr>
          <w:rFonts w:ascii="Times New Roman" w:eastAsia="Times New Roman" w:hAnsi="Times New Roman" w:cs="Times New Roman"/>
          <w:i w:val="0"/>
        </w:rPr>
        <w:t xml:space="preserve">               </w:t>
      </w:r>
      <w:r w:rsidRPr="00C91714">
        <w:rPr>
          <w:rFonts w:ascii="Times New Roman" w:eastAsia="Times New Roman" w:hAnsi="Times New Roman" w:cs="Times New Roman"/>
          <w:i w:val="0"/>
        </w:rPr>
        <w:t>Source: Data Processed SPSS 22</w:t>
      </w:r>
    </w:p>
    <w:p w14:paraId="70A9F48E" w14:textId="77777777" w:rsidR="00CB6130" w:rsidRDefault="00CB6130" w:rsidP="00CB613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en-ID"/>
        </w:rPr>
      </w:pPr>
    </w:p>
    <w:p w14:paraId="42208EF9" w14:textId="3B41E520" w:rsidR="00080E7B" w:rsidRPr="00080E7B" w:rsidRDefault="00080E7B" w:rsidP="00080E7B">
      <w:pPr>
        <w:pBdr>
          <w:top w:val="nil"/>
          <w:left w:val="nil"/>
          <w:bottom w:val="nil"/>
          <w:right w:val="nil"/>
          <w:between w:val="nil"/>
        </w:pBdr>
        <w:spacing w:after="0" w:line="240" w:lineRule="auto"/>
        <w:jc w:val="both"/>
        <w:rPr>
          <w:rFonts w:ascii="Times New Roman" w:hAnsi="Times New Roman" w:cs="Times New Roman"/>
          <w:b/>
          <w:bCs/>
          <w:i w:val="0"/>
          <w:color w:val="000000" w:themeColor="text1"/>
          <w:sz w:val="24"/>
          <w:szCs w:val="24"/>
        </w:rPr>
      </w:pPr>
      <w:r>
        <w:rPr>
          <w:rFonts w:ascii="Times New Roman" w:eastAsia="Times New Roman" w:hAnsi="Times New Roman" w:cs="Times New Roman"/>
          <w:b/>
          <w:bCs/>
          <w:i w:val="0"/>
          <w:iCs/>
          <w:color w:val="000000"/>
          <w:sz w:val="24"/>
          <w:szCs w:val="24"/>
          <w:lang w:val="en-ID"/>
        </w:rPr>
        <w:t xml:space="preserve">Capital Market Reaction to </w:t>
      </w:r>
      <w:r w:rsidRPr="00080E7B">
        <w:rPr>
          <w:rFonts w:ascii="Times New Roman" w:eastAsia="Times New Roman" w:hAnsi="Times New Roman" w:cs="Times New Roman"/>
          <w:b/>
          <w:bCs/>
          <w:i w:val="0"/>
          <w:iCs/>
          <w:color w:val="000000"/>
          <w:sz w:val="24"/>
          <w:szCs w:val="24"/>
          <w:lang w:val="en-ID"/>
        </w:rPr>
        <w:t xml:space="preserve">Trading Volume Activity </w:t>
      </w:r>
      <w:r>
        <w:rPr>
          <w:rFonts w:ascii="Times New Roman" w:eastAsia="Times New Roman" w:hAnsi="Times New Roman" w:cs="Times New Roman"/>
          <w:b/>
          <w:bCs/>
          <w:i w:val="0"/>
          <w:iCs/>
          <w:color w:val="000000"/>
          <w:sz w:val="24"/>
          <w:szCs w:val="24"/>
          <w:lang w:val="en-ID"/>
        </w:rPr>
        <w:t xml:space="preserve">to </w:t>
      </w:r>
      <w:r w:rsidRPr="00D71D04">
        <w:rPr>
          <w:rFonts w:ascii="Times New Roman" w:eastAsia="Times New Roman" w:hAnsi="Times New Roman" w:cs="Times New Roman"/>
          <w:b/>
          <w:bCs/>
          <w:i w:val="0"/>
          <w:color w:val="000000"/>
          <w:sz w:val="24"/>
          <w:szCs w:val="24"/>
        </w:rPr>
        <w:t>Eid al-Fitr</w:t>
      </w:r>
      <w:r>
        <w:rPr>
          <w:rFonts w:ascii="Times New Roman" w:eastAsia="Times New Roman" w:hAnsi="Times New Roman" w:cs="Times New Roman"/>
          <w:b/>
          <w:bCs/>
          <w:i w:val="0"/>
          <w:color w:val="000000"/>
          <w:sz w:val="24"/>
          <w:szCs w:val="24"/>
        </w:rPr>
        <w:t xml:space="preserve"> and </w:t>
      </w:r>
      <w:r w:rsidRPr="00D71D04">
        <w:rPr>
          <w:rFonts w:ascii="Times New Roman" w:hAnsi="Times New Roman" w:cs="Times New Roman"/>
          <w:b/>
          <w:bCs/>
          <w:i w:val="0"/>
          <w:color w:val="000000" w:themeColor="text1"/>
          <w:sz w:val="24"/>
          <w:szCs w:val="24"/>
        </w:rPr>
        <w:t xml:space="preserve">Eid al-Adha </w:t>
      </w:r>
      <w:r>
        <w:rPr>
          <w:rFonts w:ascii="Times New Roman" w:hAnsi="Times New Roman" w:cs="Times New Roman"/>
          <w:b/>
          <w:bCs/>
          <w:i w:val="0"/>
          <w:color w:val="000000" w:themeColor="text1"/>
          <w:sz w:val="24"/>
          <w:szCs w:val="24"/>
        </w:rPr>
        <w:t>E</w:t>
      </w:r>
      <w:r w:rsidRPr="00D71D04">
        <w:rPr>
          <w:rFonts w:ascii="Times New Roman" w:hAnsi="Times New Roman" w:cs="Times New Roman"/>
          <w:b/>
          <w:bCs/>
          <w:i w:val="0"/>
          <w:color w:val="000000" w:themeColor="text1"/>
          <w:sz w:val="24"/>
          <w:szCs w:val="24"/>
        </w:rPr>
        <w:t>vent</w:t>
      </w:r>
    </w:p>
    <w:p w14:paraId="36DDDC6A" w14:textId="77777777" w:rsidR="0002238B" w:rsidRPr="0002238B" w:rsidRDefault="0002238B" w:rsidP="0002238B">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en-ID"/>
        </w:rPr>
      </w:pPr>
      <w:r w:rsidRPr="0002238B">
        <w:rPr>
          <w:rFonts w:ascii="Times New Roman" w:eastAsia="Times New Roman" w:hAnsi="Times New Roman" w:cs="Times New Roman"/>
          <w:i w:val="0"/>
          <w:color w:val="000000"/>
          <w:sz w:val="24"/>
          <w:szCs w:val="24"/>
          <w:lang w:val="en-ID"/>
        </w:rPr>
        <w:t xml:space="preserve">The significance test results for Trading Volume Activity (TVA) during the event window period of Eid al-Fitr from 2018 to 2022 indicate no significant difference between the event window and non-event window periods. Based on the independent sample t-test, all significance values are well above the 10% threshold, with an average p-value exceeding 0.4. However, the mean difference values reveal that TVA during the event window is generally higher than in the non-event window, with a decline beginning from day H+2 to H+5. This suggests a tendency for increased trading activity leading up to the holiday, which gradually subsides afterward, although the effect is not statistically strong. From the perspective of the semi-strong form of the efficient market hypothesis, these findings imply that public information related to Eid al-Fitr has been fully incorporated into stock prices and trading volumes, resulting in a rational market response without abnormal spikes. This phenomenon also reflects the cautious </w:t>
      </w:r>
      <w:proofErr w:type="spellStart"/>
      <w:r w:rsidRPr="0002238B">
        <w:rPr>
          <w:rFonts w:ascii="Times New Roman" w:eastAsia="Times New Roman" w:hAnsi="Times New Roman" w:cs="Times New Roman"/>
          <w:i w:val="0"/>
          <w:color w:val="000000"/>
          <w:sz w:val="24"/>
          <w:szCs w:val="24"/>
          <w:lang w:val="en-ID"/>
        </w:rPr>
        <w:t>behavior</w:t>
      </w:r>
      <w:proofErr w:type="spellEnd"/>
      <w:r w:rsidRPr="0002238B">
        <w:rPr>
          <w:rFonts w:ascii="Times New Roman" w:eastAsia="Times New Roman" w:hAnsi="Times New Roman" w:cs="Times New Roman"/>
          <w:i w:val="0"/>
          <w:color w:val="000000"/>
          <w:sz w:val="24"/>
          <w:szCs w:val="24"/>
          <w:lang w:val="en-ID"/>
        </w:rPr>
        <w:t xml:space="preserve"> of Indonesian investors during major holidays, who tend to maintain their positions rather than engage in large transactions, contrasting with patterns observed in other markets that often experience volume surges.</w:t>
      </w:r>
    </w:p>
    <w:p w14:paraId="785D9F0D" w14:textId="77777777" w:rsidR="0002238B" w:rsidRPr="0002238B" w:rsidRDefault="0002238B" w:rsidP="0002238B">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lang w:val="en-ID"/>
        </w:rPr>
      </w:pPr>
      <w:r w:rsidRPr="0002238B">
        <w:rPr>
          <w:rFonts w:ascii="Times New Roman" w:eastAsia="Times New Roman" w:hAnsi="Times New Roman" w:cs="Times New Roman"/>
          <w:i w:val="0"/>
          <w:color w:val="000000"/>
          <w:sz w:val="24"/>
          <w:szCs w:val="24"/>
          <w:lang w:val="en-ID"/>
        </w:rPr>
        <w:t xml:space="preserve">Similarly, the significance test results for TVA during the Eid al-Adha event window show no significant differences between the event and non-event periods. All p-values remain well above the 10% threshold, with the lowest value at 0.314 on day H-5. The average mean difference indicates a general decrease in trading volume throughout the event window, except </w:t>
      </w:r>
      <w:r w:rsidRPr="0002238B">
        <w:rPr>
          <w:rFonts w:ascii="Times New Roman" w:eastAsia="Times New Roman" w:hAnsi="Times New Roman" w:cs="Times New Roman"/>
          <w:i w:val="0"/>
          <w:color w:val="000000"/>
          <w:sz w:val="24"/>
          <w:szCs w:val="24"/>
          <w:lang w:val="en-ID"/>
        </w:rPr>
        <w:lastRenderedPageBreak/>
        <w:t>for a slight increase on day H-1. These findings suggest that the market has efficiently anticipated the Eid al-Adha event without exhibiting significant transaction spikes. The relatively limited economic impact of Eid al-Adha compared to Eid al-Fitr, along with the shorter holiday duration, likely contribute to the subdued market reaction. Consequently, the hypotheses asserting significant market reactions in TVA around both Eid al-Fitr and Eid al-Adha are rejected, reaffirming that the Indonesian capital market operates efficiently and remains stable during these periods.</w:t>
      </w:r>
    </w:p>
    <w:p w14:paraId="3F1F9441" w14:textId="77777777" w:rsidR="00FC61C8" w:rsidRDefault="00FC61C8" w:rsidP="0002238B">
      <w:pPr>
        <w:spacing w:after="0" w:line="240" w:lineRule="auto"/>
        <w:jc w:val="both"/>
        <w:rPr>
          <w:rFonts w:ascii="Times New Roman" w:eastAsia="Times New Roman" w:hAnsi="Times New Roman" w:cs="Times New Roman"/>
          <w:i w:val="0"/>
          <w:sz w:val="24"/>
          <w:szCs w:val="24"/>
        </w:rPr>
      </w:pPr>
    </w:p>
    <w:p w14:paraId="39874593"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24FD34F9" w14:textId="683FF65A" w:rsidR="0002238B" w:rsidRPr="0002238B" w:rsidRDefault="0002238B" w:rsidP="0002238B">
      <w:pPr>
        <w:spacing w:after="0" w:line="240" w:lineRule="auto"/>
        <w:ind w:firstLine="426"/>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Based on the analysis of abnormal return (AR) and trading volume activity (TVA) during the event window periods of Eid al-Fitr and Eid al-Adha from 2018 to 2022, this study found indications of a market reaction, particularly during the Eid al-Fitr event. For the AR variable, significant values below the 10% significance level were observed on days H-3 (three days before) and H+2 (two days after) Eid al-Fitr, with positive directions on both days. This suggests a relatively strong market response to the event</w:t>
      </w:r>
      <w:r w:rsidR="00080E7B">
        <w:rPr>
          <w:rFonts w:ascii="Times New Roman" w:eastAsia="Times New Roman" w:hAnsi="Times New Roman" w:cs="Times New Roman"/>
          <w:bCs/>
          <w:i w:val="0"/>
          <w:sz w:val="24"/>
          <w:szCs w:val="24"/>
          <w:lang w:val="en-ID"/>
        </w:rPr>
        <w:t>.</w:t>
      </w:r>
    </w:p>
    <w:p w14:paraId="20E605FB" w14:textId="77777777" w:rsidR="0002238B" w:rsidRPr="0002238B" w:rsidRDefault="0002238B" w:rsidP="0002238B">
      <w:pPr>
        <w:spacing w:after="0" w:line="240" w:lineRule="auto"/>
        <w:ind w:firstLine="426"/>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Conversely, during Eid al-Adha, no significant abnormal returns were detected either before or after the event, indicating that the market did not respond meaningfully to this occasion. Similarly, for the TVA variable, no significant values were found on any observation day during either Eid al-Fitr or Eid al-Adha, suggesting that stock trading volumes did not experience significant deviations due to these religious events.</w:t>
      </w:r>
    </w:p>
    <w:p w14:paraId="338039A3" w14:textId="77777777" w:rsidR="0002238B" w:rsidRPr="0002238B" w:rsidRDefault="0002238B" w:rsidP="0002238B">
      <w:p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These results align with the semi-strong form efficient market hypothesis, which asserts that stock prices quickly and accurately reflect all public information, making it difficult to consistently earn abnormal profits from routine events such as religious holidays. The reactions observed on H-3 and H+2 during Eid al-Fitr more likely represent short-term investor sentiment effects related to expectations of public consumption before and after the long holiday period.</w:t>
      </w:r>
    </w:p>
    <w:p w14:paraId="592FF8AE" w14:textId="77777777" w:rsidR="0002238B" w:rsidRPr="0002238B" w:rsidRDefault="0002238B" w:rsidP="0002238B">
      <w:p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Overall, it can be concluded that:</w:t>
      </w:r>
    </w:p>
    <w:p w14:paraId="20641C94" w14:textId="77777777" w:rsidR="0002238B" w:rsidRPr="0002238B" w:rsidRDefault="0002238B" w:rsidP="0002238B">
      <w:pPr>
        <w:numPr>
          <w:ilvl w:val="0"/>
          <w:numId w:val="2"/>
        </w:num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H1a: There is a market reaction to Eid al-Fitr reflected by significant abnormal returns around the event period. (Accepted)</w:t>
      </w:r>
    </w:p>
    <w:p w14:paraId="3BA92CC9" w14:textId="77777777" w:rsidR="0002238B" w:rsidRPr="0002238B" w:rsidRDefault="0002238B" w:rsidP="0002238B">
      <w:pPr>
        <w:numPr>
          <w:ilvl w:val="0"/>
          <w:numId w:val="2"/>
        </w:num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H1b: There is a market reaction to Eid al-Adha reflected by significant abnormal returns around the event period. (Rejected)</w:t>
      </w:r>
    </w:p>
    <w:p w14:paraId="6427FEBF" w14:textId="77777777" w:rsidR="0002238B" w:rsidRPr="0002238B" w:rsidRDefault="0002238B" w:rsidP="0002238B">
      <w:pPr>
        <w:numPr>
          <w:ilvl w:val="0"/>
          <w:numId w:val="2"/>
        </w:num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H2a: There is a market reaction to Eid al-Fitr reflected by significant trading volume activity (TVA) around the event period. (Rejected)</w:t>
      </w:r>
    </w:p>
    <w:p w14:paraId="6D64DC85" w14:textId="77777777" w:rsidR="0002238B" w:rsidRPr="0002238B" w:rsidRDefault="0002238B" w:rsidP="0002238B">
      <w:pPr>
        <w:numPr>
          <w:ilvl w:val="0"/>
          <w:numId w:val="2"/>
        </w:num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H2b: There is a market reaction to Eid al-Adha reflected by significant trading volume activity (TVA) around the event period. (Rejected)</w:t>
      </w:r>
    </w:p>
    <w:p w14:paraId="41BADF3D" w14:textId="41923711" w:rsidR="0002238B" w:rsidRPr="0002238B" w:rsidRDefault="0002238B">
      <w:pPr>
        <w:spacing w:after="0" w:line="240" w:lineRule="auto"/>
        <w:jc w:val="both"/>
        <w:rPr>
          <w:rFonts w:ascii="Times New Roman" w:eastAsia="Times New Roman" w:hAnsi="Times New Roman" w:cs="Times New Roman"/>
          <w:bCs/>
          <w:i w:val="0"/>
          <w:sz w:val="24"/>
          <w:szCs w:val="24"/>
          <w:lang w:val="en-ID"/>
        </w:rPr>
      </w:pPr>
      <w:r w:rsidRPr="0002238B">
        <w:rPr>
          <w:rFonts w:ascii="Times New Roman" w:eastAsia="Times New Roman" w:hAnsi="Times New Roman" w:cs="Times New Roman"/>
          <w:bCs/>
          <w:i w:val="0"/>
          <w:sz w:val="24"/>
          <w:szCs w:val="24"/>
          <w:lang w:val="en-ID"/>
        </w:rPr>
        <w:t>These findings reinforce that, in the context of the Indonesian capital market, major religious events such as Eid al-Fitr only trigger limited abnormal market reactions under specific conditions, while generally, the market operates in accordance with the principles of efficiency.</w:t>
      </w:r>
    </w:p>
    <w:p w14:paraId="53F20979" w14:textId="77777777" w:rsidR="00FC61C8" w:rsidRDefault="00FC61C8">
      <w:pPr>
        <w:spacing w:after="0" w:line="240" w:lineRule="auto"/>
        <w:jc w:val="both"/>
        <w:rPr>
          <w:rFonts w:ascii="Times New Roman" w:eastAsia="Times New Roman" w:hAnsi="Times New Roman" w:cs="Times New Roman"/>
          <w:b/>
          <w:i w:val="0"/>
          <w:sz w:val="24"/>
          <w:szCs w:val="24"/>
        </w:rPr>
      </w:pPr>
    </w:p>
    <w:p w14:paraId="07623C61"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3E028BE1" w14:textId="77777777" w:rsidR="00FC61C8" w:rsidRDefault="00FC61C8">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
    <w:p w14:paraId="4266BA74" w14:textId="5CB5C2CF"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 xml:space="preserve">Aditya, N. R., &amp; </w:t>
      </w:r>
      <w:proofErr w:type="spellStart"/>
      <w:r w:rsidRPr="00641606">
        <w:rPr>
          <w:rFonts w:ascii="Times New Roman" w:eastAsia="Times New Roman" w:hAnsi="Times New Roman" w:cs="Times New Roman"/>
          <w:i w:val="0"/>
          <w:color w:val="000000"/>
          <w:sz w:val="24"/>
          <w:szCs w:val="24"/>
        </w:rPr>
        <w:t>Agmasari</w:t>
      </w:r>
      <w:proofErr w:type="spellEnd"/>
      <w:r w:rsidRPr="00641606">
        <w:rPr>
          <w:rFonts w:ascii="Times New Roman" w:eastAsia="Times New Roman" w:hAnsi="Times New Roman" w:cs="Times New Roman"/>
          <w:i w:val="0"/>
          <w:color w:val="000000"/>
          <w:sz w:val="24"/>
          <w:szCs w:val="24"/>
        </w:rPr>
        <w:t xml:space="preserve">, S. (2020, March 10). </w:t>
      </w:r>
      <w:proofErr w:type="spellStart"/>
      <w:r w:rsidRPr="00641606">
        <w:rPr>
          <w:rFonts w:ascii="Times New Roman" w:eastAsia="Times New Roman" w:hAnsi="Times New Roman" w:cs="Times New Roman"/>
          <w:i w:val="0"/>
          <w:color w:val="000000"/>
          <w:sz w:val="24"/>
          <w:szCs w:val="24"/>
        </w:rPr>
        <w:t>Jumlah</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hari</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libur</w:t>
      </w:r>
      <w:proofErr w:type="spellEnd"/>
      <w:r w:rsidRPr="00641606">
        <w:rPr>
          <w:rFonts w:ascii="Times New Roman" w:eastAsia="Times New Roman" w:hAnsi="Times New Roman" w:cs="Times New Roman"/>
          <w:i w:val="0"/>
          <w:color w:val="000000"/>
          <w:sz w:val="24"/>
          <w:szCs w:val="24"/>
        </w:rPr>
        <w:t xml:space="preserve"> Indonesia </w:t>
      </w:r>
      <w:proofErr w:type="spellStart"/>
      <w:r w:rsidRPr="00641606">
        <w:rPr>
          <w:rFonts w:ascii="Times New Roman" w:eastAsia="Times New Roman" w:hAnsi="Times New Roman" w:cs="Times New Roman"/>
          <w:i w:val="0"/>
          <w:color w:val="000000"/>
          <w:sz w:val="24"/>
          <w:szCs w:val="24"/>
        </w:rPr>
        <w:t>terlalu</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banyak</w:t>
      </w:r>
      <w:proofErr w:type="spellEnd"/>
      <w:r w:rsidRPr="00641606">
        <w:rPr>
          <w:rFonts w:ascii="Times New Roman" w:eastAsia="Times New Roman" w:hAnsi="Times New Roman" w:cs="Times New Roman"/>
          <w:i w:val="0"/>
          <w:color w:val="000000"/>
          <w:sz w:val="24"/>
          <w:szCs w:val="24"/>
        </w:rPr>
        <w:t xml:space="preserve">? Ini </w:t>
      </w:r>
      <w:proofErr w:type="spellStart"/>
      <w:r w:rsidRPr="00641606">
        <w:rPr>
          <w:rFonts w:ascii="Times New Roman" w:eastAsia="Times New Roman" w:hAnsi="Times New Roman" w:cs="Times New Roman"/>
          <w:i w:val="0"/>
          <w:color w:val="000000"/>
          <w:sz w:val="24"/>
          <w:szCs w:val="24"/>
        </w:rPr>
        <w:t>perbandingannya</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dengan</w:t>
      </w:r>
      <w:proofErr w:type="spellEnd"/>
      <w:r w:rsidRPr="00641606">
        <w:rPr>
          <w:rFonts w:ascii="Times New Roman" w:eastAsia="Times New Roman" w:hAnsi="Times New Roman" w:cs="Times New Roman"/>
          <w:i w:val="0"/>
          <w:color w:val="000000"/>
          <w:sz w:val="24"/>
          <w:szCs w:val="24"/>
        </w:rPr>
        <w:t xml:space="preserve"> negara lain. Kompas.com. https://travel.kompas.com/</w:t>
      </w:r>
    </w:p>
    <w:p w14:paraId="2F3806E5" w14:textId="43FF5FA2"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Ali, I., Akhter, W., &amp; Chaudhry, N. (2023). Do Islamic holy days affect stock returns? Empirical evidence from Asian and African markets. Journal of Islamic Marketing, 14(1), 273–288. https://doi.org/10.1108/JIMA-09-2020-0285</w:t>
      </w:r>
    </w:p>
    <w:p w14:paraId="63AFE894" w14:textId="47759641"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lang w:val="fi-FI"/>
        </w:rPr>
      </w:pPr>
      <w:r w:rsidRPr="00641606">
        <w:rPr>
          <w:rFonts w:ascii="Times New Roman" w:eastAsia="Times New Roman" w:hAnsi="Times New Roman" w:cs="Times New Roman"/>
          <w:i w:val="0"/>
          <w:color w:val="000000"/>
          <w:sz w:val="24"/>
          <w:szCs w:val="24"/>
          <w:lang w:val="fi-FI"/>
        </w:rPr>
        <w:t>Angela, G. (2023). Kinerja saham akselerasi dalam isu inflasi: Kasus sektor konsumen non-primer. https://doi.org/10.58784/mbkk</w:t>
      </w:r>
    </w:p>
    <w:p w14:paraId="67E1E13C" w14:textId="05121AC7"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lastRenderedPageBreak/>
        <w:t>Ariel, R. A. (1990). High stock returns before holidays: Existence and evidence on possible causes. The Journal of Finance, 45(5), 1611–1626. https://doi.org/10.1111/j.1540-6261.1990.tb03731.x</w:t>
      </w:r>
    </w:p>
    <w:p w14:paraId="6412F043" w14:textId="2299EBA2"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641606">
        <w:rPr>
          <w:rFonts w:ascii="Times New Roman" w:eastAsia="Times New Roman" w:hAnsi="Times New Roman" w:cs="Times New Roman"/>
          <w:i w:val="0"/>
          <w:color w:val="000000"/>
          <w:sz w:val="24"/>
          <w:szCs w:val="24"/>
        </w:rPr>
        <w:t>Baldenius</w:t>
      </w:r>
      <w:proofErr w:type="spellEnd"/>
      <w:r w:rsidRPr="00641606">
        <w:rPr>
          <w:rFonts w:ascii="Times New Roman" w:eastAsia="Times New Roman" w:hAnsi="Times New Roman" w:cs="Times New Roman"/>
          <w:i w:val="0"/>
          <w:color w:val="000000"/>
          <w:sz w:val="24"/>
          <w:szCs w:val="24"/>
        </w:rPr>
        <w:t>, T., &amp; Meng, X. (2010). Signaling firm value to active investors. Review of Accounting Studies, 15(3), 584–619. https://doi.org/10.1007/s11142-010-9130-7</w:t>
      </w:r>
    </w:p>
    <w:p w14:paraId="794797FB" w14:textId="05F16731"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641606">
        <w:rPr>
          <w:rFonts w:ascii="Times New Roman" w:eastAsia="Times New Roman" w:hAnsi="Times New Roman" w:cs="Times New Roman"/>
          <w:i w:val="0"/>
          <w:color w:val="000000"/>
          <w:sz w:val="24"/>
          <w:szCs w:val="24"/>
        </w:rPr>
        <w:t>Chiah</w:t>
      </w:r>
      <w:proofErr w:type="spellEnd"/>
      <w:r w:rsidRPr="00641606">
        <w:rPr>
          <w:rFonts w:ascii="Times New Roman" w:eastAsia="Times New Roman" w:hAnsi="Times New Roman" w:cs="Times New Roman"/>
          <w:i w:val="0"/>
          <w:color w:val="000000"/>
          <w:sz w:val="24"/>
          <w:szCs w:val="24"/>
        </w:rPr>
        <w:t>, M., &amp; Zhong, A. (2021). Tuesday blues and the day-of-the-week effect in stock returns. Journal of Banking and Finance, 133, 106243. https://doi.org/10.1016/j.jbankfin.2021.106243</w:t>
      </w:r>
    </w:p>
    <w:p w14:paraId="391EE683" w14:textId="19108544"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641606">
        <w:rPr>
          <w:rFonts w:ascii="Times New Roman" w:eastAsia="Times New Roman" w:hAnsi="Times New Roman" w:cs="Times New Roman"/>
          <w:i w:val="0"/>
          <w:color w:val="000000"/>
          <w:sz w:val="24"/>
          <w:szCs w:val="24"/>
        </w:rPr>
        <w:t>Darmadji</w:t>
      </w:r>
      <w:proofErr w:type="spellEnd"/>
      <w:r w:rsidRPr="00641606">
        <w:rPr>
          <w:rFonts w:ascii="Times New Roman" w:eastAsia="Times New Roman" w:hAnsi="Times New Roman" w:cs="Times New Roman"/>
          <w:i w:val="0"/>
          <w:color w:val="000000"/>
          <w:sz w:val="24"/>
          <w:szCs w:val="24"/>
        </w:rPr>
        <w:t xml:space="preserve">, T., &amp; Fakhruddin, H. M. (2011). Pasar modal di Indonesia (3rd ed.). </w:t>
      </w:r>
      <w:proofErr w:type="spellStart"/>
      <w:r w:rsidRPr="00641606">
        <w:rPr>
          <w:rFonts w:ascii="Times New Roman" w:eastAsia="Times New Roman" w:hAnsi="Times New Roman" w:cs="Times New Roman"/>
          <w:i w:val="0"/>
          <w:color w:val="000000"/>
          <w:sz w:val="24"/>
          <w:szCs w:val="24"/>
        </w:rPr>
        <w:t>Salemba</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Empat</w:t>
      </w:r>
      <w:proofErr w:type="spellEnd"/>
      <w:r w:rsidRPr="00641606">
        <w:rPr>
          <w:rFonts w:ascii="Times New Roman" w:eastAsia="Times New Roman" w:hAnsi="Times New Roman" w:cs="Times New Roman"/>
          <w:i w:val="0"/>
          <w:color w:val="000000"/>
          <w:sz w:val="24"/>
          <w:szCs w:val="24"/>
        </w:rPr>
        <w:t>.</w:t>
      </w:r>
    </w:p>
    <w:p w14:paraId="07C45A99" w14:textId="140AAB8B"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641606">
        <w:rPr>
          <w:rFonts w:ascii="Times New Roman" w:eastAsia="Times New Roman" w:hAnsi="Times New Roman" w:cs="Times New Roman"/>
          <w:i w:val="0"/>
          <w:color w:val="000000"/>
          <w:sz w:val="24"/>
          <w:szCs w:val="24"/>
        </w:rPr>
        <w:t>Dumitiru</w:t>
      </w:r>
      <w:proofErr w:type="spellEnd"/>
      <w:r w:rsidRPr="00641606">
        <w:rPr>
          <w:rFonts w:ascii="Times New Roman" w:eastAsia="Times New Roman" w:hAnsi="Times New Roman" w:cs="Times New Roman"/>
          <w:i w:val="0"/>
          <w:color w:val="000000"/>
          <w:sz w:val="24"/>
          <w:szCs w:val="24"/>
        </w:rPr>
        <w:t xml:space="preserve">, R., &amp; Stefanescu, R. (2020). The extended holiday effect on US capital market. Munich Personal </w:t>
      </w:r>
      <w:proofErr w:type="spellStart"/>
      <w:r w:rsidRPr="00641606">
        <w:rPr>
          <w:rFonts w:ascii="Times New Roman" w:eastAsia="Times New Roman" w:hAnsi="Times New Roman" w:cs="Times New Roman"/>
          <w:i w:val="0"/>
          <w:color w:val="000000"/>
          <w:sz w:val="24"/>
          <w:szCs w:val="24"/>
        </w:rPr>
        <w:t>RePEc</w:t>
      </w:r>
      <w:proofErr w:type="spellEnd"/>
      <w:r w:rsidRPr="00641606">
        <w:rPr>
          <w:rFonts w:ascii="Times New Roman" w:eastAsia="Times New Roman" w:hAnsi="Times New Roman" w:cs="Times New Roman"/>
          <w:i w:val="0"/>
          <w:color w:val="000000"/>
          <w:sz w:val="24"/>
          <w:szCs w:val="24"/>
        </w:rPr>
        <w:t xml:space="preserve"> Archive (MPRA). https://mpra.ub.uni-muenchen.de/ </w:t>
      </w:r>
    </w:p>
    <w:p w14:paraId="12D45A1B" w14:textId="77777777"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Fama, E. F. (1970). Efficient capital markets: A review of theory and empirical work. The Journal of Finance, 25(2), 383–417.</w:t>
      </w:r>
    </w:p>
    <w:p w14:paraId="77916BF6" w14:textId="77777777"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
    <w:p w14:paraId="74990606" w14:textId="7863B175"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Fleming, G., Liu, Z. (Frank), Merrett, D., &amp; Ville, S. (2024). Are investors attentive before a one-off holiday? Journal of Accounting Literature. https://doi.org/10.1108/JAL-08-2024-0219</w:t>
      </w:r>
    </w:p>
    <w:p w14:paraId="7FF0D922" w14:textId="239BDE06"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 xml:space="preserve">Hidayat, A. N. (2024, May 24). </w:t>
      </w:r>
      <w:proofErr w:type="spellStart"/>
      <w:r w:rsidRPr="00641606">
        <w:rPr>
          <w:rFonts w:ascii="Times New Roman" w:eastAsia="Times New Roman" w:hAnsi="Times New Roman" w:cs="Times New Roman"/>
          <w:i w:val="0"/>
          <w:color w:val="000000"/>
          <w:sz w:val="24"/>
          <w:szCs w:val="24"/>
        </w:rPr>
        <w:t>Dampak</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ekonomi</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hari</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libur</w:t>
      </w:r>
      <w:proofErr w:type="spellEnd"/>
      <w:r w:rsidRPr="00641606">
        <w:rPr>
          <w:rFonts w:ascii="Times New Roman" w:eastAsia="Times New Roman" w:hAnsi="Times New Roman" w:cs="Times New Roman"/>
          <w:i w:val="0"/>
          <w:color w:val="000000"/>
          <w:sz w:val="24"/>
          <w:szCs w:val="24"/>
        </w:rPr>
        <w:t xml:space="preserve"> dan </w:t>
      </w:r>
      <w:proofErr w:type="spellStart"/>
      <w:r w:rsidRPr="00641606">
        <w:rPr>
          <w:rFonts w:ascii="Times New Roman" w:eastAsia="Times New Roman" w:hAnsi="Times New Roman" w:cs="Times New Roman"/>
          <w:i w:val="0"/>
          <w:color w:val="000000"/>
          <w:sz w:val="24"/>
          <w:szCs w:val="24"/>
        </w:rPr>
        <w:t>cuti</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bersama</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sepanjang</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tahun</w:t>
      </w:r>
      <w:proofErr w:type="spellEnd"/>
      <w:r w:rsidRPr="00641606">
        <w:rPr>
          <w:rFonts w:ascii="Times New Roman" w:eastAsia="Times New Roman" w:hAnsi="Times New Roman" w:cs="Times New Roman"/>
          <w:i w:val="0"/>
          <w:color w:val="000000"/>
          <w:sz w:val="24"/>
          <w:szCs w:val="24"/>
        </w:rPr>
        <w:t xml:space="preserve"> 2024. Achmadnurhidayat.id.</w:t>
      </w:r>
    </w:p>
    <w:p w14:paraId="4C6BC8B5" w14:textId="2DA16439"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Kim, C.-W., &amp; Park, J. (1994). Holiday effects and stock returns: Further evidence. The Journal of Financial and Quantitative Analysis, 29(1), 145–157. http://www.jstor.org/stable/2331196</w:t>
      </w:r>
    </w:p>
    <w:p w14:paraId="3499225D" w14:textId="2CB6A07B"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Kudryavtsev, A. (2019). Holiday effect on large stock price changes. Annals of Economics and Finance.</w:t>
      </w:r>
    </w:p>
    <w:p w14:paraId="24B57230" w14:textId="238EA298"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Ma, R., Anderson, H. D., &amp; Marshall, B. R. (2017). Stock market liquidity and trading activity: Is China different? (Publisher not specified—please complete if available)</w:t>
      </w:r>
    </w:p>
    <w:p w14:paraId="3F548578" w14:textId="32006A6D"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rPr>
        <w:t xml:space="preserve">Misra, S., Narayan, U., Pramanik, V. B., &amp; Iyengar, P. S. (2020). Buyback of shares and </w:t>
      </w:r>
      <w:proofErr w:type="gramStart"/>
      <w:r w:rsidRPr="00641606">
        <w:rPr>
          <w:rFonts w:ascii="Times New Roman" w:eastAsia="Times New Roman" w:hAnsi="Times New Roman" w:cs="Times New Roman"/>
          <w:i w:val="0"/>
          <w:color w:val="000000"/>
          <w:sz w:val="24"/>
          <w:szCs w:val="24"/>
        </w:rPr>
        <w:t>its</w:t>
      </w:r>
      <w:proofErr w:type="gramEnd"/>
      <w:r w:rsidRPr="00641606">
        <w:rPr>
          <w:rFonts w:ascii="Times New Roman" w:eastAsia="Times New Roman" w:hAnsi="Times New Roman" w:cs="Times New Roman"/>
          <w:i w:val="0"/>
          <w:color w:val="000000"/>
          <w:sz w:val="24"/>
          <w:szCs w:val="24"/>
        </w:rPr>
        <w:t xml:space="preserve"> signaling theory. International Journal of Information Systems and Social Change, 11(2), 14–23. https://doi.org/10.4018/IJISSC.2020040102</w:t>
      </w:r>
    </w:p>
    <w:p w14:paraId="6051A677" w14:textId="54FF9CD5"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lang w:val="fi-FI"/>
        </w:rPr>
      </w:pPr>
      <w:r w:rsidRPr="00641606">
        <w:rPr>
          <w:rFonts w:ascii="Times New Roman" w:eastAsia="Times New Roman" w:hAnsi="Times New Roman" w:cs="Times New Roman"/>
          <w:i w:val="0"/>
          <w:color w:val="000000"/>
          <w:sz w:val="24"/>
          <w:szCs w:val="24"/>
          <w:lang w:val="fi-FI"/>
        </w:rPr>
        <w:t>Nanda, G., &amp; Wirakusuma, M. (2020). Reaksi pasar atas momentum Hari Raya Idul Fitri tahun 2019. E-Jurnal Akuntansi, 30(5), 1247–1261. https://doi.org/10.24843/eja.2020.v30.i05.p14</w:t>
      </w:r>
    </w:p>
    <w:p w14:paraId="46765A97" w14:textId="6D306AEC"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lang w:val="fi-FI"/>
        </w:rPr>
        <w:t xml:space="preserve">Sabila, H. H., Karim, K. N., &amp; Hudaya, R. (2022). </w:t>
      </w:r>
      <w:proofErr w:type="spellStart"/>
      <w:r w:rsidRPr="00641606">
        <w:rPr>
          <w:rFonts w:ascii="Times New Roman" w:eastAsia="Times New Roman" w:hAnsi="Times New Roman" w:cs="Times New Roman"/>
          <w:i w:val="0"/>
          <w:color w:val="000000"/>
          <w:sz w:val="24"/>
          <w:szCs w:val="24"/>
        </w:rPr>
        <w:t>Analisis</w:t>
      </w:r>
      <w:proofErr w:type="spellEnd"/>
      <w:r w:rsidRPr="00641606">
        <w:rPr>
          <w:rFonts w:ascii="Times New Roman" w:eastAsia="Times New Roman" w:hAnsi="Times New Roman" w:cs="Times New Roman"/>
          <w:i w:val="0"/>
          <w:color w:val="000000"/>
          <w:sz w:val="24"/>
          <w:szCs w:val="24"/>
        </w:rPr>
        <w:t xml:space="preserve"> abnormal return dan trading volume activity </w:t>
      </w:r>
      <w:proofErr w:type="spellStart"/>
      <w:r w:rsidRPr="00641606">
        <w:rPr>
          <w:rFonts w:ascii="Times New Roman" w:eastAsia="Times New Roman" w:hAnsi="Times New Roman" w:cs="Times New Roman"/>
          <w:i w:val="0"/>
          <w:color w:val="000000"/>
          <w:sz w:val="24"/>
          <w:szCs w:val="24"/>
        </w:rPr>
        <w:t>sebelum</w:t>
      </w:r>
      <w:proofErr w:type="spellEnd"/>
      <w:r w:rsidRPr="00641606">
        <w:rPr>
          <w:rFonts w:ascii="Times New Roman" w:eastAsia="Times New Roman" w:hAnsi="Times New Roman" w:cs="Times New Roman"/>
          <w:i w:val="0"/>
          <w:color w:val="000000"/>
          <w:sz w:val="24"/>
          <w:szCs w:val="24"/>
        </w:rPr>
        <w:t xml:space="preserve"> dan </w:t>
      </w:r>
      <w:proofErr w:type="spellStart"/>
      <w:r w:rsidRPr="00641606">
        <w:rPr>
          <w:rFonts w:ascii="Times New Roman" w:eastAsia="Times New Roman" w:hAnsi="Times New Roman" w:cs="Times New Roman"/>
          <w:i w:val="0"/>
          <w:color w:val="000000"/>
          <w:sz w:val="24"/>
          <w:szCs w:val="24"/>
        </w:rPr>
        <w:t>sesudah</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pemberlakuan</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pembatasan</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kegiatan</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masyarakat</w:t>
      </w:r>
      <w:proofErr w:type="spellEnd"/>
      <w:r w:rsidRPr="00641606">
        <w:rPr>
          <w:rFonts w:ascii="Times New Roman" w:eastAsia="Times New Roman" w:hAnsi="Times New Roman" w:cs="Times New Roman"/>
          <w:i w:val="0"/>
          <w:color w:val="000000"/>
          <w:sz w:val="24"/>
          <w:szCs w:val="24"/>
        </w:rPr>
        <w:t xml:space="preserve"> (PPKM) </w:t>
      </w:r>
      <w:proofErr w:type="spellStart"/>
      <w:r w:rsidRPr="00641606">
        <w:rPr>
          <w:rFonts w:ascii="Times New Roman" w:eastAsia="Times New Roman" w:hAnsi="Times New Roman" w:cs="Times New Roman"/>
          <w:i w:val="0"/>
          <w:color w:val="000000"/>
          <w:sz w:val="24"/>
          <w:szCs w:val="24"/>
        </w:rPr>
        <w:t>darurat</w:t>
      </w:r>
      <w:proofErr w:type="spellEnd"/>
      <w:r w:rsidRPr="00641606">
        <w:rPr>
          <w:rFonts w:ascii="Times New Roman" w:eastAsia="Times New Roman" w:hAnsi="Times New Roman" w:cs="Times New Roman"/>
          <w:i w:val="0"/>
          <w:color w:val="000000"/>
          <w:sz w:val="24"/>
          <w:szCs w:val="24"/>
        </w:rPr>
        <w:t xml:space="preserve"> pada </w:t>
      </w:r>
      <w:proofErr w:type="spellStart"/>
      <w:r w:rsidRPr="00641606">
        <w:rPr>
          <w:rFonts w:ascii="Times New Roman" w:eastAsia="Times New Roman" w:hAnsi="Times New Roman" w:cs="Times New Roman"/>
          <w:i w:val="0"/>
          <w:color w:val="000000"/>
          <w:sz w:val="24"/>
          <w:szCs w:val="24"/>
        </w:rPr>
        <w:t>perusahaan</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sektor</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transportasi</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Jurnal</w:t>
      </w:r>
      <w:proofErr w:type="spellEnd"/>
      <w:r w:rsidRPr="00641606">
        <w:rPr>
          <w:rFonts w:ascii="Times New Roman" w:eastAsia="Times New Roman" w:hAnsi="Times New Roman" w:cs="Times New Roman"/>
          <w:i w:val="0"/>
          <w:color w:val="000000"/>
          <w:sz w:val="24"/>
          <w:szCs w:val="24"/>
        </w:rPr>
        <w:t xml:space="preserve"> Riset </w:t>
      </w:r>
      <w:proofErr w:type="spellStart"/>
      <w:r w:rsidRPr="00641606">
        <w:rPr>
          <w:rFonts w:ascii="Times New Roman" w:eastAsia="Times New Roman" w:hAnsi="Times New Roman" w:cs="Times New Roman"/>
          <w:i w:val="0"/>
          <w:color w:val="000000"/>
          <w:sz w:val="24"/>
          <w:szCs w:val="24"/>
        </w:rPr>
        <w:t>Mahasiswa</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Akuntansi</w:t>
      </w:r>
      <w:proofErr w:type="spellEnd"/>
      <w:r w:rsidRPr="00641606">
        <w:rPr>
          <w:rFonts w:ascii="Times New Roman" w:eastAsia="Times New Roman" w:hAnsi="Times New Roman" w:cs="Times New Roman"/>
          <w:i w:val="0"/>
          <w:color w:val="000000"/>
          <w:sz w:val="24"/>
          <w:szCs w:val="24"/>
        </w:rPr>
        <w:t>, 2, 381–393.</w:t>
      </w:r>
    </w:p>
    <w:p w14:paraId="11C25A27" w14:textId="7582CDE0"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lang w:val="fi-FI"/>
        </w:rPr>
      </w:pPr>
      <w:r w:rsidRPr="00641606">
        <w:rPr>
          <w:rFonts w:ascii="Times New Roman" w:eastAsia="Times New Roman" w:hAnsi="Times New Roman" w:cs="Times New Roman"/>
          <w:i w:val="0"/>
          <w:color w:val="000000"/>
          <w:sz w:val="24"/>
          <w:szCs w:val="24"/>
        </w:rPr>
        <w:t xml:space="preserve">Saputra, D. (2019). </w:t>
      </w:r>
      <w:proofErr w:type="spellStart"/>
      <w:r w:rsidRPr="00641606">
        <w:rPr>
          <w:rFonts w:ascii="Times New Roman" w:eastAsia="Times New Roman" w:hAnsi="Times New Roman" w:cs="Times New Roman"/>
          <w:i w:val="0"/>
          <w:color w:val="000000"/>
          <w:sz w:val="24"/>
          <w:szCs w:val="24"/>
        </w:rPr>
        <w:t>Analisis</w:t>
      </w:r>
      <w:proofErr w:type="spellEnd"/>
      <w:r w:rsidRPr="00641606">
        <w:rPr>
          <w:rFonts w:ascii="Times New Roman" w:eastAsia="Times New Roman" w:hAnsi="Times New Roman" w:cs="Times New Roman"/>
          <w:i w:val="0"/>
          <w:color w:val="000000"/>
          <w:sz w:val="24"/>
          <w:szCs w:val="24"/>
        </w:rPr>
        <w:t xml:space="preserve"> momentum Hari Raya </w:t>
      </w:r>
      <w:proofErr w:type="spellStart"/>
      <w:r w:rsidRPr="00641606">
        <w:rPr>
          <w:rFonts w:ascii="Times New Roman" w:eastAsia="Times New Roman" w:hAnsi="Times New Roman" w:cs="Times New Roman"/>
          <w:i w:val="0"/>
          <w:color w:val="000000"/>
          <w:sz w:val="24"/>
          <w:szCs w:val="24"/>
        </w:rPr>
        <w:t>Idul</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Fitri</w:t>
      </w:r>
      <w:proofErr w:type="spellEnd"/>
      <w:r w:rsidRPr="00641606">
        <w:rPr>
          <w:rFonts w:ascii="Times New Roman" w:eastAsia="Times New Roman" w:hAnsi="Times New Roman" w:cs="Times New Roman"/>
          <w:i w:val="0"/>
          <w:color w:val="000000"/>
          <w:sz w:val="24"/>
          <w:szCs w:val="24"/>
        </w:rPr>
        <w:t xml:space="preserve"> pada </w:t>
      </w:r>
      <w:proofErr w:type="spellStart"/>
      <w:r w:rsidRPr="00641606">
        <w:rPr>
          <w:rFonts w:ascii="Times New Roman" w:eastAsia="Times New Roman" w:hAnsi="Times New Roman" w:cs="Times New Roman"/>
          <w:i w:val="0"/>
          <w:color w:val="000000"/>
          <w:sz w:val="24"/>
          <w:szCs w:val="24"/>
        </w:rPr>
        <w:t>emiten</w:t>
      </w:r>
      <w:proofErr w:type="spellEnd"/>
      <w:r w:rsidRPr="00641606">
        <w:rPr>
          <w:rFonts w:ascii="Times New Roman" w:eastAsia="Times New Roman" w:hAnsi="Times New Roman" w:cs="Times New Roman"/>
          <w:i w:val="0"/>
          <w:color w:val="000000"/>
          <w:sz w:val="24"/>
          <w:szCs w:val="24"/>
        </w:rPr>
        <w:t xml:space="preserve"> </w:t>
      </w:r>
      <w:proofErr w:type="spellStart"/>
      <w:r w:rsidRPr="00641606">
        <w:rPr>
          <w:rFonts w:ascii="Times New Roman" w:eastAsia="Times New Roman" w:hAnsi="Times New Roman" w:cs="Times New Roman"/>
          <w:i w:val="0"/>
          <w:color w:val="000000"/>
          <w:sz w:val="24"/>
          <w:szCs w:val="24"/>
        </w:rPr>
        <w:t>sektor</w:t>
      </w:r>
      <w:proofErr w:type="spellEnd"/>
      <w:r w:rsidRPr="00641606">
        <w:rPr>
          <w:rFonts w:ascii="Times New Roman" w:eastAsia="Times New Roman" w:hAnsi="Times New Roman" w:cs="Times New Roman"/>
          <w:i w:val="0"/>
          <w:color w:val="000000"/>
          <w:sz w:val="24"/>
          <w:szCs w:val="24"/>
        </w:rPr>
        <w:t xml:space="preserve"> food and beverage di pasar modal Indonesia. </w:t>
      </w:r>
      <w:r w:rsidRPr="00641606">
        <w:rPr>
          <w:rFonts w:ascii="Times New Roman" w:eastAsia="Times New Roman" w:hAnsi="Times New Roman" w:cs="Times New Roman"/>
          <w:i w:val="0"/>
          <w:color w:val="000000"/>
          <w:sz w:val="24"/>
          <w:szCs w:val="24"/>
          <w:lang w:val="fi-FI"/>
        </w:rPr>
        <w:t>[Nama Jurnal jika tersedia], 1(1). (Tambahkan halaman dan nama jurnal jika ada)</w:t>
      </w:r>
    </w:p>
    <w:p w14:paraId="47F01932" w14:textId="36210B2D"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lang w:val="fi-FI"/>
        </w:rPr>
      </w:pPr>
      <w:r w:rsidRPr="00641606">
        <w:rPr>
          <w:rFonts w:ascii="Times New Roman" w:eastAsia="Times New Roman" w:hAnsi="Times New Roman" w:cs="Times New Roman"/>
          <w:i w:val="0"/>
          <w:color w:val="000000"/>
          <w:sz w:val="24"/>
          <w:szCs w:val="24"/>
        </w:rPr>
        <w:t xml:space="preserve">Statista Research Department. (2024, August 26). Number of users of e-commerce in Indonesia from 2020 to 2029. </w:t>
      </w:r>
      <w:r w:rsidRPr="00641606">
        <w:rPr>
          <w:rFonts w:ascii="Times New Roman" w:eastAsia="Times New Roman" w:hAnsi="Times New Roman" w:cs="Times New Roman"/>
          <w:i w:val="0"/>
          <w:color w:val="000000"/>
          <w:sz w:val="24"/>
          <w:szCs w:val="24"/>
          <w:lang w:val="fi-FI"/>
        </w:rPr>
        <w:t>Statista. https://www.statista.com/</w:t>
      </w:r>
    </w:p>
    <w:p w14:paraId="6103753E" w14:textId="77777777" w:rsidR="00641606" w:rsidRPr="00641606" w:rsidRDefault="00641606" w:rsidP="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r w:rsidRPr="00641606">
        <w:rPr>
          <w:rFonts w:ascii="Times New Roman" w:eastAsia="Times New Roman" w:hAnsi="Times New Roman" w:cs="Times New Roman"/>
          <w:i w:val="0"/>
          <w:color w:val="000000"/>
          <w:sz w:val="24"/>
          <w:szCs w:val="24"/>
          <w:lang w:val="fi-FI"/>
        </w:rPr>
        <w:t xml:space="preserve">Wei, S. Y., &amp; Lin, L. W. (2023). </w:t>
      </w:r>
      <w:r w:rsidRPr="00641606">
        <w:rPr>
          <w:rFonts w:ascii="Times New Roman" w:eastAsia="Times New Roman" w:hAnsi="Times New Roman" w:cs="Times New Roman"/>
          <w:i w:val="0"/>
          <w:color w:val="000000"/>
          <w:sz w:val="24"/>
          <w:szCs w:val="24"/>
        </w:rPr>
        <w:t>Impacts of environmental uncertainty on investment stocks perception under the holiday effect. PLOS ONE, 18(8), e0284745. https://doi.org/10.1371/journal.pone.0284745</w:t>
      </w:r>
    </w:p>
    <w:p w14:paraId="4D165E13" w14:textId="77777777" w:rsidR="00641606" w:rsidRPr="00641606" w:rsidRDefault="00641606">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
    <w:sectPr w:rsidR="00641606" w:rsidRPr="00641606">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E5F5" w14:textId="77777777" w:rsidR="00C452F2" w:rsidRDefault="00C452F2">
      <w:pPr>
        <w:spacing w:after="0" w:line="240" w:lineRule="auto"/>
      </w:pPr>
      <w:r>
        <w:separator/>
      </w:r>
    </w:p>
  </w:endnote>
  <w:endnote w:type="continuationSeparator" w:id="0">
    <w:p w14:paraId="40B945E6" w14:textId="77777777" w:rsidR="00C452F2" w:rsidRDefault="00C4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3F21" w14:textId="77777777" w:rsidR="00FC61C8" w:rsidRDefault="00FC61C8">
    <w:pPr>
      <w:widowControl w:val="0"/>
      <w:pBdr>
        <w:top w:val="nil"/>
        <w:left w:val="nil"/>
        <w:bottom w:val="nil"/>
        <w:right w:val="nil"/>
        <w:between w:val="nil"/>
      </w:pBdr>
      <w:spacing w:after="0" w:line="276" w:lineRule="auto"/>
      <w:rPr>
        <w:color w:val="000000"/>
        <w:sz w:val="2"/>
        <w:szCs w:val="2"/>
      </w:rPr>
    </w:pPr>
  </w:p>
  <w:tbl>
    <w:tblPr>
      <w:tblStyle w:val="ab"/>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C61C8" w14:paraId="40D2817E" w14:textId="77777777">
      <w:trPr>
        <w:jc w:val="center"/>
      </w:trPr>
      <w:tc>
        <w:tcPr>
          <w:tcW w:w="751" w:type="dxa"/>
          <w:vAlign w:val="center"/>
        </w:tcPr>
        <w:p w14:paraId="2340BF2A" w14:textId="77777777" w:rsidR="00FC61C8" w:rsidRDefault="0092121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46F3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5F27080" w14:textId="77777777" w:rsidR="00FC61C8" w:rsidRDefault="0092121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66BE91F1" w14:textId="77777777" w:rsidR="00FC61C8" w:rsidRDefault="00FC61C8">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78E0" w14:textId="77777777" w:rsidR="00FC61C8" w:rsidRDefault="00FC61C8">
    <w:pPr>
      <w:widowControl w:val="0"/>
      <w:pBdr>
        <w:top w:val="nil"/>
        <w:left w:val="nil"/>
        <w:bottom w:val="nil"/>
        <w:right w:val="nil"/>
        <w:between w:val="nil"/>
      </w:pBdr>
      <w:spacing w:after="0" w:line="276" w:lineRule="auto"/>
      <w:rPr>
        <w:i w:val="0"/>
        <w:color w:val="000000"/>
      </w:rPr>
    </w:pPr>
  </w:p>
  <w:tbl>
    <w:tblPr>
      <w:tblStyle w:val="ac"/>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FC61C8" w14:paraId="600B47AD" w14:textId="77777777">
      <w:trPr>
        <w:jc w:val="center"/>
      </w:trPr>
      <w:tc>
        <w:tcPr>
          <w:tcW w:w="8321" w:type="dxa"/>
          <w:vAlign w:val="center"/>
        </w:tcPr>
        <w:p w14:paraId="3EFFFC9F" w14:textId="77424433" w:rsidR="00FC61C8" w:rsidRDefault="00FC61C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p>
      </w:tc>
      <w:tc>
        <w:tcPr>
          <w:tcW w:w="749" w:type="dxa"/>
          <w:vAlign w:val="center"/>
        </w:tcPr>
        <w:p w14:paraId="7D8B3208"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46F3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2BC9B1E8" w14:textId="77777777" w:rsidR="00FC61C8" w:rsidRDefault="00FC61C8">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2C32" w14:textId="77777777" w:rsidR="00FC61C8" w:rsidRDefault="00FC61C8">
    <w:pPr>
      <w:widowControl w:val="0"/>
      <w:pBdr>
        <w:top w:val="nil"/>
        <w:left w:val="nil"/>
        <w:bottom w:val="nil"/>
        <w:right w:val="nil"/>
        <w:between w:val="nil"/>
      </w:pBdr>
      <w:spacing w:after="0" w:line="276" w:lineRule="auto"/>
      <w:rPr>
        <w:i w:val="0"/>
        <w:color w:val="000000"/>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FC61C8" w14:paraId="700FBFDB" w14:textId="77777777">
      <w:trPr>
        <w:trHeight w:val="284"/>
        <w:jc w:val="center"/>
      </w:trPr>
      <w:tc>
        <w:tcPr>
          <w:tcW w:w="8321" w:type="dxa"/>
          <w:vAlign w:val="center"/>
        </w:tcPr>
        <w:p w14:paraId="1B694997" w14:textId="4F32FB57" w:rsidR="00FC61C8" w:rsidRDefault="00921218">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9 No. </w:t>
          </w:r>
          <w:r w:rsidR="00926464">
            <w:rPr>
              <w:rFonts w:ascii="Tahoma" w:eastAsia="Tahoma" w:hAnsi="Tahoma" w:cs="Tahoma"/>
              <w:i w:val="0"/>
            </w:rPr>
            <w:t>3</w:t>
          </w:r>
          <w:r>
            <w:rPr>
              <w:rFonts w:ascii="Tahoma" w:eastAsia="Tahoma" w:hAnsi="Tahoma" w:cs="Tahoma"/>
              <w:i w:val="0"/>
            </w:rPr>
            <w:t xml:space="preserve">, </w:t>
          </w:r>
          <w:r w:rsidR="00926464">
            <w:rPr>
              <w:rFonts w:ascii="Tahoma" w:eastAsia="Tahoma" w:hAnsi="Tahoma" w:cs="Tahoma"/>
              <w:i w:val="0"/>
            </w:rPr>
            <w:t xml:space="preserve">August </w:t>
          </w:r>
          <w:r>
            <w:rPr>
              <w:rFonts w:ascii="Tahoma" w:eastAsia="Tahoma" w:hAnsi="Tahoma" w:cs="Tahoma"/>
              <w:i w:val="0"/>
            </w:rPr>
            <w:t>202</w:t>
          </w:r>
          <w:r w:rsidR="00926464">
            <w:rPr>
              <w:rFonts w:ascii="Tahoma" w:eastAsia="Tahoma" w:hAnsi="Tahoma" w:cs="Tahoma"/>
              <w:i w:val="0"/>
            </w:rPr>
            <w:t>5</w:t>
          </w:r>
        </w:p>
      </w:tc>
      <w:tc>
        <w:tcPr>
          <w:tcW w:w="749" w:type="dxa"/>
          <w:vAlign w:val="center"/>
        </w:tcPr>
        <w:p w14:paraId="3138EE03"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46F3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7401B70" w14:textId="77777777" w:rsidR="00FC61C8" w:rsidRDefault="00FC61C8">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42CE" w14:textId="77777777" w:rsidR="00C452F2" w:rsidRDefault="00C452F2">
      <w:pPr>
        <w:spacing w:after="0" w:line="240" w:lineRule="auto"/>
      </w:pPr>
      <w:r>
        <w:separator/>
      </w:r>
    </w:p>
  </w:footnote>
  <w:footnote w:type="continuationSeparator" w:id="0">
    <w:p w14:paraId="7C6C90FB" w14:textId="77777777" w:rsidR="00C452F2" w:rsidRDefault="00C4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8037" w14:textId="77777777" w:rsidR="00FC61C8" w:rsidRDefault="00FC61C8">
    <w:pPr>
      <w:widowControl w:val="0"/>
      <w:pBdr>
        <w:top w:val="nil"/>
        <w:left w:val="nil"/>
        <w:bottom w:val="nil"/>
        <w:right w:val="nil"/>
        <w:between w:val="nil"/>
      </w:pBdr>
      <w:spacing w:after="0" w:line="276" w:lineRule="auto"/>
      <w:rPr>
        <w:color w:val="000000"/>
        <w:sz w:val="2"/>
        <w:szCs w:val="2"/>
      </w:rPr>
    </w:pPr>
  </w:p>
  <w:tbl>
    <w:tblPr>
      <w:tblStyle w:val="a8"/>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FC61C8" w14:paraId="481804FD" w14:textId="77777777">
      <w:trPr>
        <w:trHeight w:val="284"/>
        <w:jc w:val="center"/>
      </w:trPr>
      <w:tc>
        <w:tcPr>
          <w:tcW w:w="7370" w:type="dxa"/>
          <w:vAlign w:val="center"/>
        </w:tcPr>
        <w:p w14:paraId="0C68695E" w14:textId="08A2493F" w:rsidR="00FC61C8" w:rsidRDefault="00921218">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77E420C3" wp14:editId="05C9CC62">
                <wp:extent cx="1924050" cy="44037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Pr>
              <w:rFonts w:ascii="Tahoma" w:eastAsia="Tahoma" w:hAnsi="Tahoma" w:cs="Tahoma"/>
              <w:b/>
              <w:i w:val="0"/>
            </w:rPr>
            <w:t>9  No.</w:t>
          </w:r>
          <w:proofErr w:type="gramEnd"/>
          <w:r>
            <w:rPr>
              <w:rFonts w:ascii="Tahoma" w:eastAsia="Tahoma" w:hAnsi="Tahoma" w:cs="Tahoma"/>
              <w:b/>
              <w:i w:val="0"/>
            </w:rPr>
            <w:t xml:space="preserve"> </w:t>
          </w:r>
          <w:proofErr w:type="gramStart"/>
          <w:r w:rsidR="00EA0EAF">
            <w:rPr>
              <w:rFonts w:ascii="Tahoma" w:eastAsia="Tahoma" w:hAnsi="Tahoma" w:cs="Tahoma"/>
              <w:b/>
              <w:i w:val="0"/>
            </w:rPr>
            <w:t>3</w:t>
          </w:r>
          <w:r>
            <w:rPr>
              <w:rFonts w:ascii="Tahoma" w:eastAsia="Tahoma" w:hAnsi="Tahoma" w:cs="Tahoma"/>
              <w:b/>
              <w:i w:val="0"/>
            </w:rPr>
            <w:t>,  A</w:t>
          </w:r>
          <w:r w:rsidR="00EA0EAF">
            <w:rPr>
              <w:rFonts w:ascii="Tahoma" w:eastAsia="Tahoma" w:hAnsi="Tahoma" w:cs="Tahoma"/>
              <w:b/>
              <w:i w:val="0"/>
            </w:rPr>
            <w:t>ugust</w:t>
          </w:r>
          <w:proofErr w:type="gramEnd"/>
          <w:r>
            <w:rPr>
              <w:rFonts w:ascii="Tahoma" w:eastAsia="Tahoma" w:hAnsi="Tahoma" w:cs="Tahoma"/>
              <w:b/>
              <w:i w:val="0"/>
            </w:rPr>
            <w:t xml:space="preserve"> 2025</w:t>
          </w:r>
        </w:p>
      </w:tc>
      <w:tc>
        <w:tcPr>
          <w:tcW w:w="1700" w:type="dxa"/>
          <w:vAlign w:val="center"/>
        </w:tcPr>
        <w:p w14:paraId="1C9EF525"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92F568C"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C84265D" w14:textId="77777777" w:rsidR="00FC61C8" w:rsidRDefault="00FC61C8">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1BFD" w14:textId="77777777" w:rsidR="00FC61C8" w:rsidRDefault="00FC61C8">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9"/>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FC61C8" w14:paraId="0DFA562A" w14:textId="77777777">
      <w:trPr>
        <w:jc w:val="center"/>
      </w:trPr>
      <w:tc>
        <w:tcPr>
          <w:tcW w:w="7362" w:type="dxa"/>
          <w:vAlign w:val="center"/>
        </w:tcPr>
        <w:p w14:paraId="6667A34E" w14:textId="1C489F2B" w:rsidR="00FC61C8" w:rsidRDefault="00921218">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29B282AD" wp14:editId="404BEDBB">
                <wp:extent cx="1924050" cy="44037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Pr>
              <w:rFonts w:ascii="Tahoma" w:eastAsia="Tahoma" w:hAnsi="Tahoma" w:cs="Tahoma"/>
              <w:b/>
              <w:i w:val="0"/>
            </w:rPr>
            <w:t>9  No.</w:t>
          </w:r>
          <w:proofErr w:type="gramEnd"/>
          <w:r>
            <w:rPr>
              <w:rFonts w:ascii="Tahoma" w:eastAsia="Tahoma" w:hAnsi="Tahoma" w:cs="Tahoma"/>
              <w:b/>
              <w:i w:val="0"/>
            </w:rPr>
            <w:t xml:space="preserve"> </w:t>
          </w:r>
          <w:r w:rsidR="00EA0EAF">
            <w:rPr>
              <w:rFonts w:ascii="Tahoma" w:eastAsia="Tahoma" w:hAnsi="Tahoma" w:cs="Tahoma"/>
              <w:b/>
              <w:i w:val="0"/>
            </w:rPr>
            <w:t>3</w:t>
          </w:r>
          <w:r>
            <w:rPr>
              <w:rFonts w:ascii="Tahoma" w:eastAsia="Tahoma" w:hAnsi="Tahoma" w:cs="Tahoma"/>
              <w:b/>
              <w:i w:val="0"/>
            </w:rPr>
            <w:t>, A</w:t>
          </w:r>
          <w:r w:rsidR="00EA0EAF">
            <w:rPr>
              <w:rFonts w:ascii="Tahoma" w:eastAsia="Tahoma" w:hAnsi="Tahoma" w:cs="Tahoma"/>
              <w:b/>
              <w:i w:val="0"/>
            </w:rPr>
            <w:t xml:space="preserve">ugust </w:t>
          </w:r>
          <w:r>
            <w:rPr>
              <w:rFonts w:ascii="Tahoma" w:eastAsia="Tahoma" w:hAnsi="Tahoma" w:cs="Tahoma"/>
              <w:b/>
              <w:i w:val="0"/>
            </w:rPr>
            <w:t>2025</w:t>
          </w:r>
        </w:p>
      </w:tc>
      <w:tc>
        <w:tcPr>
          <w:tcW w:w="1698" w:type="dxa"/>
          <w:vAlign w:val="center"/>
        </w:tcPr>
        <w:p w14:paraId="30F0E4D8"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487EF76"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7C849FF" w14:textId="77777777" w:rsidR="00FC61C8" w:rsidRDefault="00FC61C8">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BD0B" w14:textId="77777777" w:rsidR="00FC61C8" w:rsidRDefault="00FC61C8">
    <w:pPr>
      <w:widowControl w:val="0"/>
      <w:pBdr>
        <w:top w:val="nil"/>
        <w:left w:val="nil"/>
        <w:bottom w:val="nil"/>
        <w:right w:val="nil"/>
        <w:between w:val="nil"/>
      </w:pBdr>
      <w:spacing w:after="0" w:line="276" w:lineRule="auto"/>
      <w:rPr>
        <w:color w:val="000000"/>
        <w:sz w:val="2"/>
        <w:szCs w:val="2"/>
      </w:rPr>
    </w:pPr>
  </w:p>
  <w:tbl>
    <w:tblPr>
      <w:tblStyle w:val="aa"/>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FC61C8" w14:paraId="6978550D" w14:textId="77777777">
      <w:trPr>
        <w:trHeight w:val="699"/>
        <w:jc w:val="center"/>
      </w:trPr>
      <w:tc>
        <w:tcPr>
          <w:tcW w:w="7362" w:type="dxa"/>
          <w:vAlign w:val="center"/>
        </w:tcPr>
        <w:p w14:paraId="092D4B4E" w14:textId="45E8DC1F" w:rsidR="00FC61C8" w:rsidRDefault="00921218">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3BEBF254" wp14:editId="65BC60B9">
                <wp:extent cx="1924050" cy="44037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9 No. </w:t>
          </w:r>
          <w:proofErr w:type="gramStart"/>
          <w:r w:rsidR="00EA0EAF">
            <w:rPr>
              <w:rFonts w:ascii="Tahoma" w:eastAsia="Tahoma" w:hAnsi="Tahoma" w:cs="Tahoma"/>
              <w:b/>
              <w:i w:val="0"/>
            </w:rPr>
            <w:t>3</w:t>
          </w:r>
          <w:r>
            <w:rPr>
              <w:rFonts w:ascii="Tahoma" w:eastAsia="Tahoma" w:hAnsi="Tahoma" w:cs="Tahoma"/>
              <w:b/>
              <w:i w:val="0"/>
            </w:rPr>
            <w:t>,  A</w:t>
          </w:r>
          <w:r w:rsidR="00EA0EAF">
            <w:rPr>
              <w:rFonts w:ascii="Tahoma" w:eastAsia="Tahoma" w:hAnsi="Tahoma" w:cs="Tahoma"/>
              <w:b/>
              <w:i w:val="0"/>
            </w:rPr>
            <w:t>ugust</w:t>
          </w:r>
          <w:proofErr w:type="gramEnd"/>
          <w:r>
            <w:rPr>
              <w:rFonts w:ascii="Tahoma" w:eastAsia="Tahoma" w:hAnsi="Tahoma" w:cs="Tahoma"/>
              <w:b/>
              <w:i w:val="0"/>
            </w:rPr>
            <w:t xml:space="preserve"> 2025</w:t>
          </w:r>
        </w:p>
      </w:tc>
      <w:tc>
        <w:tcPr>
          <w:tcW w:w="1698" w:type="dxa"/>
          <w:vAlign w:val="center"/>
        </w:tcPr>
        <w:p w14:paraId="29AEAFED"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D9FE09B"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863BD26" w14:textId="77777777" w:rsidR="00FC61C8" w:rsidRDefault="00FC61C8">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55DE"/>
    <w:multiLevelType w:val="multilevel"/>
    <w:tmpl w:val="CD78E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62BF5"/>
    <w:multiLevelType w:val="multilevel"/>
    <w:tmpl w:val="2A0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129970">
    <w:abstractNumId w:val="0"/>
  </w:num>
  <w:num w:numId="2" w16cid:durableId="190902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C8"/>
    <w:rsid w:val="0002238B"/>
    <w:rsid w:val="00080E7B"/>
    <w:rsid w:val="00100FBC"/>
    <w:rsid w:val="00155186"/>
    <w:rsid w:val="00164CCD"/>
    <w:rsid w:val="00261CC9"/>
    <w:rsid w:val="00346F36"/>
    <w:rsid w:val="00393874"/>
    <w:rsid w:val="003C3FA9"/>
    <w:rsid w:val="00457BF3"/>
    <w:rsid w:val="00470E66"/>
    <w:rsid w:val="004716BF"/>
    <w:rsid w:val="00506DF5"/>
    <w:rsid w:val="00641606"/>
    <w:rsid w:val="00644D82"/>
    <w:rsid w:val="00651E5E"/>
    <w:rsid w:val="007A0A3E"/>
    <w:rsid w:val="008620FD"/>
    <w:rsid w:val="008A23C1"/>
    <w:rsid w:val="00921218"/>
    <w:rsid w:val="00926464"/>
    <w:rsid w:val="009441FB"/>
    <w:rsid w:val="009F7E44"/>
    <w:rsid w:val="00A87D52"/>
    <w:rsid w:val="00B617F8"/>
    <w:rsid w:val="00C0114A"/>
    <w:rsid w:val="00C06B6B"/>
    <w:rsid w:val="00C11699"/>
    <w:rsid w:val="00C452F2"/>
    <w:rsid w:val="00C707CA"/>
    <w:rsid w:val="00C91714"/>
    <w:rsid w:val="00CB6130"/>
    <w:rsid w:val="00CF4CFE"/>
    <w:rsid w:val="00D15D5D"/>
    <w:rsid w:val="00D71D04"/>
    <w:rsid w:val="00DB301E"/>
    <w:rsid w:val="00DE4EBF"/>
    <w:rsid w:val="00E067A7"/>
    <w:rsid w:val="00E51324"/>
    <w:rsid w:val="00E86851"/>
    <w:rsid w:val="00EA0EAF"/>
    <w:rsid w:val="00EA4211"/>
    <w:rsid w:val="00F62A3F"/>
    <w:rsid w:val="00FC61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2D608"/>
  <w15:docId w15:val="{C6CD5DB3-7E49-44D5-8201-CB29B04A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CA"/>
  </w:style>
  <w:style w:type="paragraph" w:styleId="Heading1">
    <w:name w:val="heading 1"/>
    <w:basedOn w:val="Normal"/>
    <w:next w:val="Normal"/>
    <w:uiPriority w:val="9"/>
    <w:qFormat/>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Heading2">
    <w:name w:val="heading 2"/>
    <w:basedOn w:val="Normal"/>
    <w:next w:val="Normal"/>
    <w:uiPriority w:val="9"/>
    <w:semiHidden/>
    <w:unhideWhenUsed/>
    <w:qFormat/>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uiPriority w:val="9"/>
    <w:semiHidden/>
    <w:unhideWhenUsed/>
    <w:qFormat/>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uiPriority w:val="9"/>
    <w:semiHidden/>
    <w:unhideWhenUsed/>
    <w:qFormat/>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uiPriority w:val="9"/>
    <w:semiHidden/>
    <w:unhideWhenUsed/>
    <w:qFormat/>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uiPriority w:val="9"/>
    <w:semiHidden/>
    <w:unhideWhenUsed/>
    <w:qFormat/>
    <w:pPr>
      <w:spacing w:before="200" w:after="100" w:line="240" w:lineRule="auto"/>
      <w:ind w:left="3744" w:hanging="360"/>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4EBF"/>
    <w:rPr>
      <w:sz w:val="16"/>
      <w:szCs w:val="16"/>
    </w:rPr>
  </w:style>
  <w:style w:type="paragraph" w:styleId="CommentText">
    <w:name w:val="annotation text"/>
    <w:basedOn w:val="Normal"/>
    <w:link w:val="CommentTextChar"/>
    <w:uiPriority w:val="99"/>
    <w:semiHidden/>
    <w:unhideWhenUsed/>
    <w:rsid w:val="00DE4EBF"/>
    <w:pPr>
      <w:spacing w:line="240" w:lineRule="auto"/>
    </w:pPr>
  </w:style>
  <w:style w:type="character" w:customStyle="1" w:styleId="CommentTextChar">
    <w:name w:val="Comment Text Char"/>
    <w:basedOn w:val="DefaultParagraphFont"/>
    <w:link w:val="CommentText"/>
    <w:uiPriority w:val="99"/>
    <w:semiHidden/>
    <w:rsid w:val="00DE4EBF"/>
  </w:style>
  <w:style w:type="paragraph" w:styleId="CommentSubject">
    <w:name w:val="annotation subject"/>
    <w:basedOn w:val="CommentText"/>
    <w:next w:val="CommentText"/>
    <w:link w:val="CommentSubjectChar"/>
    <w:uiPriority w:val="99"/>
    <w:semiHidden/>
    <w:unhideWhenUsed/>
    <w:rsid w:val="00DE4EBF"/>
    <w:rPr>
      <w:b/>
      <w:bCs/>
    </w:rPr>
  </w:style>
  <w:style w:type="character" w:customStyle="1" w:styleId="CommentSubjectChar">
    <w:name w:val="Comment Subject Char"/>
    <w:basedOn w:val="CommentTextChar"/>
    <w:link w:val="CommentSubject"/>
    <w:uiPriority w:val="99"/>
    <w:semiHidden/>
    <w:rsid w:val="00DE4EBF"/>
    <w:rPr>
      <w:b/>
      <w:bCs/>
    </w:rPr>
  </w:style>
  <w:style w:type="paragraph" w:styleId="BalloonText">
    <w:name w:val="Balloon Text"/>
    <w:basedOn w:val="Normal"/>
    <w:link w:val="BalloonTextChar"/>
    <w:uiPriority w:val="99"/>
    <w:semiHidden/>
    <w:unhideWhenUsed/>
    <w:rsid w:val="00DE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BF"/>
    <w:rPr>
      <w:rFonts w:ascii="Segoe UI" w:hAnsi="Segoe UI" w:cs="Segoe UI"/>
      <w:sz w:val="18"/>
      <w:szCs w:val="18"/>
    </w:rPr>
  </w:style>
  <w:style w:type="paragraph" w:styleId="Caption">
    <w:name w:val="caption"/>
    <w:basedOn w:val="Normal"/>
    <w:next w:val="Normal"/>
    <w:uiPriority w:val="35"/>
    <w:unhideWhenUsed/>
    <w:qFormat/>
    <w:rsid w:val="00C91714"/>
    <w:pPr>
      <w:spacing w:line="240" w:lineRule="auto"/>
      <w:jc w:val="both"/>
    </w:pPr>
    <w:rPr>
      <w:rFonts w:ascii="Times New Roman" w:eastAsia="Arial" w:hAnsi="Times New Roman" w:cs="Arial"/>
      <w:iCs/>
      <w:color w:val="1F497D" w:themeColor="text2"/>
      <w:sz w:val="18"/>
      <w:szCs w:val="18"/>
      <w:lang w:val="id-ID" w:eastAsia="ja-JP"/>
    </w:rPr>
  </w:style>
  <w:style w:type="paragraph" w:styleId="ListParagraph">
    <w:name w:val="List Paragraph"/>
    <w:basedOn w:val="Normal"/>
    <w:uiPriority w:val="34"/>
    <w:qFormat/>
    <w:rsid w:val="00641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7592">
      <w:bodyDiv w:val="1"/>
      <w:marLeft w:val="0"/>
      <w:marRight w:val="0"/>
      <w:marTop w:val="0"/>
      <w:marBottom w:val="0"/>
      <w:divBdr>
        <w:top w:val="none" w:sz="0" w:space="0" w:color="auto"/>
        <w:left w:val="none" w:sz="0" w:space="0" w:color="auto"/>
        <w:bottom w:val="none" w:sz="0" w:space="0" w:color="auto"/>
        <w:right w:val="none" w:sz="0" w:space="0" w:color="auto"/>
      </w:divBdr>
    </w:div>
    <w:div w:id="306590761">
      <w:bodyDiv w:val="1"/>
      <w:marLeft w:val="0"/>
      <w:marRight w:val="0"/>
      <w:marTop w:val="0"/>
      <w:marBottom w:val="0"/>
      <w:divBdr>
        <w:top w:val="none" w:sz="0" w:space="0" w:color="auto"/>
        <w:left w:val="none" w:sz="0" w:space="0" w:color="auto"/>
        <w:bottom w:val="none" w:sz="0" w:space="0" w:color="auto"/>
        <w:right w:val="none" w:sz="0" w:space="0" w:color="auto"/>
      </w:divBdr>
    </w:div>
    <w:div w:id="332223713">
      <w:bodyDiv w:val="1"/>
      <w:marLeft w:val="0"/>
      <w:marRight w:val="0"/>
      <w:marTop w:val="0"/>
      <w:marBottom w:val="0"/>
      <w:divBdr>
        <w:top w:val="none" w:sz="0" w:space="0" w:color="auto"/>
        <w:left w:val="none" w:sz="0" w:space="0" w:color="auto"/>
        <w:bottom w:val="none" w:sz="0" w:space="0" w:color="auto"/>
        <w:right w:val="none" w:sz="0" w:space="0" w:color="auto"/>
      </w:divBdr>
    </w:div>
    <w:div w:id="358896330">
      <w:bodyDiv w:val="1"/>
      <w:marLeft w:val="0"/>
      <w:marRight w:val="0"/>
      <w:marTop w:val="0"/>
      <w:marBottom w:val="0"/>
      <w:divBdr>
        <w:top w:val="none" w:sz="0" w:space="0" w:color="auto"/>
        <w:left w:val="none" w:sz="0" w:space="0" w:color="auto"/>
        <w:bottom w:val="none" w:sz="0" w:space="0" w:color="auto"/>
        <w:right w:val="none" w:sz="0" w:space="0" w:color="auto"/>
      </w:divBdr>
    </w:div>
    <w:div w:id="420027786">
      <w:bodyDiv w:val="1"/>
      <w:marLeft w:val="0"/>
      <w:marRight w:val="0"/>
      <w:marTop w:val="0"/>
      <w:marBottom w:val="0"/>
      <w:divBdr>
        <w:top w:val="none" w:sz="0" w:space="0" w:color="auto"/>
        <w:left w:val="none" w:sz="0" w:space="0" w:color="auto"/>
        <w:bottom w:val="none" w:sz="0" w:space="0" w:color="auto"/>
        <w:right w:val="none" w:sz="0" w:space="0" w:color="auto"/>
      </w:divBdr>
    </w:div>
    <w:div w:id="515459521">
      <w:bodyDiv w:val="1"/>
      <w:marLeft w:val="0"/>
      <w:marRight w:val="0"/>
      <w:marTop w:val="0"/>
      <w:marBottom w:val="0"/>
      <w:divBdr>
        <w:top w:val="none" w:sz="0" w:space="0" w:color="auto"/>
        <w:left w:val="none" w:sz="0" w:space="0" w:color="auto"/>
        <w:bottom w:val="none" w:sz="0" w:space="0" w:color="auto"/>
        <w:right w:val="none" w:sz="0" w:space="0" w:color="auto"/>
      </w:divBdr>
    </w:div>
    <w:div w:id="531843194">
      <w:bodyDiv w:val="1"/>
      <w:marLeft w:val="0"/>
      <w:marRight w:val="0"/>
      <w:marTop w:val="0"/>
      <w:marBottom w:val="0"/>
      <w:divBdr>
        <w:top w:val="none" w:sz="0" w:space="0" w:color="auto"/>
        <w:left w:val="none" w:sz="0" w:space="0" w:color="auto"/>
        <w:bottom w:val="none" w:sz="0" w:space="0" w:color="auto"/>
        <w:right w:val="none" w:sz="0" w:space="0" w:color="auto"/>
      </w:divBdr>
    </w:div>
    <w:div w:id="632102595">
      <w:bodyDiv w:val="1"/>
      <w:marLeft w:val="0"/>
      <w:marRight w:val="0"/>
      <w:marTop w:val="0"/>
      <w:marBottom w:val="0"/>
      <w:divBdr>
        <w:top w:val="none" w:sz="0" w:space="0" w:color="auto"/>
        <w:left w:val="none" w:sz="0" w:space="0" w:color="auto"/>
        <w:bottom w:val="none" w:sz="0" w:space="0" w:color="auto"/>
        <w:right w:val="none" w:sz="0" w:space="0" w:color="auto"/>
      </w:divBdr>
    </w:div>
    <w:div w:id="942767110">
      <w:bodyDiv w:val="1"/>
      <w:marLeft w:val="0"/>
      <w:marRight w:val="0"/>
      <w:marTop w:val="0"/>
      <w:marBottom w:val="0"/>
      <w:divBdr>
        <w:top w:val="none" w:sz="0" w:space="0" w:color="auto"/>
        <w:left w:val="none" w:sz="0" w:space="0" w:color="auto"/>
        <w:bottom w:val="none" w:sz="0" w:space="0" w:color="auto"/>
        <w:right w:val="none" w:sz="0" w:space="0" w:color="auto"/>
      </w:divBdr>
    </w:div>
    <w:div w:id="1509321946">
      <w:bodyDiv w:val="1"/>
      <w:marLeft w:val="0"/>
      <w:marRight w:val="0"/>
      <w:marTop w:val="0"/>
      <w:marBottom w:val="0"/>
      <w:divBdr>
        <w:top w:val="none" w:sz="0" w:space="0" w:color="auto"/>
        <w:left w:val="none" w:sz="0" w:space="0" w:color="auto"/>
        <w:bottom w:val="none" w:sz="0" w:space="0" w:color="auto"/>
        <w:right w:val="none" w:sz="0" w:space="0" w:color="auto"/>
      </w:divBdr>
    </w:div>
    <w:div w:id="1553927860">
      <w:bodyDiv w:val="1"/>
      <w:marLeft w:val="0"/>
      <w:marRight w:val="0"/>
      <w:marTop w:val="0"/>
      <w:marBottom w:val="0"/>
      <w:divBdr>
        <w:top w:val="none" w:sz="0" w:space="0" w:color="auto"/>
        <w:left w:val="none" w:sz="0" w:space="0" w:color="auto"/>
        <w:bottom w:val="none" w:sz="0" w:space="0" w:color="auto"/>
        <w:right w:val="none" w:sz="0" w:space="0" w:color="auto"/>
      </w:divBdr>
    </w:div>
    <w:div w:id="1556434379">
      <w:bodyDiv w:val="1"/>
      <w:marLeft w:val="0"/>
      <w:marRight w:val="0"/>
      <w:marTop w:val="0"/>
      <w:marBottom w:val="0"/>
      <w:divBdr>
        <w:top w:val="none" w:sz="0" w:space="0" w:color="auto"/>
        <w:left w:val="none" w:sz="0" w:space="0" w:color="auto"/>
        <w:bottom w:val="none" w:sz="0" w:space="0" w:color="auto"/>
        <w:right w:val="none" w:sz="0" w:space="0" w:color="auto"/>
      </w:divBdr>
    </w:div>
    <w:div w:id="1781102910">
      <w:bodyDiv w:val="1"/>
      <w:marLeft w:val="0"/>
      <w:marRight w:val="0"/>
      <w:marTop w:val="0"/>
      <w:marBottom w:val="0"/>
      <w:divBdr>
        <w:top w:val="none" w:sz="0" w:space="0" w:color="auto"/>
        <w:left w:val="none" w:sz="0" w:space="0" w:color="auto"/>
        <w:bottom w:val="none" w:sz="0" w:space="0" w:color="auto"/>
        <w:right w:val="none" w:sz="0" w:space="0" w:color="auto"/>
      </w:divBdr>
    </w:div>
    <w:div w:id="196171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4558</Words>
  <Characters>27258</Characters>
  <Application>Microsoft Office Word</Application>
  <DocSecurity>0</DocSecurity>
  <Lines>826</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Raeesah anjani</cp:lastModifiedBy>
  <cp:revision>2</cp:revision>
  <cp:lastPrinted>2025-05-29T02:49:00Z</cp:lastPrinted>
  <dcterms:created xsi:type="dcterms:W3CDTF">2025-07-15T02:28:00Z</dcterms:created>
  <dcterms:modified xsi:type="dcterms:W3CDTF">2025-07-15T02:28:00Z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3718cbff2030d313305643171729f4c8c3fc291a05ce4126c96604e721fff92a</vt:lpwstr>
  </property>
</Properties>
</file>