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2AD1" w14:textId="77777777" w:rsidR="00060E5C" w:rsidRPr="002265BE" w:rsidRDefault="00060E5C" w:rsidP="00060E5C">
      <w:pPr>
        <w:pStyle w:val="NormalWeb"/>
        <w:spacing w:before="0" w:beforeAutospacing="0" w:after="0" w:afterAutospacing="0"/>
        <w:jc w:val="center"/>
        <w:rPr>
          <w:sz w:val="22"/>
          <w:szCs w:val="22"/>
        </w:rPr>
      </w:pPr>
      <w:r w:rsidRPr="002265BE">
        <w:rPr>
          <w:b/>
          <w:bCs/>
          <w:color w:val="000000"/>
          <w:sz w:val="22"/>
          <w:szCs w:val="22"/>
        </w:rPr>
        <w:t>ANALYSIS OF REGIONAL EXPENDITURE IN THE GOVERNMENT OF DKI JAKARTA DIY, ACEH, PAPUA, WEST PAPUA FOR THE 2020 FINANCIAL YEAR</w:t>
      </w:r>
    </w:p>
    <w:p w14:paraId="15C0F4A9" w14:textId="1C5E1CCE" w:rsidR="00CA7788" w:rsidRDefault="004B7A1C" w:rsidP="00CB5A7C">
      <w:pPr>
        <w:spacing w:after="120" w:line="240" w:lineRule="auto"/>
        <w:jc w:val="center"/>
        <w:rPr>
          <w:rFonts w:ascii="Times New Roman" w:hAnsi="Times New Roman" w:cs="Times New Roman"/>
          <w:vertAlign w:val="superscript"/>
        </w:rPr>
      </w:pPr>
      <w:proofErr w:type="spellStart"/>
      <w:r w:rsidRPr="004B7A1C">
        <w:rPr>
          <w:rFonts w:ascii="Times New Roman" w:hAnsi="Times New Roman" w:cs="Times New Roman"/>
        </w:rPr>
        <w:t>Dyah</w:t>
      </w:r>
      <w:proofErr w:type="spellEnd"/>
      <w:r w:rsidRPr="004B7A1C">
        <w:rPr>
          <w:rFonts w:ascii="Times New Roman" w:hAnsi="Times New Roman" w:cs="Times New Roman"/>
        </w:rPr>
        <w:t xml:space="preserve"> Mutiarin</w:t>
      </w:r>
      <w:r>
        <w:rPr>
          <w:rFonts w:ascii="Times New Roman" w:hAnsi="Times New Roman" w:cs="Times New Roman"/>
          <w:vertAlign w:val="superscript"/>
        </w:rPr>
        <w:t>1</w:t>
      </w:r>
      <w:r w:rsidRPr="004B7A1C">
        <w:rPr>
          <w:rFonts w:ascii="Times New Roman" w:hAnsi="Times New Roman" w:cs="Times New Roman"/>
        </w:rPr>
        <w:t xml:space="preserve"> Misran</w:t>
      </w:r>
      <w:r>
        <w:rPr>
          <w:rFonts w:ascii="Times New Roman" w:hAnsi="Times New Roman" w:cs="Times New Roman"/>
          <w:vertAlign w:val="superscript"/>
        </w:rPr>
        <w:t>2</w:t>
      </w:r>
      <w:r>
        <w:rPr>
          <w:rFonts w:ascii="Times New Roman" w:hAnsi="Times New Roman" w:cs="Times New Roman"/>
        </w:rPr>
        <w:t xml:space="preserve"> </w:t>
      </w:r>
      <w:r w:rsidRPr="004B7A1C">
        <w:rPr>
          <w:rFonts w:ascii="Times New Roman" w:hAnsi="Times New Roman" w:cs="Times New Roman"/>
        </w:rPr>
        <w:t xml:space="preserve">Dicky </w:t>
      </w:r>
      <w:proofErr w:type="spellStart"/>
      <w:r w:rsidRPr="004B7A1C">
        <w:rPr>
          <w:rFonts w:ascii="Times New Roman" w:hAnsi="Times New Roman" w:cs="Times New Roman"/>
        </w:rPr>
        <w:t>Izmi</w:t>
      </w:r>
      <w:proofErr w:type="spellEnd"/>
      <w:r w:rsidRPr="004B7A1C">
        <w:rPr>
          <w:rFonts w:ascii="Times New Roman" w:hAnsi="Times New Roman" w:cs="Times New Roman"/>
        </w:rPr>
        <w:t xml:space="preserve"> Syahputra</w:t>
      </w:r>
      <w:r>
        <w:rPr>
          <w:rFonts w:ascii="Times New Roman" w:hAnsi="Times New Roman" w:cs="Times New Roman"/>
          <w:vertAlign w:val="superscript"/>
        </w:rPr>
        <w:t>3</w:t>
      </w:r>
    </w:p>
    <w:p w14:paraId="473D41C4" w14:textId="76E46167" w:rsidR="004B7A1C" w:rsidRPr="004B7A1C" w:rsidRDefault="004B7A1C" w:rsidP="00CB5A7C">
      <w:pPr>
        <w:spacing w:after="120" w:line="240" w:lineRule="auto"/>
        <w:jc w:val="center"/>
        <w:rPr>
          <w:rFonts w:ascii="Times New Roman" w:hAnsi="Times New Roman" w:cs="Times New Roman"/>
          <w:sz w:val="18"/>
          <w:szCs w:val="18"/>
        </w:rPr>
      </w:pPr>
      <w:r>
        <w:rPr>
          <w:rFonts w:ascii="Times New Roman" w:hAnsi="Times New Roman" w:cs="Times New Roman"/>
          <w:sz w:val="18"/>
          <w:szCs w:val="18"/>
          <w:vertAlign w:val="superscript"/>
        </w:rPr>
        <w:t>1,2,3</w:t>
      </w:r>
      <w:r w:rsidRPr="004B7A1C">
        <w:rPr>
          <w:rFonts w:ascii="Times New Roman" w:hAnsi="Times New Roman" w:cs="Times New Roman"/>
          <w:sz w:val="18"/>
          <w:szCs w:val="18"/>
        </w:rPr>
        <w:t>Department of Government Affairs and Administration, Jusuf Kalla School of Government, University of Muhammadiyah Yogyakarta, Yogyakarta, Indonesia</w:t>
      </w:r>
    </w:p>
    <w:p w14:paraId="724B3600" w14:textId="0522D29E" w:rsidR="0014521F" w:rsidRPr="002265BE" w:rsidRDefault="00663FE3" w:rsidP="00CB5A7C">
      <w:pPr>
        <w:spacing w:after="240" w:line="240" w:lineRule="auto"/>
        <w:jc w:val="center"/>
        <w:rPr>
          <w:rFonts w:ascii="Times New Roman" w:hAnsi="Times New Roman" w:cs="Times New Roman"/>
        </w:rPr>
      </w:pPr>
      <w:r w:rsidRPr="002265B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F610041" wp14:editId="308FE96E">
                <wp:simplePos x="0" y="0"/>
                <wp:positionH relativeFrom="column">
                  <wp:posOffset>-9525</wp:posOffset>
                </wp:positionH>
                <wp:positionV relativeFrom="paragraph">
                  <wp:posOffset>219075</wp:posOffset>
                </wp:positionV>
                <wp:extent cx="57334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654E18"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7.25pt" to="45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" strokecolor="black [3040]"/>
            </w:pict>
          </mc:Fallback>
        </mc:AlternateContent>
      </w:r>
      <w:r w:rsidR="0014521F" w:rsidRPr="002265BE">
        <w:rPr>
          <w:rFonts w:ascii="Times New Roman" w:hAnsi="Times New Roman" w:cs="Times New Roman"/>
        </w:rPr>
        <w:t xml:space="preserve">Email: </w:t>
      </w:r>
      <w:hyperlink r:id="rId8" w:history="1">
        <w:r w:rsidR="004B7A1C" w:rsidRPr="002F4D85">
          <w:rPr>
            <w:rStyle w:val="Hyperlink"/>
            <w:rFonts w:ascii="Times New Roman" w:hAnsi="Times New Roman" w:cs="Times New Roman"/>
          </w:rPr>
          <w:t>misranalfarabi@gmail.com</w:t>
        </w:r>
      </w:hyperlink>
      <w:r w:rsidR="004B7A1C">
        <w:rPr>
          <w:rFonts w:ascii="Times New Roman" w:hAnsi="Times New Roman" w:cs="Times New Roman"/>
        </w:rPr>
        <w:t xml:space="preserve"> </w:t>
      </w:r>
    </w:p>
    <w:p w14:paraId="4A639489" w14:textId="29D978CA" w:rsidR="00CA7788" w:rsidRPr="002265BE" w:rsidRDefault="00CA7788" w:rsidP="00437DA2">
      <w:pPr>
        <w:tabs>
          <w:tab w:val="left" w:pos="8222"/>
        </w:tabs>
        <w:spacing w:after="0" w:line="240" w:lineRule="auto"/>
        <w:ind w:right="737"/>
        <w:jc w:val="center"/>
        <w:rPr>
          <w:rFonts w:ascii="Times New Roman" w:hAnsi="Times New Roman" w:cs="Times New Roman"/>
          <w:b/>
          <w:i/>
        </w:rPr>
      </w:pPr>
      <w:r w:rsidRPr="002265BE">
        <w:rPr>
          <w:rFonts w:ascii="Times New Roman" w:hAnsi="Times New Roman" w:cs="Times New Roman"/>
          <w:b/>
          <w:i/>
        </w:rPr>
        <w:t>Abstract</w:t>
      </w:r>
      <w:r w:rsidR="004B7C12" w:rsidRPr="002265BE">
        <w:rPr>
          <w:rFonts w:ascii="Times New Roman" w:hAnsi="Times New Roman" w:cs="Times New Roman"/>
          <w:b/>
          <w:i/>
        </w:rPr>
        <w:t xml:space="preserve"> </w:t>
      </w:r>
    </w:p>
    <w:p w14:paraId="69463365" w14:textId="779CDDD4" w:rsidR="00B370CA" w:rsidRPr="002265BE" w:rsidRDefault="00060E5C" w:rsidP="00060E5C">
      <w:pPr>
        <w:autoSpaceDE w:val="0"/>
        <w:autoSpaceDN w:val="0"/>
        <w:adjustRightInd w:val="0"/>
        <w:spacing w:after="120" w:line="240" w:lineRule="auto"/>
        <w:ind w:right="98"/>
        <w:jc w:val="both"/>
        <w:rPr>
          <w:rFonts w:ascii="Times New Roman" w:eastAsia="Times New Roman" w:hAnsi="Times New Roman" w:cs="Times New Roman"/>
          <w:lang w:val="id-ID" w:eastAsia="id-ID"/>
        </w:rPr>
      </w:pPr>
      <w:r w:rsidRPr="002265BE">
        <w:rPr>
          <w:rFonts w:ascii="Times New Roman" w:hAnsi="Times New Roman" w:cs="Times New Roman"/>
        </w:rPr>
        <w:t xml:space="preserve">This study aims to find out the analysis of local government spending in DKI Jakarta Special Region of Yogyakarta, Banda Aceh City, Papua, West Papua for the 2020 Fiscal Year in managing the 2018-2020 regional budget. This research is descriptive. The results of the study show that the spending variance of the Regional Government Expenditures (DKI Jakarta, DIY, Banda Aceh City, Papua, and West Papua) in 2018-2020 is an average of 25.5% -27.7% included in the favorable category variance because the realization of expenditure does not exceed the set budget. Furthermore, from the Harmony Ratio, most regional expenditures are allocated for Operational Expenditures. The average operating expenditure in 2018-2020 is 33.35%, while capital expenditure is 40.16%. The average is taken from the percentage of the five regional governments, and the Regional Expenditure Efficiency Ratio shows that the realization of the expenditure budget never exceeds the budget. The average efficiency ratio is 2018-2020 is 80.88%. This shows that the five regional governments are </w:t>
      </w:r>
      <w:proofErr w:type="gramStart"/>
      <w:r w:rsidRPr="002265BE">
        <w:rPr>
          <w:rFonts w:ascii="Times New Roman" w:hAnsi="Times New Roman" w:cs="Times New Roman"/>
        </w:rPr>
        <w:t>pretty efficient</w:t>
      </w:r>
      <w:proofErr w:type="gramEnd"/>
      <w:r w:rsidRPr="002265BE">
        <w:rPr>
          <w:rFonts w:ascii="Times New Roman" w:hAnsi="Times New Roman" w:cs="Times New Roman"/>
        </w:rPr>
        <w:t xml:space="preserve"> in making savings or spending efficiency</w:t>
      </w:r>
      <w:r w:rsidR="00D56BC6" w:rsidRPr="002265BE">
        <w:rPr>
          <w:rFonts w:ascii="Times New Roman" w:eastAsia="Times New Roman" w:hAnsi="Times New Roman" w:cs="Times New Roman"/>
          <w:lang w:val="id-ID" w:eastAsia="id-ID"/>
        </w:rPr>
        <w:t>.</w:t>
      </w:r>
    </w:p>
    <w:p w14:paraId="0C736D37" w14:textId="1B0C2594" w:rsidR="00670B50" w:rsidRPr="002265BE" w:rsidRDefault="00150E76" w:rsidP="00060E5C">
      <w:pPr>
        <w:spacing w:after="0" w:line="240" w:lineRule="auto"/>
        <w:ind w:right="98"/>
        <w:rPr>
          <w:rFonts w:ascii="Times New Roman" w:hAnsi="Times New Roman" w:cs="Times New Roman"/>
          <w:color w:val="000000"/>
        </w:rPr>
      </w:pPr>
      <w:r w:rsidRPr="002265BE">
        <w:rPr>
          <w:rFonts w:ascii="Times New Roman" w:hAnsi="Times New Roman" w:cs="Times New Roman"/>
          <w:b/>
          <w:i/>
          <w:noProof/>
        </w:rPr>
        <mc:AlternateContent>
          <mc:Choice Requires="wps">
            <w:drawing>
              <wp:anchor distT="45720" distB="45720" distL="114300" distR="114300" simplePos="0" relativeHeight="251663360" behindDoc="0" locked="0" layoutInCell="1" allowOverlap="1" wp14:anchorId="09319E0D" wp14:editId="7210A0AB">
                <wp:simplePos x="0" y="0"/>
                <wp:positionH relativeFrom="column">
                  <wp:posOffset>43180</wp:posOffset>
                </wp:positionH>
                <wp:positionV relativeFrom="paragraph">
                  <wp:posOffset>11430</wp:posOffset>
                </wp:positionV>
                <wp:extent cx="2089785" cy="1249680"/>
                <wp:effectExtent l="0" t="0" r="247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24968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22 December 2019 </w:t>
                            </w:r>
                          </w:p>
                          <w:p w14:paraId="6496C89C"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Received in revised form 19 June 2020</w:t>
                            </w:r>
                          </w:p>
                          <w:p w14:paraId="331F3900" w14:textId="77777777"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2 July 2020 </w:t>
                            </w:r>
                          </w:p>
                          <w:p w14:paraId="208A2CE5" w14:textId="6A2F496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Available online 27 July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19E0D" id="_x0000_t202" coordsize="21600,21600" o:spt="202" path="m,l,21600r21600,l21600,xe">
                <v:stroke joinstyle="miter"/>
                <v:path gradientshapeok="t" o:connecttype="rect"/>
              </v:shapetype>
              <v:shape id="Text Box 2" o:spid="_x0000_s1026" type="#_x0000_t202" style="position:absolute;margin-left:3.4pt;margin-top:.9pt;width:164.55pt;height:9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&#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22 December 2019 </w:t>
                      </w:r>
                    </w:p>
                    <w:p w14:paraId="6496C89C"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Received in revised form 19 June 2020</w:t>
                      </w:r>
                    </w:p>
                    <w:p w14:paraId="331F3900" w14:textId="77777777"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2 July 2020 </w:t>
                      </w:r>
                    </w:p>
                    <w:p w14:paraId="208A2CE5" w14:textId="6A2F496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Available online 27 July 2020</w:t>
                      </w:r>
                    </w:p>
                  </w:txbxContent>
                </v:textbox>
                <w10:wrap type="square"/>
              </v:shape>
            </w:pict>
          </mc:Fallback>
        </mc:AlternateContent>
      </w:r>
      <w:r w:rsidRPr="002265BE">
        <w:rPr>
          <w:rFonts w:ascii="Times New Roman" w:hAnsi="Times New Roman" w:cs="Times New Roman"/>
          <w:b/>
        </w:rPr>
        <w:t>Keywords:</w:t>
      </w:r>
      <w:r w:rsidRPr="002265BE">
        <w:rPr>
          <w:rFonts w:ascii="Times New Roman" w:hAnsi="Times New Roman" w:cs="Times New Roman"/>
        </w:rPr>
        <w:t xml:space="preserve"> </w:t>
      </w:r>
      <w:r w:rsidR="00060E5C" w:rsidRPr="002265BE">
        <w:rPr>
          <w:rFonts w:ascii="Times New Roman" w:hAnsi="Times New Roman" w:cs="Times New Roman"/>
        </w:rPr>
        <w:t>Financial Performance; Regional Spending; Cost Management</w:t>
      </w:r>
      <w:r w:rsidR="00060E5C" w:rsidRPr="002265BE">
        <w:rPr>
          <w:rFonts w:ascii="Times New Roman" w:hAnsi="Times New Roman" w:cs="Times New Roman"/>
        </w:rPr>
        <w:t>.</w:t>
      </w:r>
    </w:p>
    <w:p w14:paraId="433190E6" w14:textId="4BBCEDEB" w:rsidR="00EB4D55" w:rsidRPr="002265BE" w:rsidRDefault="00150E76" w:rsidP="00670B50">
      <w:pPr>
        <w:pStyle w:val="Body"/>
        <w:ind w:firstLine="0"/>
        <w:rPr>
          <w:sz w:val="22"/>
          <w:szCs w:val="22"/>
        </w:rPr>
      </w:pPr>
      <w:r w:rsidRPr="002265BE">
        <w:rPr>
          <w:noProof/>
          <w:spacing w:val="-6"/>
          <w:sz w:val="22"/>
          <w:szCs w:val="22"/>
          <w:lang w:eastAsia="en-US"/>
        </w:rPr>
        <mc:AlternateContent>
          <mc:Choice Requires="wps">
            <w:drawing>
              <wp:anchor distT="0" distB="0" distL="114300" distR="114300" simplePos="0" relativeHeight="251659264" behindDoc="0" locked="0" layoutInCell="1" allowOverlap="1" wp14:anchorId="6FDD047B" wp14:editId="1BAE1420">
                <wp:simplePos x="0" y="0"/>
                <wp:positionH relativeFrom="column">
                  <wp:posOffset>-7620</wp:posOffset>
                </wp:positionH>
                <wp:positionV relativeFrom="paragraph">
                  <wp:posOffset>82550</wp:posOffset>
                </wp:positionV>
                <wp:extent cx="5724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5C60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45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" strokecolor="black [3040]"/>
            </w:pict>
          </mc:Fallback>
        </mc:AlternateContent>
      </w:r>
    </w:p>
    <w:p w14:paraId="32219811" w14:textId="3C0A6307" w:rsidR="009A3BFC" w:rsidRPr="002265BE" w:rsidRDefault="009A3BFC" w:rsidP="009A3BFC">
      <w:pPr>
        <w:spacing w:after="0" w:line="360" w:lineRule="auto"/>
        <w:jc w:val="both"/>
        <w:rPr>
          <w:rFonts w:ascii="Times New Roman" w:hAnsi="Times New Roman" w:cs="Times New Roman"/>
          <w:b/>
        </w:rPr>
      </w:pPr>
      <w:r w:rsidRPr="002265BE">
        <w:rPr>
          <w:rFonts w:ascii="Times New Roman" w:hAnsi="Times New Roman" w:cs="Times New Roman"/>
          <w:b/>
        </w:rPr>
        <w:t xml:space="preserve">INTRODUCTION </w:t>
      </w:r>
    </w:p>
    <w:p w14:paraId="73CEAA24" w14:textId="77777777" w:rsidR="00060E5C" w:rsidRPr="002265BE" w:rsidRDefault="00060E5C" w:rsidP="00060E5C">
      <w:pPr>
        <w:spacing w:after="0" w:line="360" w:lineRule="auto"/>
        <w:jc w:val="both"/>
        <w:rPr>
          <w:rFonts w:ascii="Times New Roman" w:eastAsia="BatangChe" w:hAnsi="Times New Roman" w:cs="Times New Roman"/>
          <w:lang w:eastAsia="ko-KR"/>
        </w:rPr>
      </w:pPr>
      <w:r w:rsidRPr="002265BE">
        <w:rPr>
          <w:rFonts w:ascii="Times New Roman" w:eastAsia="BatangChe" w:hAnsi="Times New Roman" w:cs="Times New Roman"/>
          <w:lang w:eastAsia="ko-KR"/>
        </w:rPr>
        <w:t>The implementation of fiscal decentralization in Indonesia refers to Law No. 32 of 2004 concerning Regional Government and Law No. 33 of 2004 concerning Financial Balance between the center and the regions. The broad autonomy authority requires local governments to improve public services and welfare in a democratic, fair, equitable, and sustainable manner. Regions have obligations that must be fulfilled to the public. These obligations can be in building various public facilities and improving the quality of public services. To carry out these obligations, regional expenditures are required. Regional expenditures are related to regional obligations that can be valued in money.</w:t>
      </w:r>
    </w:p>
    <w:p w14:paraId="38045065" w14:textId="77777777" w:rsidR="00060E5C" w:rsidRPr="002265BE" w:rsidRDefault="00060E5C" w:rsidP="00060E5C">
      <w:pPr>
        <w:spacing w:after="0" w:line="360" w:lineRule="auto"/>
        <w:ind w:firstLine="720"/>
        <w:jc w:val="both"/>
        <w:rPr>
          <w:rFonts w:ascii="Times New Roman" w:eastAsia="BatangChe" w:hAnsi="Times New Roman" w:cs="Times New Roman"/>
          <w:lang w:eastAsia="ko-KR"/>
        </w:rPr>
      </w:pPr>
      <w:r w:rsidRPr="002265BE">
        <w:rPr>
          <w:rFonts w:ascii="Times New Roman" w:eastAsia="BatangChe" w:hAnsi="Times New Roman" w:cs="Times New Roman"/>
          <w:lang w:eastAsia="ko-KR"/>
        </w:rPr>
        <w:t xml:space="preserve">The value of expenditures made by local governments for the benefit of the community is referred to as local government expenditures, namely expenditures for education and health care, police and military, salaries of government employees, and infrastructure development, all for the benefit of the community (Haryanto, 2013). Rostow and Musgrave established a model of government spending development that links the growth of government spending with stages of economic development, which are divided into early, intermediate, and advanced stages (Garrett &amp; Mitchell, 2001). Since the government must provide infrastructure, such as education, health, and transportation infrastructure, the </w:t>
      </w:r>
      <w:r w:rsidRPr="002265BE">
        <w:rPr>
          <w:rFonts w:ascii="Times New Roman" w:eastAsia="BatangChe" w:hAnsi="Times New Roman" w:cs="Times New Roman"/>
          <w:lang w:eastAsia="ko-KR"/>
        </w:rPr>
        <w:lastRenderedPageBreak/>
        <w:t>ratio of government investment to total investment is higher in the early phase of economic growth. In the middle phase of the economic development phase, government investment is still needed to encourage economic growth and let it take off. However, private investment is becoming more critical at this point (Haryanto, 2013). At the intermediate stage, government involvement remains significant because the growing role of the private sector results in many market failures, forcing the government to offer public goods and services in more significant quantities and of higher quality.</w:t>
      </w:r>
    </w:p>
    <w:p w14:paraId="18DBBF76" w14:textId="77777777" w:rsidR="00060E5C" w:rsidRPr="002265BE" w:rsidRDefault="00060E5C" w:rsidP="00060E5C">
      <w:pPr>
        <w:spacing w:after="0" w:line="360" w:lineRule="auto"/>
        <w:ind w:firstLine="720"/>
        <w:jc w:val="both"/>
        <w:rPr>
          <w:rFonts w:ascii="Times New Roman" w:eastAsia="BatangChe" w:hAnsi="Times New Roman" w:cs="Times New Roman"/>
          <w:lang w:eastAsia="ko-KR"/>
        </w:rPr>
      </w:pPr>
      <w:r w:rsidRPr="002265BE">
        <w:rPr>
          <w:rFonts w:ascii="Times New Roman" w:eastAsia="BatangChe" w:hAnsi="Times New Roman" w:cs="Times New Roman"/>
          <w:lang w:eastAsia="ko-KR"/>
        </w:rPr>
        <w:t xml:space="preserve">The revenue budget is an integral part in the preparation of the APBD, wherein the preparation of the revenue budget has an essential meaning for local governments in helping the smooth wheels of development and providing content and meaning to the responsibilities of local governments </w:t>
      </w:r>
      <w:proofErr w:type="gramStart"/>
      <w:r w:rsidRPr="002265BE">
        <w:rPr>
          <w:rFonts w:ascii="Times New Roman" w:eastAsia="BatangChe" w:hAnsi="Times New Roman" w:cs="Times New Roman"/>
          <w:lang w:eastAsia="ko-KR"/>
        </w:rPr>
        <w:t>in particular to</w:t>
      </w:r>
      <w:proofErr w:type="gramEnd"/>
      <w:r w:rsidRPr="002265BE">
        <w:rPr>
          <w:rFonts w:ascii="Times New Roman" w:eastAsia="BatangChe" w:hAnsi="Times New Roman" w:cs="Times New Roman"/>
          <w:lang w:eastAsia="ko-KR"/>
        </w:rPr>
        <w:t xml:space="preserve"> create effective planning and implementation. The preparation of a revenue budget is a plan that is compiled systematically, in which all government or agency activities are expressed in monetary units (value of money) for a certain period in the future.</w:t>
      </w:r>
    </w:p>
    <w:p w14:paraId="355D7249" w14:textId="77777777" w:rsidR="00060E5C" w:rsidRPr="002265BE" w:rsidRDefault="00060E5C" w:rsidP="00060E5C">
      <w:pPr>
        <w:spacing w:after="0" w:line="360" w:lineRule="auto"/>
        <w:ind w:firstLine="720"/>
        <w:jc w:val="both"/>
        <w:rPr>
          <w:rFonts w:ascii="Times New Roman" w:eastAsia="BatangChe" w:hAnsi="Times New Roman" w:cs="Times New Roman"/>
          <w:lang w:eastAsia="ko-KR"/>
        </w:rPr>
      </w:pPr>
      <w:r w:rsidRPr="002265BE">
        <w:rPr>
          <w:rFonts w:ascii="Times New Roman" w:eastAsia="BatangChe" w:hAnsi="Times New Roman" w:cs="Times New Roman"/>
          <w:lang w:eastAsia="ko-KR"/>
        </w:rPr>
        <w:t xml:space="preserve">Regional expenditure is a regional expenditure burden allocated fairly and equitably so that it can be relatively enjoyed by all community groups without discrimination, especially in the provision of public services. </w:t>
      </w:r>
      <w:proofErr w:type="spellStart"/>
      <w:r w:rsidRPr="002265BE">
        <w:rPr>
          <w:rFonts w:ascii="Times New Roman" w:eastAsia="BatangChe" w:hAnsi="Times New Roman" w:cs="Times New Roman"/>
          <w:lang w:eastAsia="ko-KR"/>
        </w:rPr>
        <w:t>Zebua</w:t>
      </w:r>
      <w:proofErr w:type="spellEnd"/>
      <w:r w:rsidRPr="002265BE">
        <w:rPr>
          <w:rFonts w:ascii="Times New Roman" w:eastAsia="BatangChe" w:hAnsi="Times New Roman" w:cs="Times New Roman"/>
          <w:lang w:eastAsia="ko-KR"/>
        </w:rPr>
        <w:t xml:space="preserve"> (2014) that regional expenditures allocated adequately to expenditure posts needed by the community will encourage </w:t>
      </w:r>
      <w:proofErr w:type="gramStart"/>
      <w:r w:rsidRPr="002265BE">
        <w:rPr>
          <w:rFonts w:ascii="Times New Roman" w:eastAsia="BatangChe" w:hAnsi="Times New Roman" w:cs="Times New Roman"/>
          <w:lang w:eastAsia="ko-KR"/>
        </w:rPr>
        <w:t>positive growth</w:t>
      </w:r>
      <w:proofErr w:type="gramEnd"/>
      <w:r w:rsidRPr="002265BE">
        <w:rPr>
          <w:rFonts w:ascii="Times New Roman" w:eastAsia="BatangChe" w:hAnsi="Times New Roman" w:cs="Times New Roman"/>
          <w:lang w:eastAsia="ko-KR"/>
        </w:rPr>
        <w:t xml:space="preserve"> to improve people's welfare. Regional expenditure analysis is conducted to evaluate whether the local government has used the Regional Revenue and Expenditure Budget (APBD) economically, efficiently, and effectively. Mahmudi's (2010:142) analysis of spending growth helps know spending from year to year. Local governments must be able to control regional spending, make spending efficient, and budget savings.</w:t>
      </w:r>
    </w:p>
    <w:p w14:paraId="48E97700" w14:textId="3D26BBB4" w:rsidR="00060E5C" w:rsidRPr="002265BE" w:rsidRDefault="00060E5C" w:rsidP="00060E5C">
      <w:pPr>
        <w:spacing w:after="0" w:line="360" w:lineRule="auto"/>
        <w:ind w:firstLine="720"/>
        <w:jc w:val="both"/>
        <w:rPr>
          <w:rFonts w:ascii="Times New Roman" w:eastAsia="BatangChe" w:hAnsi="Times New Roman" w:cs="Times New Roman"/>
          <w:lang w:eastAsia="ko-KR"/>
        </w:rPr>
      </w:pPr>
      <w:r w:rsidRPr="002265BE">
        <w:rPr>
          <w:rFonts w:ascii="Times New Roman" w:eastAsia="BatangChe" w:hAnsi="Times New Roman" w:cs="Times New Roman"/>
          <w:lang w:eastAsia="ko-KR"/>
        </w:rPr>
        <w:t xml:space="preserve">Several previous studies have examined local government spending. For example, </w:t>
      </w:r>
      <w:proofErr w:type="spellStart"/>
      <w:r w:rsidRPr="002265BE">
        <w:rPr>
          <w:rFonts w:ascii="Times New Roman" w:eastAsia="BatangChe" w:hAnsi="Times New Roman" w:cs="Times New Roman"/>
          <w:lang w:eastAsia="ko-KR"/>
        </w:rPr>
        <w:t>Bachmid</w:t>
      </w:r>
      <w:proofErr w:type="spellEnd"/>
      <w:r w:rsidRPr="002265BE">
        <w:rPr>
          <w:rFonts w:ascii="Times New Roman" w:eastAsia="BatangChe" w:hAnsi="Times New Roman" w:cs="Times New Roman"/>
          <w:lang w:eastAsia="ko-KR"/>
        </w:rPr>
        <w:t xml:space="preserve"> (2012), in his research on Analysis of Regional Expenditures in the Manado City Government, in his research saw that Manado City's Revenue and Expenditures had been carried out efficiently and effectively compared to 2007-2010 there was no significant increase or decrease in expenditure realization due to no programs or activities that affect the regional budget. Another research we can see is Kaine's research (2012), entitled Analysis of Variance and Regional Expenditure Growth in </w:t>
      </w:r>
      <w:proofErr w:type="spellStart"/>
      <w:r w:rsidRPr="002265BE">
        <w:rPr>
          <w:rFonts w:ascii="Times New Roman" w:eastAsia="BatangChe" w:hAnsi="Times New Roman" w:cs="Times New Roman"/>
          <w:lang w:eastAsia="ko-KR"/>
        </w:rPr>
        <w:t>Bitung</w:t>
      </w:r>
      <w:proofErr w:type="spellEnd"/>
      <w:r w:rsidRPr="002265BE">
        <w:rPr>
          <w:rFonts w:ascii="Times New Roman" w:eastAsia="BatangChe" w:hAnsi="Times New Roman" w:cs="Times New Roman"/>
          <w:lang w:eastAsia="ko-KR"/>
        </w:rPr>
        <w:t xml:space="preserve"> City Government. The aim is to determine the value of variance and growth of spending between 2009-2012.</w:t>
      </w:r>
    </w:p>
    <w:p w14:paraId="11FBB7E5" w14:textId="0A8134D5" w:rsidR="00776263" w:rsidRPr="002265BE" w:rsidRDefault="00776263" w:rsidP="004B7A1C">
      <w:pPr>
        <w:spacing w:after="0" w:line="360" w:lineRule="auto"/>
        <w:ind w:firstLine="720"/>
        <w:jc w:val="center"/>
        <w:rPr>
          <w:rFonts w:ascii="Times New Roman" w:eastAsia="BatangChe" w:hAnsi="Times New Roman" w:cs="Times New Roman"/>
          <w:lang w:eastAsia="ko-KR"/>
        </w:rPr>
      </w:pPr>
      <w:r w:rsidRPr="002265BE">
        <w:rPr>
          <w:rFonts w:ascii="Times New Roman" w:hAnsi="Times New Roman" w:cs="Times New Roman"/>
          <w:noProof/>
        </w:rPr>
        <w:lastRenderedPageBreak/>
        <w:drawing>
          <wp:inline distT="0" distB="0" distL="0" distR="0" wp14:anchorId="19D48E3F" wp14:editId="1F1CCBC0">
            <wp:extent cx="3288915" cy="2194560"/>
            <wp:effectExtent l="0" t="0" r="6985" b="0"/>
            <wp:docPr id="9" name="Picture 9" descr="C:\Users\LENOVO\Pictures\spending-2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Pictures\spending-23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8915" cy="2194560"/>
                    </a:xfrm>
                    <a:prstGeom prst="rect">
                      <a:avLst/>
                    </a:prstGeom>
                    <a:noFill/>
                    <a:ln>
                      <a:noFill/>
                    </a:ln>
                  </pic:spPr>
                </pic:pic>
              </a:graphicData>
            </a:graphic>
          </wp:inline>
        </w:drawing>
      </w:r>
    </w:p>
    <w:p w14:paraId="107A4583" w14:textId="6189F022" w:rsidR="009A3BFC" w:rsidRPr="002265BE" w:rsidRDefault="00060E5C" w:rsidP="004B7A1C">
      <w:pPr>
        <w:spacing w:after="0" w:line="360" w:lineRule="auto"/>
        <w:ind w:firstLine="720"/>
        <w:jc w:val="both"/>
        <w:rPr>
          <w:rFonts w:ascii="Times New Roman" w:hAnsi="Times New Roman" w:cs="Times New Roman"/>
          <w:b/>
        </w:rPr>
      </w:pPr>
      <w:r w:rsidRPr="002265BE">
        <w:rPr>
          <w:rFonts w:ascii="Times New Roman" w:eastAsia="BatangChe" w:hAnsi="Times New Roman" w:cs="Times New Roman"/>
          <w:lang w:eastAsia="ko-KR"/>
        </w:rPr>
        <w:t>In the picture above, we can find studies that have been studied previously related to local government spending. For example, in 2017, researchers researched growth, regulation, and regional expenditure revenues. While in 2018, local government spending was studied a lot in terms of effects, taxes, implications, benefits, local government spending, and several others. In 2019, local government spending was widely seen in development, growth, economy, GDP, taxis, and fiscal shock. Entering the year 2020-2021, research on local government is still lacking.</w:t>
      </w:r>
      <w:r w:rsidRPr="002265BE">
        <w:rPr>
          <w:rFonts w:ascii="Times New Roman" w:eastAsia="BatangChe" w:hAnsi="Times New Roman" w:cs="Times New Roman"/>
          <w:lang w:eastAsia="ko-KR"/>
        </w:rPr>
        <w:t xml:space="preserve"> </w:t>
      </w:r>
      <w:r w:rsidRPr="002265BE">
        <w:rPr>
          <w:rFonts w:ascii="Times New Roman" w:eastAsia="BatangChe" w:hAnsi="Times New Roman" w:cs="Times New Roman"/>
          <w:lang w:eastAsia="ko-KR"/>
        </w:rPr>
        <w:t xml:space="preserve">In this study, the researchers wanted to see local government spending in five areas of DKI Jakarta, Special Region of Yogyakarta, Aceh, Papua, West Papua. The five regions that adhere to the </w:t>
      </w:r>
      <w:proofErr w:type="gramStart"/>
      <w:r w:rsidRPr="002265BE">
        <w:rPr>
          <w:rFonts w:ascii="Times New Roman" w:eastAsia="BatangChe" w:hAnsi="Times New Roman" w:cs="Times New Roman"/>
          <w:lang w:eastAsia="ko-KR"/>
        </w:rPr>
        <w:t>particular autonomy</w:t>
      </w:r>
      <w:proofErr w:type="gramEnd"/>
      <w:r w:rsidRPr="002265BE">
        <w:rPr>
          <w:rFonts w:ascii="Times New Roman" w:eastAsia="BatangChe" w:hAnsi="Times New Roman" w:cs="Times New Roman"/>
          <w:lang w:eastAsia="ko-KR"/>
        </w:rPr>
        <w:t xml:space="preserve"> system</w:t>
      </w:r>
    </w:p>
    <w:p w14:paraId="0441929C" w14:textId="4C632A3C" w:rsidR="00060E5C" w:rsidRPr="002265BE" w:rsidRDefault="00776263" w:rsidP="00060E5C">
      <w:pPr>
        <w:spacing w:after="0" w:line="360" w:lineRule="auto"/>
        <w:jc w:val="both"/>
        <w:rPr>
          <w:rFonts w:ascii="Times New Roman" w:hAnsi="Times New Roman" w:cs="Times New Roman"/>
          <w:b/>
        </w:rPr>
      </w:pPr>
      <w:r w:rsidRPr="002265BE">
        <w:rPr>
          <w:rFonts w:ascii="Times New Roman" w:hAnsi="Times New Roman" w:cs="Times New Roman"/>
          <w:b/>
        </w:rPr>
        <w:t>LITERATURE REVIEW</w:t>
      </w:r>
    </w:p>
    <w:p w14:paraId="62A21C46" w14:textId="4E998F25" w:rsidR="00060E5C" w:rsidRPr="002265BE" w:rsidRDefault="00060E5C" w:rsidP="00060E5C">
      <w:pPr>
        <w:spacing w:after="0" w:line="360" w:lineRule="auto"/>
        <w:jc w:val="both"/>
        <w:rPr>
          <w:rFonts w:ascii="Times New Roman" w:hAnsi="Times New Roman" w:cs="Times New Roman"/>
          <w:b/>
          <w:i/>
          <w:iCs/>
        </w:rPr>
      </w:pPr>
      <w:r w:rsidRPr="002265BE">
        <w:rPr>
          <w:rFonts w:ascii="Times New Roman" w:hAnsi="Times New Roman" w:cs="Times New Roman"/>
          <w:b/>
          <w:i/>
          <w:iCs/>
        </w:rPr>
        <w:t>Regional Revenue and Expenditure Regional</w:t>
      </w:r>
    </w:p>
    <w:p w14:paraId="00238CB7" w14:textId="77777777" w:rsidR="00060E5C" w:rsidRPr="002265BE" w:rsidRDefault="00060E5C" w:rsidP="00776263">
      <w:pPr>
        <w:spacing w:after="0" w:line="360" w:lineRule="auto"/>
        <w:ind w:firstLine="720"/>
        <w:jc w:val="both"/>
        <w:rPr>
          <w:rFonts w:ascii="Times New Roman" w:hAnsi="Times New Roman" w:cs="Times New Roman"/>
          <w:bCs/>
        </w:rPr>
      </w:pPr>
      <w:r w:rsidRPr="002265BE">
        <w:rPr>
          <w:rFonts w:ascii="Times New Roman" w:hAnsi="Times New Roman" w:cs="Times New Roman"/>
          <w:bCs/>
        </w:rPr>
        <w:t>Budget revenue and Expenditure Budget (APBD) is the regional government's annual financial plan discussed and approved jointly by the regional government and DPRD and stipulated by regional regulations (Regulation of the Minister of Home Affairs of the Republic of Indonesia Number 64 of 2021, 2021). The elements of the regional budget include 1) The activity plan of a region and its detailed description, 2) The existence of a source of revenue which is the minimum target to cover costs related to the activity and the existence of a cost which is the maximum limit of expenditure to be carried out, 3) Type of activity and projects that are stated in the form of numbers, 4) The budget period is usually one year (Halim (2012: 22) Minister of Home Affairs Regulation No: 13 of 2006 states that the APBD has an authorization function, a planning function, a supervisory function, an allocation function, a distribution function, and stability function</w:t>
      </w:r>
    </w:p>
    <w:p w14:paraId="6ED9EF71" w14:textId="2331C1D1" w:rsidR="00060E5C" w:rsidRPr="002265BE" w:rsidRDefault="00060E5C" w:rsidP="00060E5C">
      <w:pPr>
        <w:spacing w:after="0" w:line="360" w:lineRule="auto"/>
        <w:jc w:val="both"/>
        <w:rPr>
          <w:rFonts w:ascii="Times New Roman" w:hAnsi="Times New Roman" w:cs="Times New Roman"/>
          <w:b/>
          <w:i/>
          <w:iCs/>
        </w:rPr>
      </w:pPr>
      <w:r w:rsidRPr="002265BE">
        <w:rPr>
          <w:rFonts w:ascii="Times New Roman" w:hAnsi="Times New Roman" w:cs="Times New Roman"/>
          <w:b/>
          <w:i/>
          <w:iCs/>
        </w:rPr>
        <w:t>Regional Expenditure Regional</w:t>
      </w:r>
    </w:p>
    <w:p w14:paraId="39C3AD46" w14:textId="77777777" w:rsidR="00060E5C" w:rsidRPr="002265BE" w:rsidRDefault="00060E5C" w:rsidP="00776263">
      <w:pPr>
        <w:spacing w:after="0" w:line="360" w:lineRule="auto"/>
        <w:ind w:firstLine="720"/>
        <w:jc w:val="both"/>
        <w:rPr>
          <w:rFonts w:ascii="Times New Roman" w:hAnsi="Times New Roman" w:cs="Times New Roman"/>
          <w:bCs/>
        </w:rPr>
      </w:pPr>
      <w:r w:rsidRPr="002265BE">
        <w:rPr>
          <w:rFonts w:ascii="Times New Roman" w:hAnsi="Times New Roman" w:cs="Times New Roman"/>
          <w:bCs/>
        </w:rPr>
        <w:t xml:space="preserve">Expenditure is expenditure by the State General Treasurer or Regional General Treasurer, which reduces the budget balance in the relevant fiscal year, which the regional government will not repay (PP No. 71 of 2010). According to Local government expenditures, regional expenditure plays a role in meeting community demands with only the provision of facilities and infrastructure not fulfilled by the private sector (Goethe, </w:t>
      </w:r>
      <w:proofErr w:type="spellStart"/>
      <w:r w:rsidRPr="002265BE">
        <w:rPr>
          <w:rFonts w:ascii="Times New Roman" w:hAnsi="Times New Roman" w:cs="Times New Roman"/>
          <w:bCs/>
        </w:rPr>
        <w:t>Irdha</w:t>
      </w:r>
      <w:proofErr w:type="spellEnd"/>
      <w:r w:rsidRPr="002265BE">
        <w:rPr>
          <w:rFonts w:ascii="Times New Roman" w:hAnsi="Times New Roman" w:cs="Times New Roman"/>
          <w:bCs/>
        </w:rPr>
        <w:t xml:space="preserve"> </w:t>
      </w:r>
      <w:proofErr w:type="spellStart"/>
      <w:r w:rsidRPr="002265BE">
        <w:rPr>
          <w:rFonts w:ascii="Times New Roman" w:hAnsi="Times New Roman" w:cs="Times New Roman"/>
          <w:bCs/>
        </w:rPr>
        <w:t>Anisyah</w:t>
      </w:r>
      <w:proofErr w:type="spellEnd"/>
      <w:r w:rsidRPr="002265BE">
        <w:rPr>
          <w:rFonts w:ascii="Times New Roman" w:hAnsi="Times New Roman" w:cs="Times New Roman"/>
          <w:bCs/>
        </w:rPr>
        <w:t xml:space="preserve"> </w:t>
      </w:r>
      <w:proofErr w:type="spellStart"/>
      <w:r w:rsidRPr="002265BE">
        <w:rPr>
          <w:rFonts w:ascii="Times New Roman" w:hAnsi="Times New Roman" w:cs="Times New Roman"/>
          <w:bCs/>
        </w:rPr>
        <w:t>Marsudi</w:t>
      </w:r>
      <w:proofErr w:type="spellEnd"/>
      <w:r w:rsidRPr="002265BE">
        <w:rPr>
          <w:rFonts w:ascii="Times New Roman" w:hAnsi="Times New Roman" w:cs="Times New Roman"/>
          <w:bCs/>
        </w:rPr>
        <w:t xml:space="preserve"> </w:t>
      </w:r>
      <w:proofErr w:type="spellStart"/>
      <w:r w:rsidRPr="002265BE">
        <w:rPr>
          <w:rFonts w:ascii="Times New Roman" w:hAnsi="Times New Roman" w:cs="Times New Roman"/>
          <w:bCs/>
        </w:rPr>
        <w:t>Masinambow</w:t>
      </w:r>
      <w:proofErr w:type="spellEnd"/>
      <w:r w:rsidRPr="002265BE">
        <w:rPr>
          <w:rFonts w:ascii="Times New Roman" w:hAnsi="Times New Roman" w:cs="Times New Roman"/>
          <w:bCs/>
        </w:rPr>
        <w:t xml:space="preserve"> &amp; </w:t>
      </w:r>
      <w:proofErr w:type="spellStart"/>
      <w:r w:rsidRPr="002265BE">
        <w:rPr>
          <w:rFonts w:ascii="Times New Roman" w:hAnsi="Times New Roman" w:cs="Times New Roman"/>
          <w:bCs/>
        </w:rPr>
        <w:t>Engka</w:t>
      </w:r>
      <w:proofErr w:type="spellEnd"/>
      <w:r w:rsidRPr="002265BE">
        <w:rPr>
          <w:rFonts w:ascii="Times New Roman" w:hAnsi="Times New Roman" w:cs="Times New Roman"/>
          <w:bCs/>
        </w:rPr>
        <w:t xml:space="preserve">, 2014). The budget can be said to be the manager of government spending activities for the government and provides a way of </w:t>
      </w:r>
      <w:r w:rsidRPr="002265BE">
        <w:rPr>
          <w:rFonts w:ascii="Times New Roman" w:hAnsi="Times New Roman" w:cs="Times New Roman"/>
          <w:bCs/>
        </w:rPr>
        <w:lastRenderedPageBreak/>
        <w:t>obtaining revenue and financing. The Regional Revenue and Expenditure Budget consists of three main components, namely, elements of routine expenditure receipts and development expenditures (</w:t>
      </w:r>
      <w:proofErr w:type="spellStart"/>
      <w:r w:rsidRPr="002265BE">
        <w:rPr>
          <w:rFonts w:ascii="Times New Roman" w:hAnsi="Times New Roman" w:cs="Times New Roman"/>
          <w:bCs/>
        </w:rPr>
        <w:t>Harliza</w:t>
      </w:r>
      <w:proofErr w:type="spellEnd"/>
      <w:r w:rsidRPr="002265BE">
        <w:rPr>
          <w:rFonts w:ascii="Times New Roman" w:hAnsi="Times New Roman" w:cs="Times New Roman"/>
          <w:bCs/>
        </w:rPr>
        <w:t xml:space="preserve"> &amp; </w:t>
      </w:r>
      <w:proofErr w:type="spellStart"/>
      <w:r w:rsidRPr="002265BE">
        <w:rPr>
          <w:rFonts w:ascii="Times New Roman" w:hAnsi="Times New Roman" w:cs="Times New Roman"/>
          <w:bCs/>
        </w:rPr>
        <w:t>Anitasari</w:t>
      </w:r>
      <w:proofErr w:type="spellEnd"/>
      <w:r w:rsidRPr="002265BE">
        <w:rPr>
          <w:rFonts w:ascii="Times New Roman" w:hAnsi="Times New Roman" w:cs="Times New Roman"/>
          <w:bCs/>
        </w:rPr>
        <w:t>, 2017). Based on PP No. 71 of 2010, spending is classified into three (</w:t>
      </w:r>
      <w:proofErr w:type="spellStart"/>
      <w:r w:rsidRPr="002265BE">
        <w:rPr>
          <w:rFonts w:ascii="Times New Roman" w:hAnsi="Times New Roman" w:cs="Times New Roman"/>
          <w:bCs/>
        </w:rPr>
        <w:t>Suhaedi</w:t>
      </w:r>
      <w:proofErr w:type="spellEnd"/>
      <w:r w:rsidRPr="002265BE">
        <w:rPr>
          <w:rFonts w:ascii="Times New Roman" w:hAnsi="Times New Roman" w:cs="Times New Roman"/>
          <w:bCs/>
        </w:rPr>
        <w:t>, 2019).</w:t>
      </w:r>
    </w:p>
    <w:p w14:paraId="124A97F0" w14:textId="77777777" w:rsidR="004B7A1C" w:rsidRDefault="00060E5C" w:rsidP="004B7A1C">
      <w:pPr>
        <w:pStyle w:val="ListParagraph"/>
        <w:numPr>
          <w:ilvl w:val="0"/>
          <w:numId w:val="14"/>
        </w:numPr>
        <w:spacing w:after="0" w:line="360" w:lineRule="auto"/>
        <w:jc w:val="both"/>
        <w:rPr>
          <w:rFonts w:ascii="Times New Roman" w:hAnsi="Times New Roman"/>
          <w:bCs/>
        </w:rPr>
      </w:pPr>
      <w:r w:rsidRPr="004B7A1C">
        <w:rPr>
          <w:rFonts w:ascii="Times New Roman" w:hAnsi="Times New Roman"/>
          <w:bCs/>
        </w:rPr>
        <w:t>Economic classification is a grouping of spending based on the type of spending to carry out an activity. Based on the economic classification, expenditure is divided into 4, namely: operating expenditure, capital expenditure, other/unexpected expenditure, and transfer expenditure</w:t>
      </w:r>
      <w:r w:rsidR="00776263" w:rsidRPr="004B7A1C">
        <w:rPr>
          <w:rFonts w:ascii="Times New Roman" w:hAnsi="Times New Roman"/>
          <w:bCs/>
        </w:rPr>
        <w:t>.</w:t>
      </w:r>
    </w:p>
    <w:p w14:paraId="2BF49878" w14:textId="77777777" w:rsidR="004B7A1C" w:rsidRDefault="00060E5C" w:rsidP="004B7A1C">
      <w:pPr>
        <w:pStyle w:val="ListParagraph"/>
        <w:numPr>
          <w:ilvl w:val="0"/>
          <w:numId w:val="14"/>
        </w:numPr>
        <w:spacing w:after="0" w:line="360" w:lineRule="auto"/>
        <w:jc w:val="both"/>
        <w:rPr>
          <w:rFonts w:ascii="Times New Roman" w:hAnsi="Times New Roman"/>
          <w:bCs/>
        </w:rPr>
      </w:pPr>
      <w:r w:rsidRPr="004B7A1C">
        <w:rPr>
          <w:rFonts w:ascii="Times New Roman" w:hAnsi="Times New Roman"/>
          <w:bCs/>
        </w:rPr>
        <w:t>According to the organization in the regional government includes, among others, the expenditures of the DPRD Secretariat, the Regional Secretariat of the provincial or city or regency government, provincial or city or regency level government agencies, and provincial/city/district technical institutions</w:t>
      </w:r>
      <w:r w:rsidR="00776263" w:rsidRPr="004B7A1C">
        <w:rPr>
          <w:rFonts w:ascii="Times New Roman" w:hAnsi="Times New Roman"/>
          <w:bCs/>
        </w:rPr>
        <w:t>.</w:t>
      </w:r>
    </w:p>
    <w:p w14:paraId="33DD5566" w14:textId="3FA805D5" w:rsidR="00776263" w:rsidRPr="004B7A1C" w:rsidRDefault="00060E5C" w:rsidP="004B7A1C">
      <w:pPr>
        <w:pStyle w:val="ListParagraph"/>
        <w:numPr>
          <w:ilvl w:val="0"/>
          <w:numId w:val="14"/>
        </w:numPr>
        <w:spacing w:after="0" w:line="360" w:lineRule="auto"/>
        <w:jc w:val="both"/>
        <w:rPr>
          <w:rFonts w:ascii="Times New Roman" w:hAnsi="Times New Roman"/>
          <w:bCs/>
        </w:rPr>
      </w:pPr>
      <w:r w:rsidRPr="004B7A1C">
        <w:rPr>
          <w:rFonts w:ascii="Times New Roman" w:hAnsi="Times New Roman"/>
          <w:bCs/>
        </w:rPr>
        <w:t>Classification by function is a classification based on the main functions of the central/regional government in providing services to the community. The classification of spending by function includes public service spending, defense spending, order, and security spending, economic spending, environmental protection spending, housing and settlement spending, health spending, tourism and culture spending, religious spending, education, and social protection. Furthermore, the Regional Revenue and Expenditure Budget consists of three main components, namely elements of revenue, routine expenditure, and development expenditure.</w:t>
      </w:r>
    </w:p>
    <w:p w14:paraId="4BD7D9D2" w14:textId="03CF71F5" w:rsidR="00776263" w:rsidRPr="002265BE" w:rsidRDefault="00776263" w:rsidP="004B7A1C">
      <w:pPr>
        <w:spacing w:after="0" w:line="360" w:lineRule="auto"/>
        <w:ind w:left="360"/>
        <w:jc w:val="center"/>
        <w:rPr>
          <w:rFonts w:ascii="Times New Roman" w:hAnsi="Times New Roman" w:cs="Times New Roman"/>
          <w:bCs/>
        </w:rPr>
      </w:pPr>
      <w:r w:rsidRPr="002265BE">
        <w:rPr>
          <w:rFonts w:ascii="Times New Roman" w:hAnsi="Times New Roman" w:cs="Times New Roman"/>
          <w:noProof/>
        </w:rPr>
        <w:drawing>
          <wp:inline distT="0" distB="0" distL="0" distR="0" wp14:anchorId="48537DA0" wp14:editId="12772259">
            <wp:extent cx="3847531" cy="2834640"/>
            <wp:effectExtent l="0" t="0" r="635" b="3810"/>
            <wp:docPr id="8" name="Picture 8" descr="C:\Users\LENOVO\Pictures\spend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spending-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7531" cy="2834640"/>
                    </a:xfrm>
                    <a:prstGeom prst="rect">
                      <a:avLst/>
                    </a:prstGeom>
                    <a:noFill/>
                    <a:ln>
                      <a:noFill/>
                    </a:ln>
                  </pic:spPr>
                </pic:pic>
              </a:graphicData>
            </a:graphic>
          </wp:inline>
        </w:drawing>
      </w:r>
    </w:p>
    <w:p w14:paraId="72D5B797" w14:textId="4CB25A9B" w:rsidR="00060E5C" w:rsidRPr="002265BE" w:rsidRDefault="00060E5C" w:rsidP="00776263">
      <w:pPr>
        <w:spacing w:after="0" w:line="360" w:lineRule="auto"/>
        <w:ind w:firstLine="720"/>
        <w:jc w:val="both"/>
        <w:rPr>
          <w:rFonts w:ascii="Times New Roman" w:hAnsi="Times New Roman" w:cs="Times New Roman"/>
          <w:bCs/>
        </w:rPr>
      </w:pPr>
      <w:r w:rsidRPr="002265BE">
        <w:rPr>
          <w:rFonts w:ascii="Times New Roman" w:hAnsi="Times New Roman" w:cs="Times New Roman"/>
          <w:bCs/>
        </w:rPr>
        <w:t>In the picture above, we can see and interpret regional spending. Regional spending sees a lot in terms of growth, economy, impact, policy development, and income, and there are several others that we can see in analyzing regional spending. More specifically, the study of local government spending we can see in the figure:</w:t>
      </w:r>
    </w:p>
    <w:p w14:paraId="714AC459" w14:textId="5C517ABB" w:rsidR="00776263" w:rsidRPr="002265BE" w:rsidRDefault="00776263" w:rsidP="004B7A1C">
      <w:pPr>
        <w:spacing w:after="0" w:line="360" w:lineRule="auto"/>
        <w:ind w:firstLine="720"/>
        <w:jc w:val="center"/>
        <w:rPr>
          <w:rFonts w:ascii="Times New Roman" w:hAnsi="Times New Roman" w:cs="Times New Roman"/>
          <w:bCs/>
        </w:rPr>
      </w:pPr>
      <w:r w:rsidRPr="002265BE">
        <w:rPr>
          <w:rFonts w:ascii="Times New Roman" w:hAnsi="Times New Roman" w:cs="Times New Roman"/>
          <w:noProof/>
        </w:rPr>
        <w:lastRenderedPageBreak/>
        <w:drawing>
          <wp:inline distT="0" distB="0" distL="0" distR="0" wp14:anchorId="3CDE500C" wp14:editId="5003BD32">
            <wp:extent cx="3979468" cy="2011680"/>
            <wp:effectExtent l="0" t="0" r="2540" b="7620"/>
            <wp:docPr id="3" name="Picture 3" descr="C:\Users\LENOVO\Pictures\spend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spending-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79468" cy="2011680"/>
                    </a:xfrm>
                    <a:prstGeom prst="rect">
                      <a:avLst/>
                    </a:prstGeom>
                    <a:noFill/>
                    <a:ln>
                      <a:noFill/>
                    </a:ln>
                  </pic:spPr>
                </pic:pic>
              </a:graphicData>
            </a:graphic>
          </wp:inline>
        </w:drawing>
      </w:r>
    </w:p>
    <w:p w14:paraId="3AF0E73B" w14:textId="03506D29" w:rsidR="00060E5C" w:rsidRPr="002265BE" w:rsidRDefault="00060E5C" w:rsidP="00060E5C">
      <w:pPr>
        <w:spacing w:after="0" w:line="360" w:lineRule="auto"/>
        <w:jc w:val="both"/>
        <w:rPr>
          <w:rFonts w:ascii="Times New Roman" w:hAnsi="Times New Roman" w:cs="Times New Roman"/>
          <w:b/>
          <w:i/>
          <w:iCs/>
        </w:rPr>
      </w:pPr>
      <w:r w:rsidRPr="002265BE">
        <w:rPr>
          <w:rFonts w:ascii="Times New Roman" w:hAnsi="Times New Roman" w:cs="Times New Roman"/>
          <w:b/>
          <w:i/>
          <w:iCs/>
        </w:rPr>
        <w:t>Special Allocation Fund (DAK)</w:t>
      </w:r>
    </w:p>
    <w:p w14:paraId="46E38DD0" w14:textId="77777777" w:rsidR="00060E5C" w:rsidRPr="002265BE" w:rsidRDefault="00060E5C" w:rsidP="00776263">
      <w:pPr>
        <w:spacing w:after="0" w:line="360" w:lineRule="auto"/>
        <w:ind w:firstLine="720"/>
        <w:jc w:val="both"/>
        <w:rPr>
          <w:rFonts w:ascii="Times New Roman" w:hAnsi="Times New Roman" w:cs="Times New Roman"/>
          <w:bCs/>
        </w:rPr>
      </w:pPr>
      <w:r w:rsidRPr="002265BE">
        <w:rPr>
          <w:rFonts w:ascii="Times New Roman" w:hAnsi="Times New Roman" w:cs="Times New Roman"/>
          <w:bCs/>
        </w:rPr>
        <w:t xml:space="preserve">The Special Allocation Fund (DAK) is a fund provided to regions to meet </w:t>
      </w:r>
      <w:proofErr w:type="gramStart"/>
      <w:r w:rsidRPr="002265BE">
        <w:rPr>
          <w:rFonts w:ascii="Times New Roman" w:hAnsi="Times New Roman" w:cs="Times New Roman"/>
          <w:bCs/>
        </w:rPr>
        <w:t>particular needs</w:t>
      </w:r>
      <w:proofErr w:type="gramEnd"/>
      <w:r w:rsidRPr="002265BE">
        <w:rPr>
          <w:rFonts w:ascii="Times New Roman" w:hAnsi="Times New Roman" w:cs="Times New Roman"/>
          <w:bCs/>
        </w:rPr>
        <w:t>. According to the Ministry of Finance (2009), DAK is a type of transfer of balancing funds allocated to certain local governments to fund special activities that become national priorities and become regional affairs. Specific needs for DAK allocation include:</w:t>
      </w:r>
    </w:p>
    <w:p w14:paraId="582C3569" w14:textId="77777777" w:rsidR="004B7A1C" w:rsidRDefault="00060E5C" w:rsidP="00060E5C">
      <w:pPr>
        <w:pStyle w:val="ListParagraph"/>
        <w:numPr>
          <w:ilvl w:val="0"/>
          <w:numId w:val="13"/>
        </w:numPr>
        <w:spacing w:after="0" w:line="360" w:lineRule="auto"/>
        <w:jc w:val="both"/>
        <w:rPr>
          <w:rFonts w:ascii="Times New Roman" w:hAnsi="Times New Roman"/>
          <w:bCs/>
        </w:rPr>
      </w:pPr>
      <w:r w:rsidRPr="004B7A1C">
        <w:rPr>
          <w:rFonts w:ascii="Times New Roman" w:hAnsi="Times New Roman"/>
          <w:bCs/>
        </w:rPr>
        <w:t>The need for infrastructure and physical facilities in remote areas that do not have adequate access to other areas.</w:t>
      </w:r>
    </w:p>
    <w:p w14:paraId="1B68173E" w14:textId="77777777" w:rsidR="004B7A1C" w:rsidRDefault="00060E5C" w:rsidP="004B7A1C">
      <w:pPr>
        <w:pStyle w:val="ListParagraph"/>
        <w:numPr>
          <w:ilvl w:val="0"/>
          <w:numId w:val="13"/>
        </w:numPr>
        <w:spacing w:after="0" w:line="360" w:lineRule="auto"/>
        <w:jc w:val="both"/>
        <w:rPr>
          <w:rFonts w:ascii="Times New Roman" w:hAnsi="Times New Roman"/>
          <w:bCs/>
        </w:rPr>
      </w:pPr>
      <w:r w:rsidRPr="004B7A1C">
        <w:rPr>
          <w:rFonts w:ascii="Times New Roman" w:hAnsi="Times New Roman"/>
          <w:bCs/>
        </w:rPr>
        <w:t xml:space="preserve">The need for infrastructure and physical facilities in areas that accommodate transmigration. 3. The need for infrastructure and physical facilities </w:t>
      </w:r>
      <w:proofErr w:type="gramStart"/>
      <w:r w:rsidRPr="004B7A1C">
        <w:rPr>
          <w:rFonts w:ascii="Times New Roman" w:hAnsi="Times New Roman"/>
          <w:bCs/>
        </w:rPr>
        <w:t>is located in</w:t>
      </w:r>
      <w:proofErr w:type="gramEnd"/>
      <w:r w:rsidRPr="004B7A1C">
        <w:rPr>
          <w:rFonts w:ascii="Times New Roman" w:hAnsi="Times New Roman"/>
          <w:bCs/>
        </w:rPr>
        <w:t xml:space="preserve"> the islands' coastal areas and does not have adequate infrastructure and facilities.</w:t>
      </w:r>
    </w:p>
    <w:p w14:paraId="23DF81D6" w14:textId="0FE6917D" w:rsidR="00060E5C" w:rsidRPr="004B7A1C" w:rsidRDefault="00060E5C" w:rsidP="004B7A1C">
      <w:pPr>
        <w:pStyle w:val="ListParagraph"/>
        <w:numPr>
          <w:ilvl w:val="0"/>
          <w:numId w:val="13"/>
        </w:numPr>
        <w:spacing w:after="0" w:line="360" w:lineRule="auto"/>
        <w:jc w:val="both"/>
        <w:rPr>
          <w:rFonts w:ascii="Times New Roman" w:hAnsi="Times New Roman"/>
          <w:bCs/>
        </w:rPr>
      </w:pPr>
      <w:r w:rsidRPr="004B7A1C">
        <w:rPr>
          <w:rFonts w:ascii="Times New Roman" w:hAnsi="Times New Roman"/>
          <w:bCs/>
        </w:rPr>
        <w:t>The need for infrastructure and physical facilities in the area to overcome the impact of environmental damage. 5. Construction of roads, hospitals, irrigation, and clean water.</w:t>
      </w:r>
    </w:p>
    <w:p w14:paraId="5084AFA1" w14:textId="346C847A" w:rsidR="00060E5C" w:rsidRPr="002265BE" w:rsidRDefault="00060E5C" w:rsidP="00060E5C">
      <w:pPr>
        <w:spacing w:after="0" w:line="360" w:lineRule="auto"/>
        <w:jc w:val="both"/>
        <w:rPr>
          <w:rFonts w:ascii="Times New Roman" w:hAnsi="Times New Roman" w:cs="Times New Roman"/>
          <w:b/>
          <w:i/>
          <w:iCs/>
        </w:rPr>
      </w:pPr>
      <w:r w:rsidRPr="002265BE">
        <w:rPr>
          <w:rFonts w:ascii="Times New Roman" w:hAnsi="Times New Roman" w:cs="Times New Roman"/>
          <w:b/>
          <w:i/>
          <w:iCs/>
        </w:rPr>
        <w:t>General Allocation Fund (DAU)</w:t>
      </w:r>
    </w:p>
    <w:p w14:paraId="0D5298DF" w14:textId="77777777" w:rsidR="00060E5C" w:rsidRPr="002265BE" w:rsidRDefault="00060E5C" w:rsidP="00776263">
      <w:pPr>
        <w:spacing w:after="0" w:line="360" w:lineRule="auto"/>
        <w:ind w:firstLine="720"/>
        <w:jc w:val="both"/>
        <w:rPr>
          <w:rFonts w:ascii="Times New Roman" w:hAnsi="Times New Roman" w:cs="Times New Roman"/>
          <w:bCs/>
        </w:rPr>
      </w:pPr>
      <w:r w:rsidRPr="002265BE">
        <w:rPr>
          <w:rFonts w:ascii="Times New Roman" w:hAnsi="Times New Roman" w:cs="Times New Roman"/>
          <w:bCs/>
        </w:rPr>
        <w:t>The General Allocation Fund transfers funds from the central government to regional governments intended to close the fiscal gap and equal distribution of fiscal capacity between regions to help local governments carry out their functions and duties independently to serve the community. The DAU aims to equalize financial capacity between regions, which is intended to reduce inequality in financial capacity between regions by applying a formula that considers regional needs and potential. Each region receives an unequal amount of DAU because it must be allocated based on the fiscal gap and the basic allocation. DAU allocations for regions with sizeable fiscal potential but small fiscal needs will receive relatively small DAU allocations. On the other hand, regions with small fiscal potential but significant fiscal needs will receive relatively large DAU allocations. Implicitly, this principle emphasizes the function of the DAU as a factor for equitable distribution of fiscal capacity.</w:t>
      </w:r>
    </w:p>
    <w:p w14:paraId="34BF4D46" w14:textId="4223000E" w:rsidR="00060E5C" w:rsidRPr="004B7A1C" w:rsidRDefault="00060E5C" w:rsidP="00060E5C">
      <w:pPr>
        <w:spacing w:after="0" w:line="360" w:lineRule="auto"/>
        <w:jc w:val="both"/>
        <w:rPr>
          <w:rFonts w:ascii="Times New Roman" w:hAnsi="Times New Roman" w:cs="Times New Roman"/>
          <w:b/>
          <w:i/>
          <w:iCs/>
        </w:rPr>
      </w:pPr>
      <w:r w:rsidRPr="004B7A1C">
        <w:rPr>
          <w:rFonts w:ascii="Times New Roman" w:hAnsi="Times New Roman" w:cs="Times New Roman"/>
          <w:b/>
          <w:i/>
          <w:iCs/>
        </w:rPr>
        <w:t>Original Regional Revenue (PAD)</w:t>
      </w:r>
    </w:p>
    <w:p w14:paraId="2A043AFE" w14:textId="77777777" w:rsidR="00060E5C" w:rsidRPr="002265BE" w:rsidRDefault="00060E5C" w:rsidP="00776263">
      <w:pPr>
        <w:spacing w:after="0" w:line="360" w:lineRule="auto"/>
        <w:ind w:firstLine="720"/>
        <w:jc w:val="both"/>
        <w:rPr>
          <w:rFonts w:ascii="Times New Roman" w:hAnsi="Times New Roman" w:cs="Times New Roman"/>
          <w:bCs/>
        </w:rPr>
      </w:pPr>
      <w:r w:rsidRPr="002265BE">
        <w:rPr>
          <w:rFonts w:ascii="Times New Roman" w:hAnsi="Times New Roman" w:cs="Times New Roman"/>
          <w:bCs/>
        </w:rPr>
        <w:t xml:space="preserve">PAD is one of the components of regional revenue/income and balancing funds and other legitimate regional revenues. </w:t>
      </w:r>
      <w:proofErr w:type="spellStart"/>
      <w:r w:rsidRPr="002265BE">
        <w:rPr>
          <w:rFonts w:ascii="Times New Roman" w:hAnsi="Times New Roman" w:cs="Times New Roman"/>
          <w:bCs/>
        </w:rPr>
        <w:t>Saragih</w:t>
      </w:r>
      <w:proofErr w:type="spellEnd"/>
      <w:r w:rsidRPr="002265BE">
        <w:rPr>
          <w:rFonts w:ascii="Times New Roman" w:hAnsi="Times New Roman" w:cs="Times New Roman"/>
          <w:bCs/>
        </w:rPr>
        <w:t xml:space="preserve"> (2003), in Bangun (2009), states that the increase in PAD must impact the regional economy. The increase in PAD shows an increase in public participation in the running of the government in their area. One of the local government's tasks is to improve the </w:t>
      </w:r>
      <w:r w:rsidRPr="002265BE">
        <w:rPr>
          <w:rFonts w:ascii="Times New Roman" w:hAnsi="Times New Roman" w:cs="Times New Roman"/>
          <w:bCs/>
        </w:rPr>
        <w:lastRenderedPageBreak/>
        <w:t xml:space="preserve">community's welfare, requiring PAD as a form of independence in the era of regional autonomy. The types of income classified as district/city PAD are local taxes, regional retributions, the results of separated regional wealth management, and other legitimate PAD. From the above provisions, </w:t>
      </w:r>
      <w:proofErr w:type="gramStart"/>
      <w:r w:rsidRPr="002265BE">
        <w:rPr>
          <w:rFonts w:ascii="Times New Roman" w:hAnsi="Times New Roman" w:cs="Times New Roman"/>
          <w:bCs/>
        </w:rPr>
        <w:t>it is clear that regional</w:t>
      </w:r>
      <w:proofErr w:type="gramEnd"/>
      <w:r w:rsidRPr="002265BE">
        <w:rPr>
          <w:rFonts w:ascii="Times New Roman" w:hAnsi="Times New Roman" w:cs="Times New Roman"/>
          <w:bCs/>
        </w:rPr>
        <w:t xml:space="preserve"> financial sources, apart from being given by the central government, are also sourced from the management and use of specific financial sources whose management and use are handed over to the regions called Regional Original Revenue (PAD). Thus, local governments are required to have the ability to obtain sources of income to finance their household affairs. Therefore, the existing PAD sources continue to increase their revenue to the maximum.</w:t>
      </w:r>
    </w:p>
    <w:p w14:paraId="7F57DD77" w14:textId="42EFA57F" w:rsidR="00060E5C" w:rsidRPr="002265BE" w:rsidRDefault="00060E5C" w:rsidP="00060E5C">
      <w:pPr>
        <w:spacing w:after="0" w:line="360" w:lineRule="auto"/>
        <w:jc w:val="both"/>
        <w:rPr>
          <w:rFonts w:ascii="Times New Roman" w:hAnsi="Times New Roman" w:cs="Times New Roman"/>
          <w:b/>
          <w:i/>
          <w:iCs/>
        </w:rPr>
      </w:pPr>
      <w:r w:rsidRPr="002265BE">
        <w:rPr>
          <w:rFonts w:ascii="Times New Roman" w:hAnsi="Times New Roman" w:cs="Times New Roman"/>
          <w:b/>
          <w:i/>
          <w:iCs/>
        </w:rPr>
        <w:t>Regional Financia</w:t>
      </w:r>
      <w:r w:rsidR="00776263" w:rsidRPr="002265BE">
        <w:rPr>
          <w:rFonts w:ascii="Times New Roman" w:hAnsi="Times New Roman" w:cs="Times New Roman"/>
          <w:b/>
          <w:i/>
          <w:iCs/>
        </w:rPr>
        <w:t>l</w:t>
      </w:r>
    </w:p>
    <w:p w14:paraId="543FB58F" w14:textId="7EACD898" w:rsidR="00060E5C" w:rsidRPr="002265BE" w:rsidRDefault="00060E5C" w:rsidP="00776263">
      <w:pPr>
        <w:spacing w:after="0" w:line="360" w:lineRule="auto"/>
        <w:ind w:firstLine="720"/>
        <w:jc w:val="both"/>
        <w:rPr>
          <w:rFonts w:ascii="Times New Roman" w:hAnsi="Times New Roman" w:cs="Times New Roman"/>
          <w:b/>
        </w:rPr>
      </w:pPr>
      <w:r w:rsidRPr="002265BE">
        <w:rPr>
          <w:rFonts w:ascii="Times New Roman" w:hAnsi="Times New Roman" w:cs="Times New Roman"/>
          <w:bCs/>
        </w:rPr>
        <w:t>Performance Government Financial Performance is the output or result of activities or programs that will be or have been achieved in connection with the use of regional budgets with measurable quantity and quality; regional capabilities can be measured by assessing the efficiency of services provided to the community (</w:t>
      </w:r>
      <w:proofErr w:type="spellStart"/>
      <w:r w:rsidRPr="002265BE">
        <w:rPr>
          <w:rFonts w:ascii="Times New Roman" w:hAnsi="Times New Roman" w:cs="Times New Roman"/>
          <w:bCs/>
        </w:rPr>
        <w:t>Hendro</w:t>
      </w:r>
      <w:proofErr w:type="spellEnd"/>
      <w:r w:rsidRPr="002265BE">
        <w:rPr>
          <w:rFonts w:ascii="Times New Roman" w:hAnsi="Times New Roman" w:cs="Times New Roman"/>
          <w:bCs/>
        </w:rPr>
        <w:t xml:space="preserve"> </w:t>
      </w:r>
      <w:proofErr w:type="spellStart"/>
      <w:r w:rsidRPr="002265BE">
        <w:rPr>
          <w:rFonts w:ascii="Times New Roman" w:hAnsi="Times New Roman" w:cs="Times New Roman"/>
          <w:bCs/>
        </w:rPr>
        <w:t>Sumarjo</w:t>
      </w:r>
      <w:proofErr w:type="spellEnd"/>
      <w:r w:rsidRPr="002265BE">
        <w:rPr>
          <w:rFonts w:ascii="Times New Roman" w:hAnsi="Times New Roman" w:cs="Times New Roman"/>
          <w:bCs/>
        </w:rPr>
        <w:t>, 2010). As the party is given the task of running the government, development, and public services, the Regional Government is obliged to report financial accountability for the resources collected from the community as the basis for evaluating its financial performance. One of the tools to analyze the Financial Performance of Local Governments in managing their regional finances is to conduct a financial analysis of the APBD determined and implemented (Halim, 2007: 231).</w:t>
      </w:r>
    </w:p>
    <w:p w14:paraId="16C78947" w14:textId="67CD098F" w:rsidR="00E16094" w:rsidRPr="002265BE" w:rsidRDefault="00E16094" w:rsidP="00CB5A7C">
      <w:pPr>
        <w:spacing w:after="0" w:line="360" w:lineRule="auto"/>
        <w:jc w:val="both"/>
        <w:rPr>
          <w:rFonts w:ascii="Times New Roman" w:hAnsi="Times New Roman" w:cs="Times New Roman"/>
          <w:b/>
        </w:rPr>
      </w:pPr>
      <w:r w:rsidRPr="002265BE">
        <w:rPr>
          <w:rFonts w:ascii="Times New Roman" w:hAnsi="Times New Roman" w:cs="Times New Roman"/>
          <w:b/>
        </w:rPr>
        <w:t xml:space="preserve">METHOD </w:t>
      </w:r>
    </w:p>
    <w:p w14:paraId="7521B7AB" w14:textId="77777777" w:rsidR="00776263" w:rsidRPr="002265BE" w:rsidRDefault="00EB4D55" w:rsidP="00776263">
      <w:pPr>
        <w:pStyle w:val="Body"/>
        <w:rPr>
          <w:sz w:val="22"/>
          <w:szCs w:val="22"/>
        </w:rPr>
      </w:pPr>
      <w:r w:rsidRPr="002265BE">
        <w:rPr>
          <w:sz w:val="22"/>
          <w:szCs w:val="22"/>
        </w:rPr>
        <w:t xml:space="preserve">The </w:t>
      </w:r>
      <w:r w:rsidR="00776263" w:rsidRPr="002265BE">
        <w:rPr>
          <w:sz w:val="22"/>
          <w:szCs w:val="22"/>
        </w:rPr>
        <w:t>This study is a descriptive study to provide an overview of the performance of government spending in DKI Jakarta, DIY, ACEH, Papua, West Papua in 2018-2020</w:t>
      </w:r>
    </w:p>
    <w:p w14:paraId="2990213F" w14:textId="77777777" w:rsidR="00776263" w:rsidRPr="002265BE" w:rsidRDefault="00776263" w:rsidP="00776263">
      <w:pPr>
        <w:pStyle w:val="Body"/>
        <w:rPr>
          <w:b/>
          <w:bCs/>
          <w:i/>
          <w:iCs/>
          <w:sz w:val="22"/>
          <w:szCs w:val="22"/>
        </w:rPr>
      </w:pPr>
      <w:r w:rsidRPr="002265BE">
        <w:rPr>
          <w:sz w:val="22"/>
          <w:szCs w:val="22"/>
        </w:rPr>
        <w:t xml:space="preserve"> </w:t>
      </w:r>
      <w:r w:rsidRPr="002265BE">
        <w:rPr>
          <w:b/>
          <w:bCs/>
          <w:i/>
          <w:iCs/>
          <w:sz w:val="22"/>
          <w:szCs w:val="22"/>
        </w:rPr>
        <w:t>Data Collection Technique</w:t>
      </w:r>
    </w:p>
    <w:p w14:paraId="195826C3" w14:textId="77777777" w:rsidR="00776263" w:rsidRPr="002265BE" w:rsidRDefault="00776263" w:rsidP="00776263">
      <w:pPr>
        <w:pStyle w:val="Body"/>
        <w:rPr>
          <w:sz w:val="22"/>
          <w:szCs w:val="22"/>
        </w:rPr>
      </w:pPr>
      <w:r w:rsidRPr="002265BE">
        <w:rPr>
          <w:sz w:val="22"/>
          <w:szCs w:val="22"/>
        </w:rPr>
        <w:t>In this study, the authors collected data through searches on five local government websites. Here we can see the process of collecting data.</w:t>
      </w:r>
    </w:p>
    <w:p w14:paraId="65D3B525" w14:textId="52DDDCEF" w:rsidR="00776263" w:rsidRPr="002265BE" w:rsidRDefault="00776263" w:rsidP="00776263">
      <w:pPr>
        <w:pStyle w:val="Body"/>
        <w:rPr>
          <w:b/>
          <w:bCs/>
          <w:i/>
          <w:iCs/>
          <w:sz w:val="22"/>
          <w:szCs w:val="22"/>
        </w:rPr>
      </w:pPr>
      <w:r w:rsidRPr="002265BE">
        <w:rPr>
          <w:b/>
          <w:bCs/>
          <w:i/>
          <w:iCs/>
          <w:sz w:val="22"/>
          <w:szCs w:val="22"/>
        </w:rPr>
        <w:t xml:space="preserve"> </w:t>
      </w:r>
      <w:r w:rsidRPr="002265BE">
        <w:rPr>
          <w:b/>
          <w:bCs/>
          <w:i/>
          <w:iCs/>
          <w:noProof/>
          <w:sz w:val="22"/>
          <w:szCs w:val="22"/>
        </w:rPr>
        <w:drawing>
          <wp:inline distT="0" distB="0" distL="0" distR="0" wp14:anchorId="24719B29" wp14:editId="355A41AC">
            <wp:extent cx="4772025" cy="1276350"/>
            <wp:effectExtent l="0" t="0" r="0" b="0"/>
            <wp:docPr id="6" name="Picture 6" descr="C:\Users\LENOVO\Videos\wqe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Videos\wqeww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2025" cy="1276350"/>
                    </a:xfrm>
                    <a:prstGeom prst="rect">
                      <a:avLst/>
                    </a:prstGeom>
                    <a:noFill/>
                    <a:ln>
                      <a:noFill/>
                    </a:ln>
                  </pic:spPr>
                </pic:pic>
              </a:graphicData>
            </a:graphic>
          </wp:inline>
        </w:drawing>
      </w:r>
    </w:p>
    <w:p w14:paraId="05D93006" w14:textId="0005B55F" w:rsidR="00776263" w:rsidRPr="002265BE" w:rsidRDefault="00776263" w:rsidP="00776263">
      <w:pPr>
        <w:pStyle w:val="Body"/>
        <w:rPr>
          <w:b/>
          <w:bCs/>
          <w:i/>
          <w:iCs/>
          <w:sz w:val="22"/>
          <w:szCs w:val="22"/>
        </w:rPr>
      </w:pPr>
      <w:r w:rsidRPr="002265BE">
        <w:rPr>
          <w:b/>
          <w:bCs/>
          <w:i/>
          <w:iCs/>
          <w:sz w:val="22"/>
          <w:szCs w:val="22"/>
        </w:rPr>
        <w:t xml:space="preserve"> Data Analysis</w:t>
      </w:r>
    </w:p>
    <w:p w14:paraId="78141903" w14:textId="77777777" w:rsidR="00776263" w:rsidRPr="002265BE" w:rsidRDefault="00776263" w:rsidP="00776263">
      <w:pPr>
        <w:pStyle w:val="Body"/>
        <w:rPr>
          <w:b/>
          <w:bCs/>
          <w:i/>
          <w:iCs/>
          <w:sz w:val="22"/>
          <w:szCs w:val="22"/>
        </w:rPr>
      </w:pPr>
      <w:r w:rsidRPr="002265BE">
        <w:rPr>
          <w:b/>
          <w:bCs/>
          <w:i/>
          <w:iCs/>
          <w:sz w:val="22"/>
          <w:szCs w:val="22"/>
        </w:rPr>
        <w:t xml:space="preserve"> Shopping Variants</w:t>
      </w:r>
    </w:p>
    <w:p w14:paraId="336BF571" w14:textId="77777777" w:rsidR="00776263" w:rsidRPr="002265BE" w:rsidRDefault="00776263" w:rsidP="00776263">
      <w:pPr>
        <w:pStyle w:val="Body"/>
        <w:rPr>
          <w:sz w:val="22"/>
          <w:szCs w:val="22"/>
        </w:rPr>
      </w:pPr>
      <w:r w:rsidRPr="002265BE">
        <w:rPr>
          <w:sz w:val="22"/>
          <w:szCs w:val="22"/>
        </w:rPr>
        <w:t xml:space="preserve">Shopping Variant: Actual Expenditure Year </w:t>
      </w:r>
      <w:proofErr w:type="gramStart"/>
      <w:r w:rsidRPr="002265BE">
        <w:rPr>
          <w:sz w:val="22"/>
          <w:szCs w:val="22"/>
        </w:rPr>
        <w:t>t</w:t>
      </w:r>
      <w:proofErr w:type="gramEnd"/>
      <w:r w:rsidRPr="002265BE">
        <w:rPr>
          <w:sz w:val="22"/>
          <w:szCs w:val="22"/>
        </w:rPr>
        <w:t xml:space="preserve"> X 100%</w:t>
      </w:r>
    </w:p>
    <w:p w14:paraId="4FB3C552" w14:textId="77777777" w:rsidR="00776263" w:rsidRPr="002265BE" w:rsidRDefault="00776263" w:rsidP="0085608F">
      <w:pPr>
        <w:pStyle w:val="Body"/>
        <w:ind w:left="2880" w:firstLine="0"/>
        <w:rPr>
          <w:sz w:val="22"/>
          <w:szCs w:val="22"/>
        </w:rPr>
      </w:pPr>
      <w:r w:rsidRPr="002265BE">
        <w:rPr>
          <w:sz w:val="22"/>
          <w:szCs w:val="22"/>
        </w:rPr>
        <w:t>Budget year t</w:t>
      </w:r>
    </w:p>
    <w:p w14:paraId="3EA5A964" w14:textId="77777777" w:rsidR="00776263" w:rsidRPr="002265BE" w:rsidRDefault="00776263" w:rsidP="00776263">
      <w:pPr>
        <w:pStyle w:val="Body"/>
        <w:rPr>
          <w:sz w:val="22"/>
          <w:szCs w:val="22"/>
        </w:rPr>
      </w:pPr>
      <w:r w:rsidRPr="002265BE">
        <w:rPr>
          <w:sz w:val="22"/>
          <w:szCs w:val="22"/>
        </w:rPr>
        <w:t>The difference in the expenditure budget is categorized into two types, namely:</w:t>
      </w:r>
    </w:p>
    <w:p w14:paraId="5F72E23B" w14:textId="77777777" w:rsidR="0085608F" w:rsidRPr="002265BE" w:rsidRDefault="00776263" w:rsidP="0085608F">
      <w:pPr>
        <w:pStyle w:val="Body"/>
        <w:numPr>
          <w:ilvl w:val="0"/>
          <w:numId w:val="9"/>
        </w:numPr>
        <w:rPr>
          <w:sz w:val="22"/>
          <w:szCs w:val="22"/>
        </w:rPr>
      </w:pPr>
      <w:r w:rsidRPr="002265BE">
        <w:rPr>
          <w:sz w:val="22"/>
          <w:szCs w:val="22"/>
        </w:rPr>
        <w:t>The favorable variance if the actual expenditure is smaller than the budget.</w:t>
      </w:r>
    </w:p>
    <w:p w14:paraId="282730B0" w14:textId="4189D310" w:rsidR="00776263" w:rsidRPr="002265BE" w:rsidRDefault="00776263" w:rsidP="0085608F">
      <w:pPr>
        <w:pStyle w:val="Body"/>
        <w:numPr>
          <w:ilvl w:val="0"/>
          <w:numId w:val="9"/>
        </w:numPr>
        <w:rPr>
          <w:sz w:val="22"/>
          <w:szCs w:val="22"/>
        </w:rPr>
      </w:pPr>
      <w:r w:rsidRPr="002265BE">
        <w:rPr>
          <w:sz w:val="22"/>
          <w:szCs w:val="22"/>
        </w:rPr>
        <w:t xml:space="preserve">Unfavorable </w:t>
      </w:r>
      <w:proofErr w:type="gramStart"/>
      <w:r w:rsidRPr="002265BE">
        <w:rPr>
          <w:sz w:val="22"/>
          <w:szCs w:val="22"/>
        </w:rPr>
        <w:t>variance, if</w:t>
      </w:r>
      <w:proofErr w:type="gramEnd"/>
      <w:r w:rsidRPr="002265BE">
        <w:rPr>
          <w:sz w:val="22"/>
          <w:szCs w:val="22"/>
        </w:rPr>
        <w:t xml:space="preserve"> the realization of expenditure is greater than the budget</w:t>
      </w:r>
    </w:p>
    <w:p w14:paraId="02838C69" w14:textId="77777777" w:rsidR="00776263" w:rsidRPr="002265BE" w:rsidRDefault="00776263" w:rsidP="00776263">
      <w:pPr>
        <w:pStyle w:val="Body"/>
        <w:rPr>
          <w:b/>
          <w:bCs/>
          <w:i/>
          <w:iCs/>
          <w:sz w:val="22"/>
          <w:szCs w:val="22"/>
        </w:rPr>
      </w:pPr>
      <w:r w:rsidRPr="002265BE">
        <w:rPr>
          <w:b/>
          <w:bCs/>
          <w:i/>
          <w:iCs/>
          <w:sz w:val="22"/>
          <w:szCs w:val="22"/>
        </w:rPr>
        <w:lastRenderedPageBreak/>
        <w:t>Harmony Ratio</w:t>
      </w:r>
    </w:p>
    <w:p w14:paraId="0BAE3BAA" w14:textId="77777777" w:rsidR="00776263" w:rsidRPr="002265BE" w:rsidRDefault="00776263" w:rsidP="00776263">
      <w:pPr>
        <w:pStyle w:val="Body"/>
        <w:rPr>
          <w:sz w:val="22"/>
          <w:szCs w:val="22"/>
        </w:rPr>
      </w:pPr>
      <w:r w:rsidRPr="002265BE">
        <w:rPr>
          <w:sz w:val="22"/>
          <w:szCs w:val="22"/>
        </w:rPr>
        <w:t>In this Harmony Ratio, there is two Expenditure Analysis used to determine the Financial Performance of Local Governments, namely as follows:</w:t>
      </w:r>
    </w:p>
    <w:p w14:paraId="36339FFC" w14:textId="77777777" w:rsidR="00776263" w:rsidRPr="002265BE" w:rsidRDefault="00776263" w:rsidP="00776263">
      <w:pPr>
        <w:pStyle w:val="Body"/>
        <w:rPr>
          <w:b/>
          <w:bCs/>
          <w:i/>
          <w:iCs/>
          <w:sz w:val="22"/>
          <w:szCs w:val="22"/>
        </w:rPr>
      </w:pPr>
      <w:r w:rsidRPr="002265BE">
        <w:rPr>
          <w:b/>
          <w:bCs/>
          <w:i/>
          <w:iCs/>
          <w:sz w:val="22"/>
          <w:szCs w:val="22"/>
        </w:rPr>
        <w:t>Analysis of Operational Expenditure on Total</w:t>
      </w:r>
    </w:p>
    <w:p w14:paraId="758D4BFE" w14:textId="77777777" w:rsidR="00776263" w:rsidRPr="002265BE" w:rsidRDefault="00776263" w:rsidP="00776263">
      <w:pPr>
        <w:pStyle w:val="Body"/>
        <w:rPr>
          <w:sz w:val="22"/>
          <w:szCs w:val="22"/>
        </w:rPr>
      </w:pPr>
      <w:r w:rsidRPr="002265BE">
        <w:rPr>
          <w:sz w:val="22"/>
          <w:szCs w:val="22"/>
        </w:rPr>
        <w:t xml:space="preserve">Operating Expenditure Ratio: </w:t>
      </w:r>
      <w:r w:rsidRPr="002265BE">
        <w:rPr>
          <w:sz w:val="22"/>
          <w:szCs w:val="22"/>
          <w:u w:val="single"/>
        </w:rPr>
        <w:t>Actual Operating Expenditure X100%</w:t>
      </w:r>
    </w:p>
    <w:p w14:paraId="48A94ECD" w14:textId="77777777" w:rsidR="00776263" w:rsidRPr="002265BE" w:rsidRDefault="00776263" w:rsidP="0085608F">
      <w:pPr>
        <w:pStyle w:val="Body"/>
        <w:ind w:left="2880" w:firstLine="720"/>
        <w:rPr>
          <w:sz w:val="22"/>
          <w:szCs w:val="22"/>
        </w:rPr>
      </w:pPr>
      <w:r w:rsidRPr="002265BE">
        <w:rPr>
          <w:sz w:val="22"/>
          <w:szCs w:val="22"/>
        </w:rPr>
        <w:t>Total Regional Expenditure</w:t>
      </w:r>
    </w:p>
    <w:p w14:paraId="2240EE4F" w14:textId="33A2A955" w:rsidR="00776263" w:rsidRPr="002265BE" w:rsidRDefault="00776263" w:rsidP="00776263">
      <w:pPr>
        <w:pStyle w:val="Body"/>
        <w:rPr>
          <w:b/>
          <w:bCs/>
          <w:i/>
          <w:iCs/>
          <w:sz w:val="22"/>
          <w:szCs w:val="22"/>
        </w:rPr>
      </w:pPr>
      <w:r w:rsidRPr="002265BE">
        <w:rPr>
          <w:b/>
          <w:bCs/>
          <w:i/>
          <w:iCs/>
          <w:sz w:val="22"/>
          <w:szCs w:val="22"/>
        </w:rPr>
        <w:t>Capital</w:t>
      </w:r>
      <w:r w:rsidR="0085608F" w:rsidRPr="002265BE">
        <w:rPr>
          <w:b/>
          <w:bCs/>
          <w:i/>
          <w:iCs/>
          <w:sz w:val="22"/>
          <w:szCs w:val="22"/>
        </w:rPr>
        <w:t xml:space="preserve"> </w:t>
      </w:r>
      <w:r w:rsidRPr="002265BE">
        <w:rPr>
          <w:b/>
          <w:bCs/>
          <w:i/>
          <w:iCs/>
          <w:sz w:val="22"/>
          <w:szCs w:val="22"/>
        </w:rPr>
        <w:t>Analysis to Total</w:t>
      </w:r>
    </w:p>
    <w:p w14:paraId="30030C64" w14:textId="77777777" w:rsidR="00776263" w:rsidRPr="002265BE" w:rsidRDefault="00776263" w:rsidP="00776263">
      <w:pPr>
        <w:pStyle w:val="Body"/>
        <w:rPr>
          <w:sz w:val="22"/>
          <w:szCs w:val="22"/>
        </w:rPr>
      </w:pPr>
      <w:r w:rsidRPr="002265BE">
        <w:rPr>
          <w:sz w:val="22"/>
          <w:szCs w:val="22"/>
        </w:rPr>
        <w:t xml:space="preserve">Capital Expenditure Ratio: </w:t>
      </w:r>
      <w:r w:rsidRPr="002265BE">
        <w:rPr>
          <w:sz w:val="22"/>
          <w:szCs w:val="22"/>
          <w:u w:val="single"/>
        </w:rPr>
        <w:t>Capital Expenditure Realization X100%</w:t>
      </w:r>
    </w:p>
    <w:p w14:paraId="7FFF1AF0" w14:textId="77777777" w:rsidR="00776263" w:rsidRPr="002265BE" w:rsidRDefault="00776263" w:rsidP="0085608F">
      <w:pPr>
        <w:pStyle w:val="Body"/>
        <w:ind w:left="2880" w:firstLine="720"/>
        <w:rPr>
          <w:sz w:val="22"/>
          <w:szCs w:val="22"/>
        </w:rPr>
      </w:pPr>
      <w:r w:rsidRPr="002265BE">
        <w:rPr>
          <w:sz w:val="22"/>
          <w:szCs w:val="22"/>
        </w:rPr>
        <w:t>Total regional shopping</w:t>
      </w:r>
    </w:p>
    <w:p w14:paraId="78B95561" w14:textId="1A4A68C9" w:rsidR="00776263" w:rsidRPr="002265BE" w:rsidRDefault="0085608F" w:rsidP="00776263">
      <w:pPr>
        <w:pStyle w:val="Body"/>
        <w:rPr>
          <w:b/>
          <w:bCs/>
          <w:i/>
          <w:iCs/>
          <w:sz w:val="22"/>
          <w:szCs w:val="22"/>
        </w:rPr>
      </w:pPr>
      <w:r w:rsidRPr="002265BE">
        <w:rPr>
          <w:b/>
          <w:bCs/>
          <w:i/>
          <w:iCs/>
          <w:sz w:val="22"/>
          <w:szCs w:val="22"/>
        </w:rPr>
        <w:t>Efficiency</w:t>
      </w:r>
    </w:p>
    <w:p w14:paraId="790D7587" w14:textId="77777777" w:rsidR="00776263" w:rsidRPr="002265BE" w:rsidRDefault="00776263" w:rsidP="00776263">
      <w:pPr>
        <w:pStyle w:val="Body"/>
        <w:rPr>
          <w:sz w:val="22"/>
          <w:szCs w:val="22"/>
        </w:rPr>
      </w:pPr>
      <w:r w:rsidRPr="002265BE">
        <w:rPr>
          <w:sz w:val="22"/>
          <w:szCs w:val="22"/>
        </w:rPr>
        <w:t xml:space="preserve">Efficiency </w:t>
      </w:r>
      <w:proofErr w:type="spellStart"/>
      <w:r w:rsidRPr="002265BE">
        <w:rPr>
          <w:sz w:val="22"/>
          <w:szCs w:val="22"/>
        </w:rPr>
        <w:t>Ratioratio</w:t>
      </w:r>
      <w:proofErr w:type="spellEnd"/>
      <w:r w:rsidRPr="002265BE">
        <w:rPr>
          <w:sz w:val="22"/>
          <w:szCs w:val="22"/>
        </w:rPr>
        <w:t xml:space="preserve">: </w:t>
      </w:r>
      <w:r w:rsidRPr="002265BE">
        <w:rPr>
          <w:sz w:val="22"/>
          <w:szCs w:val="22"/>
          <w:u w:val="single"/>
        </w:rPr>
        <w:t>Realization of regional expenditure X100%</w:t>
      </w:r>
    </w:p>
    <w:p w14:paraId="28F9A45D" w14:textId="0246F235" w:rsidR="00776263" w:rsidRPr="002265BE" w:rsidRDefault="00776263" w:rsidP="0085608F">
      <w:pPr>
        <w:pStyle w:val="Body"/>
        <w:ind w:left="2880" w:firstLine="720"/>
        <w:rPr>
          <w:sz w:val="22"/>
          <w:szCs w:val="22"/>
        </w:rPr>
      </w:pPr>
      <w:r w:rsidRPr="002265BE">
        <w:rPr>
          <w:sz w:val="22"/>
          <w:szCs w:val="22"/>
        </w:rPr>
        <w:t>Budget</w:t>
      </w:r>
    </w:p>
    <w:p w14:paraId="0C233F95" w14:textId="77777777" w:rsidR="00776263" w:rsidRPr="002265BE" w:rsidRDefault="00776263" w:rsidP="00776263">
      <w:pPr>
        <w:pStyle w:val="Body"/>
        <w:rPr>
          <w:b/>
          <w:bCs/>
          <w:i/>
          <w:iCs/>
          <w:sz w:val="22"/>
          <w:szCs w:val="22"/>
        </w:rPr>
      </w:pPr>
      <w:r w:rsidRPr="002265BE">
        <w:rPr>
          <w:b/>
          <w:bCs/>
          <w:i/>
          <w:iCs/>
          <w:sz w:val="22"/>
          <w:szCs w:val="22"/>
        </w:rPr>
        <w:t>Criteria efficiency</w:t>
      </w:r>
    </w:p>
    <w:p w14:paraId="3F4AE8A8" w14:textId="77777777" w:rsidR="00776263" w:rsidRPr="002265BE" w:rsidRDefault="00776263" w:rsidP="00776263">
      <w:pPr>
        <w:pStyle w:val="Body"/>
        <w:rPr>
          <w:sz w:val="22"/>
          <w:szCs w:val="22"/>
        </w:rPr>
      </w:pPr>
      <w:r w:rsidRPr="002265BE">
        <w:rPr>
          <w:sz w:val="22"/>
          <w:szCs w:val="22"/>
        </w:rPr>
        <w:t>Table 1: Criteria efficiency</w:t>
      </w:r>
    </w:p>
    <w:tbl>
      <w:tblPr>
        <w:tblStyle w:val="TableGridLight"/>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117"/>
      </w:tblGrid>
      <w:tr w:rsidR="0085608F" w:rsidRPr="002265BE" w14:paraId="1AADBD44" w14:textId="77777777" w:rsidTr="004B7A1C">
        <w:trPr>
          <w:trHeight w:val="515"/>
          <w:jc w:val="center"/>
        </w:trPr>
        <w:tc>
          <w:tcPr>
            <w:tcW w:w="2695" w:type="dxa"/>
            <w:hideMark/>
          </w:tcPr>
          <w:p w14:paraId="3924C470" w14:textId="77777777" w:rsidR="0085608F" w:rsidRPr="002265BE" w:rsidRDefault="0085608F" w:rsidP="0085608F">
            <w:pPr>
              <w:jc w:val="center"/>
              <w:rPr>
                <w:rFonts w:ascii="Times New Roman" w:hAnsi="Times New Roman" w:cs="Times New Roman"/>
              </w:rPr>
            </w:pPr>
            <w:r w:rsidRPr="002265BE">
              <w:rPr>
                <w:rFonts w:ascii="Times New Roman" w:hAnsi="Times New Roman" w:cs="Times New Roman"/>
              </w:rPr>
              <w:t>Presentation Of Efficiency</w:t>
            </w:r>
          </w:p>
        </w:tc>
        <w:tc>
          <w:tcPr>
            <w:tcW w:w="3117" w:type="dxa"/>
            <w:hideMark/>
          </w:tcPr>
          <w:p w14:paraId="5290DE51" w14:textId="77777777" w:rsidR="0085608F" w:rsidRPr="002265BE" w:rsidRDefault="0085608F" w:rsidP="0085608F">
            <w:pPr>
              <w:jc w:val="center"/>
              <w:rPr>
                <w:rFonts w:ascii="Times New Roman" w:hAnsi="Times New Roman" w:cs="Times New Roman"/>
              </w:rPr>
            </w:pPr>
            <w:r w:rsidRPr="002265BE">
              <w:rPr>
                <w:rFonts w:ascii="Times New Roman" w:hAnsi="Times New Roman" w:cs="Times New Roman"/>
              </w:rPr>
              <w:t>Efficiency Criteria</w:t>
            </w:r>
          </w:p>
        </w:tc>
      </w:tr>
      <w:tr w:rsidR="0085608F" w:rsidRPr="002265BE" w14:paraId="3C9B424A" w14:textId="77777777" w:rsidTr="004B7A1C">
        <w:trPr>
          <w:trHeight w:val="224"/>
          <w:jc w:val="center"/>
        </w:trPr>
        <w:tc>
          <w:tcPr>
            <w:tcW w:w="2695" w:type="dxa"/>
            <w:hideMark/>
          </w:tcPr>
          <w:p w14:paraId="1642AC80" w14:textId="77777777" w:rsidR="0085608F" w:rsidRPr="002265BE" w:rsidRDefault="0085608F" w:rsidP="0085608F">
            <w:pPr>
              <w:jc w:val="center"/>
              <w:rPr>
                <w:rFonts w:ascii="Times New Roman" w:hAnsi="Times New Roman" w:cs="Times New Roman"/>
              </w:rPr>
            </w:pPr>
            <w:r w:rsidRPr="002265BE">
              <w:rPr>
                <w:rFonts w:ascii="Times New Roman" w:hAnsi="Times New Roman" w:cs="Times New Roman"/>
              </w:rPr>
              <w:t xml:space="preserve">100% And </w:t>
            </w:r>
            <w:proofErr w:type="gramStart"/>
            <w:r w:rsidRPr="002265BE">
              <w:rPr>
                <w:rFonts w:ascii="Times New Roman" w:hAnsi="Times New Roman" w:cs="Times New Roman"/>
              </w:rPr>
              <w:t>Above</w:t>
            </w:r>
            <w:proofErr w:type="gramEnd"/>
          </w:p>
        </w:tc>
        <w:tc>
          <w:tcPr>
            <w:tcW w:w="3117" w:type="dxa"/>
            <w:hideMark/>
          </w:tcPr>
          <w:p w14:paraId="16E07954" w14:textId="77777777" w:rsidR="0085608F" w:rsidRPr="002265BE" w:rsidRDefault="0085608F" w:rsidP="0085608F">
            <w:pPr>
              <w:jc w:val="center"/>
              <w:rPr>
                <w:rFonts w:ascii="Times New Roman" w:hAnsi="Times New Roman" w:cs="Times New Roman"/>
              </w:rPr>
            </w:pPr>
            <w:r w:rsidRPr="002265BE">
              <w:rPr>
                <w:rFonts w:ascii="Times New Roman" w:hAnsi="Times New Roman" w:cs="Times New Roman"/>
              </w:rPr>
              <w:t>Inefficient</w:t>
            </w:r>
          </w:p>
        </w:tc>
      </w:tr>
      <w:tr w:rsidR="0085608F" w:rsidRPr="002265BE" w14:paraId="32E3AF7C" w14:textId="77777777" w:rsidTr="004B7A1C">
        <w:trPr>
          <w:trHeight w:val="260"/>
          <w:jc w:val="center"/>
        </w:trPr>
        <w:tc>
          <w:tcPr>
            <w:tcW w:w="2695" w:type="dxa"/>
            <w:hideMark/>
          </w:tcPr>
          <w:p w14:paraId="2B4AE242" w14:textId="77777777" w:rsidR="0085608F" w:rsidRPr="002265BE" w:rsidRDefault="0085608F" w:rsidP="0085608F">
            <w:pPr>
              <w:jc w:val="center"/>
              <w:rPr>
                <w:rFonts w:ascii="Times New Roman" w:hAnsi="Times New Roman" w:cs="Times New Roman"/>
              </w:rPr>
            </w:pPr>
            <w:r w:rsidRPr="002265BE">
              <w:rPr>
                <w:rFonts w:ascii="Times New Roman" w:hAnsi="Times New Roman" w:cs="Times New Roman"/>
              </w:rPr>
              <w:t>90%-100%</w:t>
            </w:r>
          </w:p>
        </w:tc>
        <w:tc>
          <w:tcPr>
            <w:tcW w:w="3117" w:type="dxa"/>
            <w:hideMark/>
          </w:tcPr>
          <w:p w14:paraId="72D6BB7D" w14:textId="77777777" w:rsidR="0085608F" w:rsidRPr="002265BE" w:rsidRDefault="0085608F" w:rsidP="0085608F">
            <w:pPr>
              <w:jc w:val="center"/>
              <w:rPr>
                <w:rFonts w:ascii="Times New Roman" w:hAnsi="Times New Roman" w:cs="Times New Roman"/>
              </w:rPr>
            </w:pPr>
            <w:r w:rsidRPr="002265BE">
              <w:rPr>
                <w:rFonts w:ascii="Times New Roman" w:hAnsi="Times New Roman" w:cs="Times New Roman"/>
              </w:rPr>
              <w:t>Less Efficient</w:t>
            </w:r>
          </w:p>
        </w:tc>
      </w:tr>
      <w:tr w:rsidR="0085608F" w:rsidRPr="002265BE" w14:paraId="03B195DA" w14:textId="77777777" w:rsidTr="004B7A1C">
        <w:trPr>
          <w:trHeight w:val="500"/>
          <w:jc w:val="center"/>
        </w:trPr>
        <w:tc>
          <w:tcPr>
            <w:tcW w:w="2695" w:type="dxa"/>
            <w:hideMark/>
          </w:tcPr>
          <w:p w14:paraId="63CFF24D" w14:textId="77777777" w:rsidR="0085608F" w:rsidRPr="002265BE" w:rsidRDefault="0085608F" w:rsidP="0085608F">
            <w:pPr>
              <w:jc w:val="center"/>
              <w:rPr>
                <w:rFonts w:ascii="Times New Roman" w:hAnsi="Times New Roman" w:cs="Times New Roman"/>
              </w:rPr>
            </w:pPr>
            <w:r w:rsidRPr="002265BE">
              <w:rPr>
                <w:rFonts w:ascii="Times New Roman" w:hAnsi="Times New Roman" w:cs="Times New Roman"/>
              </w:rPr>
              <w:t>80%-90%</w:t>
            </w:r>
          </w:p>
        </w:tc>
        <w:tc>
          <w:tcPr>
            <w:tcW w:w="3117" w:type="dxa"/>
            <w:hideMark/>
          </w:tcPr>
          <w:p w14:paraId="3B8F4E09" w14:textId="77777777" w:rsidR="0085608F" w:rsidRPr="002265BE" w:rsidRDefault="0085608F" w:rsidP="0085608F">
            <w:pPr>
              <w:jc w:val="center"/>
              <w:rPr>
                <w:rFonts w:ascii="Times New Roman" w:hAnsi="Times New Roman" w:cs="Times New Roman"/>
              </w:rPr>
            </w:pPr>
            <w:r w:rsidRPr="002265BE">
              <w:rPr>
                <w:rFonts w:ascii="Times New Roman" w:hAnsi="Times New Roman" w:cs="Times New Roman"/>
              </w:rPr>
              <w:t>Fairly Efficient</w:t>
            </w:r>
          </w:p>
        </w:tc>
      </w:tr>
      <w:tr w:rsidR="0085608F" w:rsidRPr="002265BE" w14:paraId="1E840B9F" w14:textId="77777777" w:rsidTr="004B7A1C">
        <w:trPr>
          <w:trHeight w:val="500"/>
          <w:jc w:val="center"/>
        </w:trPr>
        <w:tc>
          <w:tcPr>
            <w:tcW w:w="2695" w:type="dxa"/>
            <w:hideMark/>
          </w:tcPr>
          <w:p w14:paraId="4ECE72DC" w14:textId="77777777" w:rsidR="0085608F" w:rsidRPr="002265BE" w:rsidRDefault="0085608F" w:rsidP="0085608F">
            <w:pPr>
              <w:jc w:val="center"/>
              <w:rPr>
                <w:rFonts w:ascii="Times New Roman" w:hAnsi="Times New Roman" w:cs="Times New Roman"/>
              </w:rPr>
            </w:pPr>
            <w:r w:rsidRPr="002265BE">
              <w:rPr>
                <w:rFonts w:ascii="Times New Roman" w:hAnsi="Times New Roman" w:cs="Times New Roman"/>
              </w:rPr>
              <w:t>60%80%</w:t>
            </w:r>
          </w:p>
        </w:tc>
        <w:tc>
          <w:tcPr>
            <w:tcW w:w="3117" w:type="dxa"/>
            <w:hideMark/>
          </w:tcPr>
          <w:p w14:paraId="61193145" w14:textId="77777777" w:rsidR="0085608F" w:rsidRPr="002265BE" w:rsidRDefault="0085608F" w:rsidP="0085608F">
            <w:pPr>
              <w:jc w:val="center"/>
              <w:rPr>
                <w:rFonts w:ascii="Times New Roman" w:hAnsi="Times New Roman" w:cs="Times New Roman"/>
              </w:rPr>
            </w:pPr>
            <w:r w:rsidRPr="002265BE">
              <w:rPr>
                <w:rFonts w:ascii="Times New Roman" w:hAnsi="Times New Roman" w:cs="Times New Roman"/>
              </w:rPr>
              <w:t>Efficient</w:t>
            </w:r>
          </w:p>
        </w:tc>
      </w:tr>
      <w:tr w:rsidR="0085608F" w:rsidRPr="002265BE" w14:paraId="0EE3C63E" w14:textId="77777777" w:rsidTr="004B7A1C">
        <w:trPr>
          <w:trHeight w:val="500"/>
          <w:jc w:val="center"/>
        </w:trPr>
        <w:tc>
          <w:tcPr>
            <w:tcW w:w="2695" w:type="dxa"/>
            <w:hideMark/>
          </w:tcPr>
          <w:p w14:paraId="4ABE8749" w14:textId="77777777" w:rsidR="0085608F" w:rsidRPr="002265BE" w:rsidRDefault="0085608F" w:rsidP="0085608F">
            <w:pPr>
              <w:jc w:val="center"/>
              <w:rPr>
                <w:rFonts w:ascii="Times New Roman" w:hAnsi="Times New Roman" w:cs="Times New Roman"/>
              </w:rPr>
            </w:pPr>
            <w:r w:rsidRPr="002265BE">
              <w:rPr>
                <w:rFonts w:ascii="Times New Roman" w:hAnsi="Times New Roman" w:cs="Times New Roman"/>
              </w:rPr>
              <w:t>Less Than 60%</w:t>
            </w:r>
          </w:p>
        </w:tc>
        <w:tc>
          <w:tcPr>
            <w:tcW w:w="3117" w:type="dxa"/>
            <w:hideMark/>
          </w:tcPr>
          <w:p w14:paraId="0A58E206" w14:textId="77777777" w:rsidR="0085608F" w:rsidRPr="002265BE" w:rsidRDefault="0085608F" w:rsidP="0085608F">
            <w:pPr>
              <w:jc w:val="center"/>
              <w:rPr>
                <w:rFonts w:ascii="Times New Roman" w:hAnsi="Times New Roman" w:cs="Times New Roman"/>
              </w:rPr>
            </w:pPr>
            <w:r w:rsidRPr="002265BE">
              <w:rPr>
                <w:rFonts w:ascii="Times New Roman" w:hAnsi="Times New Roman" w:cs="Times New Roman"/>
              </w:rPr>
              <w:t>Very Efficient</w:t>
            </w:r>
          </w:p>
        </w:tc>
      </w:tr>
    </w:tbl>
    <w:p w14:paraId="30559416" w14:textId="2A4CEDB3" w:rsidR="00E16094" w:rsidRPr="002265BE" w:rsidRDefault="00E16094" w:rsidP="00CB5A7C">
      <w:pPr>
        <w:tabs>
          <w:tab w:val="left" w:pos="1025"/>
        </w:tabs>
        <w:spacing w:after="0" w:line="360" w:lineRule="auto"/>
        <w:rPr>
          <w:rFonts w:ascii="Times New Roman" w:hAnsi="Times New Roman" w:cs="Times New Roman"/>
          <w:b/>
        </w:rPr>
      </w:pPr>
      <w:r w:rsidRPr="002265BE">
        <w:rPr>
          <w:rFonts w:ascii="Times New Roman" w:hAnsi="Times New Roman" w:cs="Times New Roman"/>
          <w:b/>
        </w:rPr>
        <w:t>RESULT</w:t>
      </w:r>
      <w:r w:rsidR="003F3125" w:rsidRPr="002265BE">
        <w:rPr>
          <w:rFonts w:ascii="Times New Roman" w:hAnsi="Times New Roman" w:cs="Times New Roman"/>
          <w:b/>
        </w:rPr>
        <w:t>S</w:t>
      </w:r>
      <w:r w:rsidRPr="002265BE">
        <w:rPr>
          <w:rFonts w:ascii="Times New Roman" w:hAnsi="Times New Roman" w:cs="Times New Roman"/>
          <w:b/>
        </w:rPr>
        <w:t xml:space="preserve"> AND DISCUSSION</w:t>
      </w:r>
      <w:r w:rsidR="00EB4D55" w:rsidRPr="002265BE">
        <w:rPr>
          <w:rFonts w:ascii="Times New Roman" w:hAnsi="Times New Roman" w:cs="Times New Roman"/>
          <w:b/>
        </w:rPr>
        <w:t xml:space="preserve"> </w:t>
      </w:r>
    </w:p>
    <w:p w14:paraId="7E43E3D9" w14:textId="16493094" w:rsidR="002265BE" w:rsidRPr="002265BE" w:rsidRDefault="002265BE" w:rsidP="002265BE">
      <w:pPr>
        <w:pStyle w:val="NormalWeb"/>
        <w:spacing w:before="240" w:beforeAutospacing="0" w:after="0" w:afterAutospacing="0" w:line="360" w:lineRule="auto"/>
        <w:ind w:firstLine="720"/>
        <w:jc w:val="both"/>
        <w:rPr>
          <w:sz w:val="22"/>
          <w:szCs w:val="22"/>
        </w:rPr>
      </w:pPr>
      <w:r w:rsidRPr="002265BE">
        <w:rPr>
          <w:bCs/>
          <w:color w:val="000000"/>
          <w:sz w:val="22"/>
          <w:szCs w:val="22"/>
        </w:rPr>
        <w:t>Using the regional expenditure analysis formula below, the calculation process uses data from the Budget Realization Report (LRA) for the Government of DKI Jakarta, DIY, ACEH, Papua, West Papua for the 2015-2019 Fiscal Year. Before using the data in the LRA, make sure that the report has been audited to ensure that the examination of the government's financial statements has been carried out so that the use of the data becomes more reliable and trustworthy. The figures presented in the LRA are then entered according to the calculation formula that has been explained in the data analysis section.</w:t>
      </w:r>
    </w:p>
    <w:p w14:paraId="0D88FEBC" w14:textId="77777777" w:rsidR="002265BE" w:rsidRPr="002265BE" w:rsidRDefault="002265BE" w:rsidP="002265BE">
      <w:pPr>
        <w:pStyle w:val="NormalWeb"/>
        <w:spacing w:before="240" w:beforeAutospacing="0" w:after="0" w:afterAutospacing="0" w:line="360" w:lineRule="auto"/>
        <w:jc w:val="both"/>
        <w:rPr>
          <w:b/>
          <w:i/>
          <w:iCs/>
          <w:sz w:val="22"/>
          <w:szCs w:val="22"/>
        </w:rPr>
      </w:pPr>
      <w:r w:rsidRPr="002265BE">
        <w:rPr>
          <w:b/>
          <w:bCs/>
          <w:i/>
          <w:iCs/>
          <w:color w:val="000000"/>
          <w:sz w:val="22"/>
          <w:szCs w:val="22"/>
        </w:rPr>
        <w:t>Regional Expenditure Analysis</w:t>
      </w:r>
    </w:p>
    <w:p w14:paraId="5BA1325C" w14:textId="77777777" w:rsidR="002265BE" w:rsidRPr="002265BE" w:rsidRDefault="002265BE" w:rsidP="002265BE">
      <w:pPr>
        <w:pStyle w:val="NormalWeb"/>
        <w:spacing w:before="240" w:beforeAutospacing="0" w:after="0" w:afterAutospacing="0" w:line="360" w:lineRule="auto"/>
        <w:jc w:val="both"/>
        <w:rPr>
          <w:b/>
          <w:i/>
          <w:iCs/>
          <w:sz w:val="22"/>
          <w:szCs w:val="22"/>
        </w:rPr>
      </w:pPr>
      <w:r w:rsidRPr="002265BE">
        <w:rPr>
          <w:b/>
          <w:bCs/>
          <w:i/>
          <w:iCs/>
          <w:color w:val="000000"/>
          <w:sz w:val="22"/>
          <w:szCs w:val="22"/>
        </w:rPr>
        <w:t>Analysis of Expenditure Variances</w:t>
      </w:r>
    </w:p>
    <w:p w14:paraId="239EF20B" w14:textId="07677E11" w:rsidR="002265BE" w:rsidRPr="002265BE" w:rsidRDefault="002265BE" w:rsidP="002265BE">
      <w:pPr>
        <w:pStyle w:val="NormalWeb"/>
        <w:spacing w:before="240" w:beforeAutospacing="0" w:after="240" w:afterAutospacing="0" w:line="360" w:lineRule="auto"/>
        <w:ind w:firstLine="720"/>
        <w:jc w:val="both"/>
        <w:rPr>
          <w:bCs/>
          <w:color w:val="000000"/>
          <w:sz w:val="22"/>
          <w:szCs w:val="22"/>
        </w:rPr>
      </w:pPr>
      <w:r w:rsidRPr="002265BE">
        <w:rPr>
          <w:bCs/>
          <w:color w:val="000000"/>
          <w:sz w:val="22"/>
          <w:szCs w:val="22"/>
        </w:rPr>
        <w:t xml:space="preserve">Analysis of regional expenditures using the regional expenditure variance formula shows the difference (variance) between the realization of expenditures and the budget of the Governments of DKI Jakarta, DIY, Banda Aceh City, Papua, West Papua for the 2018-2021 Fiscal Year. During 2018-2021 the balance was negative. This means that the actual expenditure is smaller than the budget that </w:t>
      </w:r>
      <w:r w:rsidRPr="002265BE">
        <w:rPr>
          <w:bCs/>
          <w:color w:val="000000"/>
          <w:sz w:val="22"/>
          <w:szCs w:val="22"/>
        </w:rPr>
        <w:lastRenderedPageBreak/>
        <w:t xml:space="preserve">has been set. If the actual expenditure is smaller than the budget, it is called the </w:t>
      </w:r>
      <w:r w:rsidRPr="002265BE">
        <w:rPr>
          <w:bCs/>
          <w:i/>
          <w:iCs/>
          <w:color w:val="000000"/>
          <w:sz w:val="22"/>
          <w:szCs w:val="22"/>
        </w:rPr>
        <w:t>favorable variance</w:t>
      </w:r>
      <w:r w:rsidRPr="002265BE">
        <w:rPr>
          <w:bCs/>
          <w:color w:val="000000"/>
          <w:sz w:val="22"/>
          <w:szCs w:val="22"/>
        </w:rPr>
        <w:t>. The significant difference between the realization and the budget provides two possibilities. First, it can indicate an efficient use of the budget. Second, suppose the difference is significant enough. In that case, it indicates that there has been a weakness in budget planning so that the estimated expenditure becomes inaccurate or could occur because of programs or activities that are not implemented.</w:t>
      </w:r>
    </w:p>
    <w:p w14:paraId="2B2DE0F8" w14:textId="77777777" w:rsidR="002265BE" w:rsidRPr="002265BE" w:rsidRDefault="002265BE" w:rsidP="004B7A1C">
      <w:pPr>
        <w:pStyle w:val="NormalWeb"/>
        <w:spacing w:before="240" w:beforeAutospacing="0" w:after="240" w:afterAutospacing="0"/>
        <w:jc w:val="center"/>
        <w:rPr>
          <w:b/>
          <w:sz w:val="22"/>
          <w:szCs w:val="22"/>
        </w:rPr>
      </w:pPr>
      <w:r w:rsidRPr="002265BE">
        <w:rPr>
          <w:b/>
          <w:bCs/>
          <w:color w:val="000000"/>
          <w:sz w:val="22"/>
          <w:szCs w:val="22"/>
        </w:rPr>
        <w:t xml:space="preserve">Table 2: </w:t>
      </w:r>
      <w:r w:rsidRPr="002265BE">
        <w:rPr>
          <w:bCs/>
          <w:color w:val="000000"/>
          <w:sz w:val="22"/>
          <w:szCs w:val="22"/>
        </w:rPr>
        <w:t>Analysis of the Jakarta Government Expenditure Variance, DIY, Banda Aceh City, Papua, West Papua Fiscal Year 2018-2021.</w:t>
      </w: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992"/>
        <w:gridCol w:w="2268"/>
        <w:gridCol w:w="2127"/>
      </w:tblGrid>
      <w:tr w:rsidR="002265BE" w:rsidRPr="002265BE" w14:paraId="7419DBCD" w14:textId="77777777" w:rsidTr="004B7A1C">
        <w:trPr>
          <w:trHeight w:val="285"/>
          <w:jc w:val="center"/>
        </w:trPr>
        <w:tc>
          <w:tcPr>
            <w:tcW w:w="1571" w:type="dxa"/>
          </w:tcPr>
          <w:p w14:paraId="1A1C4A89" w14:textId="77777777" w:rsidR="002265BE" w:rsidRPr="002265BE" w:rsidRDefault="002265BE" w:rsidP="00914A62">
            <w:pPr>
              <w:spacing w:line="240" w:lineRule="auto"/>
              <w:jc w:val="center"/>
              <w:rPr>
                <w:rFonts w:ascii="Times New Roman" w:hAnsi="Times New Roman" w:cs="Times New Roman"/>
                <w:bCs/>
              </w:rPr>
            </w:pPr>
            <w:r w:rsidRPr="002265BE">
              <w:rPr>
                <w:rFonts w:ascii="Times New Roman" w:hAnsi="Times New Roman" w:cs="Times New Roman"/>
                <w:bCs/>
              </w:rPr>
              <w:t>Local Government</w:t>
            </w:r>
          </w:p>
        </w:tc>
        <w:tc>
          <w:tcPr>
            <w:tcW w:w="992" w:type="dxa"/>
          </w:tcPr>
          <w:p w14:paraId="4A642556" w14:textId="77777777" w:rsidR="002265BE" w:rsidRPr="002265BE" w:rsidRDefault="002265BE" w:rsidP="00914A62">
            <w:pPr>
              <w:spacing w:line="240" w:lineRule="auto"/>
              <w:jc w:val="center"/>
              <w:rPr>
                <w:rFonts w:ascii="Times New Roman" w:hAnsi="Times New Roman" w:cs="Times New Roman"/>
                <w:b/>
              </w:rPr>
            </w:pPr>
            <w:r w:rsidRPr="002265BE">
              <w:rPr>
                <w:rFonts w:ascii="Times New Roman" w:hAnsi="Times New Roman" w:cs="Times New Roman"/>
                <w:b/>
              </w:rPr>
              <w:t>Year</w:t>
            </w:r>
          </w:p>
        </w:tc>
        <w:tc>
          <w:tcPr>
            <w:tcW w:w="2268" w:type="dxa"/>
          </w:tcPr>
          <w:p w14:paraId="7EF93D96" w14:textId="77777777" w:rsidR="002265BE" w:rsidRPr="002265BE" w:rsidRDefault="002265BE" w:rsidP="00914A62">
            <w:pPr>
              <w:spacing w:line="240" w:lineRule="auto"/>
              <w:jc w:val="center"/>
              <w:rPr>
                <w:rFonts w:ascii="Times New Roman" w:hAnsi="Times New Roman" w:cs="Times New Roman"/>
                <w:b/>
              </w:rPr>
            </w:pPr>
            <w:r w:rsidRPr="002265BE">
              <w:rPr>
                <w:rFonts w:ascii="Times New Roman" w:hAnsi="Times New Roman" w:cs="Times New Roman"/>
                <w:b/>
              </w:rPr>
              <w:t>Budget</w:t>
            </w:r>
          </w:p>
        </w:tc>
        <w:tc>
          <w:tcPr>
            <w:tcW w:w="2127" w:type="dxa"/>
          </w:tcPr>
          <w:p w14:paraId="3ABCB288" w14:textId="77777777" w:rsidR="002265BE" w:rsidRPr="002265BE" w:rsidRDefault="002265BE" w:rsidP="00914A62">
            <w:pPr>
              <w:spacing w:line="240" w:lineRule="auto"/>
              <w:jc w:val="center"/>
              <w:rPr>
                <w:rFonts w:ascii="Times New Roman" w:hAnsi="Times New Roman" w:cs="Times New Roman"/>
                <w:b/>
              </w:rPr>
            </w:pPr>
            <w:r w:rsidRPr="002265BE">
              <w:rPr>
                <w:rFonts w:ascii="Times New Roman" w:hAnsi="Times New Roman" w:cs="Times New Roman"/>
                <w:b/>
              </w:rPr>
              <w:t>Total Regional Spending</w:t>
            </w:r>
          </w:p>
        </w:tc>
      </w:tr>
      <w:tr w:rsidR="002265BE" w:rsidRPr="002265BE" w14:paraId="462207F0" w14:textId="77777777" w:rsidTr="004B7A1C">
        <w:trPr>
          <w:trHeight w:val="450"/>
          <w:jc w:val="center"/>
        </w:trPr>
        <w:tc>
          <w:tcPr>
            <w:tcW w:w="1571" w:type="dxa"/>
            <w:vMerge w:val="restart"/>
          </w:tcPr>
          <w:p w14:paraId="1F1243DB" w14:textId="77777777" w:rsidR="002265BE" w:rsidRPr="002265BE" w:rsidRDefault="002265BE" w:rsidP="00914A62">
            <w:pPr>
              <w:spacing w:line="240" w:lineRule="auto"/>
              <w:jc w:val="center"/>
              <w:rPr>
                <w:rFonts w:ascii="Times New Roman" w:hAnsi="Times New Roman" w:cs="Times New Roman"/>
                <w:bCs/>
              </w:rPr>
            </w:pPr>
          </w:p>
          <w:p w14:paraId="1AC1F01E" w14:textId="77777777" w:rsidR="002265BE" w:rsidRPr="002265BE" w:rsidRDefault="002265BE" w:rsidP="00914A62">
            <w:pPr>
              <w:spacing w:line="240" w:lineRule="auto"/>
              <w:jc w:val="center"/>
              <w:rPr>
                <w:rFonts w:ascii="Times New Roman" w:hAnsi="Times New Roman" w:cs="Times New Roman"/>
                <w:bCs/>
              </w:rPr>
            </w:pPr>
            <w:r w:rsidRPr="002265BE">
              <w:rPr>
                <w:rFonts w:ascii="Times New Roman" w:hAnsi="Times New Roman" w:cs="Times New Roman"/>
                <w:bCs/>
              </w:rPr>
              <w:t>DKI Jakarta</w:t>
            </w:r>
          </w:p>
        </w:tc>
        <w:tc>
          <w:tcPr>
            <w:tcW w:w="992" w:type="dxa"/>
          </w:tcPr>
          <w:p w14:paraId="1D257449"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2018</w:t>
            </w:r>
          </w:p>
        </w:tc>
        <w:tc>
          <w:tcPr>
            <w:tcW w:w="2268" w:type="dxa"/>
          </w:tcPr>
          <w:p w14:paraId="40EACFA3"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16.995.195.576.641</w:t>
            </w:r>
          </w:p>
        </w:tc>
        <w:tc>
          <w:tcPr>
            <w:tcW w:w="2127" w:type="dxa"/>
          </w:tcPr>
          <w:p w14:paraId="0B2C861F"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5.139.658.977.161</w:t>
            </w:r>
          </w:p>
        </w:tc>
      </w:tr>
      <w:tr w:rsidR="002265BE" w:rsidRPr="002265BE" w14:paraId="5FA92C7B" w14:textId="77777777" w:rsidTr="004B7A1C">
        <w:trPr>
          <w:trHeight w:val="495"/>
          <w:jc w:val="center"/>
        </w:trPr>
        <w:tc>
          <w:tcPr>
            <w:tcW w:w="1571" w:type="dxa"/>
            <w:vMerge/>
          </w:tcPr>
          <w:p w14:paraId="22975044" w14:textId="77777777" w:rsidR="002265BE" w:rsidRPr="002265BE" w:rsidRDefault="002265BE" w:rsidP="00914A62">
            <w:pPr>
              <w:spacing w:line="240" w:lineRule="auto"/>
              <w:jc w:val="center"/>
              <w:rPr>
                <w:rFonts w:ascii="Times New Roman" w:hAnsi="Times New Roman" w:cs="Times New Roman"/>
                <w:bCs/>
              </w:rPr>
            </w:pPr>
          </w:p>
        </w:tc>
        <w:tc>
          <w:tcPr>
            <w:tcW w:w="992" w:type="dxa"/>
          </w:tcPr>
          <w:p w14:paraId="21EEFE85"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2019</w:t>
            </w:r>
          </w:p>
        </w:tc>
        <w:tc>
          <w:tcPr>
            <w:tcW w:w="2268" w:type="dxa"/>
          </w:tcPr>
          <w:p w14:paraId="68A70889"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18.355.384.155.928</w:t>
            </w:r>
          </w:p>
        </w:tc>
        <w:tc>
          <w:tcPr>
            <w:tcW w:w="2127" w:type="dxa"/>
          </w:tcPr>
          <w:p w14:paraId="6AFF4FE6"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6.125.344.204.491</w:t>
            </w:r>
          </w:p>
        </w:tc>
      </w:tr>
      <w:tr w:rsidR="002265BE" w:rsidRPr="002265BE" w14:paraId="653C67D8" w14:textId="77777777" w:rsidTr="004B7A1C">
        <w:trPr>
          <w:trHeight w:val="405"/>
          <w:jc w:val="center"/>
        </w:trPr>
        <w:tc>
          <w:tcPr>
            <w:tcW w:w="1571" w:type="dxa"/>
            <w:vMerge/>
          </w:tcPr>
          <w:p w14:paraId="781C4352" w14:textId="77777777" w:rsidR="002265BE" w:rsidRPr="002265BE" w:rsidRDefault="002265BE" w:rsidP="00914A62">
            <w:pPr>
              <w:spacing w:line="240" w:lineRule="auto"/>
              <w:jc w:val="center"/>
              <w:rPr>
                <w:rFonts w:ascii="Times New Roman" w:hAnsi="Times New Roman" w:cs="Times New Roman"/>
                <w:bCs/>
              </w:rPr>
            </w:pPr>
          </w:p>
        </w:tc>
        <w:tc>
          <w:tcPr>
            <w:tcW w:w="992" w:type="dxa"/>
          </w:tcPr>
          <w:p w14:paraId="6F4F9C6B"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2020</w:t>
            </w:r>
          </w:p>
        </w:tc>
        <w:tc>
          <w:tcPr>
            <w:tcW w:w="2268" w:type="dxa"/>
          </w:tcPr>
          <w:p w14:paraId="5C30A9FC" w14:textId="77777777" w:rsidR="002265BE" w:rsidRPr="002265BE" w:rsidRDefault="002265BE" w:rsidP="00914A62">
            <w:pPr>
              <w:spacing w:line="240" w:lineRule="auto"/>
              <w:rPr>
                <w:rFonts w:ascii="Times New Roman" w:hAnsi="Times New Roman" w:cs="Times New Roman"/>
                <w:color w:val="000000"/>
              </w:rPr>
            </w:pPr>
            <w:r w:rsidRPr="002265BE">
              <w:rPr>
                <w:rFonts w:ascii="Times New Roman" w:hAnsi="Times New Roman" w:cs="Times New Roman"/>
              </w:rPr>
              <w:t>18.041.247.738.352</w:t>
            </w:r>
          </w:p>
        </w:tc>
        <w:tc>
          <w:tcPr>
            <w:tcW w:w="2127" w:type="dxa"/>
          </w:tcPr>
          <w:p w14:paraId="51F5FECA" w14:textId="77777777" w:rsidR="002265BE" w:rsidRPr="002265BE" w:rsidRDefault="002265BE" w:rsidP="00914A62">
            <w:pPr>
              <w:spacing w:line="240" w:lineRule="auto"/>
              <w:rPr>
                <w:rFonts w:ascii="Times New Roman" w:hAnsi="Times New Roman" w:cs="Times New Roman"/>
                <w:b/>
                <w:bCs/>
                <w:color w:val="000000"/>
              </w:rPr>
            </w:pPr>
            <w:r w:rsidRPr="002265BE">
              <w:rPr>
                <w:rFonts w:ascii="Times New Roman" w:hAnsi="Times New Roman" w:cs="Times New Roman"/>
              </w:rPr>
              <w:t>-2.585.559.158.620</w:t>
            </w:r>
          </w:p>
        </w:tc>
      </w:tr>
      <w:tr w:rsidR="002265BE" w:rsidRPr="002265BE" w14:paraId="776A8037" w14:textId="77777777" w:rsidTr="004B7A1C">
        <w:trPr>
          <w:trHeight w:val="415"/>
          <w:jc w:val="center"/>
        </w:trPr>
        <w:tc>
          <w:tcPr>
            <w:tcW w:w="1571" w:type="dxa"/>
            <w:vMerge w:val="restart"/>
          </w:tcPr>
          <w:p w14:paraId="5968A8DA" w14:textId="77777777" w:rsidR="002265BE" w:rsidRPr="002265BE" w:rsidRDefault="002265BE" w:rsidP="00914A62">
            <w:pPr>
              <w:spacing w:line="240" w:lineRule="auto"/>
              <w:jc w:val="center"/>
              <w:rPr>
                <w:rFonts w:ascii="Times New Roman" w:hAnsi="Times New Roman" w:cs="Times New Roman"/>
                <w:bCs/>
              </w:rPr>
            </w:pPr>
          </w:p>
          <w:p w14:paraId="1F2295CE" w14:textId="77777777" w:rsidR="002265BE" w:rsidRPr="002265BE" w:rsidRDefault="002265BE" w:rsidP="00914A62">
            <w:pPr>
              <w:spacing w:line="240" w:lineRule="auto"/>
              <w:jc w:val="center"/>
              <w:rPr>
                <w:rFonts w:ascii="Times New Roman" w:hAnsi="Times New Roman" w:cs="Times New Roman"/>
                <w:bCs/>
              </w:rPr>
            </w:pPr>
            <w:r w:rsidRPr="002265BE">
              <w:rPr>
                <w:rFonts w:ascii="Times New Roman" w:hAnsi="Times New Roman" w:cs="Times New Roman"/>
                <w:bCs/>
              </w:rPr>
              <w:t>DIY</w:t>
            </w:r>
          </w:p>
        </w:tc>
        <w:tc>
          <w:tcPr>
            <w:tcW w:w="992" w:type="dxa"/>
          </w:tcPr>
          <w:p w14:paraId="0CD9B4D0"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2018</w:t>
            </w:r>
          </w:p>
        </w:tc>
        <w:tc>
          <w:tcPr>
            <w:tcW w:w="2268" w:type="dxa"/>
          </w:tcPr>
          <w:p w14:paraId="16FA5327"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1.185.735.851.757</w:t>
            </w:r>
          </w:p>
        </w:tc>
        <w:tc>
          <w:tcPr>
            <w:tcW w:w="2127" w:type="dxa"/>
          </w:tcPr>
          <w:p w14:paraId="1C54AC81"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361.362.143.394</w:t>
            </w:r>
          </w:p>
        </w:tc>
      </w:tr>
      <w:tr w:rsidR="002265BE" w:rsidRPr="002265BE" w14:paraId="23A40DA4" w14:textId="77777777" w:rsidTr="004B7A1C">
        <w:trPr>
          <w:trHeight w:val="465"/>
          <w:jc w:val="center"/>
        </w:trPr>
        <w:tc>
          <w:tcPr>
            <w:tcW w:w="1571" w:type="dxa"/>
            <w:vMerge/>
          </w:tcPr>
          <w:p w14:paraId="4BC5B664" w14:textId="77777777" w:rsidR="002265BE" w:rsidRPr="002265BE" w:rsidRDefault="002265BE" w:rsidP="00914A62">
            <w:pPr>
              <w:spacing w:line="240" w:lineRule="auto"/>
              <w:jc w:val="center"/>
              <w:rPr>
                <w:rFonts w:ascii="Times New Roman" w:hAnsi="Times New Roman" w:cs="Times New Roman"/>
                <w:bCs/>
              </w:rPr>
            </w:pPr>
          </w:p>
        </w:tc>
        <w:tc>
          <w:tcPr>
            <w:tcW w:w="992" w:type="dxa"/>
          </w:tcPr>
          <w:p w14:paraId="7AF2F045"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2019</w:t>
            </w:r>
          </w:p>
        </w:tc>
        <w:tc>
          <w:tcPr>
            <w:tcW w:w="2268" w:type="dxa"/>
          </w:tcPr>
          <w:p w14:paraId="54F86E04" w14:textId="77777777" w:rsidR="002265BE" w:rsidRPr="002265BE" w:rsidRDefault="002265BE" w:rsidP="00914A62">
            <w:pPr>
              <w:spacing w:line="240" w:lineRule="auto"/>
              <w:rPr>
                <w:rFonts w:ascii="Times New Roman" w:hAnsi="Times New Roman" w:cs="Times New Roman"/>
                <w:b/>
              </w:rPr>
            </w:pPr>
            <w:r w:rsidRPr="002265BE">
              <w:rPr>
                <w:rFonts w:ascii="Times New Roman" w:hAnsi="Times New Roman" w:cs="Times New Roman"/>
              </w:rPr>
              <w:t>1.147.122.557.501</w:t>
            </w:r>
          </w:p>
        </w:tc>
        <w:tc>
          <w:tcPr>
            <w:tcW w:w="2127" w:type="dxa"/>
          </w:tcPr>
          <w:p w14:paraId="59A17F78"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304.894.501.899</w:t>
            </w:r>
          </w:p>
        </w:tc>
      </w:tr>
      <w:tr w:rsidR="002265BE" w:rsidRPr="002265BE" w14:paraId="5A186E4A" w14:textId="77777777" w:rsidTr="004B7A1C">
        <w:trPr>
          <w:trHeight w:val="555"/>
          <w:jc w:val="center"/>
        </w:trPr>
        <w:tc>
          <w:tcPr>
            <w:tcW w:w="1571" w:type="dxa"/>
            <w:vMerge/>
          </w:tcPr>
          <w:p w14:paraId="67AC0765" w14:textId="77777777" w:rsidR="002265BE" w:rsidRPr="002265BE" w:rsidRDefault="002265BE" w:rsidP="00914A62">
            <w:pPr>
              <w:spacing w:line="240" w:lineRule="auto"/>
              <w:jc w:val="center"/>
              <w:rPr>
                <w:rFonts w:ascii="Times New Roman" w:hAnsi="Times New Roman" w:cs="Times New Roman"/>
                <w:bCs/>
              </w:rPr>
            </w:pPr>
          </w:p>
        </w:tc>
        <w:tc>
          <w:tcPr>
            <w:tcW w:w="992" w:type="dxa"/>
          </w:tcPr>
          <w:p w14:paraId="4DA49E15"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2020</w:t>
            </w:r>
          </w:p>
        </w:tc>
        <w:tc>
          <w:tcPr>
            <w:tcW w:w="2268" w:type="dxa"/>
          </w:tcPr>
          <w:p w14:paraId="3F517727"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1.090.561.434.298</w:t>
            </w:r>
          </w:p>
        </w:tc>
        <w:tc>
          <w:tcPr>
            <w:tcW w:w="2127" w:type="dxa"/>
          </w:tcPr>
          <w:p w14:paraId="3354DFBF"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364.533.302.752</w:t>
            </w:r>
          </w:p>
        </w:tc>
      </w:tr>
      <w:tr w:rsidR="002265BE" w:rsidRPr="002265BE" w14:paraId="3586BD20" w14:textId="77777777" w:rsidTr="004B7A1C">
        <w:trPr>
          <w:trHeight w:val="480"/>
          <w:jc w:val="center"/>
        </w:trPr>
        <w:tc>
          <w:tcPr>
            <w:tcW w:w="1571" w:type="dxa"/>
            <w:vMerge w:val="restart"/>
          </w:tcPr>
          <w:p w14:paraId="764BE6CB" w14:textId="77777777" w:rsidR="002265BE" w:rsidRPr="002265BE" w:rsidRDefault="002265BE" w:rsidP="00914A62">
            <w:pPr>
              <w:spacing w:line="240" w:lineRule="auto"/>
              <w:jc w:val="center"/>
              <w:rPr>
                <w:rFonts w:ascii="Times New Roman" w:hAnsi="Times New Roman" w:cs="Times New Roman"/>
                <w:bCs/>
              </w:rPr>
            </w:pPr>
          </w:p>
          <w:p w14:paraId="58E1F8C0" w14:textId="77777777" w:rsidR="002265BE" w:rsidRPr="002265BE" w:rsidRDefault="002265BE" w:rsidP="00914A62">
            <w:pPr>
              <w:spacing w:line="240" w:lineRule="auto"/>
              <w:jc w:val="center"/>
              <w:rPr>
                <w:rFonts w:ascii="Times New Roman" w:hAnsi="Times New Roman" w:cs="Times New Roman"/>
                <w:bCs/>
              </w:rPr>
            </w:pPr>
            <w:r w:rsidRPr="002265BE">
              <w:rPr>
                <w:rFonts w:ascii="Times New Roman" w:hAnsi="Times New Roman" w:cs="Times New Roman"/>
                <w:bCs/>
              </w:rPr>
              <w:t>Banda Aceh City</w:t>
            </w:r>
          </w:p>
        </w:tc>
        <w:tc>
          <w:tcPr>
            <w:tcW w:w="992" w:type="dxa"/>
          </w:tcPr>
          <w:p w14:paraId="7010B317"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2018</w:t>
            </w:r>
          </w:p>
        </w:tc>
        <w:tc>
          <w:tcPr>
            <w:tcW w:w="2268" w:type="dxa"/>
          </w:tcPr>
          <w:p w14:paraId="4BB37549"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83.314.430.569</w:t>
            </w:r>
          </w:p>
        </w:tc>
        <w:tc>
          <w:tcPr>
            <w:tcW w:w="2127" w:type="dxa"/>
          </w:tcPr>
          <w:p w14:paraId="3EA75C25"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3.200.000.000</w:t>
            </w:r>
          </w:p>
        </w:tc>
      </w:tr>
      <w:tr w:rsidR="002265BE" w:rsidRPr="002265BE" w14:paraId="605846D4" w14:textId="77777777" w:rsidTr="004B7A1C">
        <w:trPr>
          <w:trHeight w:val="525"/>
          <w:jc w:val="center"/>
        </w:trPr>
        <w:tc>
          <w:tcPr>
            <w:tcW w:w="1571" w:type="dxa"/>
            <w:vMerge/>
          </w:tcPr>
          <w:p w14:paraId="0D124B9F" w14:textId="77777777" w:rsidR="002265BE" w:rsidRPr="002265BE" w:rsidRDefault="002265BE" w:rsidP="00914A62">
            <w:pPr>
              <w:spacing w:line="240" w:lineRule="auto"/>
              <w:jc w:val="center"/>
              <w:rPr>
                <w:rFonts w:ascii="Times New Roman" w:hAnsi="Times New Roman" w:cs="Times New Roman"/>
                <w:bCs/>
              </w:rPr>
            </w:pPr>
          </w:p>
        </w:tc>
        <w:tc>
          <w:tcPr>
            <w:tcW w:w="992" w:type="dxa"/>
          </w:tcPr>
          <w:p w14:paraId="11EBC1D2"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2019</w:t>
            </w:r>
          </w:p>
        </w:tc>
        <w:tc>
          <w:tcPr>
            <w:tcW w:w="2268" w:type="dxa"/>
          </w:tcPr>
          <w:p w14:paraId="1C774B77"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154.032.332.684</w:t>
            </w:r>
          </w:p>
        </w:tc>
        <w:tc>
          <w:tcPr>
            <w:tcW w:w="2127" w:type="dxa"/>
          </w:tcPr>
          <w:p w14:paraId="2796D439"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22.200.000.000</w:t>
            </w:r>
          </w:p>
        </w:tc>
      </w:tr>
      <w:tr w:rsidR="002265BE" w:rsidRPr="002265BE" w14:paraId="5361F2B7" w14:textId="77777777" w:rsidTr="004B7A1C">
        <w:trPr>
          <w:trHeight w:val="403"/>
          <w:jc w:val="center"/>
        </w:trPr>
        <w:tc>
          <w:tcPr>
            <w:tcW w:w="1571" w:type="dxa"/>
            <w:vMerge/>
          </w:tcPr>
          <w:p w14:paraId="35A20EBB" w14:textId="77777777" w:rsidR="002265BE" w:rsidRPr="002265BE" w:rsidRDefault="002265BE" w:rsidP="00914A62">
            <w:pPr>
              <w:spacing w:line="240" w:lineRule="auto"/>
              <w:jc w:val="center"/>
              <w:rPr>
                <w:rFonts w:ascii="Times New Roman" w:hAnsi="Times New Roman" w:cs="Times New Roman"/>
                <w:bCs/>
              </w:rPr>
            </w:pPr>
          </w:p>
        </w:tc>
        <w:tc>
          <w:tcPr>
            <w:tcW w:w="992" w:type="dxa"/>
          </w:tcPr>
          <w:p w14:paraId="251BDC00"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2020</w:t>
            </w:r>
          </w:p>
        </w:tc>
        <w:tc>
          <w:tcPr>
            <w:tcW w:w="2268" w:type="dxa"/>
          </w:tcPr>
          <w:p w14:paraId="38D3AB17" w14:textId="77777777" w:rsidR="002265BE" w:rsidRPr="002265BE" w:rsidRDefault="002265BE" w:rsidP="00914A62">
            <w:pPr>
              <w:spacing w:line="240" w:lineRule="auto"/>
              <w:rPr>
                <w:rFonts w:ascii="Times New Roman" w:hAnsi="Times New Roman" w:cs="Times New Roman"/>
                <w:b/>
                <w:bCs/>
                <w:color w:val="000000"/>
              </w:rPr>
            </w:pPr>
            <w:r w:rsidRPr="002265BE">
              <w:rPr>
                <w:rFonts w:ascii="Times New Roman" w:hAnsi="Times New Roman" w:cs="Times New Roman"/>
              </w:rPr>
              <w:t>224.263.427.273</w:t>
            </w:r>
          </w:p>
        </w:tc>
        <w:tc>
          <w:tcPr>
            <w:tcW w:w="2127" w:type="dxa"/>
          </w:tcPr>
          <w:p w14:paraId="2B5768F3" w14:textId="77777777" w:rsidR="002265BE" w:rsidRPr="002265BE" w:rsidRDefault="002265BE" w:rsidP="00914A62">
            <w:pPr>
              <w:spacing w:line="240" w:lineRule="auto"/>
              <w:rPr>
                <w:rFonts w:ascii="Times New Roman" w:hAnsi="Times New Roman" w:cs="Times New Roman"/>
                <w:b/>
                <w:bCs/>
                <w:color w:val="000000"/>
              </w:rPr>
            </w:pPr>
            <w:r w:rsidRPr="002265BE">
              <w:rPr>
                <w:rFonts w:ascii="Times New Roman" w:hAnsi="Times New Roman" w:cs="Times New Roman"/>
              </w:rPr>
              <w:t>2.200.000.000</w:t>
            </w:r>
          </w:p>
        </w:tc>
      </w:tr>
      <w:tr w:rsidR="002265BE" w:rsidRPr="002265BE" w14:paraId="37F2C338" w14:textId="77777777" w:rsidTr="004B7A1C">
        <w:trPr>
          <w:trHeight w:val="403"/>
          <w:jc w:val="center"/>
        </w:trPr>
        <w:tc>
          <w:tcPr>
            <w:tcW w:w="1571" w:type="dxa"/>
            <w:vMerge w:val="restart"/>
          </w:tcPr>
          <w:p w14:paraId="6FA93869" w14:textId="77777777" w:rsidR="002265BE" w:rsidRPr="002265BE" w:rsidRDefault="002265BE" w:rsidP="00914A62">
            <w:pPr>
              <w:spacing w:line="240" w:lineRule="auto"/>
              <w:jc w:val="center"/>
              <w:rPr>
                <w:rFonts w:ascii="Times New Roman" w:hAnsi="Times New Roman" w:cs="Times New Roman"/>
                <w:bCs/>
              </w:rPr>
            </w:pPr>
          </w:p>
          <w:p w14:paraId="49E5FD7E" w14:textId="77777777" w:rsidR="002265BE" w:rsidRPr="002265BE" w:rsidRDefault="002265BE" w:rsidP="00914A62">
            <w:pPr>
              <w:spacing w:line="240" w:lineRule="auto"/>
              <w:jc w:val="center"/>
              <w:rPr>
                <w:rFonts w:ascii="Times New Roman" w:hAnsi="Times New Roman" w:cs="Times New Roman"/>
                <w:bCs/>
              </w:rPr>
            </w:pPr>
            <w:r w:rsidRPr="002265BE">
              <w:rPr>
                <w:rFonts w:ascii="Times New Roman" w:hAnsi="Times New Roman" w:cs="Times New Roman"/>
                <w:bCs/>
              </w:rPr>
              <w:t>Papua</w:t>
            </w:r>
          </w:p>
        </w:tc>
        <w:tc>
          <w:tcPr>
            <w:tcW w:w="992" w:type="dxa"/>
          </w:tcPr>
          <w:p w14:paraId="173AB39A"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2018</w:t>
            </w:r>
          </w:p>
        </w:tc>
        <w:tc>
          <w:tcPr>
            <w:tcW w:w="2268" w:type="dxa"/>
          </w:tcPr>
          <w:p w14:paraId="4208D2D8"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2.432.322.905.043</w:t>
            </w:r>
          </w:p>
        </w:tc>
        <w:tc>
          <w:tcPr>
            <w:tcW w:w="2127" w:type="dxa"/>
          </w:tcPr>
          <w:p w14:paraId="678D6F46"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543.260.000.000</w:t>
            </w:r>
          </w:p>
        </w:tc>
      </w:tr>
      <w:tr w:rsidR="002265BE" w:rsidRPr="002265BE" w14:paraId="27861E83" w14:textId="77777777" w:rsidTr="004B7A1C">
        <w:trPr>
          <w:trHeight w:val="403"/>
          <w:jc w:val="center"/>
        </w:trPr>
        <w:tc>
          <w:tcPr>
            <w:tcW w:w="1571" w:type="dxa"/>
            <w:vMerge/>
          </w:tcPr>
          <w:p w14:paraId="77381FAB" w14:textId="77777777" w:rsidR="002265BE" w:rsidRPr="002265BE" w:rsidRDefault="002265BE" w:rsidP="00914A62">
            <w:pPr>
              <w:spacing w:line="240" w:lineRule="auto"/>
              <w:jc w:val="center"/>
              <w:rPr>
                <w:rFonts w:ascii="Times New Roman" w:hAnsi="Times New Roman" w:cs="Times New Roman"/>
                <w:bCs/>
              </w:rPr>
            </w:pPr>
          </w:p>
        </w:tc>
        <w:tc>
          <w:tcPr>
            <w:tcW w:w="992" w:type="dxa"/>
          </w:tcPr>
          <w:p w14:paraId="3F23EBA4"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2019</w:t>
            </w:r>
          </w:p>
        </w:tc>
        <w:tc>
          <w:tcPr>
            <w:tcW w:w="2268" w:type="dxa"/>
          </w:tcPr>
          <w:p w14:paraId="6013CA9E"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2.811.607.952.619</w:t>
            </w:r>
          </w:p>
        </w:tc>
        <w:tc>
          <w:tcPr>
            <w:tcW w:w="2127" w:type="dxa"/>
          </w:tcPr>
          <w:p w14:paraId="7250F9A5"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-50.000.000.000</w:t>
            </w:r>
          </w:p>
        </w:tc>
      </w:tr>
      <w:tr w:rsidR="002265BE" w:rsidRPr="002265BE" w14:paraId="2D4D9866" w14:textId="77777777" w:rsidTr="004B7A1C">
        <w:trPr>
          <w:trHeight w:val="403"/>
          <w:jc w:val="center"/>
        </w:trPr>
        <w:tc>
          <w:tcPr>
            <w:tcW w:w="1571" w:type="dxa"/>
            <w:vMerge/>
          </w:tcPr>
          <w:p w14:paraId="5F4D4CE6" w14:textId="77777777" w:rsidR="002265BE" w:rsidRPr="002265BE" w:rsidRDefault="002265BE" w:rsidP="00914A62">
            <w:pPr>
              <w:spacing w:line="240" w:lineRule="auto"/>
              <w:jc w:val="center"/>
              <w:rPr>
                <w:rFonts w:ascii="Times New Roman" w:hAnsi="Times New Roman" w:cs="Times New Roman"/>
                <w:bCs/>
              </w:rPr>
            </w:pPr>
          </w:p>
        </w:tc>
        <w:tc>
          <w:tcPr>
            <w:tcW w:w="992" w:type="dxa"/>
          </w:tcPr>
          <w:p w14:paraId="338BEE12"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2020</w:t>
            </w:r>
          </w:p>
        </w:tc>
        <w:tc>
          <w:tcPr>
            <w:tcW w:w="2268" w:type="dxa"/>
          </w:tcPr>
          <w:p w14:paraId="1A38EC34"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1.145.341.020.698</w:t>
            </w:r>
          </w:p>
        </w:tc>
        <w:tc>
          <w:tcPr>
            <w:tcW w:w="2127" w:type="dxa"/>
          </w:tcPr>
          <w:p w14:paraId="14CA3B32"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544.990.678.582</w:t>
            </w:r>
          </w:p>
        </w:tc>
      </w:tr>
      <w:tr w:rsidR="002265BE" w:rsidRPr="002265BE" w14:paraId="6D366745" w14:textId="77777777" w:rsidTr="004B7A1C">
        <w:trPr>
          <w:trHeight w:val="478"/>
          <w:jc w:val="center"/>
        </w:trPr>
        <w:tc>
          <w:tcPr>
            <w:tcW w:w="1571" w:type="dxa"/>
            <w:vMerge w:val="restart"/>
          </w:tcPr>
          <w:p w14:paraId="14DC537B" w14:textId="77777777" w:rsidR="002265BE" w:rsidRPr="002265BE" w:rsidRDefault="002265BE" w:rsidP="00914A62">
            <w:pPr>
              <w:spacing w:line="240" w:lineRule="auto"/>
              <w:jc w:val="center"/>
              <w:rPr>
                <w:rFonts w:ascii="Times New Roman" w:hAnsi="Times New Roman" w:cs="Times New Roman"/>
                <w:bCs/>
              </w:rPr>
            </w:pPr>
          </w:p>
          <w:p w14:paraId="637B41AA" w14:textId="77777777" w:rsidR="002265BE" w:rsidRPr="002265BE" w:rsidRDefault="002265BE" w:rsidP="00914A62">
            <w:pPr>
              <w:spacing w:line="240" w:lineRule="auto"/>
              <w:jc w:val="center"/>
              <w:rPr>
                <w:rFonts w:ascii="Times New Roman" w:hAnsi="Times New Roman" w:cs="Times New Roman"/>
                <w:bCs/>
              </w:rPr>
            </w:pPr>
            <w:r w:rsidRPr="002265BE">
              <w:rPr>
                <w:rFonts w:ascii="Times New Roman" w:hAnsi="Times New Roman" w:cs="Times New Roman"/>
                <w:bCs/>
              </w:rPr>
              <w:t xml:space="preserve">West Papua </w:t>
            </w:r>
          </w:p>
        </w:tc>
        <w:tc>
          <w:tcPr>
            <w:tcW w:w="992" w:type="dxa"/>
          </w:tcPr>
          <w:p w14:paraId="0A930881"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2018</w:t>
            </w:r>
          </w:p>
        </w:tc>
        <w:tc>
          <w:tcPr>
            <w:tcW w:w="2268" w:type="dxa"/>
          </w:tcPr>
          <w:p w14:paraId="45B9E600"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1.680.227.984.566</w:t>
            </w:r>
          </w:p>
        </w:tc>
        <w:tc>
          <w:tcPr>
            <w:tcW w:w="2127" w:type="dxa"/>
          </w:tcPr>
          <w:p w14:paraId="07B95D21"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629.648.580.572</w:t>
            </w:r>
          </w:p>
        </w:tc>
      </w:tr>
      <w:tr w:rsidR="002265BE" w:rsidRPr="002265BE" w14:paraId="1E012690" w14:textId="77777777" w:rsidTr="004B7A1C">
        <w:trPr>
          <w:trHeight w:val="525"/>
          <w:jc w:val="center"/>
        </w:trPr>
        <w:tc>
          <w:tcPr>
            <w:tcW w:w="1571" w:type="dxa"/>
            <w:vMerge/>
          </w:tcPr>
          <w:p w14:paraId="5B24A951" w14:textId="77777777" w:rsidR="002265BE" w:rsidRPr="002265BE" w:rsidRDefault="002265BE" w:rsidP="00914A62">
            <w:pPr>
              <w:spacing w:line="240" w:lineRule="auto"/>
              <w:rPr>
                <w:rFonts w:ascii="Times New Roman" w:hAnsi="Times New Roman" w:cs="Times New Roman"/>
                <w:b/>
              </w:rPr>
            </w:pPr>
          </w:p>
        </w:tc>
        <w:tc>
          <w:tcPr>
            <w:tcW w:w="992" w:type="dxa"/>
          </w:tcPr>
          <w:p w14:paraId="28806DF5"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2019</w:t>
            </w:r>
          </w:p>
        </w:tc>
        <w:tc>
          <w:tcPr>
            <w:tcW w:w="2268" w:type="dxa"/>
          </w:tcPr>
          <w:p w14:paraId="62070833"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1.708.112.805.985</w:t>
            </w:r>
          </w:p>
        </w:tc>
        <w:tc>
          <w:tcPr>
            <w:tcW w:w="2127" w:type="dxa"/>
          </w:tcPr>
          <w:p w14:paraId="42D26F35"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150.000.000.000</w:t>
            </w:r>
          </w:p>
        </w:tc>
      </w:tr>
      <w:tr w:rsidR="002265BE" w:rsidRPr="002265BE" w14:paraId="77F1F9A6" w14:textId="77777777" w:rsidTr="004B7A1C">
        <w:trPr>
          <w:trHeight w:val="570"/>
          <w:jc w:val="center"/>
        </w:trPr>
        <w:tc>
          <w:tcPr>
            <w:tcW w:w="1571" w:type="dxa"/>
            <w:vMerge/>
          </w:tcPr>
          <w:p w14:paraId="2D3121C7" w14:textId="77777777" w:rsidR="002265BE" w:rsidRPr="002265BE" w:rsidRDefault="002265BE" w:rsidP="00914A62">
            <w:pPr>
              <w:spacing w:line="240" w:lineRule="auto"/>
              <w:rPr>
                <w:rFonts w:ascii="Times New Roman" w:hAnsi="Times New Roman" w:cs="Times New Roman"/>
                <w:b/>
              </w:rPr>
            </w:pPr>
          </w:p>
        </w:tc>
        <w:tc>
          <w:tcPr>
            <w:tcW w:w="992" w:type="dxa"/>
          </w:tcPr>
          <w:p w14:paraId="50E9A35D" w14:textId="77777777" w:rsidR="002265BE" w:rsidRPr="002265BE" w:rsidRDefault="002265BE" w:rsidP="00914A62">
            <w:pPr>
              <w:spacing w:line="240" w:lineRule="auto"/>
              <w:jc w:val="center"/>
              <w:rPr>
                <w:rFonts w:ascii="Times New Roman" w:hAnsi="Times New Roman" w:cs="Times New Roman"/>
              </w:rPr>
            </w:pPr>
            <w:r w:rsidRPr="002265BE">
              <w:rPr>
                <w:rFonts w:ascii="Times New Roman" w:hAnsi="Times New Roman" w:cs="Times New Roman"/>
              </w:rPr>
              <w:t>2020</w:t>
            </w:r>
          </w:p>
        </w:tc>
        <w:tc>
          <w:tcPr>
            <w:tcW w:w="2268" w:type="dxa"/>
          </w:tcPr>
          <w:p w14:paraId="2E2CF8FC"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2.184.125.505.565</w:t>
            </w:r>
          </w:p>
        </w:tc>
        <w:tc>
          <w:tcPr>
            <w:tcW w:w="2127" w:type="dxa"/>
          </w:tcPr>
          <w:p w14:paraId="0E5898FE" w14:textId="77777777" w:rsidR="002265BE" w:rsidRPr="002265BE" w:rsidRDefault="002265BE" w:rsidP="00914A62">
            <w:pPr>
              <w:spacing w:line="240" w:lineRule="auto"/>
              <w:rPr>
                <w:rFonts w:ascii="Times New Roman" w:hAnsi="Times New Roman" w:cs="Times New Roman"/>
              </w:rPr>
            </w:pPr>
            <w:r w:rsidRPr="002265BE">
              <w:rPr>
                <w:rFonts w:ascii="Times New Roman" w:hAnsi="Times New Roman" w:cs="Times New Roman"/>
              </w:rPr>
              <w:t>250.979.883.999</w:t>
            </w:r>
          </w:p>
        </w:tc>
      </w:tr>
    </w:tbl>
    <w:p w14:paraId="19034A0C" w14:textId="77777777" w:rsidR="002265BE" w:rsidRPr="002265BE" w:rsidRDefault="002265BE" w:rsidP="002265BE">
      <w:pPr>
        <w:pStyle w:val="NormalWeb"/>
        <w:spacing w:before="240" w:beforeAutospacing="0" w:after="240" w:afterAutospacing="0" w:line="360" w:lineRule="auto"/>
        <w:ind w:firstLine="720"/>
        <w:jc w:val="both"/>
        <w:rPr>
          <w:b/>
          <w:i/>
          <w:iCs/>
          <w:sz w:val="22"/>
          <w:szCs w:val="22"/>
        </w:rPr>
      </w:pPr>
      <w:r w:rsidRPr="002265BE">
        <w:rPr>
          <w:bCs/>
          <w:color w:val="000000"/>
          <w:sz w:val="22"/>
          <w:szCs w:val="22"/>
        </w:rPr>
        <w:t xml:space="preserve">Based on the analysis of capital expenditures on total expenditures, the average capital expenditure used by the DKI Jakarta Regional Government in -2018-2020 is 10.15%. The average expenditure budget is Rp. 5,33518227515. In contrast, the average total regional expenditure is Rp. 1.38505623E13, then the DIY regional government in 2018-2020 is 33.91%, the average budget is Rp. 3,423,419,843,556, while the average total regional expenditure is Rp. 3,423,419,843,556. Rp 1,030,789,948,045. Furthermore, the Banda Aceh regional government in 2018-2020 was 25.5%. The average expenditure budget was RP 459,773,105,976, while the average total regional expenditure was </w:t>
      </w:r>
      <w:r w:rsidRPr="002265BE">
        <w:rPr>
          <w:bCs/>
          <w:color w:val="000000"/>
          <w:sz w:val="22"/>
          <w:szCs w:val="22"/>
        </w:rPr>
        <w:lastRenderedPageBreak/>
        <w:t>Rp 27,600,000,000. then the Papuan regional government in 2018-2020 was 25.5% the average expenditure budget was RP 6,389,271878,360 while the average total regional expenditure was Rp 1.13825068E14 and finally, the West Papua regional government in 2018-2020 was 27.7% on average -the average expenditure budget is RP 5,572,476,296,166 while the average total regional expenditure is Rp 1,030,625,464,571. This variant is categorized as a favorable variance because expenditure does not exceed the set budget. This means that the government can control and save spending not to exceed the predetermined budget. 10.15%. 33.91%25.5% 27.7%</w:t>
      </w:r>
    </w:p>
    <w:p w14:paraId="2E3C61D6" w14:textId="77777777" w:rsidR="002265BE" w:rsidRPr="002265BE" w:rsidRDefault="002265BE" w:rsidP="002265BE">
      <w:pPr>
        <w:pStyle w:val="NormalWeb"/>
        <w:spacing w:before="240" w:beforeAutospacing="0" w:after="0" w:afterAutospacing="0" w:line="360" w:lineRule="auto"/>
        <w:jc w:val="both"/>
        <w:rPr>
          <w:b/>
          <w:i/>
          <w:iCs/>
          <w:sz w:val="22"/>
          <w:szCs w:val="22"/>
        </w:rPr>
      </w:pPr>
      <w:r w:rsidRPr="002265BE">
        <w:rPr>
          <w:b/>
          <w:bCs/>
          <w:i/>
          <w:iCs/>
          <w:color w:val="000000"/>
          <w:sz w:val="22"/>
          <w:szCs w:val="22"/>
        </w:rPr>
        <w:t>Capital Expenditure Analysis on Total Expenditure</w:t>
      </w:r>
    </w:p>
    <w:p w14:paraId="5D82206A" w14:textId="77777777" w:rsidR="002265BE" w:rsidRPr="002265BE" w:rsidRDefault="002265BE" w:rsidP="002265BE">
      <w:pPr>
        <w:jc w:val="center"/>
        <w:rPr>
          <w:rFonts w:ascii="Times New Roman" w:hAnsi="Times New Roman" w:cs="Times New Roman"/>
        </w:rPr>
      </w:pPr>
      <w:r w:rsidRPr="002265BE">
        <w:rPr>
          <w:rFonts w:ascii="Times New Roman" w:hAnsi="Times New Roman" w:cs="Times New Roman"/>
          <w:noProof/>
        </w:rPr>
        <w:drawing>
          <wp:inline distT="0" distB="0" distL="0" distR="0" wp14:anchorId="540EFC86" wp14:editId="506FEA54">
            <wp:extent cx="2902301" cy="3474720"/>
            <wp:effectExtent l="0" t="0" r="0" b="0"/>
            <wp:docPr id="11" name="Picture 11" descr="C:\Users\LENOVO\Video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Videos\0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2301" cy="3474720"/>
                    </a:xfrm>
                    <a:prstGeom prst="rect">
                      <a:avLst/>
                    </a:prstGeom>
                    <a:noFill/>
                    <a:ln>
                      <a:noFill/>
                    </a:ln>
                  </pic:spPr>
                </pic:pic>
              </a:graphicData>
            </a:graphic>
          </wp:inline>
        </w:drawing>
      </w:r>
    </w:p>
    <w:p w14:paraId="64225BE5" w14:textId="77777777" w:rsidR="002265BE" w:rsidRPr="002265BE" w:rsidRDefault="002265BE" w:rsidP="002265BE">
      <w:pPr>
        <w:pStyle w:val="NormalWeb"/>
        <w:spacing w:before="240" w:beforeAutospacing="0" w:after="240" w:afterAutospacing="0"/>
        <w:jc w:val="center"/>
        <w:rPr>
          <w:sz w:val="22"/>
          <w:szCs w:val="22"/>
        </w:rPr>
      </w:pPr>
      <w:r w:rsidRPr="002265BE">
        <w:rPr>
          <w:b/>
          <w:bCs/>
          <w:color w:val="000000"/>
          <w:sz w:val="22"/>
          <w:szCs w:val="22"/>
        </w:rPr>
        <w:t xml:space="preserve">Figure 1. </w:t>
      </w:r>
      <w:r w:rsidRPr="002265BE">
        <w:rPr>
          <w:bCs/>
          <w:color w:val="000000"/>
          <w:sz w:val="22"/>
          <w:szCs w:val="22"/>
        </w:rPr>
        <w:t>Government Expenditure Harmony of DKI Jakarta, DIY, Banda Aceh City, Papua, West Papua.</w:t>
      </w:r>
    </w:p>
    <w:p w14:paraId="152C54C8" w14:textId="77777777" w:rsidR="002265BE" w:rsidRPr="002265BE" w:rsidRDefault="002265BE" w:rsidP="002265BE">
      <w:pPr>
        <w:pStyle w:val="NormalWeb"/>
        <w:spacing w:before="240" w:beforeAutospacing="0" w:after="240" w:afterAutospacing="0" w:line="360" w:lineRule="auto"/>
        <w:ind w:firstLine="720"/>
        <w:jc w:val="both"/>
        <w:rPr>
          <w:sz w:val="22"/>
          <w:szCs w:val="22"/>
        </w:rPr>
      </w:pPr>
      <w:r w:rsidRPr="002265BE">
        <w:rPr>
          <w:bCs/>
          <w:color w:val="000000"/>
          <w:sz w:val="22"/>
          <w:szCs w:val="22"/>
        </w:rPr>
        <w:t xml:space="preserve">Based on the graph above, overall, from 2018-2020, the DKI Jakarta Government allocated an average of 25.95% used for operational expenditures and used for capital expenditures. For the allocation of operating expenses every year, there is a slight increase in terms of quantity. Furthermore, the DIY government </w:t>
      </w:r>
      <w:proofErr w:type="gramStart"/>
      <w:r w:rsidRPr="002265BE">
        <w:rPr>
          <w:bCs/>
          <w:color w:val="000000"/>
          <w:sz w:val="22"/>
          <w:szCs w:val="22"/>
        </w:rPr>
        <w:t>as a whole from</w:t>
      </w:r>
      <w:proofErr w:type="gramEnd"/>
      <w:r w:rsidRPr="002265BE">
        <w:rPr>
          <w:bCs/>
          <w:color w:val="000000"/>
          <w:sz w:val="22"/>
          <w:szCs w:val="22"/>
        </w:rPr>
        <w:t xml:space="preserve"> 2018-2020 allocated an average of 35.35% used for operational expenditures and 34.6% used for capital expenditures. For the allocation of operating expenditures every year, there is a slight increase in terms of amount but has decreased in percentage. In 2020, there was a decrease in operating expenditure followed by an increase in capital expenditure.</w:t>
      </w:r>
    </w:p>
    <w:p w14:paraId="60BD4868" w14:textId="77777777" w:rsidR="002265BE" w:rsidRPr="002265BE" w:rsidRDefault="002265BE" w:rsidP="002265BE">
      <w:pPr>
        <w:pStyle w:val="NormalWeb"/>
        <w:spacing w:before="240" w:beforeAutospacing="0" w:after="240" w:afterAutospacing="0" w:line="360" w:lineRule="auto"/>
        <w:ind w:firstLine="720"/>
        <w:jc w:val="both"/>
        <w:rPr>
          <w:sz w:val="22"/>
          <w:szCs w:val="22"/>
        </w:rPr>
      </w:pPr>
      <w:r w:rsidRPr="002265BE">
        <w:rPr>
          <w:bCs/>
          <w:color w:val="000000"/>
          <w:sz w:val="22"/>
          <w:szCs w:val="22"/>
        </w:rPr>
        <w:t xml:space="preserve">Furthermore, the Banda Aceh government </w:t>
      </w:r>
      <w:proofErr w:type="gramStart"/>
      <w:r w:rsidRPr="002265BE">
        <w:rPr>
          <w:bCs/>
          <w:color w:val="000000"/>
          <w:sz w:val="22"/>
          <w:szCs w:val="22"/>
        </w:rPr>
        <w:t>as a whole from</w:t>
      </w:r>
      <w:proofErr w:type="gramEnd"/>
      <w:r w:rsidRPr="002265BE">
        <w:rPr>
          <w:bCs/>
          <w:color w:val="000000"/>
          <w:sz w:val="22"/>
          <w:szCs w:val="22"/>
        </w:rPr>
        <w:t xml:space="preserve"> 2018-2020 allocated an average of 31.9% used for operational expenditures and 38.6% used for capital expenditures. For the allocation of operating expenses every year, there is a slight increase in terms of quantity. Then for the Papuan </w:t>
      </w:r>
      <w:r w:rsidRPr="002265BE">
        <w:rPr>
          <w:bCs/>
          <w:color w:val="000000"/>
          <w:sz w:val="22"/>
          <w:szCs w:val="22"/>
        </w:rPr>
        <w:lastRenderedPageBreak/>
        <w:t xml:space="preserve">government </w:t>
      </w:r>
      <w:proofErr w:type="gramStart"/>
      <w:r w:rsidRPr="002265BE">
        <w:rPr>
          <w:bCs/>
          <w:color w:val="000000"/>
          <w:sz w:val="22"/>
          <w:szCs w:val="22"/>
        </w:rPr>
        <w:t>as a whole from</w:t>
      </w:r>
      <w:proofErr w:type="gramEnd"/>
      <w:r w:rsidRPr="002265BE">
        <w:rPr>
          <w:bCs/>
          <w:color w:val="000000"/>
          <w:sz w:val="22"/>
          <w:szCs w:val="22"/>
        </w:rPr>
        <w:t xml:space="preserve"> 2018-2020, an average of 32.5% was used for operational spending and 25.70% used for capital expenditure. For the allocation of operating expenses each year, there is a slight increase in terms of quantity. The latest for the West Papua government from 2018-2020 allocates an average of 34.5% used for operational expenditures and used for capital expenditures of 52.16%. For the allocation of operating expenditures every year, there is a slight increase in terms of amount but has decreased in percentage. In 2020, there was a decrease in operating expenditure followed by an increase in capital expenditure.</w:t>
      </w:r>
    </w:p>
    <w:p w14:paraId="588FB01F" w14:textId="77777777" w:rsidR="002265BE" w:rsidRPr="002265BE" w:rsidRDefault="002265BE" w:rsidP="002265BE">
      <w:pPr>
        <w:pStyle w:val="NormalWeb"/>
        <w:spacing w:before="240" w:beforeAutospacing="0" w:after="0" w:afterAutospacing="0" w:line="360" w:lineRule="auto"/>
        <w:jc w:val="both"/>
        <w:rPr>
          <w:b/>
          <w:sz w:val="22"/>
          <w:szCs w:val="22"/>
        </w:rPr>
      </w:pPr>
      <w:r w:rsidRPr="002265BE">
        <w:rPr>
          <w:b/>
          <w:bCs/>
          <w:color w:val="000000"/>
          <w:sz w:val="22"/>
          <w:szCs w:val="22"/>
        </w:rPr>
        <w:t>Efficiency Ratio</w:t>
      </w:r>
    </w:p>
    <w:p w14:paraId="1B647626" w14:textId="77777777" w:rsidR="002265BE" w:rsidRPr="002265BE" w:rsidRDefault="002265BE" w:rsidP="002265BE">
      <w:pPr>
        <w:pStyle w:val="NormalWeb"/>
        <w:spacing w:before="240" w:beforeAutospacing="0" w:after="0" w:afterAutospacing="0"/>
        <w:ind w:firstLine="720"/>
        <w:rPr>
          <w:sz w:val="22"/>
          <w:szCs w:val="22"/>
        </w:rPr>
      </w:pPr>
      <w:r w:rsidRPr="002265BE">
        <w:rPr>
          <w:bCs/>
          <w:color w:val="000000"/>
          <w:sz w:val="22"/>
          <w:szCs w:val="22"/>
        </w:rPr>
        <w:t>Ratio Expenditure efficiency ratio is a comparison between actual expenditure and budget. This spending efficiency ratio is used to measure the level of budget savings made by the government.</w:t>
      </w:r>
    </w:p>
    <w:p w14:paraId="78153DF5" w14:textId="77777777" w:rsidR="002265BE" w:rsidRPr="002265BE" w:rsidRDefault="002265BE" w:rsidP="002265BE">
      <w:pPr>
        <w:pStyle w:val="NormalWeb"/>
        <w:spacing w:before="240" w:beforeAutospacing="0" w:after="240" w:afterAutospacing="0"/>
        <w:jc w:val="center"/>
        <w:rPr>
          <w:sz w:val="22"/>
          <w:szCs w:val="22"/>
        </w:rPr>
      </w:pPr>
      <w:r w:rsidRPr="002265BE">
        <w:rPr>
          <w:b/>
          <w:bCs/>
          <w:color w:val="000000"/>
          <w:sz w:val="22"/>
          <w:szCs w:val="22"/>
        </w:rPr>
        <w:t xml:space="preserve">Table 2. </w:t>
      </w:r>
      <w:r w:rsidRPr="004B7A1C">
        <w:rPr>
          <w:color w:val="000000"/>
          <w:sz w:val="22"/>
          <w:szCs w:val="22"/>
        </w:rPr>
        <w:t>Efficiency Ratio</w:t>
      </w:r>
    </w:p>
    <w:tbl>
      <w:tblPr>
        <w:tblW w:w="0" w:type="auto"/>
        <w:tblInd w:w="380" w:type="dxa"/>
        <w:tblBorders>
          <w:bottom w:val="single" w:sz="4" w:space="0" w:color="auto"/>
        </w:tblBorders>
        <w:tblLayout w:type="fixed"/>
        <w:tblLook w:val="0000" w:firstRow="0" w:lastRow="0" w:firstColumn="0" w:lastColumn="0" w:noHBand="0" w:noVBand="0"/>
      </w:tblPr>
      <w:tblGrid>
        <w:gridCol w:w="1571"/>
        <w:gridCol w:w="992"/>
        <w:gridCol w:w="2092"/>
        <w:gridCol w:w="2160"/>
        <w:gridCol w:w="1800"/>
      </w:tblGrid>
      <w:tr w:rsidR="002265BE" w:rsidRPr="002265BE" w14:paraId="64D8A6AD" w14:textId="77777777" w:rsidTr="004B7A1C">
        <w:trPr>
          <w:trHeight w:val="285"/>
        </w:trPr>
        <w:tc>
          <w:tcPr>
            <w:tcW w:w="1571" w:type="dxa"/>
          </w:tcPr>
          <w:p w14:paraId="61F6DC02"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Local Government</w:t>
            </w:r>
          </w:p>
        </w:tc>
        <w:tc>
          <w:tcPr>
            <w:tcW w:w="992" w:type="dxa"/>
          </w:tcPr>
          <w:p w14:paraId="56632A3E"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Year</w:t>
            </w:r>
          </w:p>
        </w:tc>
        <w:tc>
          <w:tcPr>
            <w:tcW w:w="2092" w:type="dxa"/>
          </w:tcPr>
          <w:p w14:paraId="35586D7B"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Budget</w:t>
            </w:r>
          </w:p>
        </w:tc>
        <w:tc>
          <w:tcPr>
            <w:tcW w:w="2160" w:type="dxa"/>
          </w:tcPr>
          <w:p w14:paraId="1C6CE32C"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Shopping Realization</w:t>
            </w:r>
          </w:p>
        </w:tc>
        <w:tc>
          <w:tcPr>
            <w:tcW w:w="1800" w:type="dxa"/>
            <w:shd w:val="clear" w:color="auto" w:fill="auto"/>
          </w:tcPr>
          <w:p w14:paraId="1853E082"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Ratio Efficiency</w:t>
            </w:r>
          </w:p>
        </w:tc>
      </w:tr>
      <w:tr w:rsidR="002265BE" w:rsidRPr="002265BE" w14:paraId="755B5561" w14:textId="77777777" w:rsidTr="004B7A1C">
        <w:trPr>
          <w:trHeight w:val="450"/>
        </w:trPr>
        <w:tc>
          <w:tcPr>
            <w:tcW w:w="1571" w:type="dxa"/>
            <w:vMerge w:val="restart"/>
          </w:tcPr>
          <w:p w14:paraId="667F37AD" w14:textId="77777777" w:rsidR="002265BE" w:rsidRPr="002265BE" w:rsidRDefault="002265BE" w:rsidP="00914A62">
            <w:pPr>
              <w:jc w:val="center"/>
              <w:rPr>
                <w:rFonts w:ascii="Times New Roman" w:hAnsi="Times New Roman" w:cs="Times New Roman"/>
                <w:bCs/>
              </w:rPr>
            </w:pPr>
          </w:p>
          <w:p w14:paraId="3987D937"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DKI Jakarta</w:t>
            </w:r>
          </w:p>
        </w:tc>
        <w:tc>
          <w:tcPr>
            <w:tcW w:w="992" w:type="dxa"/>
          </w:tcPr>
          <w:p w14:paraId="2BA4E601"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2018</w:t>
            </w:r>
          </w:p>
        </w:tc>
        <w:tc>
          <w:tcPr>
            <w:tcW w:w="2092" w:type="dxa"/>
          </w:tcPr>
          <w:p w14:paraId="701871BA"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16.995.195.576.641</w:t>
            </w:r>
          </w:p>
        </w:tc>
        <w:tc>
          <w:tcPr>
            <w:tcW w:w="2160" w:type="dxa"/>
          </w:tcPr>
          <w:p w14:paraId="74CFE3B4"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14.118.608.087.643</w:t>
            </w:r>
          </w:p>
        </w:tc>
        <w:tc>
          <w:tcPr>
            <w:tcW w:w="1800" w:type="dxa"/>
            <w:shd w:val="clear" w:color="auto" w:fill="auto"/>
          </w:tcPr>
          <w:p w14:paraId="665F6966"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83,07 %</w:t>
            </w:r>
          </w:p>
        </w:tc>
      </w:tr>
      <w:tr w:rsidR="002265BE" w:rsidRPr="002265BE" w14:paraId="39F8E826" w14:textId="77777777" w:rsidTr="004B7A1C">
        <w:trPr>
          <w:trHeight w:val="495"/>
        </w:trPr>
        <w:tc>
          <w:tcPr>
            <w:tcW w:w="1571" w:type="dxa"/>
            <w:vMerge/>
          </w:tcPr>
          <w:p w14:paraId="4BE75696" w14:textId="77777777" w:rsidR="002265BE" w:rsidRPr="002265BE" w:rsidRDefault="002265BE" w:rsidP="00914A62">
            <w:pPr>
              <w:jc w:val="center"/>
              <w:rPr>
                <w:rFonts w:ascii="Times New Roman" w:hAnsi="Times New Roman" w:cs="Times New Roman"/>
                <w:bCs/>
              </w:rPr>
            </w:pPr>
          </w:p>
        </w:tc>
        <w:tc>
          <w:tcPr>
            <w:tcW w:w="992" w:type="dxa"/>
          </w:tcPr>
          <w:p w14:paraId="04F18526"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2019</w:t>
            </w:r>
          </w:p>
        </w:tc>
        <w:tc>
          <w:tcPr>
            <w:tcW w:w="2092" w:type="dxa"/>
          </w:tcPr>
          <w:p w14:paraId="408DAF50"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18.355.384.155.928</w:t>
            </w:r>
          </w:p>
        </w:tc>
        <w:tc>
          <w:tcPr>
            <w:tcW w:w="2160" w:type="dxa"/>
          </w:tcPr>
          <w:p w14:paraId="168B65DC"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11.551.927.779.590</w:t>
            </w:r>
          </w:p>
        </w:tc>
        <w:tc>
          <w:tcPr>
            <w:tcW w:w="1800" w:type="dxa"/>
            <w:shd w:val="clear" w:color="auto" w:fill="auto"/>
          </w:tcPr>
          <w:p w14:paraId="7CCF5B92"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62,93 %</w:t>
            </w:r>
          </w:p>
        </w:tc>
      </w:tr>
      <w:tr w:rsidR="002265BE" w:rsidRPr="002265BE" w14:paraId="2C301087" w14:textId="77777777" w:rsidTr="004B7A1C">
        <w:trPr>
          <w:trHeight w:val="405"/>
        </w:trPr>
        <w:tc>
          <w:tcPr>
            <w:tcW w:w="1571" w:type="dxa"/>
            <w:vMerge/>
          </w:tcPr>
          <w:p w14:paraId="1CEEDA3D" w14:textId="77777777" w:rsidR="002265BE" w:rsidRPr="002265BE" w:rsidRDefault="002265BE" w:rsidP="00914A62">
            <w:pPr>
              <w:jc w:val="center"/>
              <w:rPr>
                <w:rFonts w:ascii="Times New Roman" w:hAnsi="Times New Roman" w:cs="Times New Roman"/>
                <w:bCs/>
              </w:rPr>
            </w:pPr>
          </w:p>
        </w:tc>
        <w:tc>
          <w:tcPr>
            <w:tcW w:w="992" w:type="dxa"/>
          </w:tcPr>
          <w:p w14:paraId="1237273C"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2020</w:t>
            </w:r>
          </w:p>
        </w:tc>
        <w:tc>
          <w:tcPr>
            <w:tcW w:w="2092" w:type="dxa"/>
          </w:tcPr>
          <w:p w14:paraId="68E8F0CD" w14:textId="77777777" w:rsidR="002265BE" w:rsidRPr="002265BE" w:rsidRDefault="002265BE" w:rsidP="002265BE">
            <w:pPr>
              <w:jc w:val="center"/>
              <w:rPr>
                <w:rFonts w:ascii="Times New Roman" w:hAnsi="Times New Roman" w:cs="Times New Roman"/>
                <w:bCs/>
                <w:color w:val="000000"/>
              </w:rPr>
            </w:pPr>
            <w:r w:rsidRPr="002265BE">
              <w:rPr>
                <w:rFonts w:ascii="Times New Roman" w:hAnsi="Times New Roman" w:cs="Times New Roman"/>
                <w:bCs/>
              </w:rPr>
              <w:t>18.041.247.738.352</w:t>
            </w:r>
          </w:p>
        </w:tc>
        <w:tc>
          <w:tcPr>
            <w:tcW w:w="2160" w:type="dxa"/>
          </w:tcPr>
          <w:p w14:paraId="4B6AD7AA" w14:textId="77777777" w:rsidR="002265BE" w:rsidRPr="002265BE" w:rsidRDefault="002265BE" w:rsidP="002265BE">
            <w:pPr>
              <w:jc w:val="center"/>
              <w:rPr>
                <w:rFonts w:ascii="Times New Roman" w:hAnsi="Times New Roman" w:cs="Times New Roman"/>
                <w:bCs/>
                <w:color w:val="000000"/>
              </w:rPr>
            </w:pPr>
            <w:r w:rsidRPr="002265BE">
              <w:rPr>
                <w:rFonts w:ascii="Times New Roman" w:hAnsi="Times New Roman" w:cs="Times New Roman"/>
                <w:bCs/>
                <w:color w:val="000000"/>
              </w:rPr>
              <w:t>0</w:t>
            </w:r>
          </w:p>
        </w:tc>
        <w:tc>
          <w:tcPr>
            <w:tcW w:w="1800" w:type="dxa"/>
            <w:shd w:val="clear" w:color="auto" w:fill="auto"/>
          </w:tcPr>
          <w:p w14:paraId="5CE083E0"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0,00 %</w:t>
            </w:r>
          </w:p>
        </w:tc>
      </w:tr>
      <w:tr w:rsidR="002265BE" w:rsidRPr="002265BE" w14:paraId="390DB4EE" w14:textId="77777777" w:rsidTr="004B7A1C">
        <w:trPr>
          <w:trHeight w:val="415"/>
        </w:trPr>
        <w:tc>
          <w:tcPr>
            <w:tcW w:w="1571" w:type="dxa"/>
            <w:vMerge w:val="restart"/>
          </w:tcPr>
          <w:p w14:paraId="4AF6D0F3" w14:textId="77777777" w:rsidR="002265BE" w:rsidRPr="002265BE" w:rsidRDefault="002265BE" w:rsidP="00914A62">
            <w:pPr>
              <w:jc w:val="center"/>
              <w:rPr>
                <w:rFonts w:ascii="Times New Roman" w:hAnsi="Times New Roman" w:cs="Times New Roman"/>
                <w:bCs/>
              </w:rPr>
            </w:pPr>
          </w:p>
          <w:p w14:paraId="79BAE62C"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DIY</w:t>
            </w:r>
          </w:p>
        </w:tc>
        <w:tc>
          <w:tcPr>
            <w:tcW w:w="992" w:type="dxa"/>
          </w:tcPr>
          <w:p w14:paraId="121D1568"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2018</w:t>
            </w:r>
          </w:p>
        </w:tc>
        <w:tc>
          <w:tcPr>
            <w:tcW w:w="2092" w:type="dxa"/>
          </w:tcPr>
          <w:p w14:paraId="00CAEE28"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1.185.735.851.757</w:t>
            </w:r>
          </w:p>
        </w:tc>
        <w:tc>
          <w:tcPr>
            <w:tcW w:w="2160" w:type="dxa"/>
          </w:tcPr>
          <w:p w14:paraId="041F30ED"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1.132.827.726.328</w:t>
            </w:r>
          </w:p>
        </w:tc>
        <w:tc>
          <w:tcPr>
            <w:tcW w:w="1800" w:type="dxa"/>
            <w:shd w:val="clear" w:color="auto" w:fill="auto"/>
          </w:tcPr>
          <w:p w14:paraId="3BA4B703"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95,54 %</w:t>
            </w:r>
          </w:p>
        </w:tc>
      </w:tr>
      <w:tr w:rsidR="002265BE" w:rsidRPr="002265BE" w14:paraId="1525503C" w14:textId="77777777" w:rsidTr="004B7A1C">
        <w:trPr>
          <w:trHeight w:val="465"/>
        </w:trPr>
        <w:tc>
          <w:tcPr>
            <w:tcW w:w="1571" w:type="dxa"/>
            <w:vMerge/>
          </w:tcPr>
          <w:p w14:paraId="5DE2E9F2" w14:textId="77777777" w:rsidR="002265BE" w:rsidRPr="002265BE" w:rsidRDefault="002265BE" w:rsidP="00914A62">
            <w:pPr>
              <w:jc w:val="center"/>
              <w:rPr>
                <w:rFonts w:ascii="Times New Roman" w:hAnsi="Times New Roman" w:cs="Times New Roman"/>
                <w:bCs/>
              </w:rPr>
            </w:pPr>
          </w:p>
        </w:tc>
        <w:tc>
          <w:tcPr>
            <w:tcW w:w="992" w:type="dxa"/>
          </w:tcPr>
          <w:p w14:paraId="6535E0CC"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2019</w:t>
            </w:r>
          </w:p>
        </w:tc>
        <w:tc>
          <w:tcPr>
            <w:tcW w:w="2092" w:type="dxa"/>
          </w:tcPr>
          <w:p w14:paraId="5EFDE3ED"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1.147.122.557.501</w:t>
            </w:r>
          </w:p>
        </w:tc>
        <w:tc>
          <w:tcPr>
            <w:tcW w:w="2160" w:type="dxa"/>
          </w:tcPr>
          <w:p w14:paraId="4D1DD190"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1.035.203.185.485</w:t>
            </w:r>
          </w:p>
        </w:tc>
        <w:tc>
          <w:tcPr>
            <w:tcW w:w="1800" w:type="dxa"/>
            <w:shd w:val="clear" w:color="auto" w:fill="auto"/>
          </w:tcPr>
          <w:p w14:paraId="0BFD72AF"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90,24 %</w:t>
            </w:r>
          </w:p>
        </w:tc>
      </w:tr>
      <w:tr w:rsidR="002265BE" w:rsidRPr="002265BE" w14:paraId="6C0642C1" w14:textId="77777777" w:rsidTr="004B7A1C">
        <w:trPr>
          <w:trHeight w:val="555"/>
        </w:trPr>
        <w:tc>
          <w:tcPr>
            <w:tcW w:w="1571" w:type="dxa"/>
            <w:vMerge/>
          </w:tcPr>
          <w:p w14:paraId="5383CB2A" w14:textId="77777777" w:rsidR="002265BE" w:rsidRPr="002265BE" w:rsidRDefault="002265BE" w:rsidP="00914A62">
            <w:pPr>
              <w:jc w:val="center"/>
              <w:rPr>
                <w:rFonts w:ascii="Times New Roman" w:hAnsi="Times New Roman" w:cs="Times New Roman"/>
                <w:bCs/>
              </w:rPr>
            </w:pPr>
          </w:p>
        </w:tc>
        <w:tc>
          <w:tcPr>
            <w:tcW w:w="992" w:type="dxa"/>
          </w:tcPr>
          <w:p w14:paraId="0215DB09"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2020</w:t>
            </w:r>
          </w:p>
        </w:tc>
        <w:tc>
          <w:tcPr>
            <w:tcW w:w="2092" w:type="dxa"/>
          </w:tcPr>
          <w:p w14:paraId="1B809468"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1.090.561.434.298</w:t>
            </w:r>
          </w:p>
        </w:tc>
        <w:tc>
          <w:tcPr>
            <w:tcW w:w="2160" w:type="dxa"/>
          </w:tcPr>
          <w:p w14:paraId="2ECA0CBC"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color w:val="000000"/>
              </w:rPr>
              <w:t>0</w:t>
            </w:r>
          </w:p>
        </w:tc>
        <w:tc>
          <w:tcPr>
            <w:tcW w:w="1800" w:type="dxa"/>
            <w:shd w:val="clear" w:color="auto" w:fill="auto"/>
          </w:tcPr>
          <w:p w14:paraId="1857668F"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0,00 %</w:t>
            </w:r>
          </w:p>
        </w:tc>
      </w:tr>
      <w:tr w:rsidR="002265BE" w:rsidRPr="002265BE" w14:paraId="7060FA81" w14:textId="77777777" w:rsidTr="004B7A1C">
        <w:trPr>
          <w:trHeight w:val="480"/>
        </w:trPr>
        <w:tc>
          <w:tcPr>
            <w:tcW w:w="1571" w:type="dxa"/>
            <w:vMerge w:val="restart"/>
          </w:tcPr>
          <w:p w14:paraId="473BD8E7" w14:textId="77777777" w:rsidR="002265BE" w:rsidRPr="002265BE" w:rsidRDefault="002265BE" w:rsidP="00914A62">
            <w:pPr>
              <w:jc w:val="center"/>
              <w:rPr>
                <w:rFonts w:ascii="Times New Roman" w:hAnsi="Times New Roman" w:cs="Times New Roman"/>
                <w:bCs/>
              </w:rPr>
            </w:pPr>
          </w:p>
          <w:p w14:paraId="5DFCFA3F"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Banda Aceh City</w:t>
            </w:r>
          </w:p>
        </w:tc>
        <w:tc>
          <w:tcPr>
            <w:tcW w:w="992" w:type="dxa"/>
          </w:tcPr>
          <w:p w14:paraId="4D19250B"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2018</w:t>
            </w:r>
          </w:p>
        </w:tc>
        <w:tc>
          <w:tcPr>
            <w:tcW w:w="2092" w:type="dxa"/>
          </w:tcPr>
          <w:p w14:paraId="58AEEEE3"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83.314.430.569</w:t>
            </w:r>
          </w:p>
        </w:tc>
        <w:tc>
          <w:tcPr>
            <w:tcW w:w="2160" w:type="dxa"/>
          </w:tcPr>
          <w:p w14:paraId="4A0F56C7"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100.757.750.369</w:t>
            </w:r>
          </w:p>
        </w:tc>
        <w:tc>
          <w:tcPr>
            <w:tcW w:w="1800" w:type="dxa"/>
            <w:shd w:val="clear" w:color="auto" w:fill="auto"/>
          </w:tcPr>
          <w:p w14:paraId="4980E1BD"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120,94 %</w:t>
            </w:r>
          </w:p>
        </w:tc>
      </w:tr>
      <w:tr w:rsidR="002265BE" w:rsidRPr="002265BE" w14:paraId="5C89102D" w14:textId="77777777" w:rsidTr="004B7A1C">
        <w:trPr>
          <w:trHeight w:val="525"/>
        </w:trPr>
        <w:tc>
          <w:tcPr>
            <w:tcW w:w="1571" w:type="dxa"/>
            <w:vMerge/>
          </w:tcPr>
          <w:p w14:paraId="537727D0" w14:textId="77777777" w:rsidR="002265BE" w:rsidRPr="002265BE" w:rsidRDefault="002265BE" w:rsidP="00914A62">
            <w:pPr>
              <w:jc w:val="center"/>
              <w:rPr>
                <w:rFonts w:ascii="Times New Roman" w:hAnsi="Times New Roman" w:cs="Times New Roman"/>
                <w:bCs/>
              </w:rPr>
            </w:pPr>
          </w:p>
        </w:tc>
        <w:tc>
          <w:tcPr>
            <w:tcW w:w="992" w:type="dxa"/>
          </w:tcPr>
          <w:p w14:paraId="1D3F47A2"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2019</w:t>
            </w:r>
          </w:p>
        </w:tc>
        <w:tc>
          <w:tcPr>
            <w:tcW w:w="2092" w:type="dxa"/>
          </w:tcPr>
          <w:p w14:paraId="1FABC900"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154.032.332.684</w:t>
            </w:r>
          </w:p>
        </w:tc>
        <w:tc>
          <w:tcPr>
            <w:tcW w:w="2160" w:type="dxa"/>
          </w:tcPr>
          <w:p w14:paraId="1C4AD2DA"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148.964.382.239</w:t>
            </w:r>
          </w:p>
        </w:tc>
        <w:tc>
          <w:tcPr>
            <w:tcW w:w="1800" w:type="dxa"/>
            <w:shd w:val="clear" w:color="auto" w:fill="auto"/>
          </w:tcPr>
          <w:p w14:paraId="7D87C477"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96,71 %</w:t>
            </w:r>
          </w:p>
        </w:tc>
      </w:tr>
      <w:tr w:rsidR="002265BE" w:rsidRPr="002265BE" w14:paraId="753BF4F7" w14:textId="77777777" w:rsidTr="004B7A1C">
        <w:trPr>
          <w:trHeight w:val="403"/>
        </w:trPr>
        <w:tc>
          <w:tcPr>
            <w:tcW w:w="1571" w:type="dxa"/>
            <w:vMerge/>
          </w:tcPr>
          <w:p w14:paraId="113E6D6F" w14:textId="77777777" w:rsidR="002265BE" w:rsidRPr="002265BE" w:rsidRDefault="002265BE" w:rsidP="00914A62">
            <w:pPr>
              <w:jc w:val="center"/>
              <w:rPr>
                <w:rFonts w:ascii="Times New Roman" w:hAnsi="Times New Roman" w:cs="Times New Roman"/>
                <w:bCs/>
              </w:rPr>
            </w:pPr>
          </w:p>
        </w:tc>
        <w:tc>
          <w:tcPr>
            <w:tcW w:w="992" w:type="dxa"/>
          </w:tcPr>
          <w:p w14:paraId="22F9020F"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2020</w:t>
            </w:r>
          </w:p>
        </w:tc>
        <w:tc>
          <w:tcPr>
            <w:tcW w:w="2092" w:type="dxa"/>
          </w:tcPr>
          <w:p w14:paraId="45D0BEE8" w14:textId="77777777" w:rsidR="002265BE" w:rsidRPr="002265BE" w:rsidRDefault="002265BE" w:rsidP="002265BE">
            <w:pPr>
              <w:jc w:val="center"/>
              <w:rPr>
                <w:rFonts w:ascii="Times New Roman" w:hAnsi="Times New Roman" w:cs="Times New Roman"/>
                <w:bCs/>
                <w:color w:val="000000"/>
              </w:rPr>
            </w:pPr>
            <w:r w:rsidRPr="002265BE">
              <w:rPr>
                <w:rFonts w:ascii="Times New Roman" w:hAnsi="Times New Roman" w:cs="Times New Roman"/>
                <w:bCs/>
              </w:rPr>
              <w:t>224.263.427.273</w:t>
            </w:r>
          </w:p>
        </w:tc>
        <w:tc>
          <w:tcPr>
            <w:tcW w:w="2160" w:type="dxa"/>
          </w:tcPr>
          <w:p w14:paraId="7438B2BA" w14:textId="77777777" w:rsidR="002265BE" w:rsidRPr="002265BE" w:rsidRDefault="002265BE" w:rsidP="002265BE">
            <w:pPr>
              <w:jc w:val="center"/>
              <w:rPr>
                <w:rFonts w:ascii="Times New Roman" w:hAnsi="Times New Roman" w:cs="Times New Roman"/>
                <w:bCs/>
                <w:color w:val="000000"/>
              </w:rPr>
            </w:pPr>
            <w:r w:rsidRPr="002265BE">
              <w:rPr>
                <w:rFonts w:ascii="Times New Roman" w:hAnsi="Times New Roman" w:cs="Times New Roman"/>
                <w:bCs/>
              </w:rPr>
              <w:t>0</w:t>
            </w:r>
          </w:p>
        </w:tc>
        <w:tc>
          <w:tcPr>
            <w:tcW w:w="1800" w:type="dxa"/>
            <w:shd w:val="clear" w:color="auto" w:fill="auto"/>
          </w:tcPr>
          <w:p w14:paraId="3E2D91B7"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0,00 %</w:t>
            </w:r>
          </w:p>
        </w:tc>
      </w:tr>
      <w:tr w:rsidR="002265BE" w:rsidRPr="002265BE" w14:paraId="364A4D71" w14:textId="77777777" w:rsidTr="004B7A1C">
        <w:trPr>
          <w:trHeight w:val="403"/>
        </w:trPr>
        <w:tc>
          <w:tcPr>
            <w:tcW w:w="1571" w:type="dxa"/>
            <w:vMerge w:val="restart"/>
          </w:tcPr>
          <w:p w14:paraId="18319F9E" w14:textId="77777777" w:rsidR="002265BE" w:rsidRPr="002265BE" w:rsidRDefault="002265BE" w:rsidP="00914A62">
            <w:pPr>
              <w:jc w:val="center"/>
              <w:rPr>
                <w:rFonts w:ascii="Times New Roman" w:hAnsi="Times New Roman" w:cs="Times New Roman"/>
                <w:bCs/>
              </w:rPr>
            </w:pPr>
          </w:p>
          <w:p w14:paraId="42C53BDA"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Papua</w:t>
            </w:r>
          </w:p>
        </w:tc>
        <w:tc>
          <w:tcPr>
            <w:tcW w:w="992" w:type="dxa"/>
          </w:tcPr>
          <w:p w14:paraId="2395F0AA"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2018</w:t>
            </w:r>
          </w:p>
        </w:tc>
        <w:tc>
          <w:tcPr>
            <w:tcW w:w="2092" w:type="dxa"/>
          </w:tcPr>
          <w:p w14:paraId="4A3E74C3"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2.432.322.905.043</w:t>
            </w:r>
          </w:p>
        </w:tc>
        <w:tc>
          <w:tcPr>
            <w:tcW w:w="2160" w:type="dxa"/>
          </w:tcPr>
          <w:p w14:paraId="59122FDC"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1.918.505.428.472</w:t>
            </w:r>
          </w:p>
        </w:tc>
        <w:tc>
          <w:tcPr>
            <w:tcW w:w="1800" w:type="dxa"/>
            <w:shd w:val="clear" w:color="auto" w:fill="auto"/>
          </w:tcPr>
          <w:p w14:paraId="29C2EEA7"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78,88 %</w:t>
            </w:r>
          </w:p>
        </w:tc>
      </w:tr>
      <w:tr w:rsidR="002265BE" w:rsidRPr="002265BE" w14:paraId="3C1A4854" w14:textId="77777777" w:rsidTr="004B7A1C">
        <w:trPr>
          <w:trHeight w:val="403"/>
        </w:trPr>
        <w:tc>
          <w:tcPr>
            <w:tcW w:w="1571" w:type="dxa"/>
            <w:vMerge/>
          </w:tcPr>
          <w:p w14:paraId="5B89BA8C" w14:textId="77777777" w:rsidR="002265BE" w:rsidRPr="002265BE" w:rsidRDefault="002265BE" w:rsidP="00914A62">
            <w:pPr>
              <w:jc w:val="center"/>
              <w:rPr>
                <w:rFonts w:ascii="Times New Roman" w:hAnsi="Times New Roman" w:cs="Times New Roman"/>
                <w:bCs/>
              </w:rPr>
            </w:pPr>
          </w:p>
        </w:tc>
        <w:tc>
          <w:tcPr>
            <w:tcW w:w="992" w:type="dxa"/>
          </w:tcPr>
          <w:p w14:paraId="4DC6662C"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2019</w:t>
            </w:r>
          </w:p>
        </w:tc>
        <w:tc>
          <w:tcPr>
            <w:tcW w:w="2092" w:type="dxa"/>
          </w:tcPr>
          <w:p w14:paraId="4F4A939B"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2.811.607.952.619</w:t>
            </w:r>
          </w:p>
        </w:tc>
        <w:tc>
          <w:tcPr>
            <w:tcW w:w="2160" w:type="dxa"/>
          </w:tcPr>
          <w:p w14:paraId="7B0D712E"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2.236.551.423.151</w:t>
            </w:r>
          </w:p>
        </w:tc>
        <w:tc>
          <w:tcPr>
            <w:tcW w:w="1800" w:type="dxa"/>
            <w:shd w:val="clear" w:color="auto" w:fill="auto"/>
          </w:tcPr>
          <w:p w14:paraId="4DBBE3AD"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79,55 %</w:t>
            </w:r>
          </w:p>
        </w:tc>
      </w:tr>
      <w:tr w:rsidR="002265BE" w:rsidRPr="002265BE" w14:paraId="6E77844F" w14:textId="77777777" w:rsidTr="004B7A1C">
        <w:trPr>
          <w:trHeight w:val="403"/>
        </w:trPr>
        <w:tc>
          <w:tcPr>
            <w:tcW w:w="1571" w:type="dxa"/>
            <w:vMerge/>
          </w:tcPr>
          <w:p w14:paraId="5755883E" w14:textId="77777777" w:rsidR="002265BE" w:rsidRPr="002265BE" w:rsidRDefault="002265BE" w:rsidP="00914A62">
            <w:pPr>
              <w:jc w:val="center"/>
              <w:rPr>
                <w:rFonts w:ascii="Times New Roman" w:hAnsi="Times New Roman" w:cs="Times New Roman"/>
                <w:bCs/>
              </w:rPr>
            </w:pPr>
          </w:p>
        </w:tc>
        <w:tc>
          <w:tcPr>
            <w:tcW w:w="992" w:type="dxa"/>
          </w:tcPr>
          <w:p w14:paraId="0758A88A"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2020</w:t>
            </w:r>
          </w:p>
        </w:tc>
        <w:tc>
          <w:tcPr>
            <w:tcW w:w="2092" w:type="dxa"/>
          </w:tcPr>
          <w:p w14:paraId="6F466CD4"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1.145.341.020.698</w:t>
            </w:r>
          </w:p>
        </w:tc>
        <w:tc>
          <w:tcPr>
            <w:tcW w:w="2160" w:type="dxa"/>
          </w:tcPr>
          <w:p w14:paraId="7BC9F1C8"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0</w:t>
            </w:r>
          </w:p>
        </w:tc>
        <w:tc>
          <w:tcPr>
            <w:tcW w:w="1800" w:type="dxa"/>
            <w:shd w:val="clear" w:color="auto" w:fill="auto"/>
          </w:tcPr>
          <w:p w14:paraId="0D4D6DBC"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0,00 %</w:t>
            </w:r>
          </w:p>
        </w:tc>
      </w:tr>
      <w:tr w:rsidR="002265BE" w:rsidRPr="002265BE" w14:paraId="0F110D2E" w14:textId="77777777" w:rsidTr="004B7A1C">
        <w:trPr>
          <w:trHeight w:val="478"/>
        </w:trPr>
        <w:tc>
          <w:tcPr>
            <w:tcW w:w="1571" w:type="dxa"/>
            <w:vMerge w:val="restart"/>
          </w:tcPr>
          <w:p w14:paraId="7A1BC1AF" w14:textId="77777777" w:rsidR="002265BE" w:rsidRPr="002265BE" w:rsidRDefault="002265BE" w:rsidP="00914A62">
            <w:pPr>
              <w:jc w:val="center"/>
              <w:rPr>
                <w:rFonts w:ascii="Times New Roman" w:hAnsi="Times New Roman" w:cs="Times New Roman"/>
                <w:bCs/>
              </w:rPr>
            </w:pPr>
          </w:p>
          <w:p w14:paraId="15E24180"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West Papua</w:t>
            </w:r>
          </w:p>
        </w:tc>
        <w:tc>
          <w:tcPr>
            <w:tcW w:w="992" w:type="dxa"/>
          </w:tcPr>
          <w:p w14:paraId="23F786C5"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2018</w:t>
            </w:r>
          </w:p>
        </w:tc>
        <w:tc>
          <w:tcPr>
            <w:tcW w:w="2092" w:type="dxa"/>
          </w:tcPr>
          <w:p w14:paraId="69FA010A"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1.680.227.984.566</w:t>
            </w:r>
          </w:p>
        </w:tc>
        <w:tc>
          <w:tcPr>
            <w:tcW w:w="2160" w:type="dxa"/>
          </w:tcPr>
          <w:p w14:paraId="3706D5CB"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1.539.271.668.428</w:t>
            </w:r>
          </w:p>
        </w:tc>
        <w:tc>
          <w:tcPr>
            <w:tcW w:w="1800" w:type="dxa"/>
            <w:shd w:val="clear" w:color="auto" w:fill="auto"/>
          </w:tcPr>
          <w:p w14:paraId="1C449B93"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91,61 %</w:t>
            </w:r>
          </w:p>
        </w:tc>
      </w:tr>
      <w:tr w:rsidR="002265BE" w:rsidRPr="002265BE" w14:paraId="11F9D604" w14:textId="77777777" w:rsidTr="004B7A1C">
        <w:trPr>
          <w:trHeight w:val="525"/>
        </w:trPr>
        <w:tc>
          <w:tcPr>
            <w:tcW w:w="1571" w:type="dxa"/>
            <w:vMerge/>
          </w:tcPr>
          <w:p w14:paraId="1C3348B9" w14:textId="77777777" w:rsidR="002265BE" w:rsidRPr="002265BE" w:rsidRDefault="002265BE" w:rsidP="00914A62">
            <w:pPr>
              <w:rPr>
                <w:rFonts w:ascii="Times New Roman" w:hAnsi="Times New Roman" w:cs="Times New Roman"/>
                <w:bCs/>
              </w:rPr>
            </w:pPr>
          </w:p>
        </w:tc>
        <w:tc>
          <w:tcPr>
            <w:tcW w:w="992" w:type="dxa"/>
          </w:tcPr>
          <w:p w14:paraId="76799EB8"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2019</w:t>
            </w:r>
          </w:p>
        </w:tc>
        <w:tc>
          <w:tcPr>
            <w:tcW w:w="2092" w:type="dxa"/>
          </w:tcPr>
          <w:p w14:paraId="32CAFDEB"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1.708.112.805.985</w:t>
            </w:r>
          </w:p>
        </w:tc>
        <w:tc>
          <w:tcPr>
            <w:tcW w:w="2160" w:type="dxa"/>
          </w:tcPr>
          <w:p w14:paraId="307BEAA0"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1.757.983.373.816</w:t>
            </w:r>
          </w:p>
        </w:tc>
        <w:tc>
          <w:tcPr>
            <w:tcW w:w="1800" w:type="dxa"/>
            <w:shd w:val="clear" w:color="auto" w:fill="auto"/>
          </w:tcPr>
          <w:p w14:paraId="1CE4D631"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102,92 %</w:t>
            </w:r>
          </w:p>
        </w:tc>
      </w:tr>
      <w:tr w:rsidR="002265BE" w:rsidRPr="002265BE" w14:paraId="426BFA70" w14:textId="77777777" w:rsidTr="004B7A1C">
        <w:trPr>
          <w:trHeight w:val="570"/>
        </w:trPr>
        <w:tc>
          <w:tcPr>
            <w:tcW w:w="1571" w:type="dxa"/>
            <w:vMerge/>
          </w:tcPr>
          <w:p w14:paraId="3894247B" w14:textId="77777777" w:rsidR="002265BE" w:rsidRPr="002265BE" w:rsidRDefault="002265BE" w:rsidP="00914A62">
            <w:pPr>
              <w:rPr>
                <w:rFonts w:ascii="Times New Roman" w:hAnsi="Times New Roman" w:cs="Times New Roman"/>
                <w:bCs/>
              </w:rPr>
            </w:pPr>
          </w:p>
        </w:tc>
        <w:tc>
          <w:tcPr>
            <w:tcW w:w="992" w:type="dxa"/>
          </w:tcPr>
          <w:p w14:paraId="26485209" w14:textId="77777777" w:rsidR="002265BE" w:rsidRPr="002265BE" w:rsidRDefault="002265BE" w:rsidP="00914A62">
            <w:pPr>
              <w:jc w:val="center"/>
              <w:rPr>
                <w:rFonts w:ascii="Times New Roman" w:hAnsi="Times New Roman" w:cs="Times New Roman"/>
                <w:bCs/>
              </w:rPr>
            </w:pPr>
            <w:r w:rsidRPr="002265BE">
              <w:rPr>
                <w:rFonts w:ascii="Times New Roman" w:hAnsi="Times New Roman" w:cs="Times New Roman"/>
                <w:bCs/>
              </w:rPr>
              <w:t>2020</w:t>
            </w:r>
          </w:p>
        </w:tc>
        <w:tc>
          <w:tcPr>
            <w:tcW w:w="2092" w:type="dxa"/>
          </w:tcPr>
          <w:p w14:paraId="3F7FE475"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2.184.125.505.565</w:t>
            </w:r>
          </w:p>
        </w:tc>
        <w:tc>
          <w:tcPr>
            <w:tcW w:w="2160" w:type="dxa"/>
          </w:tcPr>
          <w:p w14:paraId="286C3765"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0</w:t>
            </w:r>
          </w:p>
        </w:tc>
        <w:tc>
          <w:tcPr>
            <w:tcW w:w="1800" w:type="dxa"/>
            <w:shd w:val="clear" w:color="auto" w:fill="auto"/>
          </w:tcPr>
          <w:p w14:paraId="5A95DDD4" w14:textId="77777777" w:rsidR="002265BE" w:rsidRPr="002265BE" w:rsidRDefault="002265BE" w:rsidP="002265BE">
            <w:pPr>
              <w:jc w:val="center"/>
              <w:rPr>
                <w:rFonts w:ascii="Times New Roman" w:hAnsi="Times New Roman" w:cs="Times New Roman"/>
                <w:bCs/>
              </w:rPr>
            </w:pPr>
            <w:r w:rsidRPr="002265BE">
              <w:rPr>
                <w:rFonts w:ascii="Times New Roman" w:hAnsi="Times New Roman" w:cs="Times New Roman"/>
                <w:bCs/>
              </w:rPr>
              <w:t>0,00 %</w:t>
            </w:r>
          </w:p>
        </w:tc>
      </w:tr>
    </w:tbl>
    <w:p w14:paraId="3D769490" w14:textId="77777777" w:rsidR="004B7A1C" w:rsidRDefault="002265BE" w:rsidP="002265BE">
      <w:pPr>
        <w:pStyle w:val="NormalWeb"/>
        <w:spacing w:before="240" w:beforeAutospacing="0" w:after="0" w:afterAutospacing="0" w:line="360" w:lineRule="auto"/>
        <w:ind w:firstLine="720"/>
        <w:jc w:val="both"/>
        <w:rPr>
          <w:bCs/>
          <w:color w:val="000000"/>
          <w:sz w:val="22"/>
          <w:szCs w:val="22"/>
        </w:rPr>
      </w:pPr>
      <w:r w:rsidRPr="002265BE">
        <w:rPr>
          <w:bCs/>
          <w:color w:val="000000"/>
          <w:sz w:val="22"/>
          <w:szCs w:val="22"/>
        </w:rPr>
        <w:lastRenderedPageBreak/>
        <w:t xml:space="preserve">Overall, suppose you look at the average percentage of regional efficiency ratios from 2018 to 2019. In that case, the DKI Jakarta Regional Government is 83.07% and 62.93%, which means that the government's performance is considered quite efficient because the realization is that almost 100% of the budget expenditures amounted to Rp. 14,118,608,087,643 and 11,551,927,779,590 of the </w:t>
      </w:r>
      <w:proofErr w:type="gramStart"/>
      <w:r w:rsidRPr="002265BE">
        <w:rPr>
          <w:bCs/>
          <w:color w:val="000000"/>
          <w:sz w:val="22"/>
          <w:szCs w:val="22"/>
        </w:rPr>
        <w:t>budget</w:t>
      </w:r>
      <w:proofErr w:type="gramEnd"/>
      <w:r w:rsidRPr="002265BE">
        <w:rPr>
          <w:bCs/>
          <w:color w:val="000000"/>
          <w:sz w:val="22"/>
          <w:szCs w:val="22"/>
        </w:rPr>
        <w:t xml:space="preserve"> of 16,995,195,576,641 and 16,995,195,576,641. This means that the DKI Jakarta Government has not made savings. The smaller the value of this ratio means the more efficient it is. But not necessarily, in this case, the Regional Government has good performance because it could be that the Regional Government makes savings so that the realization of spending is less than optimal, or it could be because there is an unrealized budget. Regional governments can also make large budgets to realize expenditures do not reach the set budget.</w:t>
      </w:r>
    </w:p>
    <w:p w14:paraId="3E55DBB5" w14:textId="15D5930A" w:rsidR="002265BE" w:rsidRPr="002265BE" w:rsidRDefault="002265BE" w:rsidP="002265BE">
      <w:pPr>
        <w:pStyle w:val="NormalWeb"/>
        <w:spacing w:before="240" w:beforeAutospacing="0" w:after="0" w:afterAutospacing="0" w:line="360" w:lineRule="auto"/>
        <w:ind w:firstLine="720"/>
        <w:jc w:val="both"/>
        <w:rPr>
          <w:sz w:val="22"/>
          <w:szCs w:val="22"/>
        </w:rPr>
      </w:pPr>
      <w:r w:rsidRPr="002265BE">
        <w:rPr>
          <w:bCs/>
          <w:color w:val="000000"/>
          <w:sz w:val="22"/>
          <w:szCs w:val="22"/>
        </w:rPr>
        <w:t xml:space="preserve">Furthermore, the percentage of the regional efficiency ratio from 2018 to 2019, the DIY Regional Government is 95.54% and 90.24%, which means that the government's performance is considered less efficient in its spending because the realization is almost 100% of the budget where the realization of expenditure is Rp. </w:t>
      </w:r>
      <w:proofErr w:type="gramStart"/>
      <w:r w:rsidRPr="002265BE">
        <w:rPr>
          <w:bCs/>
          <w:color w:val="000000"/>
          <w:sz w:val="22"/>
          <w:szCs w:val="22"/>
        </w:rPr>
        <w:t>1,132 .</w:t>
      </w:r>
      <w:proofErr w:type="gramEnd"/>
      <w:r w:rsidRPr="002265BE">
        <w:rPr>
          <w:bCs/>
          <w:color w:val="000000"/>
          <w:sz w:val="22"/>
          <w:szCs w:val="22"/>
        </w:rPr>
        <w:t>827,726,328 and 1,035,203,184,485 of the budget of 1,185,735,851,757 and 1,147,122,557,501.</w:t>
      </w:r>
    </w:p>
    <w:p w14:paraId="7EDA8D29" w14:textId="77777777" w:rsidR="002265BE" w:rsidRPr="002265BE" w:rsidRDefault="002265BE" w:rsidP="002265BE">
      <w:pPr>
        <w:pStyle w:val="NormalWeb"/>
        <w:spacing w:before="240" w:beforeAutospacing="0" w:after="0" w:afterAutospacing="0" w:line="360" w:lineRule="auto"/>
        <w:ind w:firstLine="720"/>
        <w:jc w:val="both"/>
        <w:rPr>
          <w:sz w:val="22"/>
          <w:szCs w:val="22"/>
        </w:rPr>
      </w:pPr>
      <w:r w:rsidRPr="002265BE">
        <w:rPr>
          <w:bCs/>
          <w:color w:val="000000"/>
          <w:sz w:val="22"/>
          <w:szCs w:val="22"/>
        </w:rPr>
        <w:t xml:space="preserve">Then the percentage of the regional efficiency ratio from 2018 to 2019, the Banda Aceh Regional Government is 120.94% and 96.71%, which means that the government's performance is considered inefficient in its spending because the realization is almost 100% of the budget where the expenditure realization is Rp. 100,757,750,369 and 148,964,38239 of the </w:t>
      </w:r>
      <w:proofErr w:type="gramStart"/>
      <w:r w:rsidRPr="002265BE">
        <w:rPr>
          <w:bCs/>
          <w:color w:val="000000"/>
          <w:sz w:val="22"/>
          <w:szCs w:val="22"/>
        </w:rPr>
        <w:t>budget</w:t>
      </w:r>
      <w:proofErr w:type="gramEnd"/>
      <w:r w:rsidRPr="002265BE">
        <w:rPr>
          <w:bCs/>
          <w:color w:val="000000"/>
          <w:sz w:val="22"/>
          <w:szCs w:val="22"/>
        </w:rPr>
        <w:t xml:space="preserve"> of Rp. 83,314,430,569 and Rp. 154,032,332,684. Furthermore, the percentage of regional efficiency ratios from 2018 to 2019, the Papua Regional Government is 78.88% and 79.55%, which means that the government's performance is considered quite efficient in its spending because the realization is almost 100% of the budget where the realization of expenditure is Rp. 1,918,505,428,472 and 2,236,551,423,151 of the </w:t>
      </w:r>
      <w:proofErr w:type="gramStart"/>
      <w:r w:rsidRPr="002265BE">
        <w:rPr>
          <w:bCs/>
          <w:color w:val="000000"/>
          <w:sz w:val="22"/>
          <w:szCs w:val="22"/>
        </w:rPr>
        <w:t>budget</w:t>
      </w:r>
      <w:proofErr w:type="gramEnd"/>
      <w:r w:rsidRPr="002265BE">
        <w:rPr>
          <w:bCs/>
          <w:color w:val="000000"/>
          <w:sz w:val="22"/>
          <w:szCs w:val="22"/>
        </w:rPr>
        <w:t xml:space="preserve"> of Rp. 2,432,322,905,043 and 2,811,607,952,619</w:t>
      </w:r>
    </w:p>
    <w:p w14:paraId="21665901" w14:textId="77777777" w:rsidR="002265BE" w:rsidRPr="002265BE" w:rsidRDefault="002265BE" w:rsidP="002265BE">
      <w:pPr>
        <w:pStyle w:val="NormalWeb"/>
        <w:spacing w:before="240" w:beforeAutospacing="0" w:after="0" w:afterAutospacing="0" w:line="360" w:lineRule="auto"/>
        <w:ind w:firstLine="720"/>
        <w:jc w:val="both"/>
        <w:rPr>
          <w:sz w:val="22"/>
          <w:szCs w:val="22"/>
        </w:rPr>
      </w:pPr>
      <w:r w:rsidRPr="002265BE">
        <w:rPr>
          <w:bCs/>
          <w:color w:val="000000"/>
          <w:sz w:val="22"/>
          <w:szCs w:val="22"/>
        </w:rPr>
        <w:t xml:space="preserve">And the last is the percentage of the regional efficiency ratio from 2018 to 2019, the West Papua Regional Government is 91.61% and 102,92%, which means that the government's performance is considered inefficient in spending because the realization is almost 100% of the budget where the realization of expenditure is Rp. 1,539,271,668,428 and 1,757,983,373,816 of the </w:t>
      </w:r>
      <w:proofErr w:type="gramStart"/>
      <w:r w:rsidRPr="002265BE">
        <w:rPr>
          <w:bCs/>
          <w:color w:val="000000"/>
          <w:sz w:val="22"/>
          <w:szCs w:val="22"/>
        </w:rPr>
        <w:t>budget</w:t>
      </w:r>
      <w:proofErr w:type="gramEnd"/>
      <w:r w:rsidRPr="002265BE">
        <w:rPr>
          <w:bCs/>
          <w:color w:val="000000"/>
          <w:sz w:val="22"/>
          <w:szCs w:val="22"/>
        </w:rPr>
        <w:t xml:space="preserve"> of Rp. 1,680,227,984,566 and Rp. 1,708,112,805,985. For the percentage of efficiency ratios, the five local governments both have 0.00% of the efficiency ratio, which means the smaller the value of this ratio means the more efficient. But not necessarily, in this case, the Regional Government has good performance because it could be that the Regional Government makes savings so that the realization of spending is less than optimal, or it could be because there is an unrealized budget. Regional governments can also make large budgets to realize expenditures do not reach the set budget.</w:t>
      </w:r>
    </w:p>
    <w:p w14:paraId="6E713F9F" w14:textId="77777777" w:rsidR="002265BE" w:rsidRPr="002265BE" w:rsidRDefault="002265BE" w:rsidP="002265BE">
      <w:pPr>
        <w:pStyle w:val="NormalWeb"/>
        <w:numPr>
          <w:ilvl w:val="0"/>
          <w:numId w:val="11"/>
        </w:numPr>
        <w:spacing w:before="240" w:beforeAutospacing="0" w:after="240" w:afterAutospacing="0"/>
        <w:jc w:val="both"/>
        <w:rPr>
          <w:b/>
          <w:sz w:val="22"/>
          <w:szCs w:val="22"/>
        </w:rPr>
      </w:pPr>
      <w:r w:rsidRPr="002265BE">
        <w:rPr>
          <w:b/>
          <w:bCs/>
          <w:color w:val="000000"/>
          <w:sz w:val="22"/>
          <w:szCs w:val="22"/>
        </w:rPr>
        <w:lastRenderedPageBreak/>
        <w:t>CONCLUSION</w:t>
      </w:r>
    </w:p>
    <w:p w14:paraId="09A2A2D0" w14:textId="77777777" w:rsidR="002265BE" w:rsidRPr="002265BE" w:rsidRDefault="002265BE" w:rsidP="002265BE">
      <w:pPr>
        <w:pStyle w:val="NormalWeb"/>
        <w:spacing w:before="240" w:beforeAutospacing="0" w:after="0" w:afterAutospacing="0" w:line="360" w:lineRule="auto"/>
        <w:ind w:firstLine="720"/>
        <w:jc w:val="both"/>
        <w:rPr>
          <w:sz w:val="22"/>
          <w:szCs w:val="22"/>
        </w:rPr>
      </w:pPr>
      <w:r w:rsidRPr="002265BE">
        <w:rPr>
          <w:bCs/>
          <w:color w:val="000000"/>
          <w:sz w:val="22"/>
          <w:szCs w:val="22"/>
        </w:rPr>
        <w:t>Based on the results of the expenditure ratio analysis of the five regional governments (DKI Jakarta, DIY, Banda Aceh City, Papua, and West Papua) in 2018-2020, it can be concluded as follows:</w:t>
      </w:r>
    </w:p>
    <w:p w14:paraId="32D8067E" w14:textId="77777777" w:rsidR="002265BE" w:rsidRDefault="002265BE" w:rsidP="002265BE">
      <w:pPr>
        <w:pStyle w:val="NormalWeb"/>
        <w:numPr>
          <w:ilvl w:val="0"/>
          <w:numId w:val="12"/>
        </w:numPr>
        <w:spacing w:before="240" w:beforeAutospacing="0" w:after="0" w:afterAutospacing="0" w:line="360" w:lineRule="auto"/>
        <w:jc w:val="both"/>
        <w:rPr>
          <w:sz w:val="22"/>
          <w:szCs w:val="22"/>
        </w:rPr>
      </w:pPr>
      <w:r w:rsidRPr="002265BE">
        <w:rPr>
          <w:bCs/>
          <w:color w:val="000000"/>
          <w:sz w:val="22"/>
          <w:szCs w:val="22"/>
        </w:rPr>
        <w:t xml:space="preserve">Analysis of the Expenditure Variance in Regional Governments (DKI Jakarta, DIY, City of Banda Aceh, Papua, and West Papua) in 2018-2020, an average of 25.5% -27.7% included in the category of favorable </w:t>
      </w:r>
      <w:r w:rsidRPr="002265BE">
        <w:rPr>
          <w:bCs/>
          <w:i/>
          <w:iCs/>
          <w:color w:val="000000"/>
          <w:sz w:val="22"/>
          <w:szCs w:val="22"/>
        </w:rPr>
        <w:t xml:space="preserve">variance </w:t>
      </w:r>
      <w:r w:rsidRPr="002265BE">
        <w:rPr>
          <w:bCs/>
          <w:color w:val="000000"/>
          <w:sz w:val="22"/>
          <w:szCs w:val="22"/>
        </w:rPr>
        <w:t>because the realization of spending did not exceed the set budget.</w:t>
      </w:r>
    </w:p>
    <w:p w14:paraId="47231838" w14:textId="77777777" w:rsidR="002265BE" w:rsidRDefault="002265BE" w:rsidP="002265BE">
      <w:pPr>
        <w:pStyle w:val="NormalWeb"/>
        <w:numPr>
          <w:ilvl w:val="0"/>
          <w:numId w:val="12"/>
        </w:numPr>
        <w:spacing w:before="240" w:beforeAutospacing="0" w:after="0" w:afterAutospacing="0" w:line="360" w:lineRule="auto"/>
        <w:jc w:val="both"/>
        <w:rPr>
          <w:sz w:val="22"/>
          <w:szCs w:val="22"/>
        </w:rPr>
      </w:pPr>
      <w:r w:rsidRPr="002265BE">
        <w:rPr>
          <w:bCs/>
          <w:color w:val="000000"/>
          <w:sz w:val="22"/>
          <w:szCs w:val="22"/>
        </w:rPr>
        <w:t>From the Harmony Ratio, most regional expenditures are allocated for Operational Expenditures. The average operating expenditure in 2018-2020 is 33.35%, while capital expenditure is 40.16%. the average is taken from the percentage of the five local governments</w:t>
      </w:r>
    </w:p>
    <w:p w14:paraId="6C3D53A9" w14:textId="1FD19A8F" w:rsidR="002265BE" w:rsidRPr="002265BE" w:rsidRDefault="002265BE" w:rsidP="002265BE">
      <w:pPr>
        <w:pStyle w:val="NormalWeb"/>
        <w:numPr>
          <w:ilvl w:val="0"/>
          <w:numId w:val="12"/>
        </w:numPr>
        <w:spacing w:before="240" w:beforeAutospacing="0" w:after="0" w:afterAutospacing="0" w:line="360" w:lineRule="auto"/>
        <w:jc w:val="both"/>
        <w:rPr>
          <w:sz w:val="22"/>
          <w:szCs w:val="22"/>
        </w:rPr>
      </w:pPr>
      <w:r w:rsidRPr="002265BE">
        <w:rPr>
          <w:bCs/>
          <w:color w:val="000000"/>
          <w:sz w:val="22"/>
          <w:szCs w:val="22"/>
        </w:rPr>
        <w:t xml:space="preserve">The Regional Expenditure Efficiency Ratio shows that the realization of the expenditure budget never exceeds the budget. The average efficiency ratio is 2018-2020 is 80.88%. This shows that from the five regional governments, it can be concluded that they are </w:t>
      </w:r>
      <w:proofErr w:type="gramStart"/>
      <w:r w:rsidRPr="002265BE">
        <w:rPr>
          <w:bCs/>
          <w:color w:val="000000"/>
          <w:sz w:val="22"/>
          <w:szCs w:val="22"/>
        </w:rPr>
        <w:t>pretty efficient</w:t>
      </w:r>
      <w:proofErr w:type="gramEnd"/>
      <w:r w:rsidRPr="002265BE">
        <w:rPr>
          <w:bCs/>
          <w:color w:val="000000"/>
          <w:sz w:val="22"/>
          <w:szCs w:val="22"/>
        </w:rPr>
        <w:t xml:space="preserve"> in making savings or spending efficiency</w:t>
      </w:r>
    </w:p>
    <w:p w14:paraId="7C85D47A" w14:textId="73639310" w:rsidR="00690A66" w:rsidRPr="002265BE" w:rsidRDefault="008062F3" w:rsidP="004B7A1C">
      <w:pPr>
        <w:tabs>
          <w:tab w:val="left" w:pos="1025"/>
        </w:tabs>
        <w:spacing w:after="0" w:line="360" w:lineRule="auto"/>
        <w:jc w:val="both"/>
        <w:rPr>
          <w:rFonts w:ascii="Times New Roman" w:eastAsia="Times New Roman" w:hAnsi="Times New Roman" w:cs="Times New Roman"/>
        </w:rPr>
      </w:pPr>
      <w:r w:rsidRPr="002265BE">
        <w:rPr>
          <w:rFonts w:ascii="Times New Roman" w:hAnsi="Times New Roman" w:cs="Times New Roman"/>
          <w:b/>
        </w:rPr>
        <w:t>REFERENCES</w:t>
      </w:r>
      <w:r w:rsidR="007E0220" w:rsidRPr="002265BE">
        <w:rPr>
          <w:rFonts w:ascii="Times New Roman" w:hAnsi="Times New Roman" w:cs="Times New Roman"/>
          <w:b/>
        </w:rPr>
        <w:t xml:space="preserve"> </w:t>
      </w:r>
    </w:p>
    <w:p w14:paraId="0C786D20"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eastAsia="Times New Roman" w:hAnsi="Times New Roman" w:cs="Times New Roman"/>
        </w:rPr>
        <w:fldChar w:fldCharType="begin" w:fldLock="1"/>
      </w:r>
      <w:r w:rsidRPr="004B7A1C">
        <w:rPr>
          <w:rFonts w:ascii="Times New Roman" w:eastAsia="Times New Roman" w:hAnsi="Times New Roman" w:cs="Times New Roman"/>
        </w:rPr>
        <w:instrText xml:space="preserve">ADDIN Mendeley Bibliography CSL_BIBLIOGRAPHY </w:instrText>
      </w:r>
      <w:r w:rsidRPr="004B7A1C">
        <w:rPr>
          <w:rFonts w:ascii="Times New Roman" w:eastAsia="Times New Roman" w:hAnsi="Times New Roman" w:cs="Times New Roman"/>
        </w:rPr>
        <w:fldChar w:fldCharType="separate"/>
      </w:r>
      <w:r w:rsidRPr="004B7A1C">
        <w:rPr>
          <w:rFonts w:ascii="Times New Roman" w:hAnsi="Times New Roman" w:cs="Times New Roman"/>
          <w:noProof/>
        </w:rPr>
        <w:t xml:space="preserve">Butkiewicz, J. L., &amp; Yanikkaya, H. (2011). Institutions and the impact of government spending on growth. </w:t>
      </w:r>
      <w:r w:rsidRPr="004B7A1C">
        <w:rPr>
          <w:rFonts w:ascii="Times New Roman" w:hAnsi="Times New Roman" w:cs="Times New Roman"/>
          <w:i/>
          <w:iCs/>
          <w:noProof/>
        </w:rPr>
        <w:t>Journal of Applied Economics</w:t>
      </w:r>
      <w:r w:rsidRPr="004B7A1C">
        <w:rPr>
          <w:rFonts w:ascii="Times New Roman" w:hAnsi="Times New Roman" w:cs="Times New Roman"/>
          <w:noProof/>
        </w:rPr>
        <w:t xml:space="preserve">, </w:t>
      </w:r>
      <w:r w:rsidRPr="004B7A1C">
        <w:rPr>
          <w:rFonts w:ascii="Times New Roman" w:hAnsi="Times New Roman" w:cs="Times New Roman"/>
          <w:i/>
          <w:iCs/>
          <w:noProof/>
        </w:rPr>
        <w:t>14</w:t>
      </w:r>
      <w:r w:rsidRPr="004B7A1C">
        <w:rPr>
          <w:rFonts w:ascii="Times New Roman" w:hAnsi="Times New Roman" w:cs="Times New Roman"/>
          <w:noProof/>
        </w:rPr>
        <w:t>(2), 319–341. https://doi.org/10.1016/S1514-0326(11)60017-2</w:t>
      </w:r>
    </w:p>
    <w:p w14:paraId="02FF103D"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Galí, J., López-Salido, J. D., &amp; Vallés, J. (2007). Understanding the effects of government spending on consumption. </w:t>
      </w:r>
      <w:r w:rsidRPr="004B7A1C">
        <w:rPr>
          <w:rFonts w:ascii="Times New Roman" w:hAnsi="Times New Roman" w:cs="Times New Roman"/>
          <w:i/>
          <w:iCs/>
          <w:noProof/>
        </w:rPr>
        <w:t>Journal of the European Economic Association</w:t>
      </w:r>
      <w:r w:rsidRPr="004B7A1C">
        <w:rPr>
          <w:rFonts w:ascii="Times New Roman" w:hAnsi="Times New Roman" w:cs="Times New Roman"/>
          <w:noProof/>
        </w:rPr>
        <w:t xml:space="preserve">, </w:t>
      </w:r>
      <w:r w:rsidRPr="004B7A1C">
        <w:rPr>
          <w:rFonts w:ascii="Times New Roman" w:hAnsi="Times New Roman" w:cs="Times New Roman"/>
          <w:i/>
          <w:iCs/>
          <w:noProof/>
        </w:rPr>
        <w:t>5</w:t>
      </w:r>
      <w:r w:rsidRPr="004B7A1C">
        <w:rPr>
          <w:rFonts w:ascii="Times New Roman" w:hAnsi="Times New Roman" w:cs="Times New Roman"/>
          <w:noProof/>
        </w:rPr>
        <w:t>(1), 227–270. https://doi.org/10.1162/JEEA.2007.5.1.227</w:t>
      </w:r>
    </w:p>
    <w:p w14:paraId="0E1E9CB3"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Garrett, G., &amp; Mitchell, D. (2001). Globalization, government spending, and taxation in the OECD. </w:t>
      </w:r>
      <w:r w:rsidRPr="004B7A1C">
        <w:rPr>
          <w:rFonts w:ascii="Times New Roman" w:hAnsi="Times New Roman" w:cs="Times New Roman"/>
          <w:i/>
          <w:iCs/>
          <w:noProof/>
        </w:rPr>
        <w:t>European Journal of Political Research</w:t>
      </w:r>
      <w:r w:rsidRPr="004B7A1C">
        <w:rPr>
          <w:rFonts w:ascii="Times New Roman" w:hAnsi="Times New Roman" w:cs="Times New Roman"/>
          <w:noProof/>
        </w:rPr>
        <w:t xml:space="preserve">, </w:t>
      </w:r>
      <w:r w:rsidRPr="004B7A1C">
        <w:rPr>
          <w:rFonts w:ascii="Times New Roman" w:hAnsi="Times New Roman" w:cs="Times New Roman"/>
          <w:i/>
          <w:iCs/>
          <w:noProof/>
        </w:rPr>
        <w:t>39</w:t>
      </w:r>
      <w:r w:rsidRPr="004B7A1C">
        <w:rPr>
          <w:rFonts w:ascii="Times New Roman" w:hAnsi="Times New Roman" w:cs="Times New Roman"/>
          <w:noProof/>
        </w:rPr>
        <w:t>(2), 145–177. https://doi.org/10.1023/A:1011043120145</w:t>
      </w:r>
    </w:p>
    <w:p w14:paraId="476E3CC5"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Gorahe, Irdha Anisyah Marsudi Masinambow, V., &amp; Engka, D. (2014). Analisis Belanja Daerah dan Faktor-Faktor Yang Mempengaruhinya di Provinsi Sulawesi Utara. </w:t>
      </w:r>
      <w:r w:rsidRPr="004B7A1C">
        <w:rPr>
          <w:rFonts w:ascii="Times New Roman" w:hAnsi="Times New Roman" w:cs="Times New Roman"/>
          <w:i/>
          <w:iCs/>
          <w:noProof/>
        </w:rPr>
        <w:t>Jurnal Berkala Ilmiah Efisiensi</w:t>
      </w:r>
      <w:r w:rsidRPr="004B7A1C">
        <w:rPr>
          <w:rFonts w:ascii="Times New Roman" w:hAnsi="Times New Roman" w:cs="Times New Roman"/>
          <w:noProof/>
        </w:rPr>
        <w:t xml:space="preserve">, </w:t>
      </w:r>
      <w:r w:rsidRPr="004B7A1C">
        <w:rPr>
          <w:rFonts w:ascii="Times New Roman" w:hAnsi="Times New Roman" w:cs="Times New Roman"/>
          <w:i/>
          <w:iCs/>
          <w:noProof/>
        </w:rPr>
        <w:t>14</w:t>
      </w:r>
      <w:r w:rsidRPr="004B7A1C">
        <w:rPr>
          <w:rFonts w:ascii="Times New Roman" w:hAnsi="Times New Roman" w:cs="Times New Roman"/>
          <w:noProof/>
        </w:rPr>
        <w:t>(3), 1–12.</w:t>
      </w:r>
    </w:p>
    <w:p w14:paraId="6B1E35D1"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Harliza, T., &amp; Anitasari, M. (2017). Analisis Belanja Daerah Kabupaten/Kota Di Bengkulu. </w:t>
      </w:r>
      <w:r w:rsidRPr="004B7A1C">
        <w:rPr>
          <w:rFonts w:ascii="Times New Roman" w:hAnsi="Times New Roman" w:cs="Times New Roman"/>
          <w:i/>
          <w:iCs/>
          <w:noProof/>
        </w:rPr>
        <w:t>EKOMBIS REVIEW: Jurnal Ilmiah Ekonomi Dan Bisnis</w:t>
      </w:r>
      <w:r w:rsidRPr="004B7A1C">
        <w:rPr>
          <w:rFonts w:ascii="Times New Roman" w:hAnsi="Times New Roman" w:cs="Times New Roman"/>
          <w:noProof/>
        </w:rPr>
        <w:t xml:space="preserve">, </w:t>
      </w:r>
      <w:r w:rsidRPr="004B7A1C">
        <w:rPr>
          <w:rFonts w:ascii="Times New Roman" w:hAnsi="Times New Roman" w:cs="Times New Roman"/>
          <w:i/>
          <w:iCs/>
          <w:noProof/>
        </w:rPr>
        <w:t>5</w:t>
      </w:r>
      <w:r w:rsidRPr="004B7A1C">
        <w:rPr>
          <w:rFonts w:ascii="Times New Roman" w:hAnsi="Times New Roman" w:cs="Times New Roman"/>
          <w:noProof/>
        </w:rPr>
        <w:t>(2), 133–140. https://doi.org/10.37676/ekombis.v5i2.382</w:t>
      </w:r>
    </w:p>
    <w:p w14:paraId="0103947B"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Haryanto, T. P. (2013). Pengaruh Pengeluaran Pemerintah Terhadap Pertumbuhan Ekonomi Kabupaten/Kota Di Provinsi Jawa Tengah Tahun 2007-2011. </w:t>
      </w:r>
      <w:r w:rsidRPr="004B7A1C">
        <w:rPr>
          <w:rFonts w:ascii="Times New Roman" w:hAnsi="Times New Roman" w:cs="Times New Roman"/>
          <w:i/>
          <w:iCs/>
          <w:noProof/>
        </w:rPr>
        <w:t xml:space="preserve">Economics Development Analysis </w:t>
      </w:r>
      <w:r w:rsidRPr="004B7A1C">
        <w:rPr>
          <w:rFonts w:ascii="Times New Roman" w:hAnsi="Times New Roman" w:cs="Times New Roman"/>
          <w:i/>
          <w:iCs/>
          <w:noProof/>
        </w:rPr>
        <w:lastRenderedPageBreak/>
        <w:t>Journal</w:t>
      </w:r>
      <w:r w:rsidRPr="004B7A1C">
        <w:rPr>
          <w:rFonts w:ascii="Times New Roman" w:hAnsi="Times New Roman" w:cs="Times New Roman"/>
          <w:noProof/>
        </w:rPr>
        <w:t xml:space="preserve">, </w:t>
      </w:r>
      <w:r w:rsidRPr="004B7A1C">
        <w:rPr>
          <w:rFonts w:ascii="Times New Roman" w:hAnsi="Times New Roman" w:cs="Times New Roman"/>
          <w:i/>
          <w:iCs/>
          <w:noProof/>
        </w:rPr>
        <w:t>2</w:t>
      </w:r>
      <w:r w:rsidRPr="004B7A1C">
        <w:rPr>
          <w:rFonts w:ascii="Times New Roman" w:hAnsi="Times New Roman" w:cs="Times New Roman"/>
          <w:noProof/>
        </w:rPr>
        <w:t>(3), 148–158. https://doi.org/10.15294/edaj.v2i3.1989</w:t>
      </w:r>
    </w:p>
    <w:p w14:paraId="0163E869"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oeraturan menteri dalam negeri republik indonesia nomor 64 tahun 2021, (2021).</w:t>
      </w:r>
    </w:p>
    <w:p w14:paraId="70D7C0AF"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Sari, M., Syechhalad, M. N., &amp; Majid, S. A. (2016). Pengaruh Investasi, Tenaga Kerja Dan Pengeluaran Pemerintah Terhadap Pertumbuhan Ekonomi Di Indonesia. </w:t>
      </w:r>
      <w:r w:rsidRPr="004B7A1C">
        <w:rPr>
          <w:rFonts w:ascii="Times New Roman" w:hAnsi="Times New Roman" w:cs="Times New Roman"/>
          <w:i/>
          <w:iCs/>
          <w:noProof/>
        </w:rPr>
        <w:t>Jurnal Ekonomi Dan Kebijakan Publik Indonesia</w:t>
      </w:r>
      <w:r w:rsidRPr="004B7A1C">
        <w:rPr>
          <w:rFonts w:ascii="Times New Roman" w:hAnsi="Times New Roman" w:cs="Times New Roman"/>
          <w:noProof/>
        </w:rPr>
        <w:t xml:space="preserve">, </w:t>
      </w:r>
      <w:r w:rsidRPr="004B7A1C">
        <w:rPr>
          <w:rFonts w:ascii="Times New Roman" w:hAnsi="Times New Roman" w:cs="Times New Roman"/>
          <w:i/>
          <w:iCs/>
          <w:noProof/>
        </w:rPr>
        <w:t>3</w:t>
      </w:r>
      <w:r w:rsidRPr="004B7A1C">
        <w:rPr>
          <w:rFonts w:ascii="Times New Roman" w:hAnsi="Times New Roman" w:cs="Times New Roman"/>
          <w:noProof/>
        </w:rPr>
        <w:t>(2), 109–115.</w:t>
      </w:r>
    </w:p>
    <w:p w14:paraId="2007FC49"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Suhaedi, W. (2019). Analisis Belanja Daerah. </w:t>
      </w:r>
      <w:r w:rsidRPr="004B7A1C">
        <w:rPr>
          <w:rFonts w:ascii="Times New Roman" w:hAnsi="Times New Roman" w:cs="Times New Roman"/>
          <w:i/>
          <w:iCs/>
          <w:noProof/>
        </w:rPr>
        <w:t>Jurnal Riset Akuntansi Aksioma</w:t>
      </w:r>
      <w:r w:rsidRPr="004B7A1C">
        <w:rPr>
          <w:rFonts w:ascii="Times New Roman" w:hAnsi="Times New Roman" w:cs="Times New Roman"/>
          <w:noProof/>
        </w:rPr>
        <w:t xml:space="preserve">, </w:t>
      </w:r>
      <w:r w:rsidRPr="004B7A1C">
        <w:rPr>
          <w:rFonts w:ascii="Times New Roman" w:hAnsi="Times New Roman" w:cs="Times New Roman"/>
          <w:i/>
          <w:iCs/>
          <w:noProof/>
        </w:rPr>
        <w:t>18</w:t>
      </w:r>
      <w:r w:rsidRPr="004B7A1C">
        <w:rPr>
          <w:rFonts w:ascii="Times New Roman" w:hAnsi="Times New Roman" w:cs="Times New Roman"/>
          <w:noProof/>
        </w:rPr>
        <w:t>(2), 63.</w:t>
      </w:r>
    </w:p>
    <w:p w14:paraId="6D664DAA"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eastAsia="Times New Roman" w:hAnsi="Times New Roman" w:cs="Times New Roman"/>
        </w:rPr>
        <w:fldChar w:fldCharType="end"/>
      </w:r>
      <w:r w:rsidRPr="004B7A1C">
        <w:rPr>
          <w:rFonts w:ascii="Times New Roman" w:eastAsia="Times New Roman" w:hAnsi="Times New Roman" w:cs="Times New Roman"/>
        </w:rPr>
        <w:fldChar w:fldCharType="begin" w:fldLock="1"/>
      </w:r>
      <w:r w:rsidRPr="004B7A1C">
        <w:rPr>
          <w:rFonts w:ascii="Times New Roman" w:eastAsia="Times New Roman" w:hAnsi="Times New Roman" w:cs="Times New Roman"/>
        </w:rPr>
        <w:instrText xml:space="preserve">ADDIN Mendeley Bibliography CSL_BIBLIOGRAPHY </w:instrText>
      </w:r>
      <w:r w:rsidRPr="004B7A1C">
        <w:rPr>
          <w:rFonts w:ascii="Times New Roman" w:eastAsia="Times New Roman" w:hAnsi="Times New Roman" w:cs="Times New Roman"/>
        </w:rPr>
        <w:fldChar w:fldCharType="separate"/>
      </w:r>
      <w:r w:rsidRPr="004B7A1C">
        <w:rPr>
          <w:rFonts w:ascii="Times New Roman" w:hAnsi="Times New Roman" w:cs="Times New Roman"/>
          <w:noProof/>
        </w:rPr>
        <w:t xml:space="preserve">Butkiewicz, J. L., &amp; Yanikkaya, H. (2011). Institutions and the impact of government spending on growth. </w:t>
      </w:r>
      <w:r w:rsidRPr="004B7A1C">
        <w:rPr>
          <w:rFonts w:ascii="Times New Roman" w:hAnsi="Times New Roman" w:cs="Times New Roman"/>
          <w:i/>
          <w:iCs/>
          <w:noProof/>
        </w:rPr>
        <w:t>Journal of Applied Economics</w:t>
      </w:r>
      <w:r w:rsidRPr="004B7A1C">
        <w:rPr>
          <w:rFonts w:ascii="Times New Roman" w:hAnsi="Times New Roman" w:cs="Times New Roman"/>
          <w:noProof/>
        </w:rPr>
        <w:t xml:space="preserve">, </w:t>
      </w:r>
      <w:r w:rsidRPr="004B7A1C">
        <w:rPr>
          <w:rFonts w:ascii="Times New Roman" w:hAnsi="Times New Roman" w:cs="Times New Roman"/>
          <w:i/>
          <w:iCs/>
          <w:noProof/>
        </w:rPr>
        <w:t>14</w:t>
      </w:r>
      <w:r w:rsidRPr="004B7A1C">
        <w:rPr>
          <w:rFonts w:ascii="Times New Roman" w:hAnsi="Times New Roman" w:cs="Times New Roman"/>
          <w:noProof/>
        </w:rPr>
        <w:t>(2), 319–341. https://doi.org/10.1016/S1514-0326(11)60017-2</w:t>
      </w:r>
    </w:p>
    <w:p w14:paraId="08BE6819"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Galí, J., López-Salido, J. D., &amp; Vallés, J. (2007). Understanding the effects of government spending on consumption. </w:t>
      </w:r>
      <w:r w:rsidRPr="004B7A1C">
        <w:rPr>
          <w:rFonts w:ascii="Times New Roman" w:hAnsi="Times New Roman" w:cs="Times New Roman"/>
          <w:i/>
          <w:iCs/>
          <w:noProof/>
        </w:rPr>
        <w:t>Journal of the European Economic Association</w:t>
      </w:r>
      <w:r w:rsidRPr="004B7A1C">
        <w:rPr>
          <w:rFonts w:ascii="Times New Roman" w:hAnsi="Times New Roman" w:cs="Times New Roman"/>
          <w:noProof/>
        </w:rPr>
        <w:t xml:space="preserve">, </w:t>
      </w:r>
      <w:r w:rsidRPr="004B7A1C">
        <w:rPr>
          <w:rFonts w:ascii="Times New Roman" w:hAnsi="Times New Roman" w:cs="Times New Roman"/>
          <w:i/>
          <w:iCs/>
          <w:noProof/>
        </w:rPr>
        <w:t>5</w:t>
      </w:r>
      <w:r w:rsidRPr="004B7A1C">
        <w:rPr>
          <w:rFonts w:ascii="Times New Roman" w:hAnsi="Times New Roman" w:cs="Times New Roman"/>
          <w:noProof/>
        </w:rPr>
        <w:t>(1), 227–270. https://doi.org/10.1162/JEEA.2007.5.1.227</w:t>
      </w:r>
    </w:p>
    <w:p w14:paraId="0BAC4BF2"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Garrett, G., &amp; Mitchell, D. (2001). Globalization, government spending, and taxation in the OECD. </w:t>
      </w:r>
      <w:r w:rsidRPr="004B7A1C">
        <w:rPr>
          <w:rFonts w:ascii="Times New Roman" w:hAnsi="Times New Roman" w:cs="Times New Roman"/>
          <w:i/>
          <w:iCs/>
          <w:noProof/>
        </w:rPr>
        <w:t>European Journal of Political Research</w:t>
      </w:r>
      <w:r w:rsidRPr="004B7A1C">
        <w:rPr>
          <w:rFonts w:ascii="Times New Roman" w:hAnsi="Times New Roman" w:cs="Times New Roman"/>
          <w:noProof/>
        </w:rPr>
        <w:t xml:space="preserve">, </w:t>
      </w:r>
      <w:r w:rsidRPr="004B7A1C">
        <w:rPr>
          <w:rFonts w:ascii="Times New Roman" w:hAnsi="Times New Roman" w:cs="Times New Roman"/>
          <w:i/>
          <w:iCs/>
          <w:noProof/>
        </w:rPr>
        <w:t>39</w:t>
      </w:r>
      <w:r w:rsidRPr="004B7A1C">
        <w:rPr>
          <w:rFonts w:ascii="Times New Roman" w:hAnsi="Times New Roman" w:cs="Times New Roman"/>
          <w:noProof/>
        </w:rPr>
        <w:t>(2), 145–177. https://doi.org/10.1023/A:1011043120145</w:t>
      </w:r>
    </w:p>
    <w:p w14:paraId="6BEA339D"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Gorahe, Irdha Anisyah Marsudi Masinambow, V., &amp; Engka, D. (2014). Analisis Belanja Daerah dan Faktor-Faktor Yang Mempengaruhinya di Provinsi Sulawesi Utara. </w:t>
      </w:r>
      <w:r w:rsidRPr="004B7A1C">
        <w:rPr>
          <w:rFonts w:ascii="Times New Roman" w:hAnsi="Times New Roman" w:cs="Times New Roman"/>
          <w:i/>
          <w:iCs/>
          <w:noProof/>
        </w:rPr>
        <w:t>Jurnal Berkala Ilmiah Efisiensi</w:t>
      </w:r>
      <w:r w:rsidRPr="004B7A1C">
        <w:rPr>
          <w:rFonts w:ascii="Times New Roman" w:hAnsi="Times New Roman" w:cs="Times New Roman"/>
          <w:noProof/>
        </w:rPr>
        <w:t xml:space="preserve">, </w:t>
      </w:r>
      <w:r w:rsidRPr="004B7A1C">
        <w:rPr>
          <w:rFonts w:ascii="Times New Roman" w:hAnsi="Times New Roman" w:cs="Times New Roman"/>
          <w:i/>
          <w:iCs/>
          <w:noProof/>
        </w:rPr>
        <w:t>14</w:t>
      </w:r>
      <w:r w:rsidRPr="004B7A1C">
        <w:rPr>
          <w:rFonts w:ascii="Times New Roman" w:hAnsi="Times New Roman" w:cs="Times New Roman"/>
          <w:noProof/>
        </w:rPr>
        <w:t>(3), 1–12.</w:t>
      </w:r>
    </w:p>
    <w:p w14:paraId="12CB10CA"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Harliza, T., &amp; Anitasari, M. (2017). Analisis Belanja Daerah Kabupaten/Kota Di Bengkulu. </w:t>
      </w:r>
      <w:r w:rsidRPr="004B7A1C">
        <w:rPr>
          <w:rFonts w:ascii="Times New Roman" w:hAnsi="Times New Roman" w:cs="Times New Roman"/>
          <w:i/>
          <w:iCs/>
          <w:noProof/>
        </w:rPr>
        <w:t>EKOMBIS REVIEW: Jurnal Ilmiah Ekonomi Dan Bisnis</w:t>
      </w:r>
      <w:r w:rsidRPr="004B7A1C">
        <w:rPr>
          <w:rFonts w:ascii="Times New Roman" w:hAnsi="Times New Roman" w:cs="Times New Roman"/>
          <w:noProof/>
        </w:rPr>
        <w:t xml:space="preserve">, </w:t>
      </w:r>
      <w:r w:rsidRPr="004B7A1C">
        <w:rPr>
          <w:rFonts w:ascii="Times New Roman" w:hAnsi="Times New Roman" w:cs="Times New Roman"/>
          <w:i/>
          <w:iCs/>
          <w:noProof/>
        </w:rPr>
        <w:t>5</w:t>
      </w:r>
      <w:r w:rsidRPr="004B7A1C">
        <w:rPr>
          <w:rFonts w:ascii="Times New Roman" w:hAnsi="Times New Roman" w:cs="Times New Roman"/>
          <w:noProof/>
        </w:rPr>
        <w:t>(2), 133–140. https://doi.org/10.37676/ekombis.v5i2.382</w:t>
      </w:r>
    </w:p>
    <w:p w14:paraId="134FC783"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Haryanto, T. P. (2013). Pengaruh Pengeluaran Pemerintah Terhadap Pertumbuhan Ekonomi Kabupaten/Kota Di Provinsi Jawa Tengah Tahun 2007-2011. </w:t>
      </w:r>
      <w:r w:rsidRPr="004B7A1C">
        <w:rPr>
          <w:rFonts w:ascii="Times New Roman" w:hAnsi="Times New Roman" w:cs="Times New Roman"/>
          <w:i/>
          <w:iCs/>
          <w:noProof/>
        </w:rPr>
        <w:t>Economics Development Analysis Journal</w:t>
      </w:r>
      <w:r w:rsidRPr="004B7A1C">
        <w:rPr>
          <w:rFonts w:ascii="Times New Roman" w:hAnsi="Times New Roman" w:cs="Times New Roman"/>
          <w:noProof/>
        </w:rPr>
        <w:t xml:space="preserve">, </w:t>
      </w:r>
      <w:r w:rsidRPr="004B7A1C">
        <w:rPr>
          <w:rFonts w:ascii="Times New Roman" w:hAnsi="Times New Roman" w:cs="Times New Roman"/>
          <w:i/>
          <w:iCs/>
          <w:noProof/>
        </w:rPr>
        <w:t>2</w:t>
      </w:r>
      <w:r w:rsidRPr="004B7A1C">
        <w:rPr>
          <w:rFonts w:ascii="Times New Roman" w:hAnsi="Times New Roman" w:cs="Times New Roman"/>
          <w:noProof/>
        </w:rPr>
        <w:t>(3), 148–158. https://doi.org/10.15294/edaj.v2i3.1989</w:t>
      </w:r>
    </w:p>
    <w:p w14:paraId="76A5B3EB"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oeraturan menteri dalam negeri republik indonesia nomor 64 tahun 2021, (2021).</w:t>
      </w:r>
    </w:p>
    <w:p w14:paraId="4DF43B93"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Sari, M., Syechhalad, M. N., &amp; Majid, S. A. (2016). Pengaruh Investasi, Tenaga Kerja Dan Pengeluaran Pemerintah Terhadap Pertumbuhan Ekonomi Di Indonesia. </w:t>
      </w:r>
      <w:r w:rsidRPr="004B7A1C">
        <w:rPr>
          <w:rFonts w:ascii="Times New Roman" w:hAnsi="Times New Roman" w:cs="Times New Roman"/>
          <w:i/>
          <w:iCs/>
          <w:noProof/>
        </w:rPr>
        <w:t>Jurnal Ekonomi Dan Kebijakan Publik Indonesia</w:t>
      </w:r>
      <w:r w:rsidRPr="004B7A1C">
        <w:rPr>
          <w:rFonts w:ascii="Times New Roman" w:hAnsi="Times New Roman" w:cs="Times New Roman"/>
          <w:noProof/>
        </w:rPr>
        <w:t xml:space="preserve">, </w:t>
      </w:r>
      <w:r w:rsidRPr="004B7A1C">
        <w:rPr>
          <w:rFonts w:ascii="Times New Roman" w:hAnsi="Times New Roman" w:cs="Times New Roman"/>
          <w:i/>
          <w:iCs/>
          <w:noProof/>
        </w:rPr>
        <w:t>3</w:t>
      </w:r>
      <w:r w:rsidRPr="004B7A1C">
        <w:rPr>
          <w:rFonts w:ascii="Times New Roman" w:hAnsi="Times New Roman" w:cs="Times New Roman"/>
          <w:noProof/>
        </w:rPr>
        <w:t>(2), 109–115.</w:t>
      </w:r>
    </w:p>
    <w:p w14:paraId="2D9E6453" w14:textId="77777777" w:rsidR="004B7A1C" w:rsidRPr="004B7A1C" w:rsidRDefault="004B7A1C" w:rsidP="004B7A1C">
      <w:pPr>
        <w:widowControl w:val="0"/>
        <w:autoSpaceDE w:val="0"/>
        <w:autoSpaceDN w:val="0"/>
        <w:adjustRightInd w:val="0"/>
        <w:spacing w:line="360" w:lineRule="auto"/>
        <w:ind w:left="480" w:hanging="480"/>
        <w:jc w:val="both"/>
        <w:rPr>
          <w:rFonts w:ascii="Times New Roman" w:hAnsi="Times New Roman" w:cs="Times New Roman"/>
          <w:noProof/>
        </w:rPr>
      </w:pPr>
      <w:r w:rsidRPr="004B7A1C">
        <w:rPr>
          <w:rFonts w:ascii="Times New Roman" w:hAnsi="Times New Roman" w:cs="Times New Roman"/>
          <w:noProof/>
        </w:rPr>
        <w:t xml:space="preserve">Suhaedi, W. (2019). Analisis Belanja Daerah. </w:t>
      </w:r>
      <w:r w:rsidRPr="004B7A1C">
        <w:rPr>
          <w:rFonts w:ascii="Times New Roman" w:hAnsi="Times New Roman" w:cs="Times New Roman"/>
          <w:i/>
          <w:iCs/>
          <w:noProof/>
        </w:rPr>
        <w:t>Jurnal Riset Akuntansi Aksioma</w:t>
      </w:r>
      <w:r w:rsidRPr="004B7A1C">
        <w:rPr>
          <w:rFonts w:ascii="Times New Roman" w:hAnsi="Times New Roman" w:cs="Times New Roman"/>
          <w:noProof/>
        </w:rPr>
        <w:t xml:space="preserve">, </w:t>
      </w:r>
      <w:r w:rsidRPr="004B7A1C">
        <w:rPr>
          <w:rFonts w:ascii="Times New Roman" w:hAnsi="Times New Roman" w:cs="Times New Roman"/>
          <w:i/>
          <w:iCs/>
          <w:noProof/>
        </w:rPr>
        <w:t>18</w:t>
      </w:r>
      <w:r w:rsidRPr="004B7A1C">
        <w:rPr>
          <w:rFonts w:ascii="Times New Roman" w:hAnsi="Times New Roman" w:cs="Times New Roman"/>
          <w:noProof/>
        </w:rPr>
        <w:t>(2), 63.</w:t>
      </w:r>
    </w:p>
    <w:p w14:paraId="55A0A6A3" w14:textId="307B898A" w:rsidR="00690A66" w:rsidRPr="002265BE" w:rsidRDefault="004B7A1C" w:rsidP="004B7A1C">
      <w:pPr>
        <w:spacing w:after="0" w:line="360" w:lineRule="auto"/>
        <w:rPr>
          <w:rFonts w:ascii="Times New Roman" w:eastAsia="Times New Roman" w:hAnsi="Times New Roman" w:cs="Times New Roman"/>
          <w:b/>
          <w:bCs/>
        </w:rPr>
      </w:pPr>
      <w:r w:rsidRPr="004B7A1C">
        <w:rPr>
          <w:rFonts w:ascii="Times New Roman" w:eastAsia="Times New Roman" w:hAnsi="Times New Roman" w:cs="Times New Roman"/>
        </w:rPr>
        <w:fldChar w:fldCharType="end"/>
      </w:r>
    </w:p>
    <w:p w14:paraId="7ADD2FDC" w14:textId="14F2DEF0" w:rsidR="007E0220" w:rsidRPr="002265BE" w:rsidRDefault="007E0220" w:rsidP="007E0220">
      <w:pPr>
        <w:spacing w:after="0" w:line="360" w:lineRule="auto"/>
        <w:jc w:val="center"/>
        <w:rPr>
          <w:rFonts w:ascii="Times New Roman" w:hAnsi="Times New Roman" w:cs="Times New Roman"/>
        </w:rPr>
      </w:pPr>
    </w:p>
    <w:sectPr w:rsidR="007E0220" w:rsidRPr="002265BE" w:rsidSect="00B53143">
      <w:headerReference w:type="even" r:id="rId14"/>
      <w:headerReference w:type="default" r:id="rId15"/>
      <w:headerReference w:type="first" r:id="rId16"/>
      <w:footerReference w:type="first" r:id="rId1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BB3A6" w14:textId="77777777" w:rsidR="008B5EE9" w:rsidRDefault="008B5EE9" w:rsidP="00B53143">
      <w:pPr>
        <w:spacing w:after="0" w:line="240" w:lineRule="auto"/>
      </w:pPr>
      <w:r>
        <w:separator/>
      </w:r>
    </w:p>
  </w:endnote>
  <w:endnote w:type="continuationSeparator" w:id="0">
    <w:p w14:paraId="2EAE2C4B" w14:textId="77777777" w:rsidR="008B5EE9" w:rsidRDefault="008B5EE9"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1E30E6C8" w14:textId="77777777" w:rsidR="00B53143" w:rsidRPr="00B53143" w:rsidRDefault="00B53143" w:rsidP="00B53143">
        <w:pPr>
          <w:pStyle w:val="Footer"/>
          <w:jc w:val="center"/>
          <w:rPr>
            <w:rFonts w:ascii="Times New Roman" w:hAnsi="Times New Roman" w:cs="Times New Roman"/>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3F3125">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D64D1" w14:textId="77777777" w:rsidR="008B5EE9" w:rsidRDefault="008B5EE9" w:rsidP="00B53143">
      <w:pPr>
        <w:spacing w:after="0" w:line="240" w:lineRule="auto"/>
      </w:pPr>
      <w:r>
        <w:separator/>
      </w:r>
    </w:p>
  </w:footnote>
  <w:footnote w:type="continuationSeparator" w:id="0">
    <w:p w14:paraId="3AA01AF9" w14:textId="77777777" w:rsidR="008B5EE9" w:rsidRDefault="008B5EE9" w:rsidP="00B5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6D1DA76A"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8</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proofErr w:type="spellStart"/>
        <w:r w:rsidR="009A3BFC">
          <w:rPr>
            <w:rFonts w:ascii="Times New Roman" w:eastAsia="Times New Roman" w:hAnsi="Times New Roman" w:cs="Times New Roman"/>
            <w:b/>
            <w:i/>
            <w:sz w:val="18"/>
            <w:szCs w:val="18"/>
          </w:rPr>
          <w:t>Ilmiah</w:t>
        </w:r>
        <w:proofErr w:type="spellEnd"/>
        <w:r w:rsidR="009A3BFC">
          <w:rPr>
            <w:rFonts w:ascii="Times New Roman" w:eastAsia="Times New Roman" w:hAnsi="Times New Roman" w:cs="Times New Roman"/>
            <w:b/>
            <w:i/>
            <w:sz w:val="18"/>
            <w:szCs w:val="18"/>
          </w:rPr>
          <w:t xml:space="preserve"> Manajemen dan </w:t>
        </w:r>
        <w:proofErr w:type="spellStart"/>
        <w:r w:rsidR="009A3BFC">
          <w:rPr>
            <w:rFonts w:ascii="Times New Roman" w:eastAsia="Times New Roman" w:hAnsi="Times New Roman" w:cs="Times New Roman"/>
            <w:b/>
            <w:i/>
            <w:sz w:val="18"/>
            <w:szCs w:val="18"/>
          </w:rPr>
          <w:t>Bisnis</w:t>
        </w:r>
        <w:proofErr w:type="spellEnd"/>
        <w:r w:rsidRPr="00474D8E">
          <w:rPr>
            <w:rFonts w:ascii="Times New Roman" w:eastAsia="Times New Roman" w:hAnsi="Times New Roman" w:cs="Times New Roman"/>
            <w:i/>
            <w:sz w:val="18"/>
            <w:szCs w:val="18"/>
          </w:rPr>
          <w:t xml:space="preserve">, Volume xx, No. x, </w:t>
        </w:r>
        <w:r w:rsidR="009A3BFC">
          <w:rPr>
            <w:rFonts w:ascii="Times New Roman" w:eastAsia="Times New Roman" w:hAnsi="Times New Roman" w:cs="Times New Roman"/>
            <w:i/>
            <w:sz w:val="18"/>
            <w:szCs w:val="18"/>
          </w:rPr>
          <w:t>March</w:t>
        </w:r>
        <w:r w:rsidRPr="00474D8E">
          <w:rPr>
            <w:rFonts w:ascii="Times New Roman" w:eastAsia="Times New Roman" w:hAnsi="Times New Roman" w:cs="Times New Roman"/>
            <w:i/>
            <w:sz w:val="18"/>
            <w:szCs w:val="18"/>
          </w:rPr>
          <w:t xml:space="preserve"> </w:t>
        </w:r>
        <w:proofErr w:type="spellStart"/>
        <w:r w:rsidRPr="00474D8E">
          <w:rPr>
            <w:rFonts w:ascii="Times New Roman" w:eastAsia="Times New Roman" w:hAnsi="Times New Roman" w:cs="Times New Roman"/>
            <w:i/>
            <w:sz w:val="18"/>
            <w:szCs w:val="18"/>
          </w:rPr>
          <w:t>xxxx</w:t>
        </w:r>
        <w:proofErr w:type="spellEnd"/>
        <w:r w:rsidRPr="00474D8E">
          <w:rPr>
            <w:rFonts w:ascii="Times New Roman" w:eastAsia="Times New Roman" w:hAnsi="Times New Roman" w:cs="Times New Roman"/>
            <w:i/>
            <w:sz w:val="18"/>
            <w:szCs w:val="18"/>
          </w:rPr>
          <w:t>, pp. xx-xx</w:t>
        </w:r>
      </w:p>
    </w:sdtContent>
  </w:sdt>
  <w:p w14:paraId="2E62F2B1" w14:textId="77777777" w:rsidR="00B53143" w:rsidRDefault="00B53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454B" w14:textId="77777777" w:rsidR="00474D8E" w:rsidRPr="00474D8E" w:rsidRDefault="00474D8E">
    <w:pPr>
      <w:pStyle w:val="Header"/>
      <w:jc w:val="right"/>
      <w:rPr>
        <w:rFonts w:ascii="Times New Roman" w:hAnsi="Times New Roman" w:cs="Times New Roman"/>
        <w:sz w:val="18"/>
        <w:szCs w:val="18"/>
      </w:rPr>
    </w:pPr>
    <w:proofErr w:type="spellStart"/>
    <w:r w:rsidRPr="00474D8E">
      <w:rPr>
        <w:rFonts w:ascii="Times New Roman" w:hAnsi="Times New Roman" w:cs="Times New Roman"/>
        <w:sz w:val="18"/>
        <w:szCs w:val="18"/>
      </w:rPr>
      <w:t>Prahmana</w:t>
    </w:r>
    <w:proofErr w:type="spellEnd"/>
    <w:r w:rsidRPr="00474D8E">
      <w:rPr>
        <w:rFonts w:ascii="Times New Roman" w:hAnsi="Times New Roman" w:cs="Times New Roman"/>
        <w:sz w:val="18"/>
        <w:szCs w:val="18"/>
      </w:rPr>
      <w:t xml:space="preserve"> &amp; </w:t>
    </w:r>
    <w:proofErr w:type="spellStart"/>
    <w:r w:rsidRPr="00474D8E">
      <w:rPr>
        <w:rFonts w:ascii="Times New Roman" w:hAnsi="Times New Roman" w:cs="Times New Roman"/>
        <w:i/>
        <w:sz w:val="18"/>
        <w:szCs w:val="18"/>
      </w:rPr>
      <w:t>Zulkardi</w:t>
    </w:r>
    <w:proofErr w:type="spellEnd"/>
    <w:r w:rsidRPr="00474D8E">
      <w:rPr>
        <w:rFonts w:ascii="Times New Roman" w:hAnsi="Times New Roman" w:cs="Times New Roman"/>
        <w:i/>
        <w:sz w:val="18"/>
        <w:szCs w:val="18"/>
      </w:rPr>
      <w:t xml:space="preserve">, The Title of My Research Papers …           </w:t>
    </w: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7</w:t>
        </w:r>
        <w:r w:rsidRPr="00474D8E">
          <w:rPr>
            <w:rFonts w:ascii="Times New Roman" w:hAnsi="Times New Roman" w:cs="Times New Roman"/>
            <w:noProof/>
            <w:sz w:val="18"/>
            <w:szCs w:val="18"/>
          </w:rPr>
          <w:fldChar w:fldCharType="end"/>
        </w:r>
      </w:sdtContent>
    </w:sdt>
  </w:p>
  <w:p w14:paraId="0AE637C0" w14:textId="77777777" w:rsidR="00B53143" w:rsidRPr="00474D8E" w:rsidRDefault="00B53143" w:rsidP="00474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B74C" w14:textId="0F96C27F" w:rsidR="00B53143" w:rsidRPr="00B53143" w:rsidRDefault="00F451D0" w:rsidP="00B53143">
    <w:pPr>
      <w:pStyle w:val="Header"/>
      <w:tabs>
        <w:tab w:val="left" w:pos="709"/>
      </w:tabs>
      <w:rPr>
        <w:rFonts w:ascii="Times New Roman" w:hAnsi="Times New Roman" w:cs="Times New Roman"/>
        <w:sz w:val="18"/>
        <w:szCs w:val="18"/>
      </w:rPr>
    </w:pPr>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DF6FA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proofErr w:type="spellStart"/>
    <w:r>
      <w:rPr>
        <w:rFonts w:ascii="Times New Roman" w:eastAsia="Times New Roman" w:hAnsi="Times New Roman" w:cs="Times New Roman"/>
        <w:b/>
        <w:sz w:val="18"/>
        <w:szCs w:val="18"/>
      </w:rPr>
      <w:t>Ilmiah</w:t>
    </w:r>
    <w:proofErr w:type="spellEnd"/>
    <w:r>
      <w:rPr>
        <w:rFonts w:ascii="Times New Roman" w:eastAsia="Times New Roman" w:hAnsi="Times New Roman" w:cs="Times New Roman"/>
        <w:b/>
        <w:sz w:val="18"/>
        <w:szCs w:val="18"/>
      </w:rPr>
      <w:t xml:space="preserve"> Manajemen dan </w:t>
    </w:r>
    <w:proofErr w:type="spellStart"/>
    <w:r>
      <w:rPr>
        <w:rFonts w:ascii="Times New Roman" w:eastAsia="Times New Roman" w:hAnsi="Times New Roman" w:cs="Times New Roman"/>
        <w:b/>
        <w:sz w:val="18"/>
        <w:szCs w:val="18"/>
      </w:rPr>
      <w:t>Bisnis</w:t>
    </w:r>
    <w:proofErr w:type="spellEnd"/>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581D908A"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xx</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x</w:t>
    </w:r>
    <w:r w:rsidRPr="00CC3C18">
      <w:rPr>
        <w:rFonts w:ascii="Times New Roman" w:eastAsia="Times New Roman" w:hAnsi="Times New Roman" w:cs="Times New Roman"/>
        <w:sz w:val="18"/>
        <w:szCs w:val="18"/>
      </w:rPr>
      <w:t xml:space="preserve">, January </w:t>
    </w:r>
    <w:proofErr w:type="spellStart"/>
    <w:r>
      <w:rPr>
        <w:rFonts w:ascii="Times New Roman" w:eastAsia="Times New Roman" w:hAnsi="Times New Roman" w:cs="Times New Roman"/>
        <w:sz w:val="18"/>
        <w:szCs w:val="18"/>
      </w:rPr>
      <w:t>xxxx</w:t>
    </w:r>
    <w:proofErr w:type="spellEnd"/>
    <w:r>
      <w:rPr>
        <w:rFonts w:ascii="Times New Roman" w:eastAsia="Times New Roman" w:hAnsi="Times New Roman" w:cs="Times New Roman"/>
        <w:sz w:val="18"/>
        <w:szCs w:val="18"/>
      </w:rPr>
      <w:t>, pp. x-xx</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1E629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jtQEAALcDAAAOAAAAZHJzL2Uyb0RvYy54bWysU8GO0zAQvSPxD5bvNO0uBRQ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70B15"/>
    <w:multiLevelType w:val="hybridMultilevel"/>
    <w:tmpl w:val="9B22D4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D1885"/>
    <w:multiLevelType w:val="multilevel"/>
    <w:tmpl w:val="3F82B5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5"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452B42AD"/>
    <w:multiLevelType w:val="hybridMultilevel"/>
    <w:tmpl w:val="67F0D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881F6F"/>
    <w:multiLevelType w:val="hybridMultilevel"/>
    <w:tmpl w:val="5C1CFC82"/>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6F990030"/>
    <w:multiLevelType w:val="hybridMultilevel"/>
    <w:tmpl w:val="AC745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74CF0479"/>
    <w:multiLevelType w:val="hybridMultilevel"/>
    <w:tmpl w:val="9B0EF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75AD6"/>
    <w:multiLevelType w:val="multilevel"/>
    <w:tmpl w:val="FF38B630"/>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69288384">
    <w:abstractNumId w:val="2"/>
  </w:num>
  <w:num w:numId="2" w16cid:durableId="1593976701">
    <w:abstractNumId w:val="5"/>
  </w:num>
  <w:num w:numId="3" w16cid:durableId="242377057">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16cid:durableId="128203431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16cid:durableId="1226524328">
    <w:abstractNumId w:val="4"/>
  </w:num>
  <w:num w:numId="6" w16cid:durableId="735666831">
    <w:abstractNumId w:val="4"/>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16cid:durableId="834226089">
    <w:abstractNumId w:val="9"/>
  </w:num>
  <w:num w:numId="8" w16cid:durableId="1649701632">
    <w:abstractNumId w:val="1"/>
  </w:num>
  <w:num w:numId="9" w16cid:durableId="1827748002">
    <w:abstractNumId w:val="7"/>
  </w:num>
  <w:num w:numId="10" w16cid:durableId="1140810056">
    <w:abstractNumId w:val="3"/>
  </w:num>
  <w:num w:numId="11" w16cid:durableId="1178154541">
    <w:abstractNumId w:val="11"/>
  </w:num>
  <w:num w:numId="12" w16cid:durableId="735321536">
    <w:abstractNumId w:val="10"/>
  </w:num>
  <w:num w:numId="13" w16cid:durableId="46727996">
    <w:abstractNumId w:val="6"/>
  </w:num>
  <w:num w:numId="14" w16cid:durableId="1911382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K0tDQwMrEwMLY0tDBU0lEKTi0uzszPAykwqQUAgPB0ICwAAAA="/>
  </w:docVars>
  <w:rsids>
    <w:rsidRoot w:val="00F2588E"/>
    <w:rsid w:val="00020523"/>
    <w:rsid w:val="00020883"/>
    <w:rsid w:val="00060E5C"/>
    <w:rsid w:val="0007093B"/>
    <w:rsid w:val="000810E0"/>
    <w:rsid w:val="000A72B8"/>
    <w:rsid w:val="000B272B"/>
    <w:rsid w:val="000B599E"/>
    <w:rsid w:val="000C05CA"/>
    <w:rsid w:val="000E4FBA"/>
    <w:rsid w:val="000F62CE"/>
    <w:rsid w:val="001238C2"/>
    <w:rsid w:val="0014521F"/>
    <w:rsid w:val="00150E76"/>
    <w:rsid w:val="00155B00"/>
    <w:rsid w:val="001C1C73"/>
    <w:rsid w:val="001E78FD"/>
    <w:rsid w:val="00202D21"/>
    <w:rsid w:val="002052FE"/>
    <w:rsid w:val="00221045"/>
    <w:rsid w:val="002265BE"/>
    <w:rsid w:val="002275F1"/>
    <w:rsid w:val="00235D4E"/>
    <w:rsid w:val="00250A2A"/>
    <w:rsid w:val="00253548"/>
    <w:rsid w:val="00255BD6"/>
    <w:rsid w:val="002715D5"/>
    <w:rsid w:val="0028015C"/>
    <w:rsid w:val="002801DB"/>
    <w:rsid w:val="00290130"/>
    <w:rsid w:val="002973BA"/>
    <w:rsid w:val="002A0DA9"/>
    <w:rsid w:val="002A3810"/>
    <w:rsid w:val="002B3047"/>
    <w:rsid w:val="002B7563"/>
    <w:rsid w:val="002D027A"/>
    <w:rsid w:val="003317EF"/>
    <w:rsid w:val="003319A8"/>
    <w:rsid w:val="003A435B"/>
    <w:rsid w:val="003B11ED"/>
    <w:rsid w:val="003C4249"/>
    <w:rsid w:val="003C4D10"/>
    <w:rsid w:val="003D6FED"/>
    <w:rsid w:val="003F3125"/>
    <w:rsid w:val="004023D5"/>
    <w:rsid w:val="004035EA"/>
    <w:rsid w:val="0041614F"/>
    <w:rsid w:val="00437DA2"/>
    <w:rsid w:val="00454527"/>
    <w:rsid w:val="00474D8E"/>
    <w:rsid w:val="004B7A1C"/>
    <w:rsid w:val="004B7C12"/>
    <w:rsid w:val="004D431F"/>
    <w:rsid w:val="004F3FCB"/>
    <w:rsid w:val="004F6B2A"/>
    <w:rsid w:val="005036DA"/>
    <w:rsid w:val="005231F5"/>
    <w:rsid w:val="005337C5"/>
    <w:rsid w:val="005551F2"/>
    <w:rsid w:val="005910B1"/>
    <w:rsid w:val="005F14ED"/>
    <w:rsid w:val="005F2AF0"/>
    <w:rsid w:val="00663FE3"/>
    <w:rsid w:val="00670B50"/>
    <w:rsid w:val="00690A66"/>
    <w:rsid w:val="006A03B9"/>
    <w:rsid w:val="006A5D2D"/>
    <w:rsid w:val="006C4B5F"/>
    <w:rsid w:val="00731E92"/>
    <w:rsid w:val="00766043"/>
    <w:rsid w:val="0077570B"/>
    <w:rsid w:val="00776263"/>
    <w:rsid w:val="00783351"/>
    <w:rsid w:val="007973B6"/>
    <w:rsid w:val="007E0220"/>
    <w:rsid w:val="007F70A9"/>
    <w:rsid w:val="00806223"/>
    <w:rsid w:val="008062F3"/>
    <w:rsid w:val="0081412A"/>
    <w:rsid w:val="00837AB3"/>
    <w:rsid w:val="008554C6"/>
    <w:rsid w:val="0085608F"/>
    <w:rsid w:val="00862526"/>
    <w:rsid w:val="0089599C"/>
    <w:rsid w:val="008B5EE9"/>
    <w:rsid w:val="00904D69"/>
    <w:rsid w:val="00926A82"/>
    <w:rsid w:val="00937D4B"/>
    <w:rsid w:val="00940B51"/>
    <w:rsid w:val="009424E0"/>
    <w:rsid w:val="009A3BFC"/>
    <w:rsid w:val="009B7A65"/>
    <w:rsid w:val="009C0A17"/>
    <w:rsid w:val="009C3BE5"/>
    <w:rsid w:val="00A01C90"/>
    <w:rsid w:val="00A27E65"/>
    <w:rsid w:val="00A52B41"/>
    <w:rsid w:val="00A86334"/>
    <w:rsid w:val="00A907FC"/>
    <w:rsid w:val="00AA59E6"/>
    <w:rsid w:val="00AC09FB"/>
    <w:rsid w:val="00AD05DC"/>
    <w:rsid w:val="00AD5BAA"/>
    <w:rsid w:val="00AF3B6F"/>
    <w:rsid w:val="00B217AB"/>
    <w:rsid w:val="00B34929"/>
    <w:rsid w:val="00B370CA"/>
    <w:rsid w:val="00B46D15"/>
    <w:rsid w:val="00B53143"/>
    <w:rsid w:val="00B60779"/>
    <w:rsid w:val="00B76838"/>
    <w:rsid w:val="00BB409B"/>
    <w:rsid w:val="00C12B03"/>
    <w:rsid w:val="00C41698"/>
    <w:rsid w:val="00C51C6E"/>
    <w:rsid w:val="00CA7788"/>
    <w:rsid w:val="00CB480C"/>
    <w:rsid w:val="00CB5A7C"/>
    <w:rsid w:val="00CC3C18"/>
    <w:rsid w:val="00CE096F"/>
    <w:rsid w:val="00CE23EB"/>
    <w:rsid w:val="00D2218A"/>
    <w:rsid w:val="00D44865"/>
    <w:rsid w:val="00D51B7A"/>
    <w:rsid w:val="00D55DFD"/>
    <w:rsid w:val="00D56BC6"/>
    <w:rsid w:val="00D86BDD"/>
    <w:rsid w:val="00DA539B"/>
    <w:rsid w:val="00DB3D35"/>
    <w:rsid w:val="00DB6BF0"/>
    <w:rsid w:val="00DC5268"/>
    <w:rsid w:val="00DE158F"/>
    <w:rsid w:val="00E16094"/>
    <w:rsid w:val="00E34DD9"/>
    <w:rsid w:val="00E40F31"/>
    <w:rsid w:val="00E52CE5"/>
    <w:rsid w:val="00E7286A"/>
    <w:rsid w:val="00E855F9"/>
    <w:rsid w:val="00E952A4"/>
    <w:rsid w:val="00EA6F22"/>
    <w:rsid w:val="00EB4D55"/>
    <w:rsid w:val="00EB683A"/>
    <w:rsid w:val="00ED20AF"/>
    <w:rsid w:val="00ED423B"/>
    <w:rsid w:val="00F12611"/>
    <w:rsid w:val="00F2588E"/>
    <w:rsid w:val="00F30378"/>
    <w:rsid w:val="00F33589"/>
    <w:rsid w:val="00F451D0"/>
    <w:rsid w:val="00F73411"/>
    <w:rsid w:val="00F93CBF"/>
    <w:rsid w:val="00FC6763"/>
    <w:rsid w:val="00FD6771"/>
    <w:rsid w:val="00FE451C"/>
    <w:rsid w:val="00FE5519"/>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E0E4"/>
  <w15:docId w15:val="{019BE294-4EFC-44E7-A0C3-E14D354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paragraph" w:styleId="NormalWeb">
    <w:name w:val="Normal (Web)"/>
    <w:basedOn w:val="Normal"/>
    <w:uiPriority w:val="99"/>
    <w:unhideWhenUsed/>
    <w:rsid w:val="00060E5C"/>
    <w:pPr>
      <w:spacing w:before="100" w:beforeAutospacing="1" w:after="100" w:afterAutospacing="1" w:line="240" w:lineRule="auto"/>
    </w:pPr>
    <w:rPr>
      <w:rFonts w:ascii="Times New Roman" w:eastAsia="Times New Roman" w:hAnsi="Times New Roman" w:cs="Times New Roman"/>
      <w:sz w:val="24"/>
      <w:szCs w:val="24"/>
    </w:rPr>
  </w:style>
  <w:style w:type="table" w:styleId="MediumShading1-Accent5">
    <w:name w:val="Medium Shading 1 Accent 5"/>
    <w:basedOn w:val="TableNormal"/>
    <w:uiPriority w:val="63"/>
    <w:rsid w:val="0085608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GridLight">
    <w:name w:val="Grid Table Light"/>
    <w:basedOn w:val="TableNormal"/>
    <w:uiPriority w:val="40"/>
    <w:rsid w:val="008560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B7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ranalfarabi@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0BF61-C93C-4F08-A773-7BD25448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4378</Words>
  <Characters>24960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Misran</cp:lastModifiedBy>
  <cp:revision>24</cp:revision>
  <cp:lastPrinted>2016-03-09T00:56:00Z</cp:lastPrinted>
  <dcterms:created xsi:type="dcterms:W3CDTF">2021-02-15T09:00:00Z</dcterms:created>
  <dcterms:modified xsi:type="dcterms:W3CDTF">2022-05-06T17:37:00Z</dcterms:modified>
</cp:coreProperties>
</file>