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32C35" w14:textId="77777777" w:rsidR="00CC07D4" w:rsidRDefault="00CC07D4" w:rsidP="00CC07D4">
      <w:pPr>
        <w:jc w:val="center"/>
        <w:rPr>
          <w:b/>
          <w:sz w:val="28"/>
          <w:szCs w:val="28"/>
        </w:rPr>
      </w:pPr>
      <w:r w:rsidRPr="00261973">
        <w:rPr>
          <w:b/>
          <w:sz w:val="28"/>
          <w:szCs w:val="28"/>
        </w:rPr>
        <w:t xml:space="preserve">RISKS IDENTIFICATION IN CONSTRUCTION OF </w:t>
      </w:r>
      <w:r>
        <w:rPr>
          <w:b/>
          <w:sz w:val="28"/>
          <w:szCs w:val="28"/>
        </w:rPr>
        <w:t xml:space="preserve">JETTY </w:t>
      </w:r>
      <w:r w:rsidRPr="00261973">
        <w:rPr>
          <w:b/>
          <w:sz w:val="28"/>
          <w:szCs w:val="28"/>
        </w:rPr>
        <w:t>PROJECTS</w:t>
      </w:r>
      <w:r>
        <w:rPr>
          <w:b/>
          <w:sz w:val="28"/>
          <w:szCs w:val="28"/>
        </w:rPr>
        <w:t>: LITERATURE REVIEW</w:t>
      </w:r>
    </w:p>
    <w:p w14:paraId="365E7DF2" w14:textId="77777777" w:rsidR="00261973" w:rsidRPr="00261973" w:rsidRDefault="00261973" w:rsidP="00261973">
      <w:pPr>
        <w:jc w:val="center"/>
        <w:rPr>
          <w:b/>
          <w:sz w:val="28"/>
          <w:szCs w:val="28"/>
        </w:rPr>
      </w:pPr>
    </w:p>
    <w:p w14:paraId="6212839B" w14:textId="77777777" w:rsidR="00261973" w:rsidRDefault="00261973" w:rsidP="00261973">
      <w:pPr>
        <w:jc w:val="center"/>
        <w:rPr>
          <w:sz w:val="22"/>
          <w:vertAlign w:val="superscript"/>
        </w:rPr>
      </w:pPr>
      <w:r w:rsidRPr="00261973">
        <w:rPr>
          <w:sz w:val="22"/>
          <w:lang w:val="id"/>
        </w:rPr>
        <w:t>Kiki Patricia Dewi</w:t>
      </w:r>
      <w:r w:rsidRPr="00261973">
        <w:rPr>
          <w:sz w:val="22"/>
          <w:vertAlign w:val="superscript"/>
          <w:lang w:val="id"/>
        </w:rPr>
        <w:t>1</w:t>
      </w:r>
      <w:r w:rsidRPr="00261973">
        <w:rPr>
          <w:sz w:val="22"/>
          <w:lang w:val="id"/>
        </w:rPr>
        <w:t>, Jatmiko Kurniawan</w:t>
      </w:r>
      <w:r w:rsidRPr="00261973">
        <w:rPr>
          <w:sz w:val="22"/>
          <w:vertAlign w:val="superscript"/>
          <w:lang w:val="id"/>
        </w:rPr>
        <w:t>2</w:t>
      </w:r>
      <w:r w:rsidRPr="00261973">
        <w:rPr>
          <w:sz w:val="22"/>
          <w:lang w:val="id"/>
        </w:rPr>
        <w:t>, Herman Irawan</w:t>
      </w:r>
      <w:r w:rsidRPr="00261973">
        <w:rPr>
          <w:sz w:val="22"/>
          <w:vertAlign w:val="superscript"/>
          <w:lang w:val="id"/>
        </w:rPr>
        <w:t>3</w:t>
      </w:r>
      <w:r w:rsidRPr="00261973">
        <w:rPr>
          <w:sz w:val="22"/>
          <w:lang w:val="id"/>
        </w:rPr>
        <w:t>, Humiras Hardi Purba</w:t>
      </w:r>
      <w:r w:rsidRPr="00261973">
        <w:rPr>
          <w:sz w:val="22"/>
          <w:vertAlign w:val="superscript"/>
          <w:lang w:val="id"/>
        </w:rPr>
        <w:t>4</w:t>
      </w:r>
    </w:p>
    <w:p w14:paraId="7B4FB137" w14:textId="77777777" w:rsidR="00261973" w:rsidRPr="00261973" w:rsidRDefault="00261973" w:rsidP="00261973">
      <w:pPr>
        <w:jc w:val="center"/>
        <w:rPr>
          <w:sz w:val="22"/>
        </w:rPr>
      </w:pPr>
    </w:p>
    <w:p w14:paraId="3B4E7800" w14:textId="085E9BA9" w:rsidR="00261973" w:rsidRPr="005B6E41" w:rsidRDefault="00261973" w:rsidP="00261973">
      <w:pPr>
        <w:jc w:val="center"/>
        <w:rPr>
          <w:i/>
          <w:iCs/>
          <w:sz w:val="22"/>
        </w:rPr>
      </w:pPr>
      <w:r w:rsidRPr="005B6E41">
        <w:rPr>
          <w:sz w:val="22"/>
          <w:vertAlign w:val="superscript"/>
          <w:lang w:val="id"/>
        </w:rPr>
        <w:t>1</w:t>
      </w:r>
      <w:r w:rsidR="00905543" w:rsidRPr="005B6E41">
        <w:rPr>
          <w:i/>
          <w:iCs/>
          <w:sz w:val="22"/>
          <w:lang w:val="id"/>
        </w:rPr>
        <w:t xml:space="preserve">Departemen Teknik Sipil, Universitas Mercubuana Jakarta, Indonesia </w:t>
      </w:r>
    </w:p>
    <w:p w14:paraId="4C5E7CEE" w14:textId="30864949" w:rsidR="00905543" w:rsidRPr="005B6E41" w:rsidRDefault="00905543" w:rsidP="00905543">
      <w:pPr>
        <w:jc w:val="center"/>
        <w:rPr>
          <w:i/>
          <w:iCs/>
          <w:sz w:val="22"/>
        </w:rPr>
      </w:pPr>
      <w:r w:rsidRPr="005B6E41">
        <w:rPr>
          <w:sz w:val="22"/>
          <w:vertAlign w:val="superscript"/>
          <w:lang w:val="id"/>
        </w:rPr>
        <w:t>2</w:t>
      </w:r>
      <w:r w:rsidRPr="005B6E41">
        <w:rPr>
          <w:i/>
          <w:iCs/>
          <w:sz w:val="22"/>
          <w:lang w:val="id"/>
        </w:rPr>
        <w:t xml:space="preserve">Departemen Teknik Sipil, Universitas Mercubuana, Jakarta, Indonesia </w:t>
      </w:r>
    </w:p>
    <w:p w14:paraId="5FEB83A3" w14:textId="2AB63369" w:rsidR="00905543" w:rsidRPr="005B6E41" w:rsidRDefault="00905543" w:rsidP="00905543">
      <w:pPr>
        <w:jc w:val="center"/>
        <w:rPr>
          <w:i/>
          <w:iCs/>
          <w:sz w:val="22"/>
        </w:rPr>
      </w:pPr>
      <w:r w:rsidRPr="005B6E41">
        <w:rPr>
          <w:sz w:val="22"/>
          <w:vertAlign w:val="superscript"/>
          <w:lang w:val="id"/>
        </w:rPr>
        <w:t>3</w:t>
      </w:r>
      <w:r w:rsidRPr="005B6E41">
        <w:rPr>
          <w:i/>
          <w:iCs/>
          <w:sz w:val="22"/>
          <w:lang w:val="id"/>
        </w:rPr>
        <w:t xml:space="preserve">Departemen Teknik Sipil, Universitas Mercubuana, Jakarta, Indonesia </w:t>
      </w:r>
    </w:p>
    <w:p w14:paraId="6925E180" w14:textId="2ADF1E55" w:rsidR="00905543" w:rsidRPr="00905543" w:rsidRDefault="00261973" w:rsidP="00905543">
      <w:pPr>
        <w:jc w:val="center"/>
        <w:rPr>
          <w:i/>
          <w:iCs/>
          <w:sz w:val="22"/>
        </w:rPr>
      </w:pPr>
      <w:r w:rsidRPr="005B6E41">
        <w:rPr>
          <w:sz w:val="22"/>
          <w:vertAlign w:val="superscript"/>
          <w:lang w:val="id"/>
        </w:rPr>
        <w:t>4</w:t>
      </w:r>
      <w:r w:rsidR="00905543" w:rsidRPr="005B6E41">
        <w:rPr>
          <w:i/>
          <w:iCs/>
          <w:sz w:val="22"/>
          <w:lang w:val="id"/>
        </w:rPr>
        <w:t>Departemen Teknik Industri, Universitas Mercubuana, Jakarta</w:t>
      </w:r>
      <w:r>
        <w:rPr>
          <w:lang w:val="id"/>
        </w:rPr>
        <w:t>,</w:t>
      </w:r>
      <w:r w:rsidR="00905543" w:rsidRPr="00905543">
        <w:rPr>
          <w:i/>
          <w:iCs/>
          <w:sz w:val="22"/>
          <w:lang w:val="id"/>
        </w:rPr>
        <w:t>Indonesia</w:t>
      </w:r>
    </w:p>
    <w:p w14:paraId="6D48CACE" w14:textId="77777777" w:rsidR="00261973" w:rsidRDefault="00261973" w:rsidP="00DE621A">
      <w:pPr>
        <w:jc w:val="center"/>
        <w:rPr>
          <w:sz w:val="22"/>
        </w:rPr>
      </w:pPr>
    </w:p>
    <w:p w14:paraId="1C9942D7" w14:textId="77777777" w:rsidR="00DE621A" w:rsidRDefault="00261973" w:rsidP="00DE621A">
      <w:pPr>
        <w:jc w:val="center"/>
        <w:rPr>
          <w:rStyle w:val="Hyperlink"/>
          <w:sz w:val="22"/>
          <w:szCs w:val="22"/>
          <w:lang w:val="en-GB" w:eastAsia="en-GB"/>
        </w:rPr>
      </w:pPr>
      <w:r>
        <w:rPr>
          <w:sz w:val="22"/>
          <w:szCs w:val="22"/>
          <w:vertAlign w:val="superscript"/>
          <w:lang w:val="id"/>
        </w:rPr>
        <w:t>1</w:t>
      </w:r>
      <w:r w:rsidR="00DE621A" w:rsidRPr="00DE621A">
        <w:rPr>
          <w:sz w:val="22"/>
          <w:szCs w:val="22"/>
          <w:lang w:val="id"/>
        </w:rPr>
        <w:t>Email:</w:t>
      </w:r>
      <w:r>
        <w:rPr>
          <w:lang w:val="id"/>
        </w:rPr>
        <w:t xml:space="preserve"> </w:t>
      </w:r>
      <w:hyperlink r:id="rId8" w:history="1">
        <w:r w:rsidRPr="00E4358F">
          <w:rPr>
            <w:rStyle w:val="Hyperlink"/>
            <w:sz w:val="22"/>
            <w:szCs w:val="22"/>
            <w:lang w:val="id"/>
          </w:rPr>
          <w:t xml:space="preserve"> kiki.patricia.dewi@gmail.com</w:t>
        </w:r>
      </w:hyperlink>
    </w:p>
    <w:p w14:paraId="42C8C869" w14:textId="6EA53E3A" w:rsidR="00862916" w:rsidRPr="00DE621A" w:rsidRDefault="00862916" w:rsidP="00DE621A">
      <w:pPr>
        <w:jc w:val="center"/>
        <w:rPr>
          <w:sz w:val="22"/>
          <w:szCs w:val="22"/>
          <w:u w:val="single"/>
          <w:lang w:val="en-GB" w:eastAsia="en-GB"/>
        </w:rPr>
      </w:pPr>
      <w:r>
        <w:rPr>
          <w:sz w:val="22"/>
          <w:szCs w:val="22"/>
          <w:u w:val="single"/>
          <w:vertAlign w:val="superscript"/>
          <w:lang w:val="id"/>
        </w:rPr>
        <w:t>2</w:t>
      </w:r>
      <w:r w:rsidRPr="00862916">
        <w:rPr>
          <w:sz w:val="22"/>
          <w:szCs w:val="22"/>
          <w:u w:val="single"/>
          <w:lang w:val="id"/>
        </w:rPr>
        <w:t xml:space="preserve">Email: </w:t>
      </w:r>
      <w:r>
        <w:rPr>
          <w:lang w:val="id"/>
        </w:rPr>
        <w:t xml:space="preserve"> </w:t>
      </w:r>
      <w:hyperlink r:id="rId9" w:history="1">
        <w:r w:rsidRPr="002574D3">
          <w:rPr>
            <w:rStyle w:val="Hyperlink"/>
            <w:sz w:val="22"/>
            <w:szCs w:val="22"/>
            <w:lang w:val="id"/>
          </w:rPr>
          <w:t>jatmiko.kurniawan72@gmail.com</w:t>
        </w:r>
      </w:hyperlink>
    </w:p>
    <w:p w14:paraId="3EA5EB47" w14:textId="77777777" w:rsidR="00E96D19" w:rsidRDefault="00E96D19" w:rsidP="00E96D19">
      <w:pPr>
        <w:jc w:val="center"/>
        <w:rPr>
          <w:b/>
          <w:i/>
        </w:rPr>
      </w:pPr>
    </w:p>
    <w:p w14:paraId="36D77BBB" w14:textId="77777777" w:rsidR="000275E7" w:rsidRPr="004340C7" w:rsidRDefault="000275E7" w:rsidP="000275E7">
      <w:pPr>
        <w:spacing w:after="240"/>
        <w:jc w:val="center"/>
        <w:rPr>
          <w:b/>
          <w:i/>
        </w:rPr>
      </w:pPr>
      <w:r w:rsidRPr="004340C7">
        <w:rPr>
          <w:b/>
          <w:i/>
        </w:rPr>
        <w:t>Abstract</w:t>
      </w:r>
    </w:p>
    <w:p w14:paraId="03B27EAB" w14:textId="77777777" w:rsidR="000275E7" w:rsidRPr="004340C7" w:rsidRDefault="000275E7" w:rsidP="000275E7">
      <w:pPr>
        <w:spacing w:after="120"/>
        <w:jc w:val="both"/>
        <w:rPr>
          <w:i/>
        </w:rPr>
      </w:pPr>
      <w:r w:rsidRPr="004340C7">
        <w:rPr>
          <w:i/>
        </w:rPr>
        <w:t>Delays in project development often occur due to various risk factors that have not been identified during project implementation, resulting in increased project delays and unexpected costs. However, each construction project has different risks depending on the type of project and project environmental conditions, so it requires handling different project implementation methods.</w:t>
      </w:r>
    </w:p>
    <w:p w14:paraId="71B20F67" w14:textId="3AF5826D" w:rsidR="000275E7" w:rsidRPr="004340C7" w:rsidRDefault="000275E7" w:rsidP="000275E7">
      <w:pPr>
        <w:spacing w:after="120"/>
        <w:jc w:val="both"/>
        <w:rPr>
          <w:i/>
        </w:rPr>
      </w:pPr>
      <w:r w:rsidRPr="004340C7">
        <w:rPr>
          <w:i/>
        </w:rPr>
        <w:t>In a jetty project, risk assessment is carried out from both technical and non-technical perspectives. From a technical point of view, risks are assessed starting from soil conditions, water level, weather, installation methods, design changes, etc. Meanwhile, from a non-technical perspective, the risks arising from the environment, social and social aspects are assessed. economic, legal, and institutional aspects as well as finance and investment</w:t>
      </w:r>
      <w:r w:rsidR="007D1E37">
        <w:rPr>
          <w:i/>
        </w:rPr>
        <w:t>.</w:t>
      </w:r>
    </w:p>
    <w:p w14:paraId="5705E5D7" w14:textId="77777777" w:rsidR="000275E7" w:rsidRPr="004340C7" w:rsidRDefault="000275E7" w:rsidP="000275E7">
      <w:pPr>
        <w:spacing w:after="120"/>
        <w:jc w:val="both"/>
        <w:rPr>
          <w:i/>
        </w:rPr>
      </w:pPr>
      <w:r w:rsidRPr="004340C7">
        <w:rPr>
          <w:i/>
        </w:rPr>
        <w:t>This summary literature review shows that Technical Risk has the greatest impact on jetty projects in the internal and external project category.</w:t>
      </w:r>
    </w:p>
    <w:p w14:paraId="184F5A06" w14:textId="77777777" w:rsidR="000275E7" w:rsidRPr="004340C7" w:rsidRDefault="000275E7" w:rsidP="000275E7">
      <w:pPr>
        <w:spacing w:after="240"/>
        <w:jc w:val="both"/>
        <w:rPr>
          <w:i/>
        </w:rPr>
      </w:pPr>
      <w:r w:rsidRPr="004340C7">
        <w:rPr>
          <w:b/>
          <w:i/>
        </w:rPr>
        <w:t>Keywords:</w:t>
      </w:r>
      <w:r w:rsidRPr="004340C7">
        <w:rPr>
          <w:i/>
        </w:rPr>
        <w:t xml:space="preserve"> Jetty, risk management, construction, technical, non technical, risk, dredging</w:t>
      </w:r>
    </w:p>
    <w:p w14:paraId="0BA39B77" w14:textId="77777777" w:rsidR="004340C7" w:rsidRPr="004340C7" w:rsidRDefault="004340C7" w:rsidP="004340C7">
      <w:pPr>
        <w:spacing w:after="240"/>
        <w:jc w:val="center"/>
        <w:rPr>
          <w:b/>
        </w:rPr>
      </w:pPr>
      <w:r w:rsidRPr="004340C7">
        <w:rPr>
          <w:b/>
          <w:lang w:val="id"/>
        </w:rPr>
        <w:t>Abstrak</w:t>
      </w:r>
    </w:p>
    <w:p w14:paraId="1E8FCA4C" w14:textId="77777777" w:rsidR="004340C7" w:rsidRPr="004340C7" w:rsidRDefault="004340C7" w:rsidP="004340C7">
      <w:pPr>
        <w:spacing w:after="120"/>
        <w:jc w:val="both"/>
        <w:rPr>
          <w:lang w:val="id"/>
        </w:rPr>
      </w:pPr>
      <w:r w:rsidRPr="004340C7">
        <w:rPr>
          <w:lang w:val="id"/>
        </w:rPr>
        <w:t>Keterlambatan dalam proyek sering terjadi karena berbagai faktor risiko yang belum teridentifikasi selama pelaksanaan proyek, yang mengakibatkan meningkatnya keterlambatan proyek dan biaya yang tidak terduga. Namun, setiap proyek konstruksi memiliki risiko yang berbeda-beda tergantung dari jenis proyek dan kondisi lingkungan proyek, sehingga memerlukan penanganan metode pelaksanaan proyek yang berbeda.</w:t>
      </w:r>
    </w:p>
    <w:p w14:paraId="0D509A92" w14:textId="38B98942" w:rsidR="004340C7" w:rsidRPr="004340C7" w:rsidRDefault="004340C7" w:rsidP="004340C7">
      <w:pPr>
        <w:spacing w:after="120"/>
        <w:jc w:val="both"/>
        <w:rPr>
          <w:lang w:val="id"/>
        </w:rPr>
      </w:pPr>
      <w:r w:rsidRPr="004340C7">
        <w:rPr>
          <w:lang w:val="id"/>
        </w:rPr>
        <w:t xml:space="preserve">Dalam proyek </w:t>
      </w:r>
      <w:r w:rsidR="000275E7">
        <w:t>dermaga</w:t>
      </w:r>
      <w:r w:rsidRPr="004340C7">
        <w:rPr>
          <w:lang w:val="id"/>
        </w:rPr>
        <w:t xml:space="preserve">, penilaian risiko dilakukan baik dari perspektif teknis maupun non teknis. Dari segi teknis, risiko dinilai mulai dari kondisi tanah, ketinggian air, cuaca, metode pemasangan, perubahan desain, </w:t>
      </w:r>
      <w:r w:rsidRPr="004340C7">
        <w:t>dan lainnya</w:t>
      </w:r>
      <w:r w:rsidRPr="004340C7">
        <w:rPr>
          <w:lang w:val="id"/>
        </w:rPr>
        <w:t xml:space="preserve">. </w:t>
      </w:r>
    </w:p>
    <w:p w14:paraId="68469CE1" w14:textId="77777777" w:rsidR="004340C7" w:rsidRPr="004340C7" w:rsidRDefault="004340C7" w:rsidP="004340C7">
      <w:pPr>
        <w:spacing w:after="120"/>
        <w:jc w:val="both"/>
      </w:pPr>
      <w:r w:rsidRPr="004340C7">
        <w:rPr>
          <w:lang w:val="id"/>
        </w:rPr>
        <w:t>Sedangkan dari segi non teknis dinilai risiko yang timbul dari aspek lingkungan, dan sosial</w:t>
      </w:r>
      <w:r w:rsidRPr="004340C7">
        <w:t xml:space="preserve">, </w:t>
      </w:r>
      <w:r w:rsidRPr="004340C7">
        <w:rPr>
          <w:lang w:val="id"/>
        </w:rPr>
        <w:t>aspek ekonomi, hukum, dan kelembagaan serta keuangan dan investasi</w:t>
      </w:r>
      <w:r w:rsidRPr="004340C7">
        <w:t>.</w:t>
      </w:r>
    </w:p>
    <w:p w14:paraId="77FD5105" w14:textId="16256177" w:rsidR="004340C7" w:rsidRPr="004340C7" w:rsidRDefault="004340C7" w:rsidP="004340C7">
      <w:pPr>
        <w:spacing w:after="120"/>
        <w:jc w:val="both"/>
        <w:rPr>
          <w:lang w:val="id"/>
        </w:rPr>
      </w:pPr>
      <w:r w:rsidRPr="004340C7">
        <w:rPr>
          <w:lang w:val="id"/>
        </w:rPr>
        <w:t xml:space="preserve">Ringkasan tinjauan pustaka ini menunjukkan bahwa </w:t>
      </w:r>
      <w:r w:rsidR="007D1E37">
        <w:t>r</w:t>
      </w:r>
      <w:r w:rsidRPr="004340C7">
        <w:rPr>
          <w:lang w:val="id"/>
        </w:rPr>
        <w:t xml:space="preserve">isiko </w:t>
      </w:r>
      <w:r w:rsidR="007D1E37">
        <w:t>t</w:t>
      </w:r>
      <w:r w:rsidRPr="004340C7">
        <w:rPr>
          <w:lang w:val="id"/>
        </w:rPr>
        <w:t>eknis memiliki dampak terbesar pada proyek dermaga dalam kategori proyek internal dan eksternal.</w:t>
      </w:r>
    </w:p>
    <w:p w14:paraId="4C1A16EA" w14:textId="77777777" w:rsidR="004340C7" w:rsidRPr="004340C7" w:rsidRDefault="004340C7" w:rsidP="004340C7">
      <w:pPr>
        <w:spacing w:after="240"/>
        <w:jc w:val="both"/>
        <w:rPr>
          <w:i/>
        </w:rPr>
      </w:pPr>
      <w:r w:rsidRPr="004340C7">
        <w:rPr>
          <w:b/>
          <w:i/>
          <w:lang w:val="id"/>
        </w:rPr>
        <w:t>Kata kunci:</w:t>
      </w:r>
      <w:r w:rsidRPr="004340C7">
        <w:rPr>
          <w:i/>
          <w:lang w:val="id"/>
        </w:rPr>
        <w:t xml:space="preserve"> Dermaga,manajemen risiko, konstruksi, teknis, non teknis, risiko,pengerukan</w:t>
      </w:r>
    </w:p>
    <w:p w14:paraId="46A6A629" w14:textId="77777777" w:rsidR="00CC03F3" w:rsidRDefault="00CC03F3" w:rsidP="007263A2">
      <w:pPr>
        <w:numPr>
          <w:ilvl w:val="0"/>
          <w:numId w:val="15"/>
        </w:numPr>
        <w:spacing w:after="240"/>
        <w:ind w:left="450" w:hanging="180"/>
        <w:jc w:val="both"/>
        <w:rPr>
          <w:b/>
          <w:sz w:val="22"/>
        </w:rPr>
        <w:sectPr w:rsidR="00CC03F3" w:rsidSect="002A6EE2">
          <w:headerReference w:type="default" r:id="rId10"/>
          <w:footerReference w:type="default" r:id="rId11"/>
          <w:pgSz w:w="11900" w:h="16840"/>
          <w:pgMar w:top="1138" w:right="1138" w:bottom="1138" w:left="1699" w:header="720" w:footer="720" w:gutter="0"/>
          <w:cols w:space="428"/>
          <w:noEndnote/>
          <w:docGrid w:linePitch="272"/>
        </w:sectPr>
      </w:pPr>
    </w:p>
    <w:p w14:paraId="19036ADB" w14:textId="1D1C5548" w:rsidR="00CC07D4" w:rsidRPr="00CC07D4" w:rsidRDefault="00CC07D4" w:rsidP="00CC07D4">
      <w:pPr>
        <w:numPr>
          <w:ilvl w:val="0"/>
          <w:numId w:val="15"/>
        </w:numPr>
        <w:spacing w:after="240"/>
        <w:ind w:left="450" w:hanging="180"/>
        <w:jc w:val="both"/>
        <w:rPr>
          <w:b/>
          <w:sz w:val="22"/>
          <w:szCs w:val="22"/>
        </w:rPr>
      </w:pPr>
      <w:r w:rsidRPr="00CC07D4">
        <w:rPr>
          <w:b/>
          <w:sz w:val="22"/>
          <w:szCs w:val="22"/>
        </w:rPr>
        <w:t>INTRODUCTION</w:t>
      </w:r>
    </w:p>
    <w:p w14:paraId="0856DD11" w14:textId="77777777" w:rsidR="00CC07D4" w:rsidRPr="00D200BB" w:rsidRDefault="00CC07D4" w:rsidP="00B40A15">
      <w:pPr>
        <w:pStyle w:val="ListParagraph"/>
        <w:ind w:left="450" w:firstLine="270"/>
        <w:jc w:val="both"/>
        <w:rPr>
          <w:sz w:val="22"/>
          <w:szCs w:val="22"/>
        </w:rPr>
      </w:pPr>
      <w:r w:rsidRPr="00D200BB">
        <w:rPr>
          <w:sz w:val="22"/>
          <w:szCs w:val="22"/>
          <w:lang w:val="en"/>
        </w:rPr>
        <w:t>The word Risk is often assumed to imply a negative outcome</w:t>
      </w:r>
      <w:r>
        <w:rPr>
          <w:lang w:val="en"/>
        </w:rPr>
        <w:t xml:space="preserve"> </w:t>
      </w:r>
      <w:r w:rsidRPr="00D200BB">
        <w:rPr>
          <w:sz w:val="22"/>
          <w:szCs w:val="22"/>
          <w:lang w:val="en"/>
        </w:rPr>
        <w:t xml:space="preserve"> and </w:t>
      </w:r>
      <w:r>
        <w:rPr>
          <w:lang w:val="en"/>
        </w:rPr>
        <w:t xml:space="preserve">it is </w:t>
      </w:r>
      <w:r w:rsidRPr="00D200BB">
        <w:rPr>
          <w:sz w:val="22"/>
          <w:szCs w:val="22"/>
          <w:lang w:val="en"/>
        </w:rPr>
        <w:t xml:space="preserve">commonplace that risk </w:t>
      </w:r>
      <w:r>
        <w:rPr>
          <w:lang w:val="en"/>
        </w:rPr>
        <w:t xml:space="preserve"> </w:t>
      </w:r>
      <w:r w:rsidRPr="00D200BB">
        <w:rPr>
          <w:sz w:val="22"/>
          <w:szCs w:val="22"/>
          <w:lang w:val="en"/>
        </w:rPr>
        <w:t xml:space="preserve">is </w:t>
      </w:r>
      <w:r>
        <w:rPr>
          <w:lang w:val="en"/>
        </w:rPr>
        <w:t xml:space="preserve"> </w:t>
      </w:r>
      <w:r w:rsidRPr="00D200BB">
        <w:rPr>
          <w:sz w:val="22"/>
          <w:szCs w:val="22"/>
          <w:lang w:val="en"/>
        </w:rPr>
        <w:t xml:space="preserve">uncertain. Risks may have positive or negative results. Negative risk is defined as a threat while positive risk is defined as opportunity </w:t>
      </w:r>
      <w:r>
        <w:rPr>
          <w:lang w:val="en"/>
        </w:rPr>
        <w:t xml:space="preserve"> </w:t>
      </w:r>
      <w:r w:rsidRPr="00D200BB">
        <w:rPr>
          <w:sz w:val="22"/>
          <w:szCs w:val="22"/>
          <w:lang w:val="en"/>
        </w:rPr>
        <w:fldChar w:fldCharType="begin" w:fldLock="1"/>
      </w:r>
      <w:r>
        <w:rPr>
          <w:sz w:val="22"/>
          <w:szCs w:val="22"/>
          <w:lang w:val="en"/>
        </w:rPr>
        <w:instrText>ADDIN CSL_CITATION {"citationItems":[{"id":"ITEM-1","itemData":{"ISBN":"9788578110796","ISSN":"1098-6596","PMID":"25246403","author":[{"dropping-particle":"","family":"Cretu","given":"Ovidiu","non-dropping-particle":"","parse-names":false,"suffix":""},{"dropping-particle":"","family":"Stewart","given":"Robert","non-dropping-particle":"","parse-names":false,"suffix":""},{"dropping-particle":"","family":"Berends","given":"Terry","non-dropping-particle":"","parse-names":false,"suffix":""}],"container-title":"Journal of Chemical Information and Modeling","id":"ITEM-1","issue":"9","issued":{"date-parts":[["2011"]]},"publisher":"John Wiley &amp; Sons, Inc","publisher-place":"New Jersey","title":"Risk Management for Design and Construction","type":"article-journal","volume":"53"},"uris":["http://www.mendeley.com/documents/?uuid=544580cc-6b7c-4fbe-89dc-e8f8492a2d6f","http://www.mendeley.com/documents/?uuid=7a284c91-1eac-49f4-944b-5769a4ded566"]}],"mendeley":{"formattedCitation":"(Cretu et al., 2011)","plainTextFormattedCitation":"(Cretu et al., 2011)","previouslyFormattedCitation":"(Cretu et al., 2011)"},"properties":{"noteIndex":0},"schema":"https://github.com/citation-style-language/schema/raw/master/csl-citation.json"}</w:instrText>
      </w:r>
      <w:r w:rsidRPr="00D200BB">
        <w:rPr>
          <w:sz w:val="22"/>
          <w:szCs w:val="22"/>
          <w:lang w:val="en"/>
        </w:rPr>
        <w:fldChar w:fldCharType="separate"/>
      </w:r>
      <w:r w:rsidRPr="00D200BB">
        <w:rPr>
          <w:noProof/>
          <w:sz w:val="22"/>
          <w:szCs w:val="22"/>
          <w:lang w:val="en"/>
        </w:rPr>
        <w:t>(Cretu et al., 2011).</w:t>
      </w:r>
      <w:r w:rsidRPr="00D200BB">
        <w:rPr>
          <w:sz w:val="22"/>
          <w:szCs w:val="22"/>
          <w:lang w:val="en"/>
        </w:rPr>
        <w:fldChar w:fldCharType="end"/>
      </w:r>
      <w:r w:rsidRPr="00D200BB">
        <w:rPr>
          <w:sz w:val="22"/>
          <w:szCs w:val="22"/>
          <w:lang w:val="en"/>
        </w:rPr>
        <w:t xml:space="preserve"> In construction projects, hazard matrices </w:t>
      </w:r>
      <w:r>
        <w:rPr>
          <w:lang w:val="en"/>
        </w:rPr>
        <w:t xml:space="preserve"> </w:t>
      </w:r>
      <w:r w:rsidRPr="00D200BB">
        <w:rPr>
          <w:sz w:val="22"/>
          <w:szCs w:val="22"/>
          <w:lang w:val="en"/>
        </w:rPr>
        <w:t>are very sensitive as well as</w:t>
      </w:r>
      <w:r>
        <w:rPr>
          <w:lang w:val="en"/>
        </w:rPr>
        <w:t xml:space="preserve"> </w:t>
      </w:r>
      <w:r w:rsidRPr="00D200BB">
        <w:rPr>
          <w:sz w:val="22"/>
          <w:szCs w:val="22"/>
          <w:lang w:val="en"/>
        </w:rPr>
        <w:t xml:space="preserve"> risk-averse. This sensitivity is due to several characteristics inherent to construction projects</w:t>
      </w:r>
      <w:r>
        <w:rPr>
          <w:lang w:val="en"/>
        </w:rPr>
        <w:t xml:space="preserve"> </w:t>
      </w:r>
      <w:r w:rsidRPr="00D200BB">
        <w:rPr>
          <w:sz w:val="22"/>
          <w:szCs w:val="22"/>
          <w:lang w:val="en"/>
        </w:rPr>
        <w:fldChar w:fldCharType="begin" w:fldLock="1"/>
      </w:r>
      <w:r>
        <w:rPr>
          <w:sz w:val="22"/>
          <w:szCs w:val="22"/>
          <w:lang w:val="en"/>
        </w:rPr>
        <w:instrText>ADDIN CSL_CITATION {"citationItems":[{"id":"ITEM-1","itemData":{"DOI":"10.4324/9780203476543","ISBN":"9781135816575","abstract":"Those involved in construction have to cope with so much learning in their own discipline that they shun further involvement in subjects such as insurance and law which in themselves are so deeply and intensely complex. However, insurance and law are interwoven in the basic procedures used in the construction industry for undertaking work, be they design, construction, supervision or operation, or any combination of them. This thoroughly revised edition of Nael Bunni’s successful book, formerly called Insurance in Construction, provides information on risk, construction law and construction insurance for those involved with all aspects of construction. The chapters on risk have been expanded to include recent developments in the area and provide further examples of events which could occur on what can be viewed as the most risky human work activity, namely construction. New chapters are also added to deal with the insurance clauses of the many new standard forms of contract published in recent years, including FIDIC’s new suite of contracts published in September 1999, ICE’s seventh edition of the civil engineering standard form of contract, and ICE’s second edition of the design/build form.","author":[{"dropping-particle":"","family":"Bunni","given":"Nael G.","non-dropping-particle":"","parse-names":false,"suffix":""}],"container-title":"Risk and Insurance in Construction","edition":"Second","id":"ITEM-1","issued":{"date-parts":[["2003"]]},"number-of-pages":"1-484","publisher":"Spon Press","publisher-place":"London","title":"Risk and Insurance in Construction","type":"book"},"uris":["http://www.mendeley.com/documents/?uuid=66a7e3e0-484f-4bf7-ab2a-6614e2b2cbe0","http://www.mendeley.com/documents/?uuid=5b8eeb8e-cdcb-47aa-9ca5-c74e3ff8534e"]}],"mendeley":{"formattedCitation":"(Bunni, 2003)","plainTextFormattedCitation":"(Bunni, 2003)","previouslyFormattedCitation":"(Bunni, 2003)"},"properties":{"noteIndex":0},"schema":"https://github.com/citation-style-language/schema/raw/master/csl-citation.json"}</w:instrText>
      </w:r>
      <w:r w:rsidRPr="00D200BB">
        <w:rPr>
          <w:sz w:val="22"/>
          <w:szCs w:val="22"/>
          <w:lang w:val="en"/>
        </w:rPr>
        <w:fldChar w:fldCharType="separate"/>
      </w:r>
      <w:r w:rsidRPr="00D200BB">
        <w:rPr>
          <w:noProof/>
          <w:sz w:val="22"/>
          <w:szCs w:val="22"/>
          <w:lang w:val="en"/>
        </w:rPr>
        <w:t>(Bunni, 2003).</w:t>
      </w:r>
      <w:r w:rsidRPr="00D200BB">
        <w:rPr>
          <w:sz w:val="22"/>
          <w:szCs w:val="22"/>
          <w:lang w:val="en"/>
        </w:rPr>
        <w:fldChar w:fldCharType="end"/>
      </w:r>
      <w:r w:rsidRPr="00D200BB">
        <w:rPr>
          <w:sz w:val="22"/>
          <w:szCs w:val="22"/>
          <w:lang w:val="en"/>
        </w:rPr>
        <w:t xml:space="preserve"> Risk is a combination of the probability or frequency </w:t>
      </w:r>
      <w:r w:rsidRPr="00D200BB">
        <w:rPr>
          <w:sz w:val="22"/>
          <w:szCs w:val="22"/>
          <w:lang w:val="en"/>
        </w:rPr>
        <w:t xml:space="preserve">of hazards that occur and the magnitude of the consequences of that event. Risk assessment is an integrated analysis of the likelihood of events occurring and their effects in </w:t>
      </w:r>
      <w:r>
        <w:rPr>
          <w:lang w:val="en"/>
        </w:rPr>
        <w:t xml:space="preserve">general as well </w:t>
      </w:r>
      <w:r w:rsidRPr="00D200BB">
        <w:rPr>
          <w:sz w:val="22"/>
          <w:szCs w:val="22"/>
          <w:lang w:val="en"/>
        </w:rPr>
        <w:t xml:space="preserve">as </w:t>
      </w:r>
      <w:r>
        <w:rPr>
          <w:lang w:val="en"/>
        </w:rPr>
        <w:t xml:space="preserve">in significant </w:t>
      </w:r>
      <w:r w:rsidRPr="00D200BB">
        <w:rPr>
          <w:sz w:val="22"/>
          <w:szCs w:val="22"/>
          <w:lang w:val="en"/>
        </w:rPr>
        <w:t xml:space="preserve">respects. </w:t>
      </w:r>
      <w:r>
        <w:rPr>
          <w:lang w:val="en"/>
        </w:rPr>
        <w:t xml:space="preserve"> </w:t>
      </w:r>
      <w:r w:rsidRPr="00D200BB">
        <w:rPr>
          <w:sz w:val="22"/>
          <w:szCs w:val="22"/>
          <w:lang w:val="en"/>
        </w:rPr>
        <w:t xml:space="preserve"> </w:t>
      </w:r>
      <w:r>
        <w:rPr>
          <w:lang w:val="en"/>
        </w:rPr>
        <w:t xml:space="preserve"> </w:t>
      </w:r>
      <w:r w:rsidRPr="00D200BB">
        <w:rPr>
          <w:sz w:val="22"/>
          <w:szCs w:val="22"/>
          <w:lang w:val="en"/>
        </w:rPr>
        <w:t xml:space="preserve"> The probability, extent, and significance of an event can be assessed either from previous experience or from calculations using probability theory</w:t>
      </w:r>
      <w:r>
        <w:rPr>
          <w:lang w:val="en"/>
        </w:rPr>
        <w:t xml:space="preserve"> </w:t>
      </w:r>
      <w:r w:rsidRPr="00D200BB">
        <w:rPr>
          <w:sz w:val="22"/>
          <w:szCs w:val="22"/>
          <w:lang w:val="en"/>
        </w:rPr>
        <w:fldChar w:fldCharType="begin" w:fldLock="1"/>
      </w:r>
      <w:r>
        <w:rPr>
          <w:sz w:val="22"/>
          <w:szCs w:val="22"/>
          <w:lang w:val="en"/>
        </w:rPr>
        <w:instrText>ADDIN CSL_CITATION {"citationItems":[{"id":"ITEM-1","itemData":{"DOI":"10.4324/9780203476543","ISBN":"9781135816575","abstract":"Those involved in construction have to cope with so much learning in their own discipline that they shun further involvement in subjects such as insurance and law which in themselves are so deeply and intensely complex. However, insurance and law are interwoven in the basic procedures used in the construction industry for undertaking work, be they design, construction, supervision or operation, or any combination of them. This thoroughly revised edition of Nael Bunni’s successful book, formerly called Insurance in Construction, provides information on risk, construction law and construction insurance for those involved with all aspects of construction. The chapters on risk have been expanded to include recent developments in the area and provide further examples of events which could occur on what can be viewed as the most risky human work activity, namely construction. New chapters are also added to deal with the insurance clauses of the many new standard forms of contract published in recent years, including FIDIC’s new suite of contracts published in September 1999, ICE’s seventh edition of the civil engineering standard form of contract, and ICE’s second edition of the design/build form.","author":[{"dropping-particle":"","family":"Bunni","given":"Nael G.","non-dropping-particle":"","parse-names":false,"suffix":""}],"container-title":"Risk and Insurance in Construction","edition":"Second","id":"ITEM-1","issued":{"date-parts":[["2003"]]},"number-of-pages":"1-484","publisher":"Spon Press","publisher-place":"London","title":"Risk and Insurance in Construction","type":"book"},"uris":["http://www.mendeley.com/documents/?uuid=5b8eeb8e-cdcb-47aa-9ca5-c74e3ff8534e","http://www.mendeley.com/documents/?uuid=66a7e3e0-484f-4bf7-ab2a-6614e2b2cbe0"]}],"mendeley":{"formattedCitation":"(Bunni, 2003)","plainTextFormattedCitation":"(Bunni, 2003)","previouslyFormattedCitation":"(Bunni, 2003)"},"properties":{"noteIndex":0},"schema":"https://github.com/citation-style-language/schema/raw/master/csl-citation.json"}</w:instrText>
      </w:r>
      <w:r w:rsidRPr="00D200BB">
        <w:rPr>
          <w:sz w:val="22"/>
          <w:szCs w:val="22"/>
          <w:lang w:val="en"/>
        </w:rPr>
        <w:fldChar w:fldCharType="separate"/>
      </w:r>
      <w:r w:rsidRPr="00D200BB">
        <w:rPr>
          <w:noProof/>
          <w:sz w:val="22"/>
          <w:szCs w:val="22"/>
          <w:lang w:val="en"/>
        </w:rPr>
        <w:t>(Bunni, 2003).</w:t>
      </w:r>
      <w:r w:rsidRPr="00D200BB">
        <w:rPr>
          <w:sz w:val="22"/>
          <w:szCs w:val="22"/>
          <w:lang w:val="en"/>
        </w:rPr>
        <w:fldChar w:fldCharType="end"/>
      </w:r>
      <w:r w:rsidRPr="00D200BB">
        <w:rPr>
          <w:sz w:val="22"/>
          <w:szCs w:val="22"/>
          <w:lang w:val="en"/>
        </w:rPr>
        <w:t xml:space="preserve"> Risk management is an ongoing process and should cover all phases of the project as the project is divided into separate phases. Construction projects are dynamic so a risk assessment is required at </w:t>
      </w:r>
      <w:r w:rsidRPr="00D200BB">
        <w:rPr>
          <w:sz w:val="22"/>
          <w:szCs w:val="22"/>
          <w:lang w:val="en"/>
        </w:rPr>
        <w:lastRenderedPageBreak/>
        <w:t>the end of the project phase before activities continue into the next phase</w:t>
      </w:r>
      <w:r>
        <w:rPr>
          <w:lang w:val="en"/>
        </w:rPr>
        <w:t xml:space="preserve"> </w:t>
      </w:r>
      <w:r w:rsidRPr="00D200BB">
        <w:rPr>
          <w:sz w:val="22"/>
          <w:szCs w:val="22"/>
          <w:lang w:val="en"/>
        </w:rPr>
        <w:fldChar w:fldCharType="begin" w:fldLock="1"/>
      </w:r>
      <w:r>
        <w:rPr>
          <w:sz w:val="22"/>
          <w:szCs w:val="22"/>
          <w:lang w:val="en"/>
        </w:rPr>
        <w:instrText>ADDIN CSL_CITATION {"citationItems":[{"id":"ITEM-1","itemData":{"ISBN":"1405172746","author":[{"dropping-particle":"","family":"Smith","given":"Nigel J.","non-dropping-particle":"","parse-names":false,"suffix":""},{"dropping-particle":"","family":"Merna","given":"Tony","non-dropping-particle":"","parse-names":false,"suffix":""},{"dropping-particle":"","family":"Jobling","given":"Paul","non-dropping-particle":"","parse-names":false,"suffix":""}],"edition":"Second","id":"ITEM-1","issued":{"date-parts":[["2006"]]},"number-of-pages":"256","publisher":"Blackwell Publishing","publisher-place":"Oxford","title":"Managing Risk in Construction Projects","type":"book"},"uris":["http://www.mendeley.com/documents/?uuid=0f32836e-9bd5-4af3-8105-16feded40b9e","http://www.mendeley.com/documents/?uuid=2431adbe-cc8a-4ef9-8c4f-a8e2764ab143"]}],"mendeley":{"formattedCitation":"(Smith et al., 2006)","plainTextFormattedCitation":"(Smith et al., 2006)","previouslyFormattedCitation":"(Smith et al., 2006)"},"properties":{"noteIndex":0},"schema":"https://github.com/citation-style-language/schema/raw/master/csl-citation.json"}</w:instrText>
      </w:r>
      <w:r w:rsidRPr="00D200BB">
        <w:rPr>
          <w:sz w:val="22"/>
          <w:szCs w:val="22"/>
          <w:lang w:val="en"/>
        </w:rPr>
        <w:fldChar w:fldCharType="separate"/>
      </w:r>
      <w:r w:rsidRPr="00D200BB">
        <w:rPr>
          <w:noProof/>
          <w:sz w:val="22"/>
          <w:szCs w:val="22"/>
          <w:lang w:val="en"/>
        </w:rPr>
        <w:t>(Smith et al., 2006)</w:t>
      </w:r>
      <w:r w:rsidRPr="00D200BB">
        <w:rPr>
          <w:sz w:val="22"/>
          <w:szCs w:val="22"/>
          <w:lang w:val="en"/>
        </w:rPr>
        <w:fldChar w:fldCharType="end"/>
      </w:r>
    </w:p>
    <w:p w14:paraId="70C611F9" w14:textId="77777777" w:rsidR="002A6EE2" w:rsidRDefault="002A6EE2" w:rsidP="002A6EE2">
      <w:pPr>
        <w:spacing w:after="240"/>
        <w:ind w:left="450"/>
        <w:jc w:val="both"/>
        <w:rPr>
          <w:b/>
          <w:sz w:val="22"/>
          <w:szCs w:val="22"/>
        </w:rPr>
      </w:pPr>
    </w:p>
    <w:p w14:paraId="69215752" w14:textId="21870FF6" w:rsidR="00CC07D4" w:rsidRDefault="00CC07D4" w:rsidP="00CC07D4">
      <w:pPr>
        <w:numPr>
          <w:ilvl w:val="0"/>
          <w:numId w:val="15"/>
        </w:numPr>
        <w:spacing w:after="240"/>
        <w:ind w:left="450" w:hanging="180"/>
        <w:jc w:val="both"/>
        <w:rPr>
          <w:b/>
          <w:sz w:val="22"/>
          <w:szCs w:val="22"/>
        </w:rPr>
      </w:pPr>
      <w:r w:rsidRPr="00CC07D4">
        <w:rPr>
          <w:b/>
          <w:sz w:val="22"/>
          <w:szCs w:val="22"/>
        </w:rPr>
        <w:t>METHOD</w:t>
      </w:r>
    </w:p>
    <w:p w14:paraId="33DB2E57" w14:textId="1989F659" w:rsidR="00CC07D4" w:rsidRDefault="00CC07D4" w:rsidP="007B160D">
      <w:pPr>
        <w:spacing w:after="240"/>
        <w:ind w:left="450"/>
        <w:jc w:val="both"/>
        <w:rPr>
          <w:sz w:val="22"/>
          <w:szCs w:val="22"/>
          <w:lang w:val="id"/>
        </w:rPr>
      </w:pPr>
      <w:r w:rsidRPr="002A6EE2">
        <w:rPr>
          <w:sz w:val="22"/>
          <w:szCs w:val="22"/>
          <w:lang w:val="en"/>
        </w:rPr>
        <w:t xml:space="preserve">The </w:t>
      </w:r>
      <w:r>
        <w:rPr>
          <w:lang w:val="en"/>
        </w:rPr>
        <w:t xml:space="preserve">journal </w:t>
      </w:r>
      <w:r w:rsidRPr="002A6EE2">
        <w:rPr>
          <w:sz w:val="22"/>
          <w:szCs w:val="22"/>
          <w:lang w:val="en"/>
        </w:rPr>
        <w:t>is compiled by conducting a search</w:t>
      </w:r>
      <w:r>
        <w:rPr>
          <w:lang w:val="en"/>
        </w:rPr>
        <w:t xml:space="preserve"> looking for </w:t>
      </w:r>
      <w:r w:rsidRPr="002A6EE2">
        <w:rPr>
          <w:sz w:val="22"/>
          <w:szCs w:val="22"/>
          <w:lang w:val="en"/>
        </w:rPr>
        <w:t xml:space="preserve">other  journals </w:t>
      </w:r>
      <w:r>
        <w:rPr>
          <w:lang w:val="en"/>
        </w:rPr>
        <w:t xml:space="preserve"> </w:t>
      </w:r>
      <w:r w:rsidRPr="002A6EE2">
        <w:rPr>
          <w:sz w:val="22"/>
          <w:szCs w:val="22"/>
          <w:lang w:val="en"/>
        </w:rPr>
        <w:t xml:space="preserve">on trusted source sites and then selecting journals based on "risk assessment", "risk analysis", "risk identification" in the construction of </w:t>
      </w:r>
      <w:r w:rsidR="007D1E37">
        <w:rPr>
          <w:sz w:val="22"/>
          <w:szCs w:val="22"/>
          <w:lang w:val="en"/>
        </w:rPr>
        <w:t>jetty</w:t>
      </w:r>
      <w:r w:rsidRPr="002A6EE2">
        <w:rPr>
          <w:sz w:val="22"/>
          <w:szCs w:val="22"/>
          <w:lang w:val="en"/>
        </w:rPr>
        <w:t xml:space="preserve"> projects. The risks reviewed are technical and non-technical risks from external, internal or project. The following is the research framework in this paper:</w:t>
      </w:r>
    </w:p>
    <w:p w14:paraId="09133480" w14:textId="40D1D7CF" w:rsidR="002A6EE2" w:rsidRPr="002A6EE2" w:rsidRDefault="002A6EE2" w:rsidP="006F4B56">
      <w:pPr>
        <w:spacing w:after="240"/>
        <w:jc w:val="center"/>
        <w:rPr>
          <w:b/>
          <w:sz w:val="22"/>
          <w:szCs w:val="22"/>
        </w:rPr>
      </w:pPr>
      <w:r w:rsidRPr="007263A2">
        <w:rPr>
          <w:noProof/>
        </w:rPr>
        <w:drawing>
          <wp:inline distT="0" distB="0" distL="0" distR="0" wp14:anchorId="4D50FAB6" wp14:editId="1D6B542F">
            <wp:extent cx="2817228" cy="211328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3770" t="31274" r="28296" b="18142"/>
                    <a:stretch/>
                  </pic:blipFill>
                  <pic:spPr bwMode="auto">
                    <a:xfrm>
                      <a:off x="0" y="0"/>
                      <a:ext cx="2841884" cy="2131775"/>
                    </a:xfrm>
                    <a:prstGeom prst="rect">
                      <a:avLst/>
                    </a:prstGeom>
                    <a:ln>
                      <a:noFill/>
                    </a:ln>
                    <a:extLst>
                      <a:ext uri="{53640926-AAD7-44D8-BBD7-CCE9431645EC}">
                        <a14:shadowObscured xmlns:a14="http://schemas.microsoft.com/office/drawing/2010/main"/>
                      </a:ext>
                    </a:extLst>
                  </pic:spPr>
                </pic:pic>
              </a:graphicData>
            </a:graphic>
          </wp:inline>
        </w:drawing>
      </w:r>
    </w:p>
    <w:p w14:paraId="29877810" w14:textId="77777777" w:rsidR="00CC07D4" w:rsidRPr="002A6EE2" w:rsidRDefault="00CC07D4" w:rsidP="008C225B">
      <w:pPr>
        <w:spacing w:after="240"/>
        <w:ind w:left="450"/>
        <w:jc w:val="center"/>
        <w:rPr>
          <w:b/>
          <w:sz w:val="22"/>
          <w:szCs w:val="22"/>
        </w:rPr>
      </w:pPr>
      <w:r w:rsidRPr="002A6EE2">
        <w:rPr>
          <w:b/>
          <w:sz w:val="22"/>
          <w:szCs w:val="22"/>
          <w:lang w:val="en"/>
        </w:rPr>
        <w:t>Figure 1.  Research Framework</w:t>
      </w:r>
    </w:p>
    <w:p w14:paraId="348111EA" w14:textId="193EFF8A" w:rsidR="00905543" w:rsidRPr="007263A2" w:rsidRDefault="00CC07D4" w:rsidP="007263A2">
      <w:pPr>
        <w:numPr>
          <w:ilvl w:val="0"/>
          <w:numId w:val="15"/>
        </w:numPr>
        <w:spacing w:after="240"/>
        <w:ind w:left="450" w:hanging="180"/>
        <w:jc w:val="both"/>
        <w:rPr>
          <w:b/>
          <w:sz w:val="22"/>
          <w:szCs w:val="22"/>
        </w:rPr>
      </w:pPr>
      <w:r>
        <w:rPr>
          <w:b/>
          <w:sz w:val="22"/>
          <w:szCs w:val="22"/>
        </w:rPr>
        <w:t>RESULT</w:t>
      </w:r>
      <w:r w:rsidR="002D0E67" w:rsidRPr="007263A2">
        <w:rPr>
          <w:b/>
          <w:sz w:val="22"/>
          <w:szCs w:val="22"/>
          <w:lang w:val="id"/>
        </w:rPr>
        <w:t xml:space="preserve"> &amp; </w:t>
      </w:r>
      <w:r>
        <w:rPr>
          <w:b/>
          <w:sz w:val="22"/>
          <w:szCs w:val="22"/>
        </w:rPr>
        <w:t>DISCUSSION</w:t>
      </w:r>
    </w:p>
    <w:p w14:paraId="692BBA69" w14:textId="77777777" w:rsidR="00CC07D4" w:rsidRPr="00C26E87" w:rsidRDefault="00CC07D4" w:rsidP="003E08FB">
      <w:pPr>
        <w:spacing w:after="240"/>
        <w:ind w:left="450"/>
        <w:jc w:val="both"/>
        <w:rPr>
          <w:sz w:val="22"/>
        </w:rPr>
      </w:pPr>
      <w:r w:rsidRPr="00C26E87">
        <w:rPr>
          <w:sz w:val="22"/>
          <w:lang w:val="en"/>
        </w:rPr>
        <w:t>Research has found that contractors show more willingness to accept contract and legal risks than any</w:t>
      </w:r>
      <w:r>
        <w:rPr>
          <w:lang w:val="en"/>
        </w:rPr>
        <w:t xml:space="preserve"> other type of risk (Kartam &amp;Kartam, 2000).</w:t>
      </w:r>
    </w:p>
    <w:p w14:paraId="4D9B4D26" w14:textId="41EA4D40" w:rsidR="00CC07D4" w:rsidRPr="00C26E87" w:rsidRDefault="00CC07D4" w:rsidP="003E08FB">
      <w:pPr>
        <w:spacing w:after="240"/>
        <w:ind w:left="450"/>
        <w:jc w:val="both"/>
        <w:rPr>
          <w:sz w:val="22"/>
        </w:rPr>
      </w:pPr>
      <w:r w:rsidRPr="00C26E87">
        <w:rPr>
          <w:sz w:val="22"/>
          <w:lang w:val="en"/>
        </w:rPr>
        <w:t xml:space="preserve">This </w:t>
      </w:r>
      <w:r>
        <w:rPr>
          <w:sz w:val="22"/>
          <w:lang w:val="en"/>
        </w:rPr>
        <w:t>literature</w:t>
      </w:r>
      <w:r>
        <w:rPr>
          <w:lang w:val="en"/>
        </w:rPr>
        <w:t xml:space="preserve"> review</w:t>
      </w:r>
      <w:r w:rsidRPr="00C26E87">
        <w:rPr>
          <w:sz w:val="22"/>
          <w:lang w:val="en"/>
        </w:rPr>
        <w:t xml:space="preserve"> aims to identify risks during the construction of </w:t>
      </w:r>
      <w:r w:rsidR="007D1E37">
        <w:rPr>
          <w:sz w:val="22"/>
          <w:lang w:val="en"/>
        </w:rPr>
        <w:t>jetty</w:t>
      </w:r>
      <w:r w:rsidRPr="00C26E87">
        <w:rPr>
          <w:sz w:val="22"/>
          <w:lang w:val="en"/>
        </w:rPr>
        <w:t xml:space="preserve"> projects that are the object of research and group those risks into specific categories, determine the level of risk from identified risks and determine the risk response to high-risk risks.</w:t>
      </w:r>
    </w:p>
    <w:p w14:paraId="505AA71D" w14:textId="785668CC" w:rsidR="00CC07D4" w:rsidRDefault="00CC07D4" w:rsidP="00EA3A9C">
      <w:pPr>
        <w:spacing w:after="240"/>
        <w:ind w:left="450"/>
        <w:jc w:val="both"/>
        <w:rPr>
          <w:sz w:val="22"/>
        </w:rPr>
      </w:pPr>
      <w:r w:rsidRPr="00C26E87">
        <w:rPr>
          <w:sz w:val="22"/>
          <w:lang w:val="en"/>
        </w:rPr>
        <w:t xml:space="preserve">The benefits of this review are beneficial for businesses in the construction industry, especially for contractors who do similar work with the object of this research, namely knowing in advance what risks have a </w:t>
      </w:r>
      <w:r>
        <w:rPr>
          <w:sz w:val="22"/>
          <w:lang w:val="en"/>
        </w:rPr>
        <w:t xml:space="preserve"> </w:t>
      </w:r>
      <w:r>
        <w:rPr>
          <w:lang w:val="en"/>
        </w:rPr>
        <w:t xml:space="preserve">high level </w:t>
      </w:r>
      <w:r>
        <w:rPr>
          <w:sz w:val="22"/>
          <w:lang w:val="en"/>
        </w:rPr>
        <w:t>of</w:t>
      </w:r>
      <w:r>
        <w:rPr>
          <w:lang w:val="en"/>
        </w:rPr>
        <w:t xml:space="preserve"> risk on the </w:t>
      </w:r>
      <w:r w:rsidR="007D1E37">
        <w:rPr>
          <w:sz w:val="22"/>
          <w:lang w:val="en"/>
        </w:rPr>
        <w:t>jetty</w:t>
      </w:r>
      <w:r>
        <w:rPr>
          <w:sz w:val="22"/>
          <w:lang w:val="en"/>
        </w:rPr>
        <w:t>s,</w:t>
      </w:r>
      <w:r>
        <w:rPr>
          <w:lang w:val="en"/>
        </w:rPr>
        <w:t xml:space="preserve"> </w:t>
      </w:r>
      <w:r w:rsidRPr="00C26E87">
        <w:rPr>
          <w:sz w:val="22"/>
          <w:lang w:val="en"/>
        </w:rPr>
        <w:t xml:space="preserve">by </w:t>
      </w:r>
      <w:r>
        <w:rPr>
          <w:lang w:val="en"/>
        </w:rPr>
        <w:t>knowing the</w:t>
      </w:r>
      <w:r w:rsidRPr="00C26E87">
        <w:rPr>
          <w:sz w:val="22"/>
          <w:lang w:val="en"/>
        </w:rPr>
        <w:t xml:space="preserve">risks.  In addition, this analysis is also useful for researchers who are interested in risk analysis so that it can be used as a </w:t>
      </w:r>
      <w:r w:rsidRPr="00C26E87">
        <w:rPr>
          <w:sz w:val="22"/>
          <w:lang w:val="en"/>
        </w:rPr>
        <w:t>reference in terms of risk identification to develop further research, especially in similar fields.</w:t>
      </w:r>
    </w:p>
    <w:p w14:paraId="59C5A0ED" w14:textId="77777777" w:rsidR="00CC07D4" w:rsidRDefault="00CC07D4" w:rsidP="00C91964">
      <w:pPr>
        <w:spacing w:after="240"/>
        <w:ind w:left="450"/>
        <w:jc w:val="both"/>
        <w:rPr>
          <w:sz w:val="22"/>
        </w:rPr>
      </w:pPr>
      <w:r w:rsidRPr="001817BA">
        <w:rPr>
          <w:sz w:val="22"/>
          <w:lang w:val="en"/>
        </w:rPr>
        <w:t xml:space="preserve">In this study, a risk assessment was conducted which was divided into 3 (three) categories in accordance with (Petr Rehacek, 2017), namely: (a) Internal risk; Internal risks may be divided by parties that may be the originator's risk events such as stakeholders, </w:t>
      </w:r>
      <w:r>
        <w:rPr>
          <w:sz w:val="22"/>
          <w:lang w:val="en"/>
        </w:rPr>
        <w:t>designers,</w:t>
      </w:r>
      <w:r w:rsidRPr="001817BA">
        <w:rPr>
          <w:sz w:val="22"/>
          <w:lang w:val="en"/>
        </w:rPr>
        <w:t xml:space="preserve">contractors, </w:t>
      </w:r>
      <w:r>
        <w:rPr>
          <w:lang w:val="en"/>
        </w:rPr>
        <w:t xml:space="preserve"> </w:t>
      </w:r>
      <w:r>
        <w:rPr>
          <w:sz w:val="22"/>
          <w:lang w:val="en"/>
        </w:rPr>
        <w:t>and others. Internal</w:t>
      </w:r>
      <w:r w:rsidRPr="001817BA">
        <w:rPr>
          <w:sz w:val="22"/>
          <w:lang w:val="en"/>
        </w:rPr>
        <w:t>risk in project construction such as resource risk, project member risk, stakeholder risk, designer risk, contractor risk, subcontractor risk, supplier risk, team risk, construction site risk and document and information risk, (b) External risk; External risks are risks beyond the control of the project management team such as political risks, economic risks, social risks, and weather risks, (c) Project risks; Construction criteria of project risk are time risk, cost risk, work quality, construction risk, and technology risk.</w:t>
      </w:r>
    </w:p>
    <w:p w14:paraId="4C9BEA7D" w14:textId="77777777" w:rsidR="00CC07D4" w:rsidRPr="00CC07D4" w:rsidRDefault="00CC07D4" w:rsidP="009F6A4B">
      <w:pPr>
        <w:spacing w:after="240"/>
        <w:ind w:left="450"/>
        <w:jc w:val="both"/>
        <w:rPr>
          <w:sz w:val="22"/>
          <w:lang w:val="en"/>
        </w:rPr>
      </w:pPr>
      <w:r w:rsidRPr="009436AA">
        <w:rPr>
          <w:sz w:val="22"/>
          <w:lang w:val="en"/>
        </w:rPr>
        <w:t xml:space="preserve">The above three categories are divided into 2 (two) categories </w:t>
      </w:r>
      <w:r>
        <w:rPr>
          <w:sz w:val="22"/>
          <w:lang w:val="en"/>
        </w:rPr>
        <w:t xml:space="preserve">including </w:t>
      </w:r>
      <w:r w:rsidRPr="00CC07D4">
        <w:rPr>
          <w:sz w:val="22"/>
          <w:lang w:val="en"/>
        </w:rPr>
        <w:t xml:space="preserve"> </w:t>
      </w:r>
      <w:r w:rsidRPr="009436AA">
        <w:rPr>
          <w:sz w:val="22"/>
          <w:lang w:val="en"/>
        </w:rPr>
        <w:t xml:space="preserve">(a) Technical risk;  Technical risk assessment relates to assessing the probability that the system embodied in design when built meets </w:t>
      </w:r>
      <w:r w:rsidRPr="00CC07D4">
        <w:rPr>
          <w:sz w:val="22"/>
          <w:lang w:val="en"/>
        </w:rPr>
        <w:t xml:space="preserve"> </w:t>
      </w:r>
      <w:r>
        <w:rPr>
          <w:sz w:val="22"/>
          <w:lang w:val="en"/>
        </w:rPr>
        <w:t xml:space="preserve">technical/performance </w:t>
      </w:r>
      <w:r w:rsidRPr="00CC07D4">
        <w:rPr>
          <w:sz w:val="22"/>
          <w:lang w:val="en"/>
        </w:rPr>
        <w:t xml:space="preserve"> </w:t>
      </w:r>
      <w:r w:rsidRPr="009436AA">
        <w:rPr>
          <w:sz w:val="22"/>
          <w:lang w:val="en"/>
        </w:rPr>
        <w:t xml:space="preserve">requirements, </w:t>
      </w:r>
      <w:r w:rsidRPr="00CC07D4">
        <w:rPr>
          <w:sz w:val="22"/>
          <w:lang w:val="en"/>
        </w:rPr>
        <w:t xml:space="preserve">and if there </w:t>
      </w:r>
      <w:r>
        <w:rPr>
          <w:sz w:val="22"/>
          <w:lang w:val="en"/>
        </w:rPr>
        <w:t xml:space="preserve">is </w:t>
      </w:r>
      <w:r w:rsidRPr="00CC07D4">
        <w:rPr>
          <w:sz w:val="22"/>
          <w:lang w:val="en"/>
        </w:rPr>
        <w:t xml:space="preserve">an expected performance </w:t>
      </w:r>
      <w:r w:rsidRPr="009436AA">
        <w:rPr>
          <w:sz w:val="22"/>
          <w:lang w:val="en"/>
        </w:rPr>
        <w:t xml:space="preserve">deficiency, </w:t>
      </w:r>
      <w:r w:rsidRPr="00CC07D4">
        <w:rPr>
          <w:sz w:val="22"/>
          <w:lang w:val="en"/>
        </w:rPr>
        <w:t xml:space="preserve">how serious the impact is </w:t>
      </w:r>
      <w:r w:rsidRPr="009436AA">
        <w:rPr>
          <w:sz w:val="22"/>
          <w:lang w:val="en"/>
        </w:rPr>
        <w:fldChar w:fldCharType="begin" w:fldLock="1"/>
      </w:r>
      <w:r>
        <w:rPr>
          <w:sz w:val="22"/>
          <w:lang w:val="en"/>
        </w:rPr>
        <w:instrText>ADDIN CSL_CITATION {"citationItems":[{"id":"ITEM-1","itemData":{"author":[{"dropping-particle":"","family":"Klein","given":"Jonathan H","non-dropping-particle":"","parse-names":false,"suffix":""},{"dropping-particle":"","family":"Cork","given":"Robin B","non-dropping-particle":"","parse-names":false,"suffix":""}],"container-title":"International Journal of Project Management","id":"ITEM-1","issue":"6","issued":{"date-parts":[["1998"]]},"page":"345-351","title":"An Approach to Technical Risk Assessment","type":"article-journal","volume":"16"},"uris":["http://www.mendeley.com/documents/?uuid=2a1ce6dc-2f1e-4214-95d9-efa382513943"]}],"mendeley":{"formattedCitation":"(Klein &amp; Cork, 1998)","plainTextFormattedCitation":"(Klein &amp; Cork, 1998)","previouslyFormattedCitation":"(Klein &amp; Cork, 1998)"},"properties":{"noteIndex":0},"schema":"https://github.com/citation-style-language/schema/raw/master/csl-citation.json"}</w:instrText>
      </w:r>
      <w:r w:rsidRPr="009436AA">
        <w:rPr>
          <w:sz w:val="22"/>
          <w:lang w:val="en"/>
        </w:rPr>
        <w:fldChar w:fldCharType="separate"/>
      </w:r>
      <w:r w:rsidRPr="006D3E71">
        <w:rPr>
          <w:sz w:val="22"/>
          <w:lang w:val="en"/>
        </w:rPr>
        <w:t>(Klein &amp;Cork, 1998)</w:t>
      </w:r>
      <w:r w:rsidRPr="009436AA">
        <w:rPr>
          <w:sz w:val="22"/>
          <w:lang w:val="en"/>
        </w:rPr>
        <w:fldChar w:fldCharType="end"/>
      </w:r>
      <w:r>
        <w:rPr>
          <w:sz w:val="22"/>
          <w:lang w:val="en"/>
        </w:rPr>
        <w:t xml:space="preserve"> </w:t>
      </w:r>
      <w:r w:rsidR="004E7C87" w:rsidRPr="000275E7">
        <w:rPr>
          <w:sz w:val="22"/>
          <w:szCs w:val="22"/>
          <w:lang w:val="id"/>
        </w:rPr>
        <w:t>(</w:t>
      </w:r>
      <w:r w:rsidRPr="000275E7">
        <w:rPr>
          <w:sz w:val="22"/>
          <w:szCs w:val="22"/>
          <w:lang w:val="en"/>
        </w:rPr>
        <w:t>b) Non-technical risks; Non-technical risk (NTR) is a risk that can directly affect a particular project, the cause of which is an unplanned and unexpected event resulting in an undesirable deviation from the original project delivery site carried out by an external (non-contractor) stakeholder. a clear relationship between risk and external stakeholders distinguishes NTR from technical risks in the context of the project. In other words, NTR (also known as above-ground risk) usually comes from external stakeholders/environments (Ite, 2016). In this article, non-technical risks related to financial risk, operational institutions, land acquisition, risk from stakeholders or governments, political risks, law, partnerships, socioeconomic, weather risk, etc.(Ite, 2016)</w:t>
      </w:r>
      <w:r w:rsidRPr="000275E7">
        <w:rPr>
          <w:sz w:val="22"/>
          <w:szCs w:val="22"/>
          <w:lang w:val="en"/>
        </w:rPr>
        <w:fldChar w:fldCharType="begin" w:fldLock="1"/>
      </w:r>
      <w:r w:rsidRPr="000275E7">
        <w:rPr>
          <w:sz w:val="22"/>
          <w:szCs w:val="22"/>
          <w:lang w:val="en"/>
        </w:rPr>
        <w:instrText>ADDIN CSL_CITATION {"citationItems":[{"id":"ITEM-1","itemData":{"author":[{"dropping-particle":"","family":"Ite","given":"Uwem E.","non-dropping-particle":"","parse-names":false,"suffix":""}],"container-title":"Society of Petroleum Engineers","id":"ITEM-1","issued":{"date-parts":[["2016"]]},"title":"Non-Technical Risks Management: A Framework for Sustainable Energy Security and Stability","type":"article-journal"},"uris":["http://www.mendeley.com/documents/?uuid=1c438675-1f7d-4b7d-9967-54269ab3fe39"]}],"mendeley":{"formattedCitation":"(Ite, 2016)","plainTextFormattedCitation":"(Ite, 2016)","previouslyFormattedCitation":"(Ite, 2016)"},"properties":{"noteIndex":0},"schema":"https://github.com/citation-style-language/schema/raw/master/csl-citation.json"}</w:instrText>
      </w:r>
      <w:r w:rsidRPr="000275E7">
        <w:rPr>
          <w:sz w:val="22"/>
          <w:szCs w:val="22"/>
          <w:lang w:val="en"/>
        </w:rPr>
        <w:fldChar w:fldCharType="end"/>
      </w:r>
    </w:p>
    <w:p w14:paraId="0E207E60" w14:textId="77777777" w:rsidR="00CC07D4" w:rsidRPr="000275E7" w:rsidRDefault="00CC07D4" w:rsidP="00CC07D4">
      <w:pPr>
        <w:numPr>
          <w:ilvl w:val="0"/>
          <w:numId w:val="21"/>
        </w:numPr>
        <w:spacing w:after="240"/>
        <w:jc w:val="both"/>
        <w:rPr>
          <w:sz w:val="22"/>
          <w:szCs w:val="22"/>
        </w:rPr>
      </w:pPr>
      <w:r w:rsidRPr="00CC07D4">
        <w:rPr>
          <w:sz w:val="22"/>
          <w:szCs w:val="22"/>
        </w:rPr>
        <w:t>Internal Technical Risks</w:t>
      </w:r>
    </w:p>
    <w:p w14:paraId="1DA8DFBF" w14:textId="76E77C0A" w:rsidR="00CC07D4" w:rsidRPr="000275E7" w:rsidRDefault="00CC07D4" w:rsidP="004C30E1">
      <w:pPr>
        <w:spacing w:after="240"/>
        <w:ind w:left="426"/>
        <w:jc w:val="both"/>
        <w:rPr>
          <w:sz w:val="22"/>
          <w:szCs w:val="22"/>
          <w:lang w:val="id"/>
        </w:rPr>
      </w:pPr>
      <w:r w:rsidRPr="000275E7">
        <w:rPr>
          <w:sz w:val="22"/>
          <w:szCs w:val="22"/>
          <w:lang w:val="en"/>
        </w:rPr>
        <w:t xml:space="preserve">The results of research on Safety at the Pier Project show the most dominant risk priority </w:t>
      </w:r>
      <w:r w:rsidRPr="000275E7">
        <w:rPr>
          <w:sz w:val="22"/>
          <w:szCs w:val="22"/>
          <w:lang w:val="en"/>
        </w:rPr>
        <w:lastRenderedPageBreak/>
        <w:t>in girder bridge construction is the girder falling off during mobilization</w:t>
      </w:r>
      <w:r w:rsidR="00B127EB">
        <w:rPr>
          <w:sz w:val="22"/>
          <w:szCs w:val="22"/>
          <w:lang w:val="en"/>
        </w:rPr>
        <w:t>, and</w:t>
      </w:r>
      <w:r w:rsidRPr="000275E7">
        <w:rPr>
          <w:sz w:val="22"/>
          <w:szCs w:val="22"/>
          <w:lang w:val="en"/>
        </w:rPr>
        <w:t xml:space="preserve"> daydreaming is the most dominant cause. 4 </w:t>
      </w:r>
      <w:r w:rsidR="00B127EB">
        <w:rPr>
          <w:sz w:val="22"/>
          <w:szCs w:val="22"/>
          <w:lang w:val="en"/>
        </w:rPr>
        <w:t xml:space="preserve">(four) </w:t>
      </w:r>
      <w:r w:rsidRPr="000275E7">
        <w:rPr>
          <w:sz w:val="22"/>
          <w:szCs w:val="22"/>
          <w:lang w:val="en"/>
        </w:rPr>
        <w:t>factors have been identified as sources that cause accident risk which are personal factors, managerial factors, technical and related tool factors and environmental factors. (Aulady et al., 2018)</w:t>
      </w:r>
    </w:p>
    <w:p w14:paraId="26BE5540" w14:textId="77777777" w:rsidR="00CC07D4" w:rsidRPr="000275E7" w:rsidRDefault="00CC07D4" w:rsidP="00CC07D4">
      <w:pPr>
        <w:numPr>
          <w:ilvl w:val="0"/>
          <w:numId w:val="21"/>
        </w:numPr>
        <w:spacing w:after="240"/>
        <w:jc w:val="both"/>
        <w:rPr>
          <w:sz w:val="22"/>
          <w:szCs w:val="22"/>
        </w:rPr>
      </w:pPr>
      <w:r w:rsidRPr="00CC07D4">
        <w:rPr>
          <w:sz w:val="22"/>
          <w:szCs w:val="22"/>
        </w:rPr>
        <w:t>Internal Non-Technical Risks</w:t>
      </w:r>
    </w:p>
    <w:p w14:paraId="6ED941E7" w14:textId="77777777" w:rsidR="00CC07D4" w:rsidRPr="000275E7" w:rsidRDefault="00CC07D4" w:rsidP="0071304D">
      <w:pPr>
        <w:spacing w:after="240"/>
        <w:ind w:left="426"/>
        <w:jc w:val="both"/>
        <w:rPr>
          <w:sz w:val="22"/>
          <w:szCs w:val="22"/>
        </w:rPr>
      </w:pPr>
      <w:r w:rsidRPr="000275E7">
        <w:rPr>
          <w:sz w:val="22"/>
          <w:szCs w:val="22"/>
          <w:lang w:val="en"/>
        </w:rPr>
        <w:t xml:space="preserve">There are risk factors that are at a very high level, namely the understanding of contract documents, different location conditions, equipment productivity, material quality, cash flow, sub-contractor competence, and weather effects </w:t>
      </w:r>
      <w:r w:rsidRPr="000275E7">
        <w:rPr>
          <w:sz w:val="22"/>
          <w:szCs w:val="22"/>
          <w:lang w:val="en"/>
        </w:rPr>
        <w:fldChar w:fldCharType="begin" w:fldLock="1"/>
      </w:r>
      <w:r w:rsidRPr="000275E7">
        <w:rPr>
          <w:sz w:val="22"/>
          <w:szCs w:val="22"/>
          <w:lang w:val="en"/>
        </w:rPr>
        <w:instrText>ADDIN CSL_CITATION {"citationItems":[{"id":"ITEM-1","itemData":{"DOI":"10.29138/ijti.v2i2.785","ISSN":"2597-4734","abstract":"Risk is a situation that is uncertain and there is an element of danger, the consequences that could occur due to a process that is ongoing or upcoming events. One of them in construction, where activity in this activity, there is some risk that may occur and give a great impact in the success of the completion of the work. Approaches were made to the risks involved with understanding/identification of risk, risk measurement, risk mapping, the response to risk. So with the existence of such activities can provide a recommendation as to whether the risks are acceptable, divided, reduced or avoided. This research was conducted with descriptive quantitative research methods. The results of this study concluded that there were 7 risk factors in very high level understanding of contract documents i.e., different site condition, productivity, quality equipment/material quality, smooth cash flow, the competence of sub contractors, and the influence of the weather. Against the risk of handling very high i.e. by way of doing business – business everything possible so that it can reduce the level of risk that exists so that the work can be resolved properly and the third project targets can be achieved.","author":[{"dropping-particle":"","family":"Nugroho","given":"Bayu Puji","non-dropping-particle":"","parse-names":false,"suffix":""}],"container-title":"IJTI (International Journal of Transportation and Infrastructure)","id":"ITEM-1","issue":"2","issued":{"date-parts":[["2019"]]},"page":"67-76","title":"Risk Management in Construction of Dry Bulk Jetty At Teluk Lamong Multipurpose Terminal","type":"article-journal","volume":"2"},"uris":["http://www.mendeley.com/documents/?uuid=9d722d83-ff00-4080-a84c-322e5ea0508e"]}],"mendeley":{"formattedCitation":"(Nugroho, 2019)","manualFormatting":" (Nugroho, 2019)","plainTextFormattedCitation":"(Nugroho, 2019)","previouslyFormattedCitation":"(Nugroho, 2019)"},"properties":{"noteIndex":0},"schema":"https://github.com/citation-style-language/schema/raw/master/csl-citation.json"}</w:instrText>
      </w:r>
      <w:r w:rsidRPr="000275E7">
        <w:rPr>
          <w:sz w:val="22"/>
          <w:szCs w:val="22"/>
          <w:lang w:val="en"/>
        </w:rPr>
        <w:fldChar w:fldCharType="separate"/>
      </w:r>
      <w:r w:rsidRPr="000275E7">
        <w:rPr>
          <w:noProof/>
          <w:sz w:val="22"/>
          <w:szCs w:val="22"/>
          <w:lang w:val="en"/>
        </w:rPr>
        <w:t xml:space="preserve"> (Nugroho, 2019)</w:t>
      </w:r>
      <w:r w:rsidRPr="000275E7">
        <w:rPr>
          <w:sz w:val="22"/>
          <w:szCs w:val="22"/>
          <w:lang w:val="en"/>
        </w:rPr>
        <w:fldChar w:fldCharType="end"/>
      </w:r>
    </w:p>
    <w:p w14:paraId="1FC229F7" w14:textId="77777777" w:rsidR="00CC07D4" w:rsidRPr="000275E7" w:rsidRDefault="00CC07D4" w:rsidP="00CC07D4">
      <w:pPr>
        <w:numPr>
          <w:ilvl w:val="0"/>
          <w:numId w:val="21"/>
        </w:numPr>
        <w:spacing w:after="240"/>
        <w:jc w:val="both"/>
        <w:rPr>
          <w:sz w:val="22"/>
          <w:szCs w:val="22"/>
        </w:rPr>
      </w:pPr>
      <w:r w:rsidRPr="00CC07D4">
        <w:rPr>
          <w:sz w:val="22"/>
          <w:szCs w:val="22"/>
        </w:rPr>
        <w:t>External Technical Risks</w:t>
      </w:r>
    </w:p>
    <w:p w14:paraId="76D0A3B2" w14:textId="77777777" w:rsidR="00CC07D4" w:rsidRPr="000275E7" w:rsidRDefault="00CC07D4" w:rsidP="0071304D">
      <w:pPr>
        <w:spacing w:after="240"/>
        <w:ind w:left="426"/>
        <w:jc w:val="both"/>
        <w:rPr>
          <w:sz w:val="22"/>
          <w:szCs w:val="22"/>
        </w:rPr>
      </w:pPr>
      <w:r w:rsidRPr="000275E7">
        <w:rPr>
          <w:sz w:val="22"/>
          <w:szCs w:val="22"/>
          <w:lang w:val="en"/>
        </w:rPr>
        <w:t xml:space="preserve">The highest risks are aspects of environmental change, design incomprehension, aspects of </w:t>
      </w:r>
      <w:r>
        <w:rPr>
          <w:lang w:val="en"/>
        </w:rPr>
        <w:t xml:space="preserve"> </w:t>
      </w:r>
      <w:r w:rsidRPr="000275E7">
        <w:rPr>
          <w:sz w:val="22"/>
          <w:szCs w:val="22"/>
          <w:lang w:val="en"/>
        </w:rPr>
        <w:t xml:space="preserve">workers' inadestruction, aspects of </w:t>
      </w:r>
      <w:r>
        <w:rPr>
          <w:lang w:val="en"/>
        </w:rPr>
        <w:t xml:space="preserve"> environmental </w:t>
      </w:r>
      <w:r w:rsidRPr="000275E7">
        <w:rPr>
          <w:sz w:val="22"/>
          <w:szCs w:val="22"/>
          <w:lang w:val="en"/>
        </w:rPr>
        <w:t xml:space="preserve">change, aspects of employment, </w:t>
      </w:r>
      <w:r>
        <w:rPr>
          <w:lang w:val="en"/>
        </w:rPr>
        <w:t xml:space="preserve"> </w:t>
      </w:r>
      <w:r w:rsidRPr="000275E7">
        <w:rPr>
          <w:sz w:val="22"/>
          <w:szCs w:val="22"/>
          <w:lang w:val="en"/>
        </w:rPr>
        <w:t>technical aspects of employment, aspects of price increases and mobilization of equipment, aspects of negligence and work accidents (Tangdiembong et al., 2013)</w:t>
      </w:r>
      <w:r>
        <w:rPr>
          <w:lang w:val="en"/>
        </w:rPr>
        <w:t xml:space="preserve"> </w:t>
      </w:r>
      <w:r w:rsidRPr="000275E7">
        <w:rPr>
          <w:sz w:val="22"/>
          <w:szCs w:val="22"/>
          <w:lang w:val="en"/>
        </w:rPr>
        <w:t xml:space="preserve"> </w:t>
      </w:r>
    </w:p>
    <w:p w14:paraId="68B39D7C" w14:textId="77777777" w:rsidR="00CC07D4" w:rsidRPr="000275E7" w:rsidRDefault="00CC07D4" w:rsidP="00CC07D4">
      <w:pPr>
        <w:numPr>
          <w:ilvl w:val="0"/>
          <w:numId w:val="21"/>
        </w:numPr>
        <w:spacing w:after="240"/>
        <w:jc w:val="both"/>
        <w:rPr>
          <w:sz w:val="22"/>
          <w:szCs w:val="22"/>
        </w:rPr>
      </w:pPr>
      <w:r w:rsidRPr="00CC07D4">
        <w:rPr>
          <w:sz w:val="22"/>
          <w:szCs w:val="22"/>
        </w:rPr>
        <w:t>External Non-Technical Risks</w:t>
      </w:r>
    </w:p>
    <w:p w14:paraId="69082CBF" w14:textId="3743B2F5" w:rsidR="00CC07D4" w:rsidRPr="000275E7" w:rsidRDefault="00CC07D4" w:rsidP="006C6416">
      <w:pPr>
        <w:pStyle w:val="ListParagraph"/>
        <w:spacing w:after="240"/>
        <w:ind w:left="426"/>
        <w:jc w:val="both"/>
        <w:rPr>
          <w:sz w:val="22"/>
          <w:szCs w:val="22"/>
        </w:rPr>
      </w:pPr>
      <w:r w:rsidRPr="000275E7">
        <w:rPr>
          <w:sz w:val="22"/>
          <w:szCs w:val="22"/>
          <w:lang w:val="en"/>
        </w:rPr>
        <w:t xml:space="preserve">Risk management is important and </w:t>
      </w:r>
      <w:r w:rsidR="00753F8F">
        <w:rPr>
          <w:sz w:val="22"/>
          <w:szCs w:val="22"/>
          <w:lang w:val="en"/>
        </w:rPr>
        <w:t>useful for marine projects. S</w:t>
      </w:r>
      <w:bookmarkStart w:id="0" w:name="_GoBack"/>
      <w:bookmarkEnd w:id="0"/>
      <w:r w:rsidR="00753F8F">
        <w:rPr>
          <w:sz w:val="22"/>
          <w:szCs w:val="22"/>
          <w:lang w:val="en"/>
        </w:rPr>
        <w:t>ix</w:t>
      </w:r>
      <w:r w:rsidRPr="000275E7">
        <w:rPr>
          <w:sz w:val="22"/>
          <w:szCs w:val="22"/>
          <w:lang w:val="en"/>
        </w:rPr>
        <w:t xml:space="preserve"> categories of risk factors </w:t>
      </w:r>
      <w:r>
        <w:rPr>
          <w:lang w:val="en"/>
        </w:rPr>
        <w:t xml:space="preserve"> </w:t>
      </w:r>
      <w:r w:rsidRPr="000275E7">
        <w:rPr>
          <w:sz w:val="22"/>
          <w:szCs w:val="22"/>
          <w:lang w:val="en"/>
        </w:rPr>
        <w:t xml:space="preserve">include: </w:t>
      </w:r>
      <w:r>
        <w:rPr>
          <w:lang w:val="en"/>
        </w:rPr>
        <w:t xml:space="preserve"> </w:t>
      </w:r>
      <w:r w:rsidRPr="000275E7">
        <w:rPr>
          <w:sz w:val="22"/>
          <w:szCs w:val="22"/>
          <w:lang w:val="en"/>
        </w:rPr>
        <w:t xml:space="preserve">i) </w:t>
      </w:r>
      <w:r w:rsidR="00C86C07">
        <w:rPr>
          <w:lang w:val="en"/>
        </w:rPr>
        <w:t>acts of god</w:t>
      </w:r>
      <w:r w:rsidRPr="000275E7">
        <w:rPr>
          <w:sz w:val="22"/>
          <w:szCs w:val="22"/>
          <w:lang w:val="en"/>
        </w:rPr>
        <w:t xml:space="preserve">;ii) physical; </w:t>
      </w:r>
      <w:r w:rsidRPr="000275E7">
        <w:rPr>
          <w:sz w:val="22"/>
          <w:szCs w:val="22"/>
          <w:lang w:val="en"/>
        </w:rPr>
        <w:t xml:space="preserve">iii) financial and economic; iv) politics and the environment; v) </w:t>
      </w:r>
      <w:r>
        <w:rPr>
          <w:lang w:val="en"/>
        </w:rPr>
        <w:t xml:space="preserve"> </w:t>
      </w:r>
      <w:r w:rsidRPr="000275E7">
        <w:rPr>
          <w:sz w:val="22"/>
          <w:szCs w:val="22"/>
          <w:lang w:val="en"/>
        </w:rPr>
        <w:t>design</w:t>
      </w:r>
      <w:r>
        <w:rPr>
          <w:lang w:val="en"/>
        </w:rPr>
        <w:t xml:space="preserve"> </w:t>
      </w:r>
      <w:r w:rsidRPr="000275E7">
        <w:rPr>
          <w:sz w:val="22"/>
          <w:szCs w:val="22"/>
          <w:lang w:val="en"/>
        </w:rPr>
        <w:t xml:space="preserve"> and vi) </w:t>
      </w:r>
      <w:r>
        <w:rPr>
          <w:lang w:val="en"/>
        </w:rPr>
        <w:t xml:space="preserve"> </w:t>
      </w:r>
      <w:r w:rsidRPr="000275E7">
        <w:rPr>
          <w:sz w:val="22"/>
          <w:szCs w:val="22"/>
          <w:lang w:val="en"/>
        </w:rPr>
        <w:t>related construction</w:t>
      </w:r>
      <w:r>
        <w:rPr>
          <w:lang w:val="en"/>
        </w:rPr>
        <w:t xml:space="preserve"> </w:t>
      </w:r>
      <w:r w:rsidRPr="000275E7">
        <w:rPr>
          <w:sz w:val="22"/>
          <w:szCs w:val="22"/>
          <w:lang w:val="en"/>
        </w:rPr>
        <w:fldChar w:fldCharType="begin" w:fldLock="1"/>
      </w:r>
      <w:r w:rsidRPr="000275E7">
        <w:rPr>
          <w:sz w:val="22"/>
          <w:szCs w:val="22"/>
          <w:lang w:val="en"/>
        </w:rPr>
        <w:instrText>ADDIN CSL_CITATION {"citationItems":[{"id":"ITEM-1","itemData":{"DOI":"10.5592/otmcj.2012.1.5","ISSN":"18475450","abstract":"Brief introduction to the problem Risk management is one of the important management strategies that lead the success of major construction projects. Managing risks has become an important part of the management activities in construction industry. In Hong Kong, marine construction forms a major part of the construction business. In fact, it is appeared that marine construction exposes to serious risks in comparing to other types of construction work, which contributes the potential loss to both clients and contractors. There is a need for systematic risk management approaches that can help contractors for reducing and controlling risks thus to effectively improve project management. This paper focuses on contractor parties who work on marine construction work, and aims to identify critical risks and risk response techniques in managing marine projects. Questionnaire survey and structured interviews are conducted. It is found that \"underwater conditions are different from tender assumptions\" is the most common risk factor encountered in marine projects, \"unavailability of materials, plant and labour\" is the most impact to the project if risk is encountered. The most effective risk response technique to tickle risks encountered is\"refer to previous experience\". Recommendations for improving risk management are also discussed.","author":[{"dropping-particle":"","family":"Tam","given":"Vivian W. Y.","non-dropping-particle":"","parse-names":false,"suffix":""},{"dropping-particle":"","family":"Shen","given":"L. Y.","non-dropping-particle":"","parse-names":false,"suffix":""}],"container-title":"Organization, Technology and Management in Construction: an International Journal","id":"ITEM-1","issue":"1","issued":{"date-parts":[["2012"]]},"page":"403-410","title":"Risk Management for Contractors in Marine Projects","type":"article-journal","volume":"4"},"uris":["http://www.mendeley.com/documents/?uuid=684fbffb-262e-43ce-a6b9-3d3d747391e4"]}],"mendeley":{"formattedCitation":"(Tam &amp; Shen, 2012)","plainTextFormattedCitation":"(Tam &amp; Shen, 2012)","previouslyFormattedCitation":"(Tam &amp; Shen, 2012)"},"properties":{"noteIndex":0},"schema":"https://github.com/citation-style-language/schema/raw/master/csl-citation.json"}</w:instrText>
      </w:r>
      <w:r w:rsidRPr="000275E7">
        <w:rPr>
          <w:sz w:val="22"/>
          <w:szCs w:val="22"/>
          <w:lang w:val="en"/>
        </w:rPr>
        <w:fldChar w:fldCharType="separate"/>
      </w:r>
      <w:r w:rsidRPr="000275E7">
        <w:rPr>
          <w:noProof/>
          <w:sz w:val="22"/>
          <w:szCs w:val="22"/>
          <w:lang w:val="en"/>
        </w:rPr>
        <w:t xml:space="preserve"> (Tam &amp;Shen, 2012)</w:t>
      </w:r>
      <w:r w:rsidRPr="000275E7">
        <w:rPr>
          <w:sz w:val="22"/>
          <w:szCs w:val="22"/>
          <w:lang w:val="en"/>
        </w:rPr>
        <w:fldChar w:fldCharType="end"/>
      </w:r>
    </w:p>
    <w:p w14:paraId="4E1414D9" w14:textId="77777777" w:rsidR="00CC07D4" w:rsidRPr="000275E7" w:rsidRDefault="00CC07D4" w:rsidP="00CC07D4">
      <w:pPr>
        <w:numPr>
          <w:ilvl w:val="0"/>
          <w:numId w:val="21"/>
        </w:numPr>
        <w:spacing w:after="240"/>
        <w:jc w:val="both"/>
        <w:rPr>
          <w:sz w:val="22"/>
          <w:szCs w:val="22"/>
        </w:rPr>
      </w:pPr>
      <w:r w:rsidRPr="00CC07D4">
        <w:rPr>
          <w:sz w:val="22"/>
          <w:szCs w:val="22"/>
        </w:rPr>
        <w:t>Project Technical Risks</w:t>
      </w:r>
    </w:p>
    <w:p w14:paraId="737098ED" w14:textId="77777777" w:rsidR="00CC07D4" w:rsidRPr="000275E7" w:rsidRDefault="00CC07D4" w:rsidP="00A87683">
      <w:pPr>
        <w:spacing w:after="240"/>
        <w:ind w:left="360"/>
        <w:jc w:val="both"/>
        <w:rPr>
          <w:sz w:val="22"/>
          <w:szCs w:val="22"/>
        </w:rPr>
      </w:pPr>
      <w:r w:rsidRPr="000275E7">
        <w:rPr>
          <w:sz w:val="22"/>
          <w:szCs w:val="22"/>
          <w:lang w:val="en"/>
        </w:rPr>
        <w:t xml:space="preserve">Risk analysis on a high scale, namely: a. There was a machine failure. b. Delay in procurement of materials and equipment. c. Incompatibility of implementation results with specifications. Risk analysis above that on a medium scale, namely: a. The influence of erratic weather factors. b. Shop drawing work and design work are not detailed. </w:t>
      </w:r>
      <w:r w:rsidRPr="000275E7">
        <w:rPr>
          <w:sz w:val="22"/>
          <w:szCs w:val="22"/>
          <w:lang w:val="en"/>
        </w:rPr>
        <w:fldChar w:fldCharType="begin" w:fldLock="1"/>
      </w:r>
      <w:r w:rsidRPr="000275E7">
        <w:rPr>
          <w:sz w:val="22"/>
          <w:szCs w:val="22"/>
          <w:lang w:val="en"/>
        </w:rPr>
        <w:instrText>ADDIN CSL_CITATION {"citationItems":[{"id":"ITEM-1","itemData":{"ISBN":"9786027060418","abstract":"Proyek pembangunan pengaman pantai di Provinsi Sulawesi Barat merupakan proyek pembangunan yang memiliki resiko cukup tinggi, seperti kondisi pasang surut, hantaman gelombang dan sebagainya, sehingga dikhawatirkan dapat menghambat pelaksanaan proyek. Penelitian ini bertujuan untuk mengidentifikasi dan analisa resiko yang timbul dalam pelaksanaan proyek pembangunan pengaman pantai di Provinsi Sulawesi Barat. Lokasi penelitian ini di proyek pembangunan pengaman pantai Provinsi Sulawesi Barat. Variabel resiko didapat dari literatur dan akan di validasi oleh metodologi dan alur penelitian. Responden penelitian ini adalah Project Manager proyek-proyek bangunan pantai di Provinsi Sulawesi Barat. Teknik sampling yang digunakan adalah non-probability sampling (purposive sampling) dan resiko akan dianalisa menggunakan probability impact matrix. Hasil akhir penelitian menunjukkan bawah pada proyek pembangunan bangunan pengaman pantai di Sulawesi Barat terdapat 3 resiko dengan kategori tinggi yaitu : Resiko kerusakan alat, keterlambatan pengadaan material dan peralatan dan resiko ketidaksesuaian hasil pelaksanaan dengan spesifikasi. Adapun untuk meminimasi resiko digunakan metode Risk Reduction (pengurangan resiko).","author":[{"dropping-particle":"","family":"Anwar","given":"","non-dropping-particle":"","parse-names":false,"suffix":""},{"dropping-particle":"","family":"Adi","given":"Tri Joko Wahyu","non-dropping-particle":"","parse-names":false,"suffix":""}],"container-title":"Seminar Nasional Manajemen Teknologi XXII","id":"ITEM-1","issued":{"date-parts":[["2015"]]},"page":"1-7","title":"Analisa Resiko Teknis Yang Mempengaruhi Kinerja Waktu Proyek Pembangunan Pengaman Pantai Di Provinsi Sulawesi Barat","type":"article-journal"},"uris":["http://www.mendeley.com/documents/?uuid=59f46f11-90e5-4ff9-a643-1e50247ba917"]}],"mendeley":{"formattedCitation":"(Anwar &amp; Adi, 2015)","plainTextFormattedCitation":"(Anwar &amp; Adi, 2015)","previouslyFormattedCitation":"(Anwar &amp; Adi, 2015)"},"properties":{"noteIndex":0},"schema":"https://github.com/citation-style-language/schema/raw/master/csl-citation.json"}</w:instrText>
      </w:r>
      <w:r w:rsidRPr="000275E7">
        <w:rPr>
          <w:sz w:val="22"/>
          <w:szCs w:val="22"/>
          <w:lang w:val="en"/>
        </w:rPr>
        <w:fldChar w:fldCharType="separate"/>
      </w:r>
      <w:r w:rsidRPr="000275E7">
        <w:rPr>
          <w:noProof/>
          <w:sz w:val="22"/>
          <w:szCs w:val="22"/>
          <w:lang w:val="en"/>
        </w:rPr>
        <w:t>(Anwar &amp;Adi, 2015)</w:t>
      </w:r>
      <w:r w:rsidRPr="000275E7">
        <w:rPr>
          <w:sz w:val="22"/>
          <w:szCs w:val="22"/>
          <w:lang w:val="en"/>
        </w:rPr>
        <w:fldChar w:fldCharType="end"/>
      </w:r>
    </w:p>
    <w:p w14:paraId="0462B60C" w14:textId="77777777" w:rsidR="00CC07D4" w:rsidRPr="000275E7" w:rsidRDefault="00CC07D4" w:rsidP="00CC07D4">
      <w:pPr>
        <w:numPr>
          <w:ilvl w:val="0"/>
          <w:numId w:val="21"/>
        </w:numPr>
        <w:spacing w:after="240"/>
        <w:jc w:val="both"/>
        <w:rPr>
          <w:sz w:val="22"/>
          <w:szCs w:val="22"/>
        </w:rPr>
      </w:pPr>
      <w:r w:rsidRPr="00CC07D4">
        <w:rPr>
          <w:sz w:val="22"/>
          <w:szCs w:val="22"/>
        </w:rPr>
        <w:t>Project Non-Technical Risks</w:t>
      </w:r>
    </w:p>
    <w:p w14:paraId="0C1F11B9" w14:textId="77777777" w:rsidR="00CC07D4" w:rsidRDefault="00CC07D4" w:rsidP="00AE4096">
      <w:pPr>
        <w:spacing w:after="240"/>
        <w:ind w:left="450"/>
        <w:jc w:val="both"/>
        <w:rPr>
          <w:sz w:val="22"/>
          <w:szCs w:val="22"/>
        </w:rPr>
      </w:pPr>
      <w:r w:rsidRPr="000275E7">
        <w:rPr>
          <w:sz w:val="22"/>
          <w:szCs w:val="22"/>
          <w:lang w:val="en"/>
        </w:rPr>
        <w:t xml:space="preserve">Designing low-cost port construction to </w:t>
      </w:r>
      <w:r w:rsidRPr="00C86C07">
        <w:rPr>
          <w:sz w:val="22"/>
          <w:szCs w:val="22"/>
          <w:lang w:val="en"/>
        </w:rPr>
        <w:t xml:space="preserve"> </w:t>
      </w:r>
      <w:r w:rsidRPr="000275E7">
        <w:rPr>
          <w:sz w:val="22"/>
          <w:szCs w:val="22"/>
          <w:lang w:val="en"/>
        </w:rPr>
        <w:t xml:space="preserve">achieve acceptable results. Work with local agencies and ship operators to </w:t>
      </w:r>
      <w:r w:rsidRPr="00C86C07">
        <w:rPr>
          <w:sz w:val="22"/>
          <w:szCs w:val="22"/>
          <w:lang w:val="en"/>
        </w:rPr>
        <w:t xml:space="preserve"> </w:t>
      </w:r>
      <w:r w:rsidRPr="000275E7">
        <w:rPr>
          <w:sz w:val="22"/>
          <w:szCs w:val="22"/>
          <w:lang w:val="en"/>
        </w:rPr>
        <w:t>combine</w:t>
      </w:r>
      <w:r w:rsidRPr="00C86C07">
        <w:rPr>
          <w:sz w:val="22"/>
          <w:szCs w:val="22"/>
          <w:lang w:val="en"/>
        </w:rPr>
        <w:t xml:space="preserve"> worldwide technical knowledge with</w:t>
      </w:r>
      <w:r w:rsidRPr="000275E7">
        <w:rPr>
          <w:sz w:val="22"/>
          <w:szCs w:val="22"/>
          <w:lang w:val="en"/>
        </w:rPr>
        <w:t xml:space="preserve"> local practices and customs. Reducing risk in local communities is associated with strengthening the knowledge, skills and motivation of people in vulnerable communities and supporting their initiatives to create safe conditions and practices (Connor et al., 2011).</w:t>
      </w:r>
    </w:p>
    <w:p w14:paraId="1EF7AF90" w14:textId="4E8F13F3" w:rsidR="00CC07D4" w:rsidRPr="000275E7" w:rsidRDefault="00CC07D4" w:rsidP="00AE4096">
      <w:pPr>
        <w:spacing w:after="240"/>
        <w:ind w:left="450"/>
        <w:jc w:val="both"/>
        <w:rPr>
          <w:sz w:val="22"/>
          <w:szCs w:val="22"/>
        </w:rPr>
      </w:pPr>
      <w:r>
        <w:rPr>
          <w:sz w:val="22"/>
          <w:szCs w:val="22"/>
          <w:lang w:val="en"/>
        </w:rPr>
        <w:t xml:space="preserve">The list of journals of options conducted by review and analysis of the risk identification aspects in the </w:t>
      </w:r>
      <w:r w:rsidR="007D1E37">
        <w:rPr>
          <w:sz w:val="22"/>
          <w:szCs w:val="22"/>
          <w:lang w:val="en"/>
        </w:rPr>
        <w:t>jetty</w:t>
      </w:r>
      <w:r>
        <w:rPr>
          <w:sz w:val="22"/>
          <w:szCs w:val="22"/>
          <w:lang w:val="en"/>
        </w:rPr>
        <w:t xml:space="preserve"> project is shown in Table 1 below:</w:t>
      </w:r>
    </w:p>
    <w:p w14:paraId="3057C6E3" w14:textId="77777777" w:rsidR="002A6EE2" w:rsidRDefault="002A6EE2" w:rsidP="002A6EE2">
      <w:pPr>
        <w:spacing w:after="240"/>
        <w:ind w:left="450"/>
        <w:jc w:val="center"/>
        <w:rPr>
          <w:b/>
          <w:lang w:val="id"/>
        </w:rPr>
        <w:sectPr w:rsidR="002A6EE2" w:rsidSect="002A6EE2">
          <w:type w:val="continuous"/>
          <w:pgSz w:w="11900" w:h="16840"/>
          <w:pgMar w:top="1138" w:right="1138" w:bottom="1138" w:left="1699" w:header="720" w:footer="720" w:gutter="0"/>
          <w:cols w:num="2" w:space="428"/>
          <w:noEndnote/>
          <w:docGrid w:linePitch="272"/>
        </w:sectPr>
      </w:pPr>
    </w:p>
    <w:p w14:paraId="0CD49A9F" w14:textId="77777777" w:rsidR="00CC07D4" w:rsidRPr="00CC07D4" w:rsidRDefault="00CC07D4" w:rsidP="00164F93">
      <w:pPr>
        <w:spacing w:after="240"/>
        <w:ind w:left="450"/>
        <w:jc w:val="center"/>
        <w:rPr>
          <w:b/>
          <w:lang w:val="en"/>
        </w:rPr>
      </w:pPr>
      <w:r w:rsidRPr="00261973">
        <w:rPr>
          <w:b/>
          <w:lang w:val="en"/>
        </w:rPr>
        <w:t>Table</w:t>
      </w:r>
      <w:r>
        <w:rPr>
          <w:b/>
          <w:lang w:val="en"/>
        </w:rPr>
        <w:t xml:space="preserve"> 1.</w:t>
      </w:r>
      <w:r w:rsidRPr="00CC07D4">
        <w:rPr>
          <w:b/>
          <w:lang w:val="en"/>
        </w:rPr>
        <w:t xml:space="preserve"> </w:t>
      </w:r>
      <w:r w:rsidRPr="00261973">
        <w:rPr>
          <w:b/>
          <w:lang w:val="en"/>
        </w:rPr>
        <w:t>Risk</w:t>
      </w:r>
      <w:r w:rsidRPr="00CC07D4">
        <w:rPr>
          <w:b/>
          <w:lang w:val="en"/>
        </w:rPr>
        <w:t xml:space="preserve"> </w:t>
      </w:r>
      <w:r>
        <w:rPr>
          <w:b/>
          <w:lang w:val="en"/>
        </w:rPr>
        <w:t>Management</w:t>
      </w:r>
      <w:r w:rsidRPr="00CC07D4">
        <w:rPr>
          <w:b/>
          <w:lang w:val="en"/>
        </w:rPr>
        <w:t xml:space="preserve"> Identification</w:t>
      </w:r>
    </w:p>
    <w:tbl>
      <w:tblPr>
        <w:tblW w:w="9078" w:type="dxa"/>
        <w:tblInd w:w="-5" w:type="dxa"/>
        <w:tblLook w:val="04A0" w:firstRow="1" w:lastRow="0" w:firstColumn="1" w:lastColumn="0" w:noHBand="0" w:noVBand="1"/>
      </w:tblPr>
      <w:tblGrid>
        <w:gridCol w:w="461"/>
        <w:gridCol w:w="1961"/>
        <w:gridCol w:w="464"/>
        <w:gridCol w:w="540"/>
        <w:gridCol w:w="630"/>
        <w:gridCol w:w="635"/>
        <w:gridCol w:w="630"/>
        <w:gridCol w:w="521"/>
        <w:gridCol w:w="3236"/>
      </w:tblGrid>
      <w:tr w:rsidR="00CC07D4" w:rsidRPr="002D66BF" w14:paraId="5975668E" w14:textId="77777777" w:rsidTr="003442EE">
        <w:trPr>
          <w:trHeight w:val="300"/>
          <w:tblHeader/>
        </w:trPr>
        <w:tc>
          <w:tcPr>
            <w:tcW w:w="457" w:type="dxa"/>
            <w:vMerge w:val="restart"/>
            <w:tcBorders>
              <w:top w:val="single" w:sz="4" w:space="0" w:color="000000"/>
              <w:left w:val="single" w:sz="4" w:space="0" w:color="000000"/>
              <w:right w:val="single" w:sz="4" w:space="0" w:color="000000"/>
            </w:tcBorders>
            <w:shd w:val="clear" w:color="auto" w:fill="D9D9D9" w:themeFill="background1" w:themeFillShade="D9"/>
            <w:vAlign w:val="center"/>
            <w:hideMark/>
          </w:tcPr>
          <w:p w14:paraId="21E34C20" w14:textId="77777777" w:rsidR="00CC07D4" w:rsidRPr="002D66BF" w:rsidRDefault="00CC07D4" w:rsidP="003442EE">
            <w:pPr>
              <w:jc w:val="center"/>
              <w:rPr>
                <w:rFonts w:cs="Tahoma"/>
                <w:bCs/>
                <w:color w:val="000000"/>
              </w:rPr>
            </w:pPr>
            <w:r w:rsidRPr="002D66BF">
              <w:rPr>
                <w:rFonts w:cs="Tahoma"/>
                <w:bCs/>
                <w:color w:val="000000"/>
              </w:rPr>
              <w:t>No</w:t>
            </w:r>
          </w:p>
        </w:tc>
        <w:tc>
          <w:tcPr>
            <w:tcW w:w="1961" w:type="dxa"/>
            <w:vMerge w:val="restart"/>
            <w:tcBorders>
              <w:top w:val="single" w:sz="4" w:space="0" w:color="000000"/>
              <w:left w:val="single" w:sz="4" w:space="0" w:color="000000"/>
              <w:right w:val="single" w:sz="4" w:space="0" w:color="000000"/>
            </w:tcBorders>
            <w:shd w:val="clear" w:color="auto" w:fill="D9D9D9" w:themeFill="background1" w:themeFillShade="D9"/>
            <w:vAlign w:val="center"/>
            <w:hideMark/>
          </w:tcPr>
          <w:p w14:paraId="27EC1C60" w14:textId="77777777" w:rsidR="00CC07D4" w:rsidRPr="002D66BF" w:rsidRDefault="00CC07D4" w:rsidP="003442EE">
            <w:pPr>
              <w:jc w:val="center"/>
              <w:rPr>
                <w:rFonts w:cs="Tahoma"/>
                <w:bCs/>
                <w:color w:val="000000"/>
              </w:rPr>
            </w:pPr>
            <w:r w:rsidRPr="002D66BF">
              <w:rPr>
                <w:rFonts w:cs="Tahoma"/>
                <w:bCs/>
                <w:color w:val="000000"/>
              </w:rPr>
              <w:t>Paper Indentity</w:t>
            </w:r>
          </w:p>
        </w:tc>
        <w:tc>
          <w:tcPr>
            <w:tcW w:w="3420" w:type="dxa"/>
            <w:gridSpan w:val="6"/>
            <w:tcBorders>
              <w:top w:val="single" w:sz="4" w:space="0" w:color="000000"/>
              <w:left w:val="nil"/>
              <w:bottom w:val="single" w:sz="4" w:space="0" w:color="000000"/>
              <w:right w:val="single" w:sz="4" w:space="0" w:color="000000"/>
            </w:tcBorders>
            <w:shd w:val="clear" w:color="auto" w:fill="D9D9D9" w:themeFill="background1" w:themeFillShade="D9"/>
            <w:noWrap/>
            <w:vAlign w:val="bottom"/>
            <w:hideMark/>
          </w:tcPr>
          <w:p w14:paraId="280963EC" w14:textId="77777777" w:rsidR="00CC07D4" w:rsidRPr="002D66BF" w:rsidRDefault="00CC07D4" w:rsidP="003442EE">
            <w:pPr>
              <w:jc w:val="center"/>
              <w:rPr>
                <w:rFonts w:cs="Tahoma"/>
                <w:bCs/>
                <w:color w:val="000000"/>
              </w:rPr>
            </w:pPr>
            <w:r w:rsidRPr="002D66BF">
              <w:rPr>
                <w:rFonts w:cs="Tahoma"/>
                <w:bCs/>
                <w:color w:val="000000"/>
              </w:rPr>
              <w:t>Risk Identification</w:t>
            </w:r>
          </w:p>
        </w:tc>
        <w:tc>
          <w:tcPr>
            <w:tcW w:w="3240" w:type="dxa"/>
            <w:vMerge w:val="restart"/>
            <w:tcBorders>
              <w:top w:val="single" w:sz="4" w:space="0" w:color="000000"/>
              <w:left w:val="nil"/>
              <w:right w:val="single" w:sz="4" w:space="0" w:color="000000"/>
            </w:tcBorders>
            <w:shd w:val="clear" w:color="auto" w:fill="D9D9D9" w:themeFill="background1" w:themeFillShade="D9"/>
            <w:vAlign w:val="center"/>
          </w:tcPr>
          <w:p w14:paraId="0B4B0E6F" w14:textId="77777777" w:rsidR="00CC07D4" w:rsidRPr="002D66BF" w:rsidRDefault="00CC07D4" w:rsidP="003442EE">
            <w:pPr>
              <w:jc w:val="center"/>
              <w:rPr>
                <w:rFonts w:cs="Tahoma"/>
                <w:bCs/>
                <w:color w:val="000000"/>
              </w:rPr>
            </w:pPr>
            <w:r w:rsidRPr="002D66BF">
              <w:rPr>
                <w:rFonts w:cs="Tahoma"/>
                <w:bCs/>
                <w:color w:val="000000"/>
              </w:rPr>
              <w:t>Results</w:t>
            </w:r>
          </w:p>
        </w:tc>
      </w:tr>
      <w:tr w:rsidR="00CC07D4" w:rsidRPr="002D66BF" w14:paraId="220CFFAF" w14:textId="77777777" w:rsidTr="003442EE">
        <w:trPr>
          <w:trHeight w:val="382"/>
          <w:tblHeader/>
        </w:trPr>
        <w:tc>
          <w:tcPr>
            <w:tcW w:w="457" w:type="dxa"/>
            <w:vMerge/>
            <w:tcBorders>
              <w:left w:val="single" w:sz="4" w:space="0" w:color="000000"/>
              <w:right w:val="single" w:sz="4" w:space="0" w:color="000000"/>
            </w:tcBorders>
            <w:shd w:val="clear" w:color="auto" w:fill="D9D9D9" w:themeFill="background1" w:themeFillShade="D9"/>
            <w:vAlign w:val="center"/>
            <w:hideMark/>
          </w:tcPr>
          <w:p w14:paraId="07EC3233" w14:textId="77777777" w:rsidR="00CC07D4" w:rsidRPr="002D66BF" w:rsidRDefault="00CC07D4" w:rsidP="003442EE">
            <w:pPr>
              <w:rPr>
                <w:rFonts w:ascii="Calibri" w:hAnsi="Calibri" w:cs="Calibri"/>
                <w:b/>
                <w:bCs/>
                <w:color w:val="000000"/>
              </w:rPr>
            </w:pPr>
          </w:p>
        </w:tc>
        <w:tc>
          <w:tcPr>
            <w:tcW w:w="1961" w:type="dxa"/>
            <w:vMerge/>
            <w:tcBorders>
              <w:left w:val="single" w:sz="4" w:space="0" w:color="000000"/>
              <w:right w:val="single" w:sz="4" w:space="0" w:color="000000"/>
            </w:tcBorders>
            <w:shd w:val="clear" w:color="auto" w:fill="D9D9D9" w:themeFill="background1" w:themeFillShade="D9"/>
            <w:vAlign w:val="center"/>
            <w:hideMark/>
          </w:tcPr>
          <w:p w14:paraId="0B4E957D" w14:textId="77777777" w:rsidR="00CC07D4" w:rsidRPr="002D66BF" w:rsidRDefault="00CC07D4" w:rsidP="003442EE">
            <w:pPr>
              <w:rPr>
                <w:rFonts w:ascii="Calibri" w:hAnsi="Calibri" w:cs="Calibri"/>
                <w:b/>
                <w:bCs/>
                <w:color w:val="000000"/>
              </w:rPr>
            </w:pPr>
          </w:p>
        </w:tc>
        <w:tc>
          <w:tcPr>
            <w:tcW w:w="1004" w:type="dxa"/>
            <w:gridSpan w:val="2"/>
            <w:tcBorders>
              <w:top w:val="nil"/>
              <w:left w:val="nil"/>
              <w:bottom w:val="single" w:sz="4" w:space="0" w:color="000000"/>
              <w:right w:val="single" w:sz="4" w:space="0" w:color="000000"/>
            </w:tcBorders>
            <w:shd w:val="clear" w:color="auto" w:fill="D9D9D9" w:themeFill="background1" w:themeFillShade="D9"/>
            <w:noWrap/>
            <w:vAlign w:val="center"/>
          </w:tcPr>
          <w:p w14:paraId="60C99069" w14:textId="77777777" w:rsidR="00CC07D4" w:rsidRPr="002D66BF" w:rsidRDefault="00CC07D4" w:rsidP="003442EE">
            <w:pPr>
              <w:jc w:val="center"/>
              <w:rPr>
                <w:rFonts w:cs="Tahoma"/>
                <w:bCs/>
              </w:rPr>
            </w:pPr>
            <w:r w:rsidRPr="002D66BF">
              <w:rPr>
                <w:rFonts w:cs="Tahoma"/>
                <w:bCs/>
              </w:rPr>
              <w:t>Internal</w:t>
            </w:r>
          </w:p>
        </w:tc>
        <w:tc>
          <w:tcPr>
            <w:tcW w:w="1265" w:type="dxa"/>
            <w:gridSpan w:val="2"/>
            <w:tcBorders>
              <w:top w:val="nil"/>
              <w:left w:val="nil"/>
              <w:bottom w:val="single" w:sz="4" w:space="0" w:color="000000"/>
              <w:right w:val="single" w:sz="4" w:space="0" w:color="000000"/>
            </w:tcBorders>
            <w:shd w:val="clear" w:color="auto" w:fill="D9D9D9" w:themeFill="background1" w:themeFillShade="D9"/>
            <w:noWrap/>
            <w:vAlign w:val="center"/>
          </w:tcPr>
          <w:p w14:paraId="2FB5E83C" w14:textId="77777777" w:rsidR="00CC07D4" w:rsidRPr="002D66BF" w:rsidRDefault="00CC07D4" w:rsidP="003442EE">
            <w:pPr>
              <w:jc w:val="center"/>
              <w:rPr>
                <w:rFonts w:cs="Tahoma"/>
                <w:bCs/>
              </w:rPr>
            </w:pPr>
            <w:r w:rsidRPr="002D66BF">
              <w:rPr>
                <w:rFonts w:cs="Tahoma"/>
                <w:bCs/>
              </w:rPr>
              <w:t>External</w:t>
            </w:r>
          </w:p>
        </w:tc>
        <w:tc>
          <w:tcPr>
            <w:tcW w:w="1151" w:type="dxa"/>
            <w:gridSpan w:val="2"/>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14:paraId="709B0256" w14:textId="77777777" w:rsidR="00CC07D4" w:rsidRPr="002D66BF" w:rsidRDefault="00CC07D4" w:rsidP="003442EE">
            <w:pPr>
              <w:jc w:val="center"/>
              <w:rPr>
                <w:rFonts w:cs="Tahoma"/>
                <w:bCs/>
              </w:rPr>
            </w:pPr>
            <w:r w:rsidRPr="002D66BF">
              <w:rPr>
                <w:rFonts w:cs="Tahoma"/>
                <w:bCs/>
              </w:rPr>
              <w:t>Project</w:t>
            </w:r>
          </w:p>
        </w:tc>
        <w:tc>
          <w:tcPr>
            <w:tcW w:w="3240" w:type="dxa"/>
            <w:vMerge/>
            <w:tcBorders>
              <w:left w:val="single" w:sz="4" w:space="0" w:color="000000"/>
              <w:right w:val="single" w:sz="4" w:space="0" w:color="000000"/>
            </w:tcBorders>
            <w:shd w:val="clear" w:color="auto" w:fill="D9D9D9" w:themeFill="background1" w:themeFillShade="D9"/>
          </w:tcPr>
          <w:p w14:paraId="05B59475" w14:textId="77777777" w:rsidR="00CC07D4" w:rsidRPr="002D66BF" w:rsidRDefault="00CC07D4" w:rsidP="003442EE">
            <w:pPr>
              <w:jc w:val="both"/>
              <w:rPr>
                <w:rFonts w:cs="Tahoma"/>
                <w:bCs/>
              </w:rPr>
            </w:pPr>
          </w:p>
        </w:tc>
      </w:tr>
      <w:tr w:rsidR="00CC07D4" w:rsidRPr="002D66BF" w14:paraId="782E25C2" w14:textId="77777777" w:rsidTr="003442EE">
        <w:trPr>
          <w:cantSplit/>
          <w:trHeight w:val="409"/>
          <w:tblHeader/>
        </w:trPr>
        <w:tc>
          <w:tcPr>
            <w:tcW w:w="457"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67B9925F" w14:textId="77777777" w:rsidR="00CC07D4" w:rsidRPr="002D66BF" w:rsidRDefault="00CC07D4" w:rsidP="003442EE">
            <w:pPr>
              <w:rPr>
                <w:rFonts w:ascii="Calibri" w:hAnsi="Calibri" w:cs="Calibri"/>
                <w:b/>
                <w:bCs/>
                <w:color w:val="000000"/>
              </w:rPr>
            </w:pPr>
          </w:p>
        </w:tc>
        <w:tc>
          <w:tcPr>
            <w:tcW w:w="1961"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55313062" w14:textId="77777777" w:rsidR="00CC07D4" w:rsidRPr="002D66BF" w:rsidRDefault="00CC07D4" w:rsidP="003442EE">
            <w:pPr>
              <w:rPr>
                <w:rFonts w:ascii="Calibri" w:hAnsi="Calibri" w:cs="Calibri"/>
                <w:b/>
                <w:bCs/>
                <w:color w:val="000000"/>
              </w:rPr>
            </w:pPr>
          </w:p>
        </w:tc>
        <w:tc>
          <w:tcPr>
            <w:tcW w:w="464" w:type="dxa"/>
            <w:tcBorders>
              <w:top w:val="nil"/>
              <w:left w:val="nil"/>
              <w:bottom w:val="single" w:sz="4" w:space="0" w:color="000000"/>
              <w:right w:val="single" w:sz="4" w:space="0" w:color="000000"/>
            </w:tcBorders>
            <w:shd w:val="clear" w:color="auto" w:fill="D9D9D9" w:themeFill="background1" w:themeFillShade="D9"/>
            <w:noWrap/>
            <w:vAlign w:val="center"/>
          </w:tcPr>
          <w:p w14:paraId="5B1A12B1" w14:textId="77777777" w:rsidR="00CC07D4" w:rsidRPr="002D66BF" w:rsidRDefault="00CC07D4" w:rsidP="003442EE">
            <w:pPr>
              <w:jc w:val="center"/>
              <w:rPr>
                <w:rFonts w:cs="Tahoma"/>
                <w:bCs/>
              </w:rPr>
            </w:pPr>
            <w:r w:rsidRPr="002D66BF">
              <w:rPr>
                <w:rFonts w:cs="Tahoma"/>
                <w:bCs/>
              </w:rPr>
              <w:t>T</w:t>
            </w:r>
          </w:p>
        </w:tc>
        <w:tc>
          <w:tcPr>
            <w:tcW w:w="540" w:type="dxa"/>
            <w:tcBorders>
              <w:top w:val="nil"/>
              <w:left w:val="nil"/>
              <w:bottom w:val="single" w:sz="4" w:space="0" w:color="000000"/>
              <w:right w:val="single" w:sz="4" w:space="0" w:color="000000"/>
            </w:tcBorders>
            <w:shd w:val="clear" w:color="auto" w:fill="D9D9D9" w:themeFill="background1" w:themeFillShade="D9"/>
            <w:noWrap/>
            <w:vAlign w:val="center"/>
          </w:tcPr>
          <w:p w14:paraId="124BEA25" w14:textId="77777777" w:rsidR="00CC07D4" w:rsidRPr="002D66BF" w:rsidRDefault="00CC07D4" w:rsidP="003442EE">
            <w:pPr>
              <w:jc w:val="center"/>
              <w:rPr>
                <w:rFonts w:cs="Tahoma"/>
                <w:bCs/>
              </w:rPr>
            </w:pPr>
            <w:r w:rsidRPr="002D66BF">
              <w:rPr>
                <w:rFonts w:cs="Tahoma"/>
                <w:bCs/>
              </w:rPr>
              <w:t>NT</w:t>
            </w:r>
          </w:p>
        </w:tc>
        <w:tc>
          <w:tcPr>
            <w:tcW w:w="630" w:type="dxa"/>
            <w:tcBorders>
              <w:top w:val="nil"/>
              <w:left w:val="nil"/>
              <w:bottom w:val="single" w:sz="4" w:space="0" w:color="000000"/>
              <w:right w:val="single" w:sz="4" w:space="0" w:color="000000"/>
            </w:tcBorders>
            <w:shd w:val="clear" w:color="auto" w:fill="D9D9D9" w:themeFill="background1" w:themeFillShade="D9"/>
            <w:noWrap/>
            <w:vAlign w:val="center"/>
          </w:tcPr>
          <w:p w14:paraId="056238C1" w14:textId="77777777" w:rsidR="00CC07D4" w:rsidRPr="002D66BF" w:rsidRDefault="00CC07D4" w:rsidP="003442EE">
            <w:pPr>
              <w:jc w:val="center"/>
              <w:rPr>
                <w:rFonts w:cs="Tahoma"/>
                <w:bCs/>
              </w:rPr>
            </w:pPr>
            <w:r w:rsidRPr="002D66BF">
              <w:rPr>
                <w:rFonts w:cs="Tahoma"/>
                <w:bCs/>
              </w:rPr>
              <w:t>T</w:t>
            </w:r>
          </w:p>
        </w:tc>
        <w:tc>
          <w:tcPr>
            <w:tcW w:w="635" w:type="dxa"/>
            <w:tcBorders>
              <w:top w:val="single" w:sz="4" w:space="0" w:color="auto"/>
              <w:left w:val="nil"/>
              <w:bottom w:val="single" w:sz="4" w:space="0" w:color="000000"/>
              <w:right w:val="single" w:sz="4" w:space="0" w:color="000000"/>
            </w:tcBorders>
            <w:shd w:val="clear" w:color="auto" w:fill="D9D9D9" w:themeFill="background1" w:themeFillShade="D9"/>
            <w:noWrap/>
            <w:vAlign w:val="center"/>
          </w:tcPr>
          <w:p w14:paraId="2427F724" w14:textId="77777777" w:rsidR="00CC07D4" w:rsidRPr="002D66BF" w:rsidRDefault="00CC07D4" w:rsidP="003442EE">
            <w:pPr>
              <w:jc w:val="center"/>
              <w:rPr>
                <w:rFonts w:cs="Tahoma"/>
                <w:bCs/>
              </w:rPr>
            </w:pPr>
            <w:r w:rsidRPr="002D66BF">
              <w:rPr>
                <w:rFonts w:cs="Tahoma"/>
                <w:bCs/>
              </w:rPr>
              <w:t>NT</w:t>
            </w:r>
          </w:p>
        </w:tc>
        <w:tc>
          <w:tcPr>
            <w:tcW w:w="630"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2C40EE4E" w14:textId="77777777" w:rsidR="00CC07D4" w:rsidRPr="002D66BF" w:rsidRDefault="00CC07D4" w:rsidP="003442EE">
            <w:pPr>
              <w:jc w:val="center"/>
              <w:rPr>
                <w:rFonts w:cs="Tahoma"/>
                <w:bCs/>
              </w:rPr>
            </w:pPr>
            <w:r w:rsidRPr="002D66BF">
              <w:rPr>
                <w:rFonts w:cs="Tahoma"/>
                <w:bCs/>
              </w:rPr>
              <w:t>T</w:t>
            </w:r>
          </w:p>
        </w:tc>
        <w:tc>
          <w:tcPr>
            <w:tcW w:w="521"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14:paraId="5202F216" w14:textId="77777777" w:rsidR="00CC07D4" w:rsidRPr="002D66BF" w:rsidRDefault="00CC07D4" w:rsidP="003442EE">
            <w:pPr>
              <w:jc w:val="center"/>
              <w:rPr>
                <w:rFonts w:cs="Tahoma"/>
                <w:bCs/>
              </w:rPr>
            </w:pPr>
            <w:r w:rsidRPr="002D66BF">
              <w:rPr>
                <w:rFonts w:cs="Tahoma"/>
                <w:bCs/>
              </w:rPr>
              <w:t>NT</w:t>
            </w:r>
          </w:p>
        </w:tc>
        <w:tc>
          <w:tcPr>
            <w:tcW w:w="3240" w:type="dxa"/>
            <w:vMerge/>
            <w:tcBorders>
              <w:left w:val="single" w:sz="4" w:space="0" w:color="000000"/>
              <w:bottom w:val="single" w:sz="4" w:space="0" w:color="auto"/>
              <w:right w:val="single" w:sz="4" w:space="0" w:color="000000"/>
            </w:tcBorders>
            <w:shd w:val="clear" w:color="auto" w:fill="D9D9D9" w:themeFill="background1" w:themeFillShade="D9"/>
          </w:tcPr>
          <w:p w14:paraId="560E2855" w14:textId="77777777" w:rsidR="00CC07D4" w:rsidRPr="002D66BF" w:rsidRDefault="00CC07D4" w:rsidP="003442EE">
            <w:pPr>
              <w:jc w:val="both"/>
              <w:rPr>
                <w:rFonts w:cs="Tahoma"/>
                <w:bCs/>
              </w:rPr>
            </w:pPr>
          </w:p>
        </w:tc>
      </w:tr>
      <w:tr w:rsidR="00CC07D4" w:rsidRPr="002D66BF" w14:paraId="18D13AE3" w14:textId="77777777" w:rsidTr="003442EE">
        <w:trPr>
          <w:trHeight w:val="1710"/>
        </w:trPr>
        <w:tc>
          <w:tcPr>
            <w:tcW w:w="457" w:type="dxa"/>
            <w:tcBorders>
              <w:top w:val="nil"/>
              <w:left w:val="single" w:sz="4" w:space="0" w:color="000000"/>
              <w:bottom w:val="single" w:sz="4" w:space="0" w:color="000000"/>
              <w:right w:val="single" w:sz="4" w:space="0" w:color="000000"/>
            </w:tcBorders>
            <w:shd w:val="clear" w:color="auto" w:fill="auto"/>
            <w:noWrap/>
            <w:vAlign w:val="center"/>
            <w:hideMark/>
          </w:tcPr>
          <w:p w14:paraId="1D6B7E5D"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nil"/>
              <w:left w:val="nil"/>
              <w:bottom w:val="single" w:sz="4" w:space="0" w:color="000000"/>
              <w:right w:val="single" w:sz="4" w:space="0" w:color="000000"/>
            </w:tcBorders>
            <w:shd w:val="clear" w:color="auto" w:fill="auto"/>
            <w:noWrap/>
            <w:vAlign w:val="center"/>
          </w:tcPr>
          <w:p w14:paraId="3FDB6511" w14:textId="77777777" w:rsidR="00CC07D4" w:rsidRPr="002D66BF" w:rsidRDefault="00CC07D4" w:rsidP="003442EE">
            <w:pPr>
              <w:jc w:val="center"/>
              <w:rPr>
                <w:rFonts w:cs="Tahoma"/>
              </w:rPr>
            </w:pPr>
            <w:r w:rsidRPr="002D66BF">
              <w:rPr>
                <w:rFonts w:cs="Tahoma"/>
              </w:rPr>
              <w:fldChar w:fldCharType="begin" w:fldLock="1"/>
            </w:r>
            <w:r w:rsidRPr="002D66BF">
              <w:rPr>
                <w:rFonts w:cs="Tahoma"/>
              </w:rPr>
              <w:instrText>ADDIN CSL_CITATION {"citationItems":[{"id":"ITEM-1","itemData":{"DOI":"10.1115/1.1492825","ISSN":"08927219","abstract":"The trend towards most offshore field developments occurring in deep waters has increased the dependency on marine operations in the offshore industry. The installation of sub sea templates as well as offshore floating units year round is profitable from a net present value point of view, but the risks involved to the owners are increasing when working off-season in bad weather. This calls for analysis of the risk and identification of efficient risk-reducing measures. In this paper, the effect of setting proper weather criteria for marine operations and reducing the uncertainty in the weather forecast is highlighted. During the latest years, severe losses have been reported as caused by failures during marine operations. The need for risk analysis of marine operations is therefore underlined. This calls for an overview of the tools available to analyze risks during marine operations. In this paper, some different assessment tools are reviewed, and recommendations are given as to the appropriateness of using these tools. Both qualitative and quantitative tools are discussed with a general recommendation of employing the more sophisticated tools when the consequences are large. Qualitative analysis should normally be carried out before any quantitative analysis.","author":[{"dropping-particle":"","family":"Gudmestad","given":"Ove Tobias","non-dropping-particle":"","parse-names":false,"suffix":""}],"container-title":"Journal of Offshore Mechanics and Arctic Engineering","id":"ITEM-1","issue":"3","issued":{"date-parts":[["2002"]]},"page":"153-161","title":"Risk assessment tools for use during fabrication of offshore structures and in marine operations projects","type":"article-journal","volume":"124"},"uris":["http://www.mendeley.com/documents/?uuid=272750fd-4ef7-4bfb-8172-00a6e3a4c649"]}],"mendeley":{"formattedCitation":"(Gudmestad, 2002)","plainTextFormattedCitation":"(Gudmestad, 2002)","previouslyFormattedCitation":"(Gudmestad, 2002)"},"properties":{"noteIndex":0},"schema":"https://github.com/citation-style-language/schema/raw/master/csl-citation.json"}</w:instrText>
            </w:r>
            <w:r w:rsidRPr="002D66BF">
              <w:rPr>
                <w:rFonts w:cs="Tahoma"/>
              </w:rPr>
              <w:fldChar w:fldCharType="separate"/>
            </w:r>
            <w:r w:rsidRPr="002D66BF">
              <w:rPr>
                <w:rFonts w:cs="Tahoma"/>
                <w:noProof/>
              </w:rPr>
              <w:t>(Gudmestad, 2002)</w:t>
            </w:r>
            <w:r w:rsidRPr="002D66BF">
              <w:rPr>
                <w:rFonts w:cs="Tahoma"/>
              </w:rPr>
              <w:fldChar w:fldCharType="end"/>
            </w:r>
          </w:p>
        </w:tc>
        <w:tc>
          <w:tcPr>
            <w:tcW w:w="464" w:type="dxa"/>
            <w:tcBorders>
              <w:top w:val="nil"/>
              <w:left w:val="nil"/>
              <w:bottom w:val="single" w:sz="4" w:space="0" w:color="000000"/>
              <w:right w:val="single" w:sz="4" w:space="0" w:color="000000"/>
            </w:tcBorders>
            <w:shd w:val="clear" w:color="auto" w:fill="auto"/>
            <w:noWrap/>
            <w:vAlign w:val="center"/>
          </w:tcPr>
          <w:p w14:paraId="5EC10841"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nil"/>
              <w:left w:val="nil"/>
              <w:bottom w:val="single" w:sz="4" w:space="0" w:color="000000"/>
              <w:right w:val="single" w:sz="4" w:space="0" w:color="000000"/>
            </w:tcBorders>
            <w:shd w:val="clear" w:color="auto" w:fill="auto"/>
            <w:noWrap/>
            <w:vAlign w:val="center"/>
          </w:tcPr>
          <w:p w14:paraId="2E667F9B"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nil"/>
              <w:left w:val="nil"/>
              <w:bottom w:val="single" w:sz="4" w:space="0" w:color="000000"/>
              <w:right w:val="single" w:sz="4" w:space="0" w:color="000000"/>
            </w:tcBorders>
            <w:shd w:val="clear" w:color="auto" w:fill="auto"/>
            <w:noWrap/>
            <w:vAlign w:val="center"/>
          </w:tcPr>
          <w:p w14:paraId="2D3A168E"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nil"/>
              <w:left w:val="nil"/>
              <w:bottom w:val="single" w:sz="4" w:space="0" w:color="000000"/>
              <w:right w:val="single" w:sz="4" w:space="0" w:color="000000"/>
            </w:tcBorders>
            <w:shd w:val="clear" w:color="auto" w:fill="auto"/>
            <w:noWrap/>
            <w:vAlign w:val="center"/>
          </w:tcPr>
          <w:p w14:paraId="288016BC"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nil"/>
              <w:left w:val="nil"/>
              <w:bottom w:val="single" w:sz="4" w:space="0" w:color="000000"/>
              <w:right w:val="single" w:sz="4" w:space="0" w:color="auto"/>
            </w:tcBorders>
            <w:vAlign w:val="center"/>
          </w:tcPr>
          <w:p w14:paraId="54F4F945" w14:textId="77777777" w:rsidR="00CC07D4" w:rsidRPr="002D66BF" w:rsidRDefault="00CC07D4" w:rsidP="003442EE">
            <w:pPr>
              <w:jc w:val="center"/>
              <w:rPr>
                <w:rFonts w:cs="Tahoma"/>
              </w:rPr>
            </w:pPr>
            <w:r w:rsidRPr="002D66BF">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550BB723" w14:textId="77777777" w:rsidR="00CC07D4" w:rsidRPr="002D66BF" w:rsidRDefault="00CC07D4" w:rsidP="003442EE">
            <w:pPr>
              <w:jc w:val="center"/>
              <w:rPr>
                <w:rFonts w:cs="Tahoma"/>
              </w:rPr>
            </w:pPr>
            <w:r w:rsidRPr="002D66BF">
              <w:rPr>
                <w:rFonts w:cs="Tahoma"/>
              </w:rPr>
              <w:t>X</w:t>
            </w:r>
          </w:p>
        </w:tc>
        <w:tc>
          <w:tcPr>
            <w:tcW w:w="3240" w:type="dxa"/>
            <w:tcBorders>
              <w:top w:val="single" w:sz="4" w:space="0" w:color="auto"/>
              <w:left w:val="single" w:sz="4" w:space="0" w:color="auto"/>
              <w:bottom w:val="single" w:sz="4" w:space="0" w:color="auto"/>
              <w:right w:val="single" w:sz="4" w:space="0" w:color="auto"/>
            </w:tcBorders>
            <w:vAlign w:val="center"/>
          </w:tcPr>
          <w:p w14:paraId="3D7DA935" w14:textId="77777777" w:rsidR="00CC07D4" w:rsidRPr="002D66BF" w:rsidRDefault="00CC07D4" w:rsidP="003442EE">
            <w:pPr>
              <w:jc w:val="both"/>
            </w:pPr>
            <w:r w:rsidRPr="002D66BF">
              <w:t>For deep-water facilities, the vulnerability to the weather during the installation period has been emphasized, in particular as newer project management principles focus more and more on cost effective project execution</w:t>
            </w:r>
          </w:p>
        </w:tc>
      </w:tr>
      <w:tr w:rsidR="00CC07D4" w:rsidRPr="002D66BF" w14:paraId="4D39A3E0" w14:textId="77777777" w:rsidTr="003442EE">
        <w:trPr>
          <w:trHeight w:val="490"/>
        </w:trPr>
        <w:tc>
          <w:tcPr>
            <w:tcW w:w="457" w:type="dxa"/>
            <w:tcBorders>
              <w:top w:val="nil"/>
              <w:left w:val="single" w:sz="4" w:space="0" w:color="000000"/>
              <w:bottom w:val="single" w:sz="4" w:space="0" w:color="000000"/>
              <w:right w:val="single" w:sz="4" w:space="0" w:color="000000"/>
            </w:tcBorders>
            <w:shd w:val="clear" w:color="auto" w:fill="auto"/>
            <w:noWrap/>
            <w:vAlign w:val="center"/>
            <w:hideMark/>
          </w:tcPr>
          <w:p w14:paraId="2DCCC7C5"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nil"/>
              <w:left w:val="nil"/>
              <w:bottom w:val="single" w:sz="4" w:space="0" w:color="000000"/>
              <w:right w:val="single" w:sz="4" w:space="0" w:color="000000"/>
            </w:tcBorders>
            <w:shd w:val="clear" w:color="auto" w:fill="auto"/>
            <w:noWrap/>
            <w:vAlign w:val="center"/>
          </w:tcPr>
          <w:p w14:paraId="241897FA" w14:textId="77777777" w:rsidR="00CC07D4" w:rsidRPr="002D66BF" w:rsidRDefault="00CC07D4" w:rsidP="003442EE">
            <w:pPr>
              <w:widowControl w:val="0"/>
              <w:autoSpaceDE w:val="0"/>
              <w:autoSpaceDN w:val="0"/>
              <w:adjustRightInd w:val="0"/>
              <w:jc w:val="center"/>
              <w:rPr>
                <w:rFonts w:cs="Tahoma"/>
              </w:rPr>
            </w:pPr>
            <w:r w:rsidRPr="002D66BF">
              <w:rPr>
                <w:rFonts w:cs="Tahoma"/>
              </w:rPr>
              <w:fldChar w:fldCharType="begin" w:fldLock="1"/>
            </w:r>
            <w:r w:rsidRPr="002D66BF">
              <w:rPr>
                <w:rFonts w:cs="Tahoma"/>
              </w:rPr>
              <w:instrText>ADDIN CSL_CITATION {"citationItems":[{"id":"ITEM-1","itemData":{"DOI":"10.5592/otmcj.2012.1.5","ISSN":"18475450","abstract":"Brief introduction to the problem Risk management is one of the important management strategies that lead the success of major construction projects. Managing risks has become an important part of the management activities in construction industry. In Hong Kong, marine construction forms a major part of the construction business. In fact, it is appeared that marine construction exposes to serious risks in comparing to other types of construction work, which contributes the potential loss to both clients and contractors. There is a need for systematic risk management approaches that can help contractors for reducing and controlling risks thus to effectively improve project management. This paper focuses on contractor parties who work on marine construction work, and aims to identify critical risks and risk response techniques in managing marine projects. Questionnaire survey and structured interviews are conducted. It is found that \"underwater conditions are different from tender assumptions\" is the most common risk factor encountered in marine projects, \"unavailability of materials, plant and labour\" is the most impact to the project if risk is encountered. The most effective risk response technique to tickle risks encountered is\"refer to previous experience\". Recommendations for improving risk management are also discussed.","author":[{"dropping-particle":"","family":"Tam","given":"Vivian W. Y.","non-dropping-particle":"","parse-names":false,"suffix":""},{"dropping-particle":"","family":"Shen","given":"L. Y.","non-dropping-particle":"","parse-names":false,"suffix":""}],"container-title":"Organization, Technology and Management in Construction: an International Journal","id":"ITEM-1","issue":"1","issued":{"date-parts":[["2012"]]},"page":"403-410","title":"Risk Management for Contractors in Marine Projects","type":"article-journal","volume":"4"},"uris":["http://www.mendeley.com/documents/?uuid=684fbffb-262e-43ce-a6b9-3d3d747391e4"]}],"mendeley":{"formattedCitation":"(Tam &amp; Shen, 2012)","plainTextFormattedCitation":"(Tam &amp; Shen, 2012)","previouslyFormattedCitation":"(Tam &amp; Shen, 2012)"},"properties":{"noteIndex":0},"schema":"https://github.com/citation-style-language/schema/raw/master/csl-citation.json"}</w:instrText>
            </w:r>
            <w:r w:rsidRPr="002D66BF">
              <w:rPr>
                <w:rFonts w:cs="Tahoma"/>
              </w:rPr>
              <w:fldChar w:fldCharType="separate"/>
            </w:r>
            <w:r w:rsidRPr="002D66BF">
              <w:rPr>
                <w:rFonts w:cs="Tahoma"/>
                <w:noProof/>
              </w:rPr>
              <w:t>(Tam &amp; Shen, 2012)</w:t>
            </w:r>
            <w:r w:rsidRPr="002D66BF">
              <w:rPr>
                <w:rFonts w:cs="Tahoma"/>
              </w:rPr>
              <w:fldChar w:fldCharType="end"/>
            </w:r>
          </w:p>
        </w:tc>
        <w:tc>
          <w:tcPr>
            <w:tcW w:w="464" w:type="dxa"/>
            <w:tcBorders>
              <w:top w:val="nil"/>
              <w:left w:val="nil"/>
              <w:bottom w:val="single" w:sz="4" w:space="0" w:color="000000"/>
              <w:right w:val="single" w:sz="4" w:space="0" w:color="000000"/>
            </w:tcBorders>
            <w:shd w:val="clear" w:color="auto" w:fill="auto"/>
            <w:noWrap/>
            <w:vAlign w:val="center"/>
          </w:tcPr>
          <w:p w14:paraId="5E8B0944"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nil"/>
              <w:left w:val="nil"/>
              <w:bottom w:val="single" w:sz="4" w:space="0" w:color="000000"/>
              <w:right w:val="single" w:sz="4" w:space="0" w:color="000000"/>
            </w:tcBorders>
            <w:shd w:val="clear" w:color="auto" w:fill="auto"/>
            <w:noWrap/>
            <w:vAlign w:val="center"/>
          </w:tcPr>
          <w:p w14:paraId="16EF5F6E"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nil"/>
              <w:left w:val="nil"/>
              <w:bottom w:val="single" w:sz="4" w:space="0" w:color="000000"/>
              <w:right w:val="single" w:sz="4" w:space="0" w:color="000000"/>
            </w:tcBorders>
            <w:shd w:val="clear" w:color="auto" w:fill="auto"/>
            <w:noWrap/>
            <w:vAlign w:val="center"/>
          </w:tcPr>
          <w:p w14:paraId="782CBDBF"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nil"/>
              <w:left w:val="nil"/>
              <w:bottom w:val="single" w:sz="4" w:space="0" w:color="000000"/>
              <w:right w:val="single" w:sz="4" w:space="0" w:color="000000"/>
            </w:tcBorders>
            <w:shd w:val="clear" w:color="auto" w:fill="auto"/>
            <w:noWrap/>
            <w:vAlign w:val="center"/>
          </w:tcPr>
          <w:p w14:paraId="677850D4"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nil"/>
              <w:left w:val="nil"/>
              <w:bottom w:val="single" w:sz="4" w:space="0" w:color="000000"/>
              <w:right w:val="single" w:sz="4" w:space="0" w:color="auto"/>
            </w:tcBorders>
            <w:vAlign w:val="center"/>
          </w:tcPr>
          <w:p w14:paraId="0DC1CC61" w14:textId="77777777" w:rsidR="00CC07D4" w:rsidRPr="002D66BF" w:rsidRDefault="00CC07D4" w:rsidP="003442EE">
            <w:pPr>
              <w:jc w:val="center"/>
              <w:rPr>
                <w:rFonts w:cs="Tahoma"/>
              </w:rPr>
            </w:pPr>
            <w:r w:rsidRPr="002D66BF">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5ECA6646" w14:textId="77777777" w:rsidR="00CC07D4" w:rsidRPr="002D66BF" w:rsidRDefault="00CC07D4" w:rsidP="003442EE">
            <w:pPr>
              <w:jc w:val="center"/>
              <w:rPr>
                <w:rFonts w:cs="Tahoma"/>
              </w:rPr>
            </w:pPr>
            <w:r w:rsidRPr="002D66BF">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15C27EBF" w14:textId="77777777" w:rsidR="00CC07D4" w:rsidRPr="002D66BF" w:rsidRDefault="00CC07D4" w:rsidP="003442EE">
            <w:pPr>
              <w:jc w:val="both"/>
              <w:rPr>
                <w:rFonts w:cs="Tahoma"/>
              </w:rPr>
            </w:pPr>
            <w:r w:rsidRPr="002D66BF">
              <w:rPr>
                <w:rFonts w:cs="Tahoma"/>
              </w:rPr>
              <w:t xml:space="preserve">Risk management is important and useful for marine projects Six categories of risk factors were investigated: </w:t>
            </w:r>
          </w:p>
          <w:p w14:paraId="61852DC4" w14:textId="77777777" w:rsidR="00CC07D4" w:rsidRPr="002D66BF" w:rsidRDefault="00CC07D4" w:rsidP="003442EE">
            <w:pPr>
              <w:jc w:val="both"/>
            </w:pPr>
            <w:r w:rsidRPr="002D66BF">
              <w:rPr>
                <w:rFonts w:cs="Tahoma"/>
              </w:rPr>
              <w:t>i) acts of god; ii) physical; iii) financial and economical; iv) political and environmental; v) design; and vi) construction related.</w:t>
            </w:r>
          </w:p>
        </w:tc>
      </w:tr>
      <w:tr w:rsidR="00CC07D4" w:rsidRPr="002D66BF" w14:paraId="535DDFFD" w14:textId="77777777" w:rsidTr="003442EE">
        <w:trPr>
          <w:trHeight w:val="315"/>
        </w:trPr>
        <w:tc>
          <w:tcPr>
            <w:tcW w:w="457" w:type="dxa"/>
            <w:tcBorders>
              <w:top w:val="nil"/>
              <w:left w:val="single" w:sz="4" w:space="0" w:color="000000"/>
              <w:bottom w:val="single" w:sz="4" w:space="0" w:color="auto"/>
              <w:right w:val="single" w:sz="4" w:space="0" w:color="000000"/>
            </w:tcBorders>
            <w:shd w:val="clear" w:color="auto" w:fill="auto"/>
            <w:noWrap/>
            <w:vAlign w:val="center"/>
          </w:tcPr>
          <w:p w14:paraId="3750A2E4"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nil"/>
              <w:left w:val="nil"/>
              <w:bottom w:val="single" w:sz="4" w:space="0" w:color="auto"/>
              <w:right w:val="single" w:sz="4" w:space="0" w:color="000000"/>
            </w:tcBorders>
            <w:shd w:val="clear" w:color="auto" w:fill="auto"/>
            <w:noWrap/>
            <w:vAlign w:val="center"/>
          </w:tcPr>
          <w:p w14:paraId="2B85C87D"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{"citationItems":[{"id":"ITEM-1","itemData":{"DOI":"10.14710/mkts.v25i2.19467","ISSN":"08541809","abstract":"Delay in the implementation of the project often occurs due to various risk factors that have not been identified during project implementation, so that the impact on project delays and unexpected costs increases. However, each construction project has different risks, becaused the environmental conditions of the project, so that it requires handling different methods of project implementation. This study aims to: 1) analyze the risks that could potentially occur during the construction of the log dock extension; 2) Appropriate Handling Methods for the Implementation of the Log Dock Extension Work. The research method is done by identifying the risks that occur in the field and with the interview method about the possibility of possible risks that occur. The results of the study indicate five high-risk categories according to the perception of service providers that most influence on project delays. These risks include unpredictable external phenomena, such as tidal elevations that exceed plan, resulting in changes in design and method of implementation. The conclusions of this study include that the application of risk management to the implementation of the log dock extension project at the port of Tanjung Emas Semarang needs to be applied to minimize delays and reduce unexpected costs.","author":[{"dropping-particle":"","family":"Ismiyati","given":"Ismiyati","non-dropping-particle":"","parse-names":false,"suffix":""},{"dropping-particle":"","family":"Sanggawuri","given":"Ranggi","non-dropping-particle":"","parse-names":false,"suffix":""},{"dropping-particle":"","family":"Handajani","given":"Mudjiastuti","non-dropping-particle":"","parse-names":false,"suffix":""}],"container-title":"Media Komunikasi Teknik Sipil","id":"ITEM-1","issue":"2","issued":{"date-parts":[["2020"]]},"page":"209","title":"Penerapan Manajemen Resiko pada Pembangunan Proyek Perpanjangan Dermaga log (Studi Kasus: Pelabuhan DalamTanjung Emas Semarang)","type":"article-journal","volume":"25"},"uris":["http://www.mendeley.com/documents/?uuid=1bc0c71f-6745-43d1-928e-7ff9fd50ad6b"]}],"mendeley":{"formattedCitation":"(Ismiyati et al., 2020)","plainTextFormattedCitation":"(Ismiyati et al., 2020)","previouslyFormattedCitation":"(Ismiyati et al., 2020)"},"properties":{"noteIndex":0},"schema":"https://github.com/citation-style-language/schema/raw/master/csl-citation.json"}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(Ismiyati et al., 2020)</w:t>
            </w:r>
            <w:r w:rsidRPr="002D66BF">
              <w:rPr>
                <w:rFonts w:cs="Tahoma"/>
                <w:color w:val="000000"/>
              </w:rPr>
              <w:fldChar w:fldCharType="end"/>
            </w:r>
          </w:p>
        </w:tc>
        <w:tc>
          <w:tcPr>
            <w:tcW w:w="464" w:type="dxa"/>
            <w:tcBorders>
              <w:top w:val="nil"/>
              <w:left w:val="nil"/>
              <w:bottom w:val="single" w:sz="4" w:space="0" w:color="auto"/>
              <w:right w:val="single" w:sz="4" w:space="0" w:color="000000"/>
            </w:tcBorders>
            <w:shd w:val="clear" w:color="auto" w:fill="auto"/>
            <w:noWrap/>
            <w:vAlign w:val="center"/>
          </w:tcPr>
          <w:p w14:paraId="46693E13"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nil"/>
              <w:left w:val="nil"/>
              <w:bottom w:val="single" w:sz="4" w:space="0" w:color="auto"/>
              <w:right w:val="single" w:sz="4" w:space="0" w:color="000000"/>
            </w:tcBorders>
            <w:shd w:val="clear" w:color="auto" w:fill="auto"/>
            <w:noWrap/>
            <w:vAlign w:val="center"/>
          </w:tcPr>
          <w:p w14:paraId="4E7F3080"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nil"/>
              <w:left w:val="nil"/>
              <w:bottom w:val="single" w:sz="4" w:space="0" w:color="auto"/>
              <w:right w:val="single" w:sz="4" w:space="0" w:color="000000"/>
            </w:tcBorders>
            <w:shd w:val="clear" w:color="auto" w:fill="auto"/>
            <w:noWrap/>
            <w:vAlign w:val="center"/>
          </w:tcPr>
          <w:p w14:paraId="007470ED"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nil"/>
              <w:left w:val="nil"/>
              <w:bottom w:val="single" w:sz="4" w:space="0" w:color="auto"/>
              <w:right w:val="single" w:sz="4" w:space="0" w:color="000000"/>
            </w:tcBorders>
            <w:shd w:val="clear" w:color="auto" w:fill="auto"/>
            <w:noWrap/>
            <w:vAlign w:val="center"/>
          </w:tcPr>
          <w:p w14:paraId="0E1CE015"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nil"/>
              <w:left w:val="nil"/>
              <w:bottom w:val="single" w:sz="4" w:space="0" w:color="auto"/>
              <w:right w:val="single" w:sz="4" w:space="0" w:color="auto"/>
            </w:tcBorders>
            <w:vAlign w:val="center"/>
          </w:tcPr>
          <w:p w14:paraId="04CD5103"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53A994BA" w14:textId="77777777" w:rsidR="00CC07D4" w:rsidRPr="002D66BF" w:rsidRDefault="00CC07D4" w:rsidP="003442EE">
            <w:pPr>
              <w:jc w:val="center"/>
              <w:rPr>
                <w:rFonts w:cs="Tahoma"/>
                <w:color w:val="000000"/>
              </w:rPr>
            </w:pPr>
            <w:r w:rsidRPr="002D66BF">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2BBB8158" w14:textId="77777777" w:rsidR="00CC07D4" w:rsidRPr="002D66BF" w:rsidRDefault="00CC07D4" w:rsidP="003442EE">
            <w:pPr>
              <w:jc w:val="both"/>
            </w:pPr>
            <w:r w:rsidRPr="002D66BF">
              <w:t xml:space="preserve">there are five high risks from the perspective of a construction </w:t>
            </w:r>
            <w:r w:rsidRPr="002D66BF">
              <w:lastRenderedPageBreak/>
              <w:t>provider, namely: sea tides, disruption of the loading and unloading process, design changes due to changes in field, contradiction in construction methods between consultants and contractors, and heavy equipment damage</w:t>
            </w:r>
          </w:p>
        </w:tc>
      </w:tr>
      <w:tr w:rsidR="00CC07D4" w:rsidRPr="002D66BF" w14:paraId="18ECF467"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5366D0A4"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2A5EF45A"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{"citationItems":[{"id":"ITEM-1","itemData":{"abstract":"ABSTRAK Proyek pekerjaan konstruksi Dermaga Pehe Kecamatan Siau Barat Kabupaten Kepulauan Sitaro merupakan proyek lanjutan pembangunan fasilitas pelabuhan laut (tahap IV) yang saat ini dalam tahap konstruksi. Data tanah yang sangat bervariasi, lokasi proyek yang berdekatan dengan gunung api Karangetan yang aktif, serta dermaga telah dioperasikan walaupun belum selesai, menyebabkan proyek ini berpotensi mempunyai resiko tinggi dalam masa konstruksinya. Penelitian ini bertujuan untuk menentukan level resiko dan respon terhadap resiko yang berpotensi mempunyai resiko tinggi. Metode penelitian yang dilakukan meliputi identifikasi resiko dengan cara dokumen review, survey pendahuluan dan study literatur, sedangkan data penilaian probabilitas dan dampak resiko di peroleh dengan cara kuisioner. Penentuan level resiko dilakukan dengan metode probabiliy impact grid. Responden kuisioner adalah pelaksana pekerjaan proyek Dermaga Pehe. Respon terhadap resiko dilakukan dua macam tindakan manajemen resiko yaitu mencegah dan memperbaiki. Tindakan mencegah digunakan untuk mengurangi, menghindari, atau mentransfer resiko pada tahap awal proyek konstruksi. Sedangkan tindakan memperbaiki adalah untuk mengurangi efek-efek ketika resiko terjadi atau ketika resiko harus diambil. Hasil akhir penelitian menunjukkan terdapat 6 hal yang mempunyai level resiko tinggi yang perlu mendapatkan perhatian yaitu (1) cuaca ekstrim (hujan lebat, arus kuat, angin kencang, petir), (2) penyelesaian pekerjaan (sub kontraktor) tidak tepat waktu, (3) denda akibat keterlambatan, (4) Terjadi kenaikan harga besi, (5) Terjadi kenaikan harga pasir beton (6) Terjadi kenaikan harga semen. Respon resiko yang terbanyak adalah dengan cara mengurangi resiko mitigasi dan sebagian memindahkan resiko transference kepada pihak lain. Kata kunci: Dermaga, tahap konstruksi, level resiko, mitigasi, respon PENDAHULUAN Latar belakang Seiring dengan perkembangan zaman, kebu-tuhan akan berbagai fasilitas pendukung kegiatan hidup juga semakin meningkat. Hal ini terlihat dari semakin meningkatnya intensitas pembangunan berbagai fasilitas infrastruktur di berbagai sektor di Indonesia, mulai dari sektor energi, transportasi jalan raya, transportasi laut, bangunan-bangunan perkantoran dan sekolah, hingga teleko-munikasi, dan jaringan layanan air bersih, yang kesemuanya itu memerlukan adanya dukungan infrastruktur yang memadai. Dengan luasnya cakupan layanan publik tersebut, maka peran infrastruktur dalam mendukung dinamik…","author":[{"dropping-particle":"","family":"Wayan","given":"I","non-dropping-particle":"","parse-names":false,"suffix":""},{"dropping-particle":"","family":"Staf","given":"Sukaarta","non-dropping-particle":"","parse-names":false,"suffix":""},{"dropping-particle":"","family":"Smk N","given":"Pengajar","non-dropping-particle":"","parse-names":false,"suffix":""},{"dropping-particle":"","family":"Sompie","given":"Tahuna B F","non-dropping-particle":"","parse-names":false,"suffix":""},{"dropping-particle":"","family":"Tarore","given":"H","non-dropping-particle":"","parse-names":false,"suffix":""}],"container-title":"Jurnal Ilmiah MEDIA ENGINEERING","id":"ITEM-1","issue":"4","issued":{"date-parts":[["2012"]]},"page":"257-266","title":"Analisis Resiko Proyek Pembangunan Dermaga Study Kasus Dermaga Pehe Di Kecamatan Siau Barat Kabupaten Kepulauan Sitaro","type":"article-journal","volume":"2"},"uris":["http://www.mendeley.com/documents/?uuid=da10be2f-4891-4814-9246-3ad9dc6c2393"]}],"mendeley":{"formattedCitation":"(Wayan et al., 2012)","plainTextFormattedCitation":"(Wayan et al., 2012)","previouslyFormattedCitation":"(Wayan et al., 2012)"},"properties":{"noteIndex":0},"schema":"https://github.com/citation-style-language/schema/raw/master/csl-citation.json"}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(Wayan et al., 2012)</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17D0F332"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460E781E"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3422DE28"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38B17468"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0ACB8563"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3CC8E502" w14:textId="77777777" w:rsidR="00CC07D4" w:rsidRPr="002D66BF" w:rsidRDefault="00CC07D4" w:rsidP="003442EE">
            <w:pPr>
              <w:jc w:val="center"/>
              <w:rPr>
                <w:rFonts w:cs="Tahoma"/>
                <w:color w:val="000000"/>
              </w:rPr>
            </w:pPr>
            <w:r w:rsidRPr="002D66BF">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0206407E" w14:textId="77777777" w:rsidR="00CC07D4" w:rsidRPr="002D66BF" w:rsidRDefault="00CC07D4" w:rsidP="003442EE">
            <w:pPr>
              <w:jc w:val="both"/>
            </w:pPr>
            <w:r w:rsidRPr="002D66BF">
              <w:t>there are 6 risk variables that exist</w:t>
            </w:r>
          </w:p>
          <w:p w14:paraId="44E4CF2E" w14:textId="77777777" w:rsidR="00CC07D4" w:rsidRPr="002D66BF" w:rsidRDefault="00CC07D4" w:rsidP="003442EE">
            <w:pPr>
              <w:jc w:val="both"/>
            </w:pPr>
            <w:r w:rsidRPr="002D66BF">
              <w:t>at level High is risk due to nature/ weather, settlement is not on time, penalties for late arrival, there is an increase in the price of iron, occurs an increase in the price of concrete sand, occurred increase in cement prices</w:t>
            </w:r>
          </w:p>
        </w:tc>
      </w:tr>
      <w:tr w:rsidR="00CC07D4" w:rsidRPr="002D66BF" w14:paraId="0EA9783A"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5568D1FB"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314C7DB9"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{"citationItems":[{"id":"ITEM-1","itemData":{"DOI":"10.29138/ijti.v2i2.785","ISSN":"2597-4734","abstract":"Risk is a situation that is uncertain and there is an element of danger, the consequences that could occur due to a process that is ongoing or upcoming events. One of them in construction, where activity in this activity, there is some risk that may occur and give a great impact in the success of the completion of the work. Approaches were made to the risks involved with understanding/identification of risk, risk measurement, risk mapping, the response to risk. So with the existence of such activities can provide a recommendation as to whether the risks are acceptable, divided, reduced or avoided. This research was conducted with descriptive quantitative research methods. The results of this study concluded that there were 7 risk factors in very high level understanding of contract documents i.e., different site condition, productivity, quality equipment/material quality, smooth cash flow, the competence of sub contractors, and the influence of the weather. Against the risk of handling very high i.e. by way of doing business – business everything possible so that it can reduce the level of risk that exists so that the work can be resolved properly and the third project targets can be achieved.","author":[{"dropping-particle":"","family":"Nugroho","given":"Bayu Puji","non-dropping-particle":"","parse-names":false,"suffix":""}],"container-title":"IJTI (International Journal of Transportation and Infrastructure)","id":"ITEM-1","issue":"2","issued":{"date-parts":[["2019"]]},"page":"67-76","title":"Risk Management in Construction of Dry Bulk Jetty At Teluk Lamong Multipurpose Terminal","type":"article-journal","volume":"2"},"uris":["http://www.mendeley.com/documents/?uuid=9d722d83-ff00-4080-a84c-322e5ea0508e"]}],"mendeley":{"formattedCitation":"(Nugroho, 2019)","plainTextFormattedCitation":"(Nugroho, 2019)","previouslyFormattedCitation":"(Nugroho, 2019)"},"properties":{"noteIndex":0},"schema":"https://github.com/citation-style-language/schema/raw/master/csl-citation.json"}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(Nugroho, 2019)</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5E7FFF7E"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6F796414"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1F015545"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1130F13D"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auto"/>
            </w:tcBorders>
            <w:vAlign w:val="center"/>
          </w:tcPr>
          <w:p w14:paraId="1DA37B57"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23BF8BB4" w14:textId="77777777" w:rsidR="00CC07D4" w:rsidRPr="002D66BF" w:rsidRDefault="00CC07D4" w:rsidP="003442EE">
            <w:pPr>
              <w:jc w:val="center"/>
              <w:rPr>
                <w:rFonts w:cs="Tahoma"/>
                <w:color w:val="000000"/>
              </w:rPr>
            </w:pPr>
            <w:r w:rsidRPr="002D66BF">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065F3CBB" w14:textId="77777777" w:rsidR="00CC07D4" w:rsidRPr="002D66BF" w:rsidRDefault="00CC07D4" w:rsidP="003442EE">
            <w:pPr>
              <w:jc w:val="both"/>
            </w:pPr>
            <w:r w:rsidRPr="002D66BF">
              <w:t>There are 7 risk factors that are at a very high level, namely understanding contract documents, different site conditions, equipment productivity, material quality, cash flow, sub-contractor competence, and weather effects</w:t>
            </w:r>
          </w:p>
        </w:tc>
      </w:tr>
      <w:tr w:rsidR="00CC07D4" w:rsidRPr="002D66BF" w14:paraId="2C667BC4"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1675F595"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465B048F"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{"citationItems":[{"id":"ITEM-1","itemData":{"DOI":"10.2112/1551-5036-36.sp1.266","ISSN":"15515036","abstract":"In the reliability-based risk assessment, the second order reliability index (βII) method and the Conditional Expectation Monte Carlo (CEMC) simulation were utilised in order to analyse the safety levels of Haydarpasa Port main breakwater, Sea of Marmara, Turkey. The failure probability was forecasted in the βII method by approximating the Hudson performance surface with a second-degree polynomial having an equal curvature at the design point where the design and structural parameters were taken into consideration. In the past, applications of reliability-based risk assessment methodology in Turkey for design conditions, only wave characteristics, tidal range, storm surge, wave set-up and the structural system parameters were included. Tsunami risk was not considered a major design parameter and was not included in the computations. In this study, a structural stability criterion in coastal engineering is suggested to achieve a common definition of reliability including the tsunami risk. The model introduced in this study is a practical technique for reliability-based risk assessment of breakwaters subject to tsunami risk. In order to determine the occurrence probability under design conditions, which is a function of storm waves, tidal range, storm surge and tsunami height, the CEMC simulation was interrelated with the βII method. From the reliability-based risk assessment model applied to Haydarpasa port as a pilot study in Turkey it was found that, inclusion of the tsunami risk increases the failure risk of the structure, and as lifetime of the structure increases, the impact of tsunami risk on the failure mechanism is more important. For Haydarpasa port main breakwater, tsunami was not the key design parameter when compared to storm wave, however, in places with great seismic activity, tsunami risk may be very significant depending on the occurrence probability and the magnitude of the tsunami.","author":[{"dropping-particle":"","family":"Ergin","given":"A.","non-dropping-particle":"","parse-names":false,"suffix":""},{"dropping-particle":"","family":"Balas","given":"C. E.","non-dropping-particle":"","parse-names":false,"suffix":""}],"container-title":"Journal of Coastal Research","id":"ITEM-1","issued":{"date-parts":[["2002"]]},"page":"266-272","title":"Reliability-Based Risk Assessment of Rubble Mound Breakwaters under Tsunami Attack","type":"article-journal","volume":"36"},"uris":["http://www.mendeley.com/documents/?uuid=3bb65079-c48c-42ac-81c2-2158213f78d7"]}],"mendeley":{"formattedCitation":"(Ergin &amp; Balas, 2002)","plainTextFormattedCitation":"(Ergin &amp; Balas, 2002)","previouslyFormattedCitation":"(Ergin &amp; Balas, 2002)"},"properties":{"noteIndex":0},"schema":"https://github.com/citation-style-language/schema/raw/master/csl-citation.json"}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(Ergin &amp; Balas, 2002)</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CCABAF7" w14:textId="77777777" w:rsidR="00CC07D4" w:rsidRPr="002D66BF" w:rsidRDefault="00CC07D4" w:rsidP="003442EE">
            <w:pPr>
              <w:jc w:val="center"/>
              <w:rPr>
                <w:rFonts w:cs="Tahoma"/>
                <w:color w:val="000000"/>
              </w:rPr>
            </w:pPr>
            <w:r w:rsidRPr="002D66BF">
              <w:rPr>
                <w:rFonts w:cs="Tahoma"/>
                <w:color w:val="000000"/>
              </w:rPr>
              <w:t>X</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78736779"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7E5593AD"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340F4477"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auto"/>
            </w:tcBorders>
            <w:vAlign w:val="center"/>
          </w:tcPr>
          <w:p w14:paraId="48C2635E" w14:textId="77777777" w:rsidR="00CC07D4" w:rsidRPr="002D66BF" w:rsidRDefault="00CC07D4" w:rsidP="003442EE">
            <w:pPr>
              <w:jc w:val="center"/>
              <w:rPr>
                <w:rFonts w:cs="Tahoma"/>
                <w:color w:val="000000"/>
              </w:rPr>
            </w:pPr>
            <w:r w:rsidRPr="002D66BF">
              <w:rPr>
                <w:rFonts w:cs="Tahoma"/>
                <w:color w:val="000000"/>
              </w:rPr>
              <w:t>X</w:t>
            </w:r>
          </w:p>
        </w:tc>
        <w:tc>
          <w:tcPr>
            <w:tcW w:w="521" w:type="dxa"/>
            <w:tcBorders>
              <w:top w:val="single" w:sz="4" w:space="0" w:color="auto"/>
              <w:left w:val="single" w:sz="4" w:space="0" w:color="auto"/>
              <w:bottom w:val="single" w:sz="4" w:space="0" w:color="auto"/>
              <w:right w:val="single" w:sz="4" w:space="0" w:color="auto"/>
            </w:tcBorders>
            <w:vAlign w:val="center"/>
          </w:tcPr>
          <w:p w14:paraId="646AFAB1" w14:textId="77777777" w:rsidR="00CC07D4" w:rsidRPr="002D66BF" w:rsidRDefault="00CC07D4" w:rsidP="003442EE">
            <w:pPr>
              <w:jc w:val="center"/>
              <w:rPr>
                <w:rFonts w:cs="Tahoma"/>
                <w:color w:val="000000"/>
              </w:rPr>
            </w:pPr>
            <w:r w:rsidRPr="002D66BF">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77204791" w14:textId="77777777" w:rsidR="00CC07D4" w:rsidRPr="002D66BF" w:rsidRDefault="00CC07D4" w:rsidP="003442EE">
            <w:pPr>
              <w:jc w:val="both"/>
            </w:pPr>
            <w:r w:rsidRPr="002D66BF">
              <w:t>The reliability-based structural risk assessment model provides a valuable tool in the design of coastal structures, which are characterised by large failure consequences and</w:t>
            </w:r>
            <w:r>
              <w:t xml:space="preserve"> </w:t>
            </w:r>
            <w:r w:rsidRPr="002D66BF">
              <w:t>substantial capital expenditures</w:t>
            </w:r>
          </w:p>
        </w:tc>
      </w:tr>
      <w:tr w:rsidR="00CC07D4" w:rsidRPr="002D66BF" w14:paraId="3334B6F4"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72A6CBDE"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03E7F04C"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{"citationItems":[{"id":"ITEM-1","itemData":{"author":[{"dropping-particle":"","family":"Tangdiembong","given":"Obert","non-dropping-particle":"","parse-names":false,"suffix":""},{"dropping-particle":"","family":"Sompie","given":"Bonny F","non-dropping-particle":"","parse-names":false,"suffix":""},{"dropping-particle":"","family":"Timboeleng","given":"James A","non-dropping-particle":"","parse-names":false,"suffix":""},{"dropping-particle":"","family":"Pascasarjana","given":"Dosen","non-dropping-particle":"","parse-names":false,"suffix":""},{"dropping-particle":"","family":"Sam","given":"Universitas","non-dropping-particle":"","parse-names":false,"suffix":""}],"id":"ITEM-1","issue":"2","issued":{"date-parts":[["2013"]]},"page":"115-119","title":"RESIKO PADA PROYEK-PROYEK DERMAGA DI SULAWESI UTARA","type":"article-journal","volume":"3"},"uris":["http://www.mendeley.com/documents/?uuid=aaabb593-7630-4644-aae2-de13b2007366"]}],"mendeley":{"formattedCitation":"(Tangdiembong et al., 2013)","plainTextFormattedCitation":"(Tangdiembong et al., 2013)","previouslyFormattedCitation":"(Tangdiembong et al., 2013)"},"properties":{"noteIndex":0},"schema":"https://github.com/citation-style-language/schema/raw/master/csl-citation.json"}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(Tangdiembong et al., 2013)</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73FA55C5"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65B94F50"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1124ADDF"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472EF683"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auto"/>
            </w:tcBorders>
            <w:vAlign w:val="center"/>
          </w:tcPr>
          <w:p w14:paraId="6FB3E9C3"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641BC670" w14:textId="77777777" w:rsidR="00CC07D4" w:rsidRPr="002D66BF" w:rsidRDefault="00CC07D4" w:rsidP="003442EE">
            <w:pPr>
              <w:jc w:val="center"/>
              <w:rPr>
                <w:rFonts w:cs="Tahoma"/>
                <w:color w:val="000000"/>
              </w:rPr>
            </w:pPr>
            <w:r w:rsidRPr="002D66BF">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1898A669" w14:textId="77777777" w:rsidR="00CC07D4" w:rsidRPr="002D66BF" w:rsidRDefault="00CC07D4" w:rsidP="003442EE">
            <w:pPr>
              <w:jc w:val="both"/>
            </w:pPr>
            <w:r w:rsidRPr="002D66BF">
              <w:t>The results of the analysis show that the highest risk is the aspect of environmental change, incomprehension design, aspects of Worker Inability, aspects of Environmental Change, aspects Manpower, technical aspects of work, aspects of price increases and equipment mobilization, aspects of negligence and work accidents</w:t>
            </w:r>
          </w:p>
        </w:tc>
      </w:tr>
      <w:tr w:rsidR="00CC07D4" w:rsidRPr="002D66BF" w14:paraId="7A178D65"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085B79F3"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38620172"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{"citationItems":[{"id":"ITEM-1","itemData":{"author":[{"dropping-particle":"","family":"Indraswari P, I Nyoman Norken","given":"Putu Alit Suthanaya","non-dropping-particle":"","parse-names":false,"suffix":""}],"id":"ITEM-1","issue":"2","issued":{"date-parts":[["2018"]]},"page":"144-151","title":"PELABUHAN BENOA Pande Pt Anggi Indraswari P . J , I Nyoman Norken dan Putu Alit Suthanaya RISK MANAGEMENT OF INFRASTRUCTURE DEVELOPMENT PLANNING","type":"article-journal","volume":"6"},"uris":["http://www.mendeley.com/documents/?uuid=026548ee-94a0-4d65-87ee-e082244c4bf5"]}],"mendeley":{"formattedCitation":"(Indraswari P, I Nyoman Norken, 2018)","plainTextFormattedCitation":"(Indraswari P, I Nyoman Norken, 2018)","previouslyFormattedCitation":"(Indraswari P, I Nyoman Norken, 2018)"},"properties":{"noteIndex":0},"schema":"https://github.com/citation-style-language/schema/raw/master/csl-citation.json"}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(Indraswari P, I Nyoman Norken, 2018)</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2DE45A9"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442336AA"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15F50289"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736EEF06"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01D4AE4C"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572F497D" w14:textId="77777777" w:rsidR="00CC07D4" w:rsidRPr="002D66BF" w:rsidRDefault="00CC07D4" w:rsidP="003442EE">
            <w:pPr>
              <w:jc w:val="center"/>
              <w:rPr>
                <w:rFonts w:cs="Tahoma"/>
                <w:color w:val="000000"/>
              </w:rPr>
            </w:pPr>
            <w:r w:rsidRPr="002D66BF">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4C231CE0" w14:textId="77777777" w:rsidR="00CC07D4" w:rsidRPr="002D66BF" w:rsidRDefault="00CC07D4" w:rsidP="003442EE">
            <w:pPr>
              <w:jc w:val="both"/>
            </w:pPr>
            <w:r w:rsidRPr="002D66BF">
              <w:t>The results showed 39 identified risks, namely 9 unacceptable risks, 25 unwanted risks, 3 acceptable risks and 2 ignored risks. Risk mitigation for 34 dominant risks (9 unacceptable risks, namely limited waterways, licensing problems and accessibility problems and also for unwanted risks, namely design problems, natural disasters and worker coordination)</w:t>
            </w:r>
          </w:p>
        </w:tc>
      </w:tr>
      <w:tr w:rsidR="00CC07D4" w:rsidRPr="002D66BF" w14:paraId="494B438D"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74985B97"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13FEB275"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{"citationItems":[{"id":"ITEM-1","itemData":{"DOI":"10.30659/jacee.1.2.100-108","abstract":"Abstract: Work accident in Indonesia has considerably increased every year. Work accident is often occurred in Construction sector. This is due to lack of proper occupational health and safety system (OHS). By the simple OHS management system, this issue can be improved. This research aim to identify the most fatal and high intensity risk of Jetty Project. Furthermore, this study also identify the risk cause that occur by simple method. Therefore, it will be easier for the company to do risk mitigation. To overcome this issue this research use Failure Mode Effect Analysis and Fault Tree Analysis methods. The results of this research show the most dominant risk priority in the girder bridge construction is the girder fall from during the mobilization. And daydream is the most dominant causes.","author":[{"dropping-particle":"","family":"Aulady","given":"Mohamad Ferdaus Noor","non-dropping-particle":"","parse-names":false,"suffix":""},{"dropping-particle":"","family":"Nuciferani","given":"Felicia","non-dropping-particle":"","parse-names":false,"suffix":""},{"dropping-particle":"","family":"Wicaksono","given":"Satya","non-dropping-particle":"","parse-names":false,"suffix":""}],"container-title":"Journal of Advanced Civil and Environmental Engineering","id":"ITEM-1","issue":"2","issued":{"date-parts":[["2018"]]},"page":"100","title":"Application of Failure Mode Effects Analysis (FMEA) Method and Fault Tree Analysis (FTA) Towards Health and Occupational Safety on Jetty Project, Gresik, Indonesia","type":"article-journal","volume":"1"},"uris":["http://www.mendeley.com/documents/?uuid=648a24ee-a5ca-487f-8dc1-9cfd483368c2"]}],"mendeley":{"formattedCitation":"(Aulady et al., 2018)","plainTextFormattedCitation":"(Aulady et al., 2018)","previouslyFormattedCitation":"(Aulady et al., 2018)"},"properties":{"noteIndex":0},"schema":"https://github.com/citation-style-language/schema/raw/master/csl-citation.json"}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(Aulady et al., 2018)</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D10FD0F"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7FC8F805"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5BDFD445"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34DF5008"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auto"/>
            </w:tcBorders>
            <w:vAlign w:val="center"/>
          </w:tcPr>
          <w:p w14:paraId="760E0B22"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13CE1B74" w14:textId="77777777" w:rsidR="00CC07D4" w:rsidRPr="002D66BF" w:rsidRDefault="00CC07D4" w:rsidP="003442EE">
            <w:pPr>
              <w:jc w:val="center"/>
              <w:rPr>
                <w:rFonts w:cs="Tahoma"/>
                <w:color w:val="000000"/>
              </w:rPr>
            </w:pPr>
            <w:r w:rsidRPr="002D66BF">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64FFED9B" w14:textId="77777777" w:rsidR="00CC07D4" w:rsidRPr="002D66BF" w:rsidRDefault="00CC07D4" w:rsidP="003442EE">
            <w:pPr>
              <w:jc w:val="both"/>
              <w:rPr>
                <w:rFonts w:cs="Tahoma"/>
                <w:color w:val="000000"/>
              </w:rPr>
            </w:pPr>
            <w:r w:rsidRPr="002D66BF">
              <w:t>The results of this research show the most dominant risk priority in the girder bridge construction is the girder fall from during the mobilization. And daydream is the most dominant causes. 4 factors have been identified as the sources that cause the accident risk which are personal factor, managerial factor, technical and tool-related factor and environmental factor.</w:t>
            </w:r>
          </w:p>
        </w:tc>
      </w:tr>
      <w:tr w:rsidR="00CC07D4" w:rsidRPr="002D66BF" w14:paraId="465A4187"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676B55CE"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1BC7BB05"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{"citationItems":[{"id":"ITEM-1","itemData":{"author":[{"dropping-particle":"","family":"Balas","given":"Can Elmar","non-dropping-particle":"","parse-names":false,"suffix":""},{"dropping-particle":"","family":"Ergin","given":"Aysen","non-dropping-particle":"","parse-names":false,"suffix":""}],"container-title":"Middle East","id":"ITEM-1","issue":"April","issued":{"date-parts":[["2002"]]},"page":"52-61","title":"Case Study in Turkey","type":"article-journal"},"uris":["http://www.mendeley.com/documents/?uuid=a90cc88f-1089-46d5-a0f9-51b79404d849"]}],"mendeley":{"formattedCitation":"(Balas &amp; Ergin, 2002)","plainTextFormattedCitation":"(Balas &amp; Ergin, 2002)","previouslyFormattedCitation":"(Balas &amp; Ergin, 2002)"},"properties":{"noteIndex":0},"schema":"https://github.com/citation-style-language/schema/raw/master/csl-citation.json"}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(Balas &amp; Ergin, 2002)</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585E79F8" w14:textId="77777777" w:rsidR="00CC07D4" w:rsidRPr="002D66BF" w:rsidRDefault="00CC07D4" w:rsidP="003442EE">
            <w:pPr>
              <w:jc w:val="center"/>
              <w:rPr>
                <w:rFonts w:cs="Tahoma"/>
                <w:color w:val="000000"/>
              </w:rPr>
            </w:pPr>
            <w:r w:rsidRPr="002D66BF">
              <w:rPr>
                <w:rFonts w:cs="Tahoma"/>
                <w:color w:val="000000"/>
              </w:rPr>
              <w:t>X</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3B7A000D"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5260CE36" w14:textId="77777777" w:rsidR="00CC07D4" w:rsidRPr="002D66BF" w:rsidRDefault="00CC07D4" w:rsidP="003442EE">
            <w:pPr>
              <w:jc w:val="center"/>
              <w:rPr>
                <w:rFonts w:cs="Tahoma"/>
                <w:color w:val="000000"/>
              </w:rPr>
            </w:pPr>
            <w:r w:rsidRPr="002D66BF">
              <w:rPr>
                <w:rFonts w:cs="Tahoma"/>
                <w:color w:val="000000"/>
              </w:rPr>
              <w:t>X</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66D3BF23"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auto"/>
            </w:tcBorders>
            <w:vAlign w:val="center"/>
          </w:tcPr>
          <w:p w14:paraId="64589387"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35209EE0" w14:textId="77777777" w:rsidR="00CC07D4" w:rsidRPr="002D66BF" w:rsidRDefault="00CC07D4" w:rsidP="003442EE">
            <w:pPr>
              <w:jc w:val="center"/>
              <w:rPr>
                <w:rFonts w:cs="Tahoma"/>
                <w:color w:val="000000"/>
              </w:rPr>
            </w:pPr>
            <w:r w:rsidRPr="002D66BF">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3F7BC261" w14:textId="77777777" w:rsidR="00CC07D4" w:rsidRPr="002D66BF" w:rsidRDefault="00CC07D4" w:rsidP="003442EE">
            <w:pPr>
              <w:jc w:val="both"/>
            </w:pPr>
            <w:r w:rsidRPr="002D66BF">
              <w:t>It is found that structural risk of damage in the construction period can be an important factor to be</w:t>
            </w:r>
          </w:p>
          <w:p w14:paraId="09DCD643" w14:textId="77777777" w:rsidR="00CC07D4" w:rsidRPr="002D66BF" w:rsidRDefault="00CC07D4" w:rsidP="003442EE">
            <w:pPr>
              <w:jc w:val="both"/>
            </w:pPr>
            <w:r w:rsidRPr="002D66BF">
              <w:t>considered in the reliability-based project management, because coastal projects involve considerable damage risk during the construction</w:t>
            </w:r>
          </w:p>
          <w:p w14:paraId="781485B4" w14:textId="77777777" w:rsidR="00CC07D4" w:rsidRPr="002D66BF" w:rsidRDefault="00CC07D4" w:rsidP="003442EE">
            <w:pPr>
              <w:jc w:val="both"/>
            </w:pPr>
            <w:r w:rsidRPr="002D66BF">
              <w:t>phase</w:t>
            </w:r>
          </w:p>
        </w:tc>
      </w:tr>
      <w:tr w:rsidR="00CC07D4" w:rsidRPr="002D66BF" w14:paraId="25C552CC"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0F90AAB1"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3BF10930"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{"citationItems":[{"id":"ITEM-1","itemData":{"DOI":"10.1016/j.soildyn.2016.12.002","ISSN":"02677261","abstract":"Coastal bridges exposed to an aggressive environment are vulnerable to corrosion damage, which reduces the seismic resisting capacity of the structures. Focusing on the corrosion varying along the column height of the coastal bridge piers, this paper investigates the time-dependent failure mode and equivalent plastic hinge length of the aging bridge piers under seismic excitation in the whole life cycle. First, the possible seismic failure modes and the method to estimate the equivalent plastic hinge length are analyzed and discussed. Then, the corrosion initiation time and performance deterioration of the reinforcement are presented. After that, the finite element models of the sound and aging bridge piers are introduced based on the OpenSees software package and the time-dependent constitutive models of the reinforcement. According to the proposed flowchart of the computational procedure, a numerical simulation is conducted to investigate the plastic hinge evolution process of the coastal bridge pier. The analysis results indicate that the seismic failure mode of the continuously corroded bridge pier varies with the service time, and the plastic hinge has the possibility of transferring from the column end to the bottom of the splash and tidal zone.","author":[{"dropping-particle":"","family":"Yuan","given":"Wei","non-dropping-particle":"","parse-names":false,"suffix":""},{"dropping-particle":"","family":"Guo","given":"Anxin","non-dropping-particle":"","parse-names":false,"suffix":""},{"dropping-particle":"","family":"Li","given":"Hui","non-dropping-particle":"","parse-names":false,"suffix":""}],"container-title":"Soil Dynamics and Earthquake Engineering","id":"ITEM-1","issue":"August 2016","issued":{"date-parts":[["2017"]]},"page":"135-146","publisher":"Elsevier","title":"Seismic failure mode of coastal bridge piers considering the effects of corrosion-induced damage","type":"article-journal","volume":"93"},"uris":["http://www.mendeley.com/documents/?uuid=9d678f67-d3a1-4b48-a796-65ad1105ef85"]}],"mendeley":{"formattedCitation":"(Yuan et al., 2017)","plainTextFormattedCitation":"(Yuan et al., 2017)","previouslyFormattedCitation":"(Yuan et al., 2017)"},"properties":{"noteIndex":0},"schema":"https://github.com/citation-style-language/schema/raw/master/csl-citation.json"}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(Yuan et al., 2017)</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8FA5BD1" w14:textId="77777777" w:rsidR="00CC07D4" w:rsidRPr="002D66BF" w:rsidRDefault="00CC07D4" w:rsidP="003442EE">
            <w:pPr>
              <w:jc w:val="center"/>
              <w:rPr>
                <w:rFonts w:cs="Tahoma"/>
                <w:color w:val="000000"/>
              </w:rPr>
            </w:pPr>
            <w:r w:rsidRPr="002D66BF">
              <w:rPr>
                <w:rFonts w:cs="Tahoma"/>
                <w:color w:val="000000"/>
              </w:rPr>
              <w:t>X</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27A1318D"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6DF6B2C8"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2C358437"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auto"/>
            </w:tcBorders>
            <w:vAlign w:val="center"/>
          </w:tcPr>
          <w:p w14:paraId="1C1DF8A4"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44D86A11" w14:textId="77777777" w:rsidR="00CC07D4" w:rsidRPr="002D66BF" w:rsidRDefault="00CC07D4" w:rsidP="003442EE">
            <w:pPr>
              <w:jc w:val="center"/>
              <w:rPr>
                <w:rFonts w:cs="Tahoma"/>
                <w:color w:val="000000"/>
              </w:rPr>
            </w:pPr>
            <w:r w:rsidRPr="002D66BF">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3D69FABF" w14:textId="77777777" w:rsidR="00CC07D4" w:rsidRPr="002D66BF" w:rsidRDefault="00CC07D4" w:rsidP="003442EE">
            <w:pPr>
              <w:jc w:val="both"/>
            </w:pPr>
            <w:r w:rsidRPr="002D66BF">
              <w:t>Possible seismic failure modes of such structures considering the effects of the specific corrosion phenomenon in the long-term service period</w:t>
            </w:r>
          </w:p>
        </w:tc>
      </w:tr>
      <w:tr w:rsidR="00CC07D4" w:rsidRPr="002D66BF" w14:paraId="38A95152"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1E0614AF"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6A54365E"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{"citationItems":[{"id":"ITEM-1","itemData":{"DOI":"10.1111/j.1747-6593.2001.tb00351.x","ISSN":"13604015","abstract":"New methods and protocols are presented to assess and mitigate time, cost, quality and safety risks in construction, based upon the research behind two manuals which have been produced by HR Wallingford under industry guidance. The paper focuses on the specific risks associated with weather, sea and river state conditions. The inter-relationship with procurement route and insurance is also discussed. A contractor's view of construction risk is then given in the form of a case study based on the Eastbourne Coast Protection Scheme. This scheme involved work on a coastal foreshore in a tidal and marine environment and included five phases of timber groynes, rock revetments, concrete sea-walls and the reconstruction of promenades plus two phases of shingle renourishment.","author":[{"dropping-particle":"","family":"Simm","given":"J. D.","non-dropping-particle":"","parse-names":false,"suffix":""},{"dropping-particle":"","family":"Camilleri","given":"A. J.","non-dropping-particle":"","parse-names":false,"suffix":""}],"container-title":"Journal of the Chartered Institution of Water and Environmental Management","id":"ITEM-1","issue":"4","issued":{"date-parts":[["2001"]]},"page":"258-264","title":"Construction risk in coastal and river engineering","type":"article-journal","volume":"15"},"uris":["http://www.mendeley.com/documents/?uuid=689013b4-cc32-4b51-8fb9-1ece3025f52d"]}],"mendeley":{"formattedCitation":"(Simm &amp; Camilleri, 2001)","plainTextFormattedCitation":"(Simm &amp; Camilleri, 2001)","previouslyFormattedCitation":"(Simm &amp; Camilleri, 2001)"},"properties":{"noteIndex":0},"schema":"https://github.com/citation-style-language/schema/raw/master/csl-citation.json"}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(Simm &amp; Camilleri, 2001)</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3BB6A837"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69600751"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24059741"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05885084"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59857865"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7068AD7B" w14:textId="77777777" w:rsidR="00CC07D4" w:rsidRPr="002D66BF" w:rsidRDefault="00CC07D4" w:rsidP="003442EE">
            <w:pPr>
              <w:jc w:val="center"/>
              <w:rPr>
                <w:rFonts w:cs="Tahoma"/>
                <w:color w:val="000000"/>
              </w:rPr>
            </w:pPr>
            <w:r w:rsidRPr="002D66BF">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7AD42C02" w14:textId="77777777" w:rsidR="00CC07D4" w:rsidRPr="002D66BF" w:rsidRDefault="00CC07D4" w:rsidP="003442EE">
            <w:pPr>
              <w:jc w:val="both"/>
              <w:rPr>
                <w:rFonts w:cs="Tahoma"/>
                <w:color w:val="000000"/>
              </w:rPr>
            </w:pPr>
            <w:r w:rsidRPr="002D66BF">
              <w:t>Modern generic risk methods can, and should, be applied to the construction of river and coastal-engineering projects to ensure the proper definition of risks and their allocation to the party which is best able to manage them. Particular emphasis and care are required in dealing with weather (wind, wave-water level and river flow) and ground conditions</w:t>
            </w:r>
          </w:p>
        </w:tc>
      </w:tr>
      <w:tr w:rsidR="00CC07D4" w:rsidRPr="002D66BF" w14:paraId="72354581"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52A195B9"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1BF9B95E"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{"citationItems":[{"id":"ITEM-1","itemData":{"author":[{"dropping-particle":"","family":"Siswanto","given":"Putu Artama Wiguna","non-dropping-particle":"","parse-names":false,"suffix":""}],"id":"ITEM-1","issue":"69","issued":{"date-parts":[["2012"]]},"title":"MULTIPURPOSE TELUK LAMONG SURABAYA DARI PERSEPSI","type":"article-journal"},"uris":["http://www.mendeley.com/documents/?uuid=abb1a060-3f27-4cda-817c-14108e8f50a3"]}],"mendeley":{"formattedCitation":"(Siswanto, 2012)","plainTextFormattedCitation":"(Siswanto, 2012)","previouslyFormattedCitation":"(Siswanto, 2012)"},"properties":{"noteIndex":0},"schema":"https://github.com/citation-style-language/schema/raw/master/csl-citation.json"}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(Siswanto, 2012)</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564918D9"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4D4B2488"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56C55E3B"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6CBCDBB1"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24450279"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067CA876" w14:textId="77777777" w:rsidR="00CC07D4" w:rsidRPr="002D66BF" w:rsidRDefault="00CC07D4" w:rsidP="003442EE">
            <w:pPr>
              <w:jc w:val="center"/>
              <w:rPr>
                <w:rFonts w:cs="Tahoma"/>
                <w:color w:val="000000"/>
              </w:rPr>
            </w:pPr>
            <w:r w:rsidRPr="002D66BF">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77577BCC" w14:textId="77777777" w:rsidR="00CC07D4" w:rsidRPr="002D66BF" w:rsidRDefault="00CC07D4" w:rsidP="003442EE">
            <w:pPr>
              <w:jc w:val="both"/>
              <w:rPr>
                <w:rFonts w:cs="Tahoma"/>
                <w:color w:val="000000"/>
              </w:rPr>
            </w:pPr>
            <w:r w:rsidRPr="002D66BF">
              <w:t xml:space="preserve">There are 10 risks that have a high level of risk that need attention are extreme weather (heavy rain, strong currents, strong winds, lightning), work completion (sub-contractors) is not timely, extreme climate disturbs productivity, incomplete / unsuitable data investigations in the field, unforseen problems (rocks in the ground, mines, utility networks), another party's ship crashing into construction, pontoon barges and tug boat collision with another ship during operation, due to errors working conditions different from the contract, changes in the scope of the contract </w:t>
            </w:r>
          </w:p>
        </w:tc>
      </w:tr>
      <w:tr w:rsidR="00CC07D4" w:rsidRPr="002D66BF" w14:paraId="052907F8"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00B86492"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3CF6EE82" w14:textId="77777777" w:rsidR="00CC07D4" w:rsidRPr="002D66BF" w:rsidRDefault="00CC07D4" w:rsidP="003442EE">
            <w:pPr>
              <w:jc w:val="center"/>
              <w:rPr>
                <w:rFonts w:cs="Tahoma"/>
              </w:rPr>
            </w:pPr>
            <w:r w:rsidRPr="002D66BF">
              <w:rPr>
                <w:rFonts w:cs="Tahoma"/>
              </w:rPr>
              <w:fldChar w:fldCharType="begin" w:fldLock="1"/>
            </w:r>
            <w:r w:rsidRPr="002D66BF">
              <w:rPr>
                <w:rFonts w:cs="Tahoma"/>
              </w:rPr>
              <w:instrText>ADDIN CSL_CITATION {"citationItems":[{"id":"ITEM-1","itemData":{"author":[{"dropping-particle":"","family":"Connor","given":"T","non-dropping-particle":"","parse-names":false,"suffix":""},{"dropping-particle":"","family":"Cummings","given":"P","non-dropping-particle":"","parse-names":false,"suffix":""},{"dropping-particle":"","family":"Imrie","given":"J","non-dropping-particle":"","parse-names":false,"suffix":""},{"dropping-particle":"","family":"Pouusard","given":"W","non-dropping-particle":"","parse-names":false,"suffix":""}],"container-title":"Solutions to Coastal Disasters","id":"ITEM-1","issued":{"date-parts":[["2011"]]},"page":"233-245","title":"LOW COST BOAT HARBOR PROTECTION AS AN INTEGRAL ELEMENT OF NATURAL DISASTER RISK MANAGEMENT IN VIET NAM","type":"article-journal"},"uris":["http://www.mendeley.com/documents/?uuid=ed50d923-f146-4b69-bfda-6378f98edc1d"]}],"mendeley":{"formattedCitation":"(Connor et al., 2011)","plainTextFormattedCitation":"(Connor et al., 2011)","previouslyFormattedCitation":"(Connor et al., 2011)"},"properties":{"noteIndex":0},"schema":"https://github.com/citation-style-language/schema/raw/master/csl-citation.json"}</w:instrText>
            </w:r>
            <w:r w:rsidRPr="002D66BF">
              <w:rPr>
                <w:rFonts w:cs="Tahoma"/>
              </w:rPr>
              <w:fldChar w:fldCharType="separate"/>
            </w:r>
            <w:r w:rsidRPr="002D66BF">
              <w:rPr>
                <w:rFonts w:cs="Tahoma"/>
                <w:noProof/>
              </w:rPr>
              <w:t>(Connor et al., 2011)</w:t>
            </w:r>
            <w:r w:rsidRPr="002D66BF">
              <w:rPr>
                <w:rFonts w:cs="Tahoma"/>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6828D747" w14:textId="77777777" w:rsidR="00CC07D4" w:rsidRPr="002D66BF" w:rsidRDefault="00CC07D4" w:rsidP="003442EE">
            <w:pPr>
              <w:jc w:val="center"/>
              <w:rPr>
                <w:rFonts w:cs="Tahoma"/>
              </w:rPr>
            </w:pPr>
            <w:r w:rsidRPr="002D66BF">
              <w:rPr>
                <w:rFonts w:cs="Tahoma"/>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01D7B33C" w14:textId="77777777" w:rsidR="00CC07D4" w:rsidRPr="002D66BF" w:rsidRDefault="00CC07D4" w:rsidP="003442EE">
            <w:pPr>
              <w:jc w:val="center"/>
              <w:rPr>
                <w:rFonts w:cs="Tahoma"/>
              </w:rPr>
            </w:pPr>
            <w:r w:rsidRPr="002D66BF">
              <w:rPr>
                <w:rFonts w:cs="Tahoma"/>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4B03C29D" w14:textId="77777777" w:rsidR="00CC07D4" w:rsidRPr="002D66BF" w:rsidRDefault="00CC07D4" w:rsidP="003442EE">
            <w:pPr>
              <w:jc w:val="center"/>
              <w:rPr>
                <w:rFonts w:cs="Tahoma"/>
              </w:rPr>
            </w:pPr>
            <w:r w:rsidRPr="002D66BF">
              <w:rPr>
                <w:rFonts w:cs="Tahoma"/>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6A4DD541" w14:textId="77777777" w:rsidR="00CC07D4" w:rsidRPr="002D66BF" w:rsidRDefault="00CC07D4" w:rsidP="003442EE">
            <w:pPr>
              <w:jc w:val="center"/>
              <w:rPr>
                <w:rFonts w:cs="Tahoma"/>
              </w:rPr>
            </w:pPr>
            <w:r w:rsidRPr="002D66BF">
              <w:rPr>
                <w:rFonts w:cs="Tahoma"/>
              </w:rPr>
              <w:t>V</w:t>
            </w:r>
          </w:p>
        </w:tc>
        <w:tc>
          <w:tcPr>
            <w:tcW w:w="630" w:type="dxa"/>
            <w:tcBorders>
              <w:top w:val="single" w:sz="4" w:space="0" w:color="auto"/>
              <w:left w:val="nil"/>
              <w:bottom w:val="single" w:sz="4" w:space="0" w:color="auto"/>
              <w:right w:val="single" w:sz="4" w:space="0" w:color="auto"/>
            </w:tcBorders>
            <w:vAlign w:val="center"/>
          </w:tcPr>
          <w:p w14:paraId="46FB15C0" w14:textId="77777777" w:rsidR="00CC07D4" w:rsidRPr="002D66BF" w:rsidRDefault="00CC07D4" w:rsidP="003442EE">
            <w:pPr>
              <w:jc w:val="center"/>
              <w:rPr>
                <w:rFonts w:cs="Tahoma"/>
              </w:rPr>
            </w:pPr>
            <w:r w:rsidRPr="002D66BF">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297E393F" w14:textId="77777777" w:rsidR="00CC07D4" w:rsidRPr="002D66BF" w:rsidRDefault="00CC07D4" w:rsidP="003442EE">
            <w:pPr>
              <w:jc w:val="center"/>
              <w:rPr>
                <w:rFonts w:cs="Tahoma"/>
              </w:rPr>
            </w:pPr>
            <w:r w:rsidRPr="002D66BF">
              <w:rPr>
                <w:rFonts w:cs="Tahoma"/>
              </w:rPr>
              <w:t>V</w:t>
            </w:r>
          </w:p>
        </w:tc>
        <w:tc>
          <w:tcPr>
            <w:tcW w:w="3240" w:type="dxa"/>
            <w:tcBorders>
              <w:top w:val="single" w:sz="4" w:space="0" w:color="auto"/>
              <w:left w:val="single" w:sz="4" w:space="0" w:color="auto"/>
              <w:bottom w:val="single" w:sz="4" w:space="0" w:color="auto"/>
              <w:right w:val="single" w:sz="4" w:space="0" w:color="auto"/>
            </w:tcBorders>
            <w:vAlign w:val="center"/>
          </w:tcPr>
          <w:p w14:paraId="6A66FF33" w14:textId="77777777" w:rsidR="00CC07D4" w:rsidRPr="002D66BF" w:rsidRDefault="00CC07D4" w:rsidP="003442EE">
            <w:pPr>
              <w:pStyle w:val="ListParagraph"/>
              <w:ind w:left="0"/>
              <w:jc w:val="both"/>
              <w:rPr>
                <w:rFonts w:cs="Tahoma"/>
                <w:sz w:val="20"/>
                <w:szCs w:val="20"/>
              </w:rPr>
            </w:pPr>
            <w:r w:rsidRPr="002D66BF">
              <w:rPr>
                <w:rFonts w:cs="Tahoma"/>
                <w:sz w:val="20"/>
                <w:szCs w:val="20"/>
              </w:rPr>
              <w:t>Designing low cost harbor developments that achieve acceptable outcomes</w:t>
            </w:r>
          </w:p>
          <w:p w14:paraId="0C593527" w14:textId="77777777" w:rsidR="00CC07D4" w:rsidRPr="002D66BF" w:rsidRDefault="00CC07D4" w:rsidP="003442EE">
            <w:pPr>
              <w:jc w:val="both"/>
              <w:rPr>
                <w:rFonts w:cs="Tahoma"/>
              </w:rPr>
            </w:pPr>
            <w:r w:rsidRPr="002D66BF">
              <w:rPr>
                <w:rFonts w:cs="Tahoma"/>
              </w:rPr>
              <w:br w:type="column"/>
              <w:t>Working with local agencies and boat operators to marry worldwide technical knowledge with local practices and customs</w:t>
            </w:r>
          </w:p>
          <w:p w14:paraId="5558C2AD" w14:textId="77777777" w:rsidR="00CC07D4" w:rsidRPr="002D66BF" w:rsidRDefault="00CC07D4" w:rsidP="003442EE">
            <w:pPr>
              <w:jc w:val="both"/>
              <w:rPr>
                <w:rFonts w:cs="Tahoma"/>
              </w:rPr>
            </w:pPr>
            <w:r w:rsidRPr="002D66BF">
              <w:rPr>
                <w:rFonts w:cs="Tahoma"/>
              </w:rPr>
              <w:br w:type="column"/>
              <w:t>Reducing risk in local associated communities by strengthening the knowledge, skills and motivation of people in vulnerable communities and supporting their initiatives to create safe conditions and practices</w:t>
            </w:r>
          </w:p>
          <w:p w14:paraId="493158D0" w14:textId="77777777" w:rsidR="00CC07D4" w:rsidRPr="002D66BF" w:rsidRDefault="00CC07D4" w:rsidP="003442EE">
            <w:pPr>
              <w:jc w:val="both"/>
            </w:pPr>
            <w:r w:rsidRPr="002D66BF">
              <w:rPr>
                <w:rFonts w:cs="Tahoma"/>
              </w:rPr>
              <w:br w:type="column"/>
              <w:t xml:space="preserve"> Proposing an integrated approach which doesn’t look at a harbor in isolation but combines harbor works with flood and typhoon planning, community based disaster risk </w:t>
            </w:r>
            <w:r w:rsidRPr="002D66BF">
              <w:rPr>
                <w:rFonts w:cs="Tahoma"/>
              </w:rPr>
              <w:lastRenderedPageBreak/>
              <w:t>management and overall economic development objectives.</w:t>
            </w:r>
          </w:p>
        </w:tc>
      </w:tr>
      <w:tr w:rsidR="00CC07D4" w:rsidRPr="002D66BF" w14:paraId="12580472"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122377DC" w14:textId="77777777" w:rsidR="00CC07D4" w:rsidRPr="002D66BF" w:rsidRDefault="00CC07D4" w:rsidP="003442EE">
            <w:pPr>
              <w:pStyle w:val="ListParagraph"/>
              <w:numPr>
                <w:ilvl w:val="0"/>
                <w:numId w:val="18"/>
              </w:numPr>
              <w:tabs>
                <w:tab w:val="left" w:pos="558"/>
              </w:tabs>
              <w:ind w:hanging="555"/>
              <w:rPr>
                <w:rFonts w:cs="Tahoma"/>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75B9E053" w14:textId="77777777" w:rsidR="00CC07D4" w:rsidRPr="002D66BF" w:rsidRDefault="00CC07D4" w:rsidP="003442EE">
            <w:pPr>
              <w:jc w:val="center"/>
              <w:rPr>
                <w:rFonts w:cs="Tahoma"/>
              </w:rPr>
            </w:pPr>
            <w:r w:rsidRPr="002D66BF">
              <w:rPr>
                <w:rFonts w:cs="Tahoma"/>
              </w:rPr>
              <w:fldChar w:fldCharType="begin" w:fldLock="1"/>
            </w:r>
            <w:r w:rsidRPr="002D66BF">
              <w:rPr>
                <w:rFonts w:cs="Tahoma"/>
              </w:rPr>
              <w:instrText>ADDIN CSL_CITATION {"citationItems":[{"id":"ITEM-1","itemData":{"DOI":"10.1061/(asce)me.1943-5479.0000070","ISSN":"0742-597X","abstract":"This paper describes a project management framework for dredging projects (PMFD) developed to facilitate the performance of dredging projects. The framework uses established project management techniques, a Web-based project management system (WPMS) environment, the Project Management Institute's project management body of knowledge project life-cycle concept, and a project delivery system commonly used to procure dredging projects to analyze and optimize project management processes in dredging operations. These processes are intended to be aligned with the project contracting organization's business rules to create a practical framework to manage the project. The presented framework addresses WPMS limitations reported in previous research. The paper describes the principles of applying the PMFD to the management of dredging projects. Finally, the paper presents a case study describing a specific project scenario to illustrate the application of the principles and provides a cost-benefit analysis for the implementation of the WPMS. This presented framework can be adapted to manage other types of construction projects, and it may be implemented by a project owner who supervises and controls an entire project life cycle. © 2012 American Society of Civil Engineers.","author":[{"dropping-particle":"","family":"Skibniewski","given":"Mirosław J.","non-dropping-particle":"","parse-names":false,"suffix":""},{"dropping-particle":"","family":"Vecino","given":"Gustavo A.","non-dropping-particle":"","parse-names":false,"suffix":""}],"container-title":"Journal of Management in Engineering","id":"ITEM-1","issue":"2","issued":{"date-parts":[["2012"]]},"page":"127-139","title":"Web-Based Project Management Framework for Dredging Projects","type":"article-journal","volume":"28"},"uris":["http://www.mendeley.com/documents/?uuid=a9f56723-95dd-4f05-b486-3ab0097f39f7"]}],"mendeley":{"formattedCitation":"(Skibniewski &amp; Vecino, 2012)","plainTextFormattedCitation":"(Skibniewski &amp; Vecino, 2012)","previouslyFormattedCitation":"(Skibniewski &amp; Vecino, 2012)"},"properties":{"noteIndex":0},"schema":"https://github.com/citation-style-language/schema/raw/master/csl-citation.json"}</w:instrText>
            </w:r>
            <w:r w:rsidRPr="002D66BF">
              <w:rPr>
                <w:rFonts w:cs="Tahoma"/>
              </w:rPr>
              <w:fldChar w:fldCharType="separate"/>
            </w:r>
            <w:r w:rsidRPr="002D66BF">
              <w:rPr>
                <w:rFonts w:cs="Tahoma"/>
                <w:noProof/>
              </w:rPr>
              <w:t>(Skibniewski &amp; Vecino, 2012)</w:t>
            </w:r>
            <w:r w:rsidRPr="002D66BF">
              <w:rPr>
                <w:rFonts w:cs="Tahoma"/>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76DFD333" w14:textId="77777777" w:rsidR="00CC07D4" w:rsidRPr="002D66BF" w:rsidRDefault="00CC07D4" w:rsidP="003442EE">
            <w:pPr>
              <w:jc w:val="center"/>
              <w:rPr>
                <w:rFonts w:cs="Tahoma"/>
              </w:rPr>
            </w:pPr>
            <w:r w:rsidRPr="002D66BF">
              <w:rPr>
                <w:rFonts w:cs="Tahoma"/>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03B63FE5" w14:textId="77777777" w:rsidR="00CC07D4" w:rsidRPr="002D66BF" w:rsidRDefault="00CC07D4" w:rsidP="003442EE">
            <w:pPr>
              <w:jc w:val="center"/>
              <w:rPr>
                <w:rFonts w:cs="Tahoma"/>
              </w:rPr>
            </w:pPr>
            <w:r w:rsidRPr="002D66BF">
              <w:rPr>
                <w:rFonts w:cs="Tahoma"/>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01BDEB1E" w14:textId="77777777" w:rsidR="00CC07D4" w:rsidRPr="002D66BF" w:rsidRDefault="00CC07D4" w:rsidP="003442EE">
            <w:pPr>
              <w:jc w:val="center"/>
              <w:rPr>
                <w:rFonts w:cs="Tahoma"/>
              </w:rPr>
            </w:pPr>
            <w:r w:rsidRPr="002D66BF">
              <w:rPr>
                <w:rFonts w:cs="Tahoma"/>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6DF196D7" w14:textId="77777777" w:rsidR="00CC07D4" w:rsidRPr="002D66BF" w:rsidRDefault="00CC07D4" w:rsidP="003442EE">
            <w:pPr>
              <w:jc w:val="center"/>
              <w:rPr>
                <w:rFonts w:cs="Tahoma"/>
              </w:rPr>
            </w:pPr>
            <w:r w:rsidRPr="002D66BF">
              <w:rPr>
                <w:rFonts w:cs="Tahoma"/>
              </w:rPr>
              <w:t>V</w:t>
            </w:r>
          </w:p>
        </w:tc>
        <w:tc>
          <w:tcPr>
            <w:tcW w:w="630" w:type="dxa"/>
            <w:tcBorders>
              <w:top w:val="single" w:sz="4" w:space="0" w:color="auto"/>
              <w:left w:val="nil"/>
              <w:bottom w:val="single" w:sz="4" w:space="0" w:color="auto"/>
              <w:right w:val="single" w:sz="4" w:space="0" w:color="auto"/>
            </w:tcBorders>
            <w:vAlign w:val="center"/>
          </w:tcPr>
          <w:p w14:paraId="6834B81B" w14:textId="77777777" w:rsidR="00CC07D4" w:rsidRPr="002D66BF" w:rsidRDefault="00CC07D4" w:rsidP="003442EE">
            <w:pPr>
              <w:jc w:val="center"/>
              <w:rPr>
                <w:rFonts w:cs="Tahoma"/>
              </w:rPr>
            </w:pPr>
            <w:r w:rsidRPr="002D66BF">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4987DA45" w14:textId="77777777" w:rsidR="00CC07D4" w:rsidRPr="002D66BF" w:rsidRDefault="00CC07D4" w:rsidP="003442EE">
            <w:pPr>
              <w:jc w:val="center"/>
              <w:rPr>
                <w:rFonts w:cs="Tahoma"/>
              </w:rPr>
            </w:pPr>
            <w:r w:rsidRPr="002D66BF">
              <w:rPr>
                <w:rFonts w:cs="Tahoma"/>
              </w:rPr>
              <w:t>V</w:t>
            </w:r>
          </w:p>
        </w:tc>
        <w:tc>
          <w:tcPr>
            <w:tcW w:w="3240" w:type="dxa"/>
            <w:tcBorders>
              <w:top w:val="single" w:sz="4" w:space="0" w:color="auto"/>
              <w:left w:val="single" w:sz="4" w:space="0" w:color="auto"/>
              <w:bottom w:val="single" w:sz="4" w:space="0" w:color="auto"/>
              <w:right w:val="single" w:sz="4" w:space="0" w:color="auto"/>
            </w:tcBorders>
            <w:vAlign w:val="center"/>
          </w:tcPr>
          <w:p w14:paraId="7BCD6992" w14:textId="77777777" w:rsidR="00CC07D4" w:rsidRPr="002D66BF" w:rsidRDefault="00CC07D4" w:rsidP="003442EE">
            <w:pPr>
              <w:jc w:val="both"/>
              <w:rPr>
                <w:rFonts w:cs="Tahoma"/>
              </w:rPr>
            </w:pPr>
            <w:r w:rsidRPr="002D66BF">
              <w:rPr>
                <w:rFonts w:cs="Tahoma"/>
              </w:rPr>
              <w:t>Use of the PMFD (management framework for dredging projects) is key in assisting dredging project stakeholders in their corresponding management responsibilities. In addition, the PMFD creates a foundation for the planning, forecasting, and assessment of future projects. These features are essential because they release managers from the</w:t>
            </w:r>
            <w:r>
              <w:rPr>
                <w:rFonts w:cs="Tahoma"/>
              </w:rPr>
              <w:t xml:space="preserve"> </w:t>
            </w:r>
            <w:r w:rsidRPr="002D66BF">
              <w:rPr>
                <w:rFonts w:cs="Tahoma"/>
              </w:rPr>
              <w:t>burden of manually processing information, allowing more time for analysis, planning, inspection, and supervision. These key features of the PMFD are summarized in the following paragraphs</w:t>
            </w:r>
          </w:p>
        </w:tc>
      </w:tr>
      <w:tr w:rsidR="00CC07D4" w:rsidRPr="002D66BF" w14:paraId="5ABC9824"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55AF4D5F"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41382C0C" w14:textId="77777777" w:rsidR="00CC07D4" w:rsidRPr="002D66BF" w:rsidRDefault="00CC07D4" w:rsidP="003442EE">
            <w:pPr>
              <w:jc w:val="center"/>
              <w:rPr>
                <w:rFonts w:cs="Tahoma"/>
              </w:rPr>
            </w:pPr>
            <w:r w:rsidRPr="002D66BF">
              <w:rPr>
                <w:rFonts w:cs="Tahoma"/>
              </w:rPr>
              <w:fldChar w:fldCharType="begin" w:fldLock="1"/>
            </w:r>
            <w:r w:rsidRPr="002D66BF">
              <w:rPr>
                <w:rFonts w:cs="Tahoma"/>
              </w:rPr>
              <w:instrText>ADDIN CSL_CITATION {"citationItems":[{"id":"ITEM-1","itemData":{"DOI":"10.20474/jater-4.4.4","abstract":"APBS is a shipping lane located between Surabaya and Madura Island and an entrance to the port of Tanjung Perak Surabaya. APBS has a length of 19 km with a width of 150 m and a depth of-13 m to become a traf ic low of 41,000 ships per year consisting of passenger …","author":[{"dropping-particle":"","family":"W","given":"Rizki Kresna","non-dropping-particle":"","parse-names":false,"suffix":""}],"container-title":"Journal of Advances in Technology and Engineering Research","id":"ITEM-1","issue":"4","issued":{"date-parts":[["2018"]]},"page":"176-185","title":"Maritime safety risk analysis in Alur Pelayaran Barat Surabaya (APBS) during dredging process","type":"article-journal","volume":"4"},"uris":["http://www.mendeley.com/documents/?uuid=6a3e1490-3696-4af4-b825-1e2fe3438cc0"]}],"mendeley":{"formattedCitation":"(W, 2018)","manualFormatting":"(Kresna Rizki, 2018)","plainTextFormattedCitation":"(W, 2018)","previouslyFormattedCitation":"(W, 2018)"},"properties":{"noteIndex":0},"schema":"https://github.com/citation-style-language/schema/raw/master/csl-citation.json"}</w:instrText>
            </w:r>
            <w:r w:rsidRPr="002D66BF">
              <w:rPr>
                <w:rFonts w:cs="Tahoma"/>
              </w:rPr>
              <w:fldChar w:fldCharType="separate"/>
            </w:r>
            <w:r w:rsidRPr="002D66BF">
              <w:rPr>
                <w:rFonts w:cs="Tahoma"/>
                <w:noProof/>
              </w:rPr>
              <w:t>(Kresna Rizki, 2018)</w:t>
            </w:r>
            <w:r w:rsidRPr="002D66BF">
              <w:rPr>
                <w:rFonts w:cs="Tahoma"/>
              </w:rPr>
              <w:fldChar w:fldCharType="end"/>
            </w:r>
            <w:r w:rsidRPr="002D66BF">
              <w:rPr>
                <w:rFonts w:cs="Tahoma"/>
              </w:rPr>
              <w:t xml:space="preserve"> </w:t>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2FEAFD6" w14:textId="77777777" w:rsidR="00CC07D4" w:rsidRPr="002D66BF" w:rsidRDefault="00CC07D4" w:rsidP="003442EE">
            <w:pPr>
              <w:jc w:val="center"/>
              <w:rPr>
                <w:rFonts w:cs="Tahoma"/>
              </w:rPr>
            </w:pPr>
            <w:r w:rsidRPr="002D66BF">
              <w:rPr>
                <w:rFonts w:cs="Tahoma"/>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1FAC78AA" w14:textId="77777777" w:rsidR="00CC07D4" w:rsidRPr="002D66BF" w:rsidRDefault="00CC07D4" w:rsidP="003442EE">
            <w:pPr>
              <w:jc w:val="center"/>
              <w:rPr>
                <w:rFonts w:cs="Tahoma"/>
              </w:rPr>
            </w:pPr>
            <w:r w:rsidRPr="002D66BF">
              <w:rPr>
                <w:rFonts w:cs="Tahoma"/>
              </w:rPr>
              <w:t>X</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369DD605" w14:textId="77777777" w:rsidR="00CC07D4" w:rsidRPr="002D66BF" w:rsidRDefault="00CC07D4" w:rsidP="003442EE">
            <w:pPr>
              <w:jc w:val="center"/>
              <w:rPr>
                <w:rFonts w:cs="Tahoma"/>
              </w:rPr>
            </w:pPr>
            <w:r w:rsidRPr="002D66BF">
              <w:rPr>
                <w:rFonts w:cs="Tahoma"/>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60284380" w14:textId="77777777" w:rsidR="00CC07D4" w:rsidRPr="002D66BF" w:rsidRDefault="00CC07D4" w:rsidP="003442EE">
            <w:pPr>
              <w:jc w:val="center"/>
              <w:rPr>
                <w:rFonts w:cs="Tahoma"/>
              </w:rPr>
            </w:pPr>
            <w:r w:rsidRPr="002D66BF">
              <w:rPr>
                <w:rFonts w:cs="Tahoma"/>
              </w:rPr>
              <w:t>V</w:t>
            </w:r>
          </w:p>
        </w:tc>
        <w:tc>
          <w:tcPr>
            <w:tcW w:w="630" w:type="dxa"/>
            <w:tcBorders>
              <w:top w:val="single" w:sz="4" w:space="0" w:color="auto"/>
              <w:left w:val="nil"/>
              <w:bottom w:val="single" w:sz="4" w:space="0" w:color="auto"/>
              <w:right w:val="single" w:sz="4" w:space="0" w:color="auto"/>
            </w:tcBorders>
            <w:vAlign w:val="center"/>
          </w:tcPr>
          <w:p w14:paraId="03B25C7F" w14:textId="77777777" w:rsidR="00CC07D4" w:rsidRPr="002D66BF" w:rsidRDefault="00CC07D4" w:rsidP="003442EE">
            <w:pPr>
              <w:jc w:val="center"/>
              <w:rPr>
                <w:rFonts w:cs="Tahoma"/>
              </w:rPr>
            </w:pPr>
            <w:r w:rsidRPr="002D66BF">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6C932330" w14:textId="77777777" w:rsidR="00CC07D4" w:rsidRPr="002D66BF" w:rsidRDefault="00CC07D4" w:rsidP="003442EE">
            <w:pPr>
              <w:jc w:val="center"/>
              <w:rPr>
                <w:rFonts w:cs="Tahoma"/>
              </w:rPr>
            </w:pPr>
            <w:r w:rsidRPr="002D66BF">
              <w:rPr>
                <w:rFonts w:cs="Tahoma"/>
              </w:rPr>
              <w:t>X</w:t>
            </w:r>
          </w:p>
        </w:tc>
        <w:tc>
          <w:tcPr>
            <w:tcW w:w="3240" w:type="dxa"/>
            <w:tcBorders>
              <w:top w:val="single" w:sz="4" w:space="0" w:color="auto"/>
              <w:left w:val="single" w:sz="4" w:space="0" w:color="auto"/>
              <w:bottom w:val="single" w:sz="4" w:space="0" w:color="auto"/>
              <w:right w:val="single" w:sz="4" w:space="0" w:color="auto"/>
            </w:tcBorders>
            <w:vAlign w:val="center"/>
          </w:tcPr>
          <w:p w14:paraId="63B9EB56" w14:textId="77777777" w:rsidR="00CC07D4" w:rsidRPr="002D66BF" w:rsidRDefault="00CC07D4" w:rsidP="003442EE">
            <w:pPr>
              <w:jc w:val="both"/>
              <w:rPr>
                <w:rFonts w:cs="Tahoma"/>
              </w:rPr>
            </w:pPr>
            <w:r w:rsidRPr="002D66BF">
              <w:rPr>
                <w:rFonts w:cs="Tahoma"/>
              </w:rPr>
              <w:t>The dredging that will be carried out at the APBS has internal risks and external risks whose risks are divided based on the stages of dredging activity, namely the risk when dredging is carried out, the risks when sending sediment material to the discharge location, and the risk of</w:t>
            </w:r>
          </w:p>
          <w:p w14:paraId="6E8628AB" w14:textId="77777777" w:rsidR="00CC07D4" w:rsidRDefault="00CC07D4" w:rsidP="003442EE">
            <w:pPr>
              <w:jc w:val="both"/>
              <w:rPr>
                <w:rFonts w:cs="Tahoma"/>
              </w:rPr>
            </w:pPr>
            <w:r w:rsidRPr="002D66BF">
              <w:rPr>
                <w:rFonts w:cs="Tahoma"/>
              </w:rPr>
              <w:t xml:space="preserve">removing sediment material. </w:t>
            </w:r>
          </w:p>
          <w:p w14:paraId="2BD30D93" w14:textId="77777777" w:rsidR="00CC07D4" w:rsidRPr="002D66BF" w:rsidRDefault="00CC07D4" w:rsidP="003442EE">
            <w:pPr>
              <w:jc w:val="both"/>
              <w:rPr>
                <w:rFonts w:cs="Tahoma"/>
              </w:rPr>
            </w:pPr>
            <w:r w:rsidRPr="002D66BF">
              <w:rPr>
                <w:rFonts w:cs="Tahoma"/>
              </w:rPr>
              <w:t>Another risk in dredging activities in the APBS that is not found in other dredging activities</w:t>
            </w:r>
            <w:r>
              <w:rPr>
                <w:rFonts w:cs="Tahoma"/>
              </w:rPr>
              <w:t xml:space="preserve"> </w:t>
            </w:r>
            <w:r w:rsidRPr="002D66BF">
              <w:rPr>
                <w:rFonts w:cs="Tahoma"/>
              </w:rPr>
              <w:t xml:space="preserve">is the presence of submarine pipes and cables and mines scattered around the dredging area. </w:t>
            </w:r>
          </w:p>
        </w:tc>
      </w:tr>
      <w:tr w:rsidR="00CC07D4" w:rsidRPr="002D66BF" w14:paraId="3799AC18"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102591D2" w14:textId="77777777" w:rsidR="00CC07D4" w:rsidRPr="002D66BF" w:rsidRDefault="00CC07D4" w:rsidP="003442EE">
            <w:pPr>
              <w:pStyle w:val="ListParagraph"/>
              <w:numPr>
                <w:ilvl w:val="0"/>
                <w:numId w:val="18"/>
              </w:numPr>
              <w:tabs>
                <w:tab w:val="left" w:pos="412"/>
                <w:tab w:val="left" w:pos="558"/>
              </w:tabs>
              <w:ind w:hanging="580"/>
              <w:jc w:val="center"/>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0C57D89E" w14:textId="77777777" w:rsidR="00CC07D4" w:rsidRPr="002D66BF" w:rsidRDefault="00CC07D4" w:rsidP="003442EE">
            <w:pPr>
              <w:jc w:val="center"/>
              <w:rPr>
                <w:rFonts w:cs="Tahoma"/>
              </w:rPr>
            </w:pPr>
            <w:r w:rsidRPr="002D66BF">
              <w:rPr>
                <w:rFonts w:cs="Tahoma"/>
              </w:rPr>
              <w:fldChar w:fldCharType="begin" w:fldLock="1"/>
            </w:r>
            <w:r w:rsidRPr="002D66BF">
              <w:rPr>
                <w:rFonts w:cs="Tahoma"/>
              </w:rPr>
              <w:instrText>ADDIN CSL_CITATION {"citationItems":[{"id":"ITEM-1","itemData":{"DOI":"10.1061/(asce)ww.1943-5460.0000537","ISSN":"0733-950X","abstract":"© 2019 ASCE. This paper presents the risk identification process, a checklist of 215 different risks, and an associated risk breakdown structure (RBS) for the design and construction phases for a shipping port and associated container terminal. The case study project scope for the research includes a 3,500-m breakwater, 80 ha of reclaimed land, a 1,000-m-long quay wall, port equipment, and buildings. The checklist is categorized according to the project work breakdown structure (WBS) and includes risks associated with (1) breakwater, (2) reclaimed land, (3) entrance canal and basin, (4) quay wall, (5) container yard and buildings, (6) power supply, and (7) project management office. Since the research outcome was developed by subject matter experts during an actual project, it can be used during risk identification, as a completeness check after risk identification on similar projects, or for individual activities (e.g., quay wall construction) per the required project scope. The research also includes a list of risks that specifically relate to marine construction.","author":[{"dropping-particle":"","family":"Joubert","given":"F. J.","non-dropping-particle":"","parse-names":false,"suffix":""},{"dropping-particle":"","family":"Pretorius","given":"L.","non-dropping-particle":"","parse-names":false,"suffix":""}],"container-title":"Journal of Waterway, Port, Coastal, and Ocean Engineering","id":"ITEM-1","issue":"1","issued":{"date-parts":[["2020"]]},"page":"05019003","title":"Design and Construction Risks for a Shipping Port and Container Terminal: Case Study","type":"article-journal","volume":"146"},"uris":["http://www.mendeley.com/documents/?uuid=f258f5bc-07cf-4e2b-942e-631a64328660"]}],"mendeley":{"formattedCitation":"(Joubert &amp; Pretorius, 2020)","plainTextFormattedCitation":"(Joubert &amp; Pretorius, 2020)","previouslyFormattedCitation":"(Joubert &amp; Pretorius, 2020)"},"properties":{"noteIndex":0},"schema":"https://github.com/citation-style-language/schema/raw/master/csl-citation.json"}</w:instrText>
            </w:r>
            <w:r w:rsidRPr="002D66BF">
              <w:rPr>
                <w:rFonts w:cs="Tahoma"/>
              </w:rPr>
              <w:fldChar w:fldCharType="separate"/>
            </w:r>
            <w:r w:rsidRPr="002D66BF">
              <w:rPr>
                <w:rFonts w:cs="Tahoma"/>
                <w:noProof/>
              </w:rPr>
              <w:t>(Joubert &amp; Pretorius, 2020)</w:t>
            </w:r>
            <w:r w:rsidRPr="002D66BF">
              <w:rPr>
                <w:rFonts w:cs="Tahoma"/>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11DE923" w14:textId="77777777" w:rsidR="00CC07D4" w:rsidRPr="002D66BF" w:rsidRDefault="00CC07D4" w:rsidP="003442EE">
            <w:pPr>
              <w:jc w:val="center"/>
              <w:rPr>
                <w:rFonts w:cs="Tahoma"/>
              </w:rPr>
            </w:pPr>
            <w:r w:rsidRPr="002D66BF">
              <w:rPr>
                <w:rFonts w:cs="Tahoma"/>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13859EFC" w14:textId="77777777" w:rsidR="00CC07D4" w:rsidRPr="002D66BF" w:rsidRDefault="00CC07D4" w:rsidP="003442EE">
            <w:pPr>
              <w:jc w:val="center"/>
              <w:rPr>
                <w:rFonts w:cs="Tahoma"/>
              </w:rPr>
            </w:pPr>
            <w:r w:rsidRPr="002D66BF">
              <w:rPr>
                <w:rFonts w:cs="Tahoma"/>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0830F707" w14:textId="77777777" w:rsidR="00CC07D4" w:rsidRPr="002D66BF" w:rsidRDefault="00CC07D4" w:rsidP="003442EE">
            <w:pPr>
              <w:jc w:val="center"/>
              <w:rPr>
                <w:rFonts w:cs="Tahoma"/>
              </w:rPr>
            </w:pPr>
            <w:r w:rsidRPr="002D66BF">
              <w:rPr>
                <w:rFonts w:cs="Tahoma"/>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598173F9" w14:textId="77777777" w:rsidR="00CC07D4" w:rsidRPr="002D66BF" w:rsidRDefault="00CC07D4" w:rsidP="003442EE">
            <w:pPr>
              <w:jc w:val="center"/>
              <w:rPr>
                <w:rFonts w:cs="Tahoma"/>
              </w:rPr>
            </w:pPr>
            <w:r w:rsidRPr="002D66BF">
              <w:rPr>
                <w:rFonts w:cs="Tahoma"/>
              </w:rPr>
              <w:t>V</w:t>
            </w:r>
          </w:p>
        </w:tc>
        <w:tc>
          <w:tcPr>
            <w:tcW w:w="630" w:type="dxa"/>
            <w:tcBorders>
              <w:top w:val="single" w:sz="4" w:space="0" w:color="auto"/>
              <w:left w:val="nil"/>
              <w:bottom w:val="single" w:sz="4" w:space="0" w:color="auto"/>
              <w:right w:val="single" w:sz="4" w:space="0" w:color="auto"/>
            </w:tcBorders>
            <w:vAlign w:val="center"/>
          </w:tcPr>
          <w:p w14:paraId="564B0CA5" w14:textId="77777777" w:rsidR="00CC07D4" w:rsidRPr="002D66BF" w:rsidRDefault="00CC07D4" w:rsidP="003442EE">
            <w:pPr>
              <w:jc w:val="center"/>
              <w:rPr>
                <w:rFonts w:cs="Tahoma"/>
              </w:rPr>
            </w:pPr>
            <w:r w:rsidRPr="002D66BF">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1830F314" w14:textId="77777777" w:rsidR="00CC07D4" w:rsidRPr="002D66BF" w:rsidRDefault="00CC07D4" w:rsidP="003442EE">
            <w:pPr>
              <w:jc w:val="center"/>
              <w:rPr>
                <w:rFonts w:cs="Tahoma"/>
              </w:rPr>
            </w:pPr>
            <w:r w:rsidRPr="002D66BF">
              <w:rPr>
                <w:rFonts w:cs="Tahoma"/>
              </w:rPr>
              <w:t>V</w:t>
            </w:r>
          </w:p>
        </w:tc>
        <w:tc>
          <w:tcPr>
            <w:tcW w:w="3240" w:type="dxa"/>
            <w:tcBorders>
              <w:top w:val="single" w:sz="4" w:space="0" w:color="auto"/>
              <w:left w:val="single" w:sz="4" w:space="0" w:color="auto"/>
              <w:bottom w:val="single" w:sz="4" w:space="0" w:color="auto"/>
              <w:right w:val="single" w:sz="4" w:space="0" w:color="auto"/>
            </w:tcBorders>
            <w:vAlign w:val="center"/>
          </w:tcPr>
          <w:p w14:paraId="28EA17A4" w14:textId="77777777" w:rsidR="00CC07D4" w:rsidRPr="002D66BF" w:rsidRDefault="00CC07D4" w:rsidP="003442EE">
            <w:pPr>
              <w:jc w:val="both"/>
              <w:rPr>
                <w:rFonts w:cs="Tahoma"/>
              </w:rPr>
            </w:pPr>
            <w:r w:rsidRPr="002D66BF">
              <w:rPr>
                <w:rFonts w:cs="Tahoma"/>
              </w:rPr>
              <w:t>The checklist is categorized according to the project work breakdown structure (WBS) and includes risks associated with (1) breakwater, (2) reclaimed land, (3) entrance canal and basin, (4) quay wall, (5) container yard and buildings, (6) power supply, and (7) project management office. Since the research outcome was developed by subject matter experts during an actual project, it can be used during risk identification, as a completeness check after risk identification on similar projects, or for individual activities (e.g., quay wall construction) per the required project scope.</w:t>
            </w:r>
          </w:p>
        </w:tc>
      </w:tr>
      <w:tr w:rsidR="00CC07D4" w:rsidRPr="002D66BF" w14:paraId="68069FDB"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1D6BF36E" w14:textId="77777777" w:rsidR="00CC07D4" w:rsidRPr="00EB4B0F" w:rsidRDefault="00CC07D4" w:rsidP="003442EE">
            <w:pPr>
              <w:pStyle w:val="ListParagraph"/>
              <w:numPr>
                <w:ilvl w:val="0"/>
                <w:numId w:val="18"/>
              </w:numPr>
              <w:tabs>
                <w:tab w:val="left" w:pos="558"/>
              </w:tabs>
              <w:ind w:hanging="555"/>
              <w:rPr>
                <w:rFonts w:cs="Tahoma"/>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51668D37" w14:textId="77777777" w:rsidR="00CC07D4" w:rsidRPr="00EB4B0F" w:rsidRDefault="00CC07D4" w:rsidP="003442EE">
            <w:pPr>
              <w:jc w:val="center"/>
              <w:rPr>
                <w:rFonts w:cs="Tahoma"/>
              </w:rPr>
            </w:pPr>
            <w:r>
              <w:rPr>
                <w:rFonts w:cs="Tahoma"/>
              </w:rPr>
              <w:fldChar w:fldCharType="begin" w:fldLock="1"/>
            </w:r>
            <w:r>
              <w:rPr>
                <w:rFonts w:cs="Tahoma"/>
              </w:rPr>
              <w:instrText>ADDIN CSL_CITATION {"citationItems":[{"id":"ITEM-1","itemData":{"abstract":"ABSTRACT: Risk is inherently present in all construction projects. Quite often, construction projects fail to achieve their time, quality, and budget goals. A risk model entitled construction risk management system (CRMS) is introduced to help contractors identify project risks and systematically to analyze and manage them. The CRMS model is a logical substitute for the traditional intuitive unsystematic approach currently used by most contractors. The influence diagramming technique and Monte Carlo simulation are used as tools to analyze and evaluate project risks. Alternative risk management strategies are suggested. Such strategies include: risk avoidance, risk transfer, risk retention, loss reduction, and risk prevention and insurance. INTRO","author":[{"dropping-particle":"","family":"Al-Bahar","given":"Jamal F","non-dropping-particle":"","parse-names":false,"suffix":""},{"dropping-particle":"","family":"Crandall","given":"Keith C","non-dropping-particle":"","parse-names":false,"suffix":""}],"container-title":"Engineering","id":"ITEM-1","issue":"3","issued":{"date-parts":[["1990"]]},"page":"533-546","title":"SYSTEMATIC R I S K MANAGEMENT A P P R O A C H FOR CONSTRUCTION P R O J E C T S","type":"article-journal","volume":"116"},"uris":["http://www.mendeley.com/documents/?uuid=ccaa3080-2f21-4323-9104-f58148fe8f82"]}],"mendeley":{"formattedCitation":"(Al-Bahar &amp; Crandall, 1990)","plainTextFormattedCitation":"(Al-Bahar &amp; Crandall, 1990)","previouslyFormattedCitation":"(Al-Bahar &amp; Crandall, 1990)"},"properties":{"noteIndex":0},"schema":"https://github.com/citation-style-language/schema/raw/master/csl-citation.json"}</w:instrText>
            </w:r>
            <w:r>
              <w:rPr>
                <w:rFonts w:cs="Tahoma"/>
              </w:rPr>
              <w:fldChar w:fldCharType="separate"/>
            </w:r>
            <w:r w:rsidRPr="00EB4B0F">
              <w:rPr>
                <w:rFonts w:cs="Tahoma"/>
                <w:noProof/>
              </w:rPr>
              <w:t>(Al-Bahar &amp; Crandall, 1990)</w:t>
            </w:r>
            <w:r>
              <w:rPr>
                <w:rFonts w:cs="Tahoma"/>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6644510B" w14:textId="77777777" w:rsidR="00CC07D4" w:rsidRPr="00EB4B0F" w:rsidRDefault="00CC07D4" w:rsidP="003442EE">
            <w:pPr>
              <w:jc w:val="center"/>
              <w:rPr>
                <w:rFonts w:cs="Tahoma"/>
              </w:rPr>
            </w:pPr>
            <w:r w:rsidRPr="00EB4B0F">
              <w:rPr>
                <w:rFonts w:cs="Tahoma"/>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65E5F992" w14:textId="77777777" w:rsidR="00CC07D4" w:rsidRPr="00EB4B0F" w:rsidRDefault="00CC07D4" w:rsidP="003442EE">
            <w:pPr>
              <w:jc w:val="center"/>
              <w:rPr>
                <w:rFonts w:cs="Tahoma"/>
              </w:rPr>
            </w:pPr>
            <w:r w:rsidRPr="00EB4B0F">
              <w:rPr>
                <w:rFonts w:cs="Tahoma"/>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42A4496E" w14:textId="77777777" w:rsidR="00CC07D4" w:rsidRPr="00EB4B0F" w:rsidRDefault="00CC07D4" w:rsidP="003442EE">
            <w:pPr>
              <w:jc w:val="center"/>
              <w:rPr>
                <w:rFonts w:cs="Tahoma"/>
              </w:rPr>
            </w:pPr>
            <w:r w:rsidRPr="00EB4B0F">
              <w:rPr>
                <w:rFonts w:cs="Tahoma"/>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33A1D050" w14:textId="77777777" w:rsidR="00CC07D4" w:rsidRPr="00EB4B0F" w:rsidRDefault="00CC07D4" w:rsidP="003442EE">
            <w:pPr>
              <w:jc w:val="center"/>
              <w:rPr>
                <w:rFonts w:cs="Tahoma"/>
              </w:rPr>
            </w:pPr>
            <w:r w:rsidRPr="00EB4B0F">
              <w:rPr>
                <w:rFonts w:cs="Tahoma"/>
              </w:rPr>
              <w:t>V</w:t>
            </w:r>
          </w:p>
        </w:tc>
        <w:tc>
          <w:tcPr>
            <w:tcW w:w="630" w:type="dxa"/>
            <w:tcBorders>
              <w:top w:val="single" w:sz="4" w:space="0" w:color="auto"/>
              <w:left w:val="nil"/>
              <w:bottom w:val="single" w:sz="4" w:space="0" w:color="auto"/>
              <w:right w:val="single" w:sz="4" w:space="0" w:color="auto"/>
            </w:tcBorders>
            <w:vAlign w:val="center"/>
          </w:tcPr>
          <w:p w14:paraId="61C14E40" w14:textId="77777777" w:rsidR="00CC07D4" w:rsidRPr="00EB4B0F" w:rsidRDefault="00CC07D4" w:rsidP="003442EE">
            <w:pPr>
              <w:jc w:val="center"/>
              <w:rPr>
                <w:rFonts w:cs="Tahoma"/>
              </w:rPr>
            </w:pPr>
            <w:r w:rsidRPr="00EB4B0F">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4FE3C823" w14:textId="77777777" w:rsidR="00CC07D4" w:rsidRPr="00EB4B0F" w:rsidRDefault="00CC07D4" w:rsidP="003442EE">
            <w:pPr>
              <w:jc w:val="center"/>
              <w:rPr>
                <w:rFonts w:cs="Tahoma"/>
              </w:rPr>
            </w:pPr>
            <w:r w:rsidRPr="00EB4B0F">
              <w:rPr>
                <w:rFonts w:cs="Tahoma"/>
              </w:rPr>
              <w:t>V</w:t>
            </w:r>
          </w:p>
        </w:tc>
        <w:tc>
          <w:tcPr>
            <w:tcW w:w="3240" w:type="dxa"/>
            <w:tcBorders>
              <w:top w:val="single" w:sz="4" w:space="0" w:color="auto"/>
              <w:left w:val="single" w:sz="4" w:space="0" w:color="auto"/>
              <w:bottom w:val="single" w:sz="4" w:space="0" w:color="auto"/>
              <w:right w:val="single" w:sz="4" w:space="0" w:color="auto"/>
            </w:tcBorders>
            <w:vAlign w:val="center"/>
          </w:tcPr>
          <w:p w14:paraId="7081CD37" w14:textId="77777777" w:rsidR="00CC07D4" w:rsidRPr="00EB4B0F" w:rsidRDefault="00CC07D4" w:rsidP="003442EE">
            <w:pPr>
              <w:pStyle w:val="ListParagraph"/>
              <w:ind w:left="0"/>
              <w:jc w:val="both"/>
              <w:rPr>
                <w:rFonts w:cs="Tahoma"/>
                <w:sz w:val="20"/>
                <w:szCs w:val="20"/>
              </w:rPr>
            </w:pPr>
            <w:r w:rsidRPr="00EB4B0F">
              <w:rPr>
                <w:rFonts w:cs="Tahoma"/>
                <w:sz w:val="20"/>
                <w:szCs w:val="20"/>
              </w:rPr>
              <w:t>Risk category:</w:t>
            </w:r>
          </w:p>
          <w:p w14:paraId="3EAAA367" w14:textId="77777777" w:rsidR="00CC07D4" w:rsidRPr="00EB4B0F" w:rsidRDefault="00CC07D4" w:rsidP="003442EE">
            <w:pPr>
              <w:pStyle w:val="ListParagraph"/>
              <w:numPr>
                <w:ilvl w:val="0"/>
                <w:numId w:val="20"/>
              </w:numPr>
              <w:ind w:left="164" w:hanging="164"/>
              <w:jc w:val="both"/>
              <w:rPr>
                <w:rFonts w:cs="Tahoma"/>
                <w:sz w:val="20"/>
                <w:szCs w:val="20"/>
              </w:rPr>
            </w:pPr>
            <w:r w:rsidRPr="00EB4B0F">
              <w:rPr>
                <w:rFonts w:cs="Tahoma"/>
                <w:sz w:val="20"/>
                <w:szCs w:val="20"/>
              </w:rPr>
              <w:t>Acts of God</w:t>
            </w:r>
          </w:p>
          <w:p w14:paraId="334B79F7" w14:textId="77777777" w:rsidR="00CC07D4" w:rsidRPr="00EB4B0F" w:rsidRDefault="00CC07D4" w:rsidP="003442EE">
            <w:pPr>
              <w:pStyle w:val="ListParagraph"/>
              <w:numPr>
                <w:ilvl w:val="0"/>
                <w:numId w:val="20"/>
              </w:numPr>
              <w:ind w:left="164" w:hanging="164"/>
              <w:jc w:val="both"/>
              <w:rPr>
                <w:rFonts w:cs="Tahoma"/>
                <w:sz w:val="20"/>
                <w:szCs w:val="20"/>
              </w:rPr>
            </w:pPr>
            <w:r w:rsidRPr="00EB4B0F">
              <w:rPr>
                <w:rFonts w:cs="Tahoma"/>
                <w:sz w:val="20"/>
                <w:szCs w:val="20"/>
              </w:rPr>
              <w:t>Physical</w:t>
            </w:r>
          </w:p>
          <w:p w14:paraId="7192C082" w14:textId="77777777" w:rsidR="00CC07D4" w:rsidRPr="00EB4B0F" w:rsidRDefault="00CC07D4" w:rsidP="003442EE">
            <w:pPr>
              <w:pStyle w:val="ListParagraph"/>
              <w:numPr>
                <w:ilvl w:val="0"/>
                <w:numId w:val="20"/>
              </w:numPr>
              <w:ind w:left="164" w:hanging="164"/>
              <w:jc w:val="both"/>
              <w:rPr>
                <w:rFonts w:cs="Tahoma"/>
                <w:sz w:val="20"/>
                <w:szCs w:val="20"/>
              </w:rPr>
            </w:pPr>
            <w:r w:rsidRPr="00EB4B0F">
              <w:rPr>
                <w:rFonts w:cs="Tahoma"/>
                <w:sz w:val="20"/>
                <w:szCs w:val="20"/>
              </w:rPr>
              <w:t>Financial and economic</w:t>
            </w:r>
          </w:p>
          <w:p w14:paraId="25F03BE1" w14:textId="77777777" w:rsidR="00CC07D4" w:rsidRPr="00EB4B0F" w:rsidRDefault="00CC07D4" w:rsidP="003442EE">
            <w:pPr>
              <w:pStyle w:val="ListParagraph"/>
              <w:numPr>
                <w:ilvl w:val="0"/>
                <w:numId w:val="20"/>
              </w:numPr>
              <w:ind w:left="164" w:hanging="164"/>
              <w:jc w:val="both"/>
              <w:rPr>
                <w:rFonts w:cs="Tahoma"/>
                <w:sz w:val="20"/>
                <w:szCs w:val="20"/>
              </w:rPr>
            </w:pPr>
            <w:r w:rsidRPr="00EB4B0F">
              <w:rPr>
                <w:rFonts w:cs="Tahoma"/>
                <w:sz w:val="20"/>
                <w:szCs w:val="20"/>
              </w:rPr>
              <w:t>Political and environmental</w:t>
            </w:r>
          </w:p>
          <w:p w14:paraId="0C35FBEF" w14:textId="77777777" w:rsidR="00CC07D4" w:rsidRPr="00EB4B0F" w:rsidRDefault="00CC07D4" w:rsidP="003442EE">
            <w:pPr>
              <w:pStyle w:val="ListParagraph"/>
              <w:numPr>
                <w:ilvl w:val="0"/>
                <w:numId w:val="20"/>
              </w:numPr>
              <w:ind w:left="164" w:hanging="164"/>
              <w:jc w:val="both"/>
              <w:rPr>
                <w:rFonts w:cs="Tahoma"/>
                <w:sz w:val="20"/>
                <w:szCs w:val="20"/>
              </w:rPr>
            </w:pPr>
            <w:r w:rsidRPr="00EB4B0F">
              <w:rPr>
                <w:rFonts w:cs="Tahoma"/>
                <w:sz w:val="20"/>
                <w:szCs w:val="20"/>
              </w:rPr>
              <w:t>Design</w:t>
            </w:r>
          </w:p>
          <w:p w14:paraId="0E0EC776" w14:textId="77777777" w:rsidR="00CC07D4" w:rsidRPr="00EB4B0F" w:rsidRDefault="00CC07D4" w:rsidP="003442EE">
            <w:pPr>
              <w:pStyle w:val="ListParagraph"/>
              <w:numPr>
                <w:ilvl w:val="0"/>
                <w:numId w:val="20"/>
              </w:numPr>
              <w:ind w:left="164" w:hanging="164"/>
              <w:jc w:val="both"/>
              <w:rPr>
                <w:rFonts w:cs="Tahoma"/>
                <w:sz w:val="20"/>
                <w:szCs w:val="20"/>
              </w:rPr>
            </w:pPr>
            <w:r w:rsidRPr="00EB4B0F">
              <w:rPr>
                <w:rFonts w:cs="Tahoma"/>
                <w:sz w:val="20"/>
                <w:szCs w:val="20"/>
              </w:rPr>
              <w:t>Construction-related</w:t>
            </w:r>
          </w:p>
        </w:tc>
      </w:tr>
      <w:tr w:rsidR="00CC07D4" w:rsidRPr="002D66BF" w14:paraId="221336B3"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612F71EB" w14:textId="77777777" w:rsidR="00CC07D4" w:rsidRPr="00EB4B0F" w:rsidRDefault="00CC07D4" w:rsidP="003442EE">
            <w:pPr>
              <w:pStyle w:val="ListParagraph"/>
              <w:numPr>
                <w:ilvl w:val="0"/>
                <w:numId w:val="18"/>
              </w:numPr>
              <w:tabs>
                <w:tab w:val="left" w:pos="558"/>
              </w:tabs>
              <w:ind w:hanging="555"/>
              <w:rPr>
                <w:rFonts w:cs="Tahoma"/>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74322AA5" w14:textId="77777777" w:rsidR="00CC07D4" w:rsidRPr="00EB4B0F" w:rsidRDefault="00CC07D4" w:rsidP="003442EE">
            <w:pPr>
              <w:jc w:val="center"/>
              <w:rPr>
                <w:rFonts w:cs="Tahoma"/>
              </w:rPr>
            </w:pPr>
            <w:r w:rsidRPr="00EB4B0F">
              <w:rPr>
                <w:rFonts w:cs="Tahoma"/>
              </w:rPr>
              <w:fldChar w:fldCharType="begin" w:fldLock="1"/>
            </w:r>
            <w:r w:rsidRPr="00EB4B0F">
              <w:rPr>
                <w:rFonts w:cs="Tahoma"/>
              </w:rPr>
              <w:instrText>ADDIN CSL_CITATION {"citationItems":[{"id":"ITEM-1","itemData":{"DOI":"10.1016/S0263-7863(00)00014-4","ISSN":"02637863","abstract":"This paper reports - on the basis of a questionnaire survey of the largest Kuwaiti contractors - a perspective of construction risk, and the effective actions taken for the management of such risks, particularly those of time and finances. The study, the first in Kuwait, focuses on the assessment, allocation and management of construction risks. The paper also presents two types of risk management methods: preventive, which are effective at the early stages of the project life, and mitigative, which are remedial actions aimed at risk minimization during construction. The research found that contractors show more willingness to accept risks that are contractual and legal-related rather than other types of risks. The research results also indicated that the application of the formal risk analysis techniques in the Kuwaiti construction industry is limited. © 2001 Elsevier Science Ltd and IPMA. All rights reserved.","author":[{"dropping-particle":"","family":"Kartam","given":"Nabil A.","non-dropping-particle":"","parse-names":false,"suffix":""},{"dropping-particle":"","family":"Kartam","given":"Saied A.","non-dropping-particle":"","parse-names":false,"suffix":""}],"container-title":"International Journal of Project Management","id":"ITEM-1","issue":"6","issued":{"date-parts":[["2000"]]},"page":"325-335","title":"Risk and its management in the Kuwaiti construction industry: A contractors' perspective","type":"article-journal","volume":"19"},"uris":["http://www.mendeley.com/documents/?uuid=9e0e2016-5951-47db-9296-e72c9422035f"]}],"mendeley":{"formattedCitation":"(Kartam &amp; Kartam, 2000)","plainTextFormattedCitation":"(Kartam &amp; Kartam, 2000)"},"properties":{"noteIndex":0},"schema":"https://github.com/citation-style-language/schema/raw/master/csl-citation.json"}</w:instrText>
            </w:r>
            <w:r w:rsidRPr="00EB4B0F">
              <w:rPr>
                <w:rFonts w:cs="Tahoma"/>
              </w:rPr>
              <w:fldChar w:fldCharType="separate"/>
            </w:r>
            <w:r w:rsidRPr="00EB4B0F">
              <w:rPr>
                <w:rFonts w:cs="Tahoma"/>
                <w:noProof/>
              </w:rPr>
              <w:t>(Kartam &amp; Kartam, 2000)</w:t>
            </w:r>
            <w:r w:rsidRPr="00EB4B0F">
              <w:rPr>
                <w:rFonts w:cs="Tahoma"/>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439AF9D2" w14:textId="77777777" w:rsidR="00CC07D4" w:rsidRPr="00EB4B0F" w:rsidRDefault="00CC07D4" w:rsidP="003442EE">
            <w:pPr>
              <w:jc w:val="center"/>
              <w:rPr>
                <w:rFonts w:cs="Tahoma"/>
              </w:rPr>
            </w:pPr>
            <w:r w:rsidRPr="00EB4B0F">
              <w:rPr>
                <w:rFonts w:cs="Tahoma"/>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2B6ECD20" w14:textId="77777777" w:rsidR="00CC07D4" w:rsidRPr="00EB4B0F" w:rsidRDefault="00CC07D4" w:rsidP="003442EE">
            <w:pPr>
              <w:jc w:val="center"/>
              <w:rPr>
                <w:rFonts w:cs="Tahoma"/>
              </w:rPr>
            </w:pPr>
            <w:r w:rsidRPr="00EB4B0F">
              <w:rPr>
                <w:rFonts w:cs="Tahoma"/>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54C00450" w14:textId="77777777" w:rsidR="00CC07D4" w:rsidRPr="00EB4B0F" w:rsidRDefault="00CC07D4" w:rsidP="003442EE">
            <w:pPr>
              <w:jc w:val="center"/>
              <w:rPr>
                <w:rFonts w:cs="Tahoma"/>
              </w:rPr>
            </w:pPr>
            <w:r w:rsidRPr="00EB4B0F">
              <w:rPr>
                <w:rFonts w:cs="Tahoma"/>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65725A09" w14:textId="77777777" w:rsidR="00CC07D4" w:rsidRPr="00EB4B0F" w:rsidRDefault="00CC07D4" w:rsidP="003442EE">
            <w:pPr>
              <w:jc w:val="center"/>
              <w:rPr>
                <w:rFonts w:cs="Tahoma"/>
              </w:rPr>
            </w:pPr>
            <w:r w:rsidRPr="00EB4B0F">
              <w:rPr>
                <w:rFonts w:cs="Tahoma"/>
              </w:rPr>
              <w:t>V</w:t>
            </w:r>
          </w:p>
        </w:tc>
        <w:tc>
          <w:tcPr>
            <w:tcW w:w="630" w:type="dxa"/>
            <w:tcBorders>
              <w:top w:val="single" w:sz="4" w:space="0" w:color="auto"/>
              <w:left w:val="nil"/>
              <w:bottom w:val="single" w:sz="4" w:space="0" w:color="auto"/>
              <w:right w:val="single" w:sz="4" w:space="0" w:color="auto"/>
            </w:tcBorders>
            <w:vAlign w:val="center"/>
          </w:tcPr>
          <w:p w14:paraId="6EF4F777" w14:textId="77777777" w:rsidR="00CC07D4" w:rsidRPr="00EB4B0F" w:rsidRDefault="00CC07D4" w:rsidP="003442EE">
            <w:pPr>
              <w:jc w:val="center"/>
              <w:rPr>
                <w:rFonts w:cs="Tahoma"/>
              </w:rPr>
            </w:pPr>
            <w:r w:rsidRPr="00EB4B0F">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46C67529" w14:textId="77777777" w:rsidR="00CC07D4" w:rsidRPr="00EB4B0F" w:rsidRDefault="00CC07D4" w:rsidP="003442EE">
            <w:pPr>
              <w:jc w:val="center"/>
              <w:rPr>
                <w:rFonts w:cs="Tahoma"/>
              </w:rPr>
            </w:pPr>
            <w:r w:rsidRPr="00EB4B0F">
              <w:rPr>
                <w:rFonts w:cs="Tahoma"/>
              </w:rPr>
              <w:t>V</w:t>
            </w:r>
          </w:p>
        </w:tc>
        <w:tc>
          <w:tcPr>
            <w:tcW w:w="3240" w:type="dxa"/>
            <w:tcBorders>
              <w:top w:val="single" w:sz="4" w:space="0" w:color="auto"/>
              <w:left w:val="single" w:sz="4" w:space="0" w:color="auto"/>
              <w:bottom w:val="single" w:sz="4" w:space="0" w:color="auto"/>
              <w:right w:val="single" w:sz="4" w:space="0" w:color="auto"/>
            </w:tcBorders>
            <w:vAlign w:val="center"/>
          </w:tcPr>
          <w:p w14:paraId="46897325" w14:textId="77777777" w:rsidR="00CC07D4" w:rsidRPr="00EB4B0F" w:rsidRDefault="00CC07D4" w:rsidP="003442EE">
            <w:pPr>
              <w:jc w:val="both"/>
              <w:rPr>
                <w:rFonts w:cs="Tahoma"/>
              </w:rPr>
            </w:pPr>
            <w:r w:rsidRPr="00EB4B0F">
              <w:rPr>
                <w:rFonts w:cs="Tahoma"/>
              </w:rPr>
              <w:t>The research found that contractors show more willingness to accept risks that are contractual and legal-related rather than other types of risks</w:t>
            </w:r>
          </w:p>
        </w:tc>
      </w:tr>
      <w:tr w:rsidR="00CC07D4" w:rsidRPr="002D66BF" w14:paraId="327BA297"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562625DA" w14:textId="77777777" w:rsidR="00CC07D4" w:rsidRPr="002D66BF" w:rsidRDefault="00CC07D4" w:rsidP="003442EE">
            <w:pPr>
              <w:pStyle w:val="ListParagraph"/>
              <w:numPr>
                <w:ilvl w:val="0"/>
                <w:numId w:val="18"/>
              </w:numPr>
              <w:tabs>
                <w:tab w:val="left" w:pos="558"/>
              </w:tabs>
              <w:ind w:hanging="555"/>
              <w:rPr>
                <w:rFonts w:cs="Tahoma"/>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1086F836" w14:textId="77777777" w:rsidR="00CC07D4" w:rsidRPr="002D66BF" w:rsidRDefault="00CC07D4" w:rsidP="003442EE">
            <w:pPr>
              <w:jc w:val="center"/>
              <w:rPr>
                <w:rFonts w:cs="Tahoma"/>
              </w:rPr>
            </w:pPr>
            <w:r w:rsidRPr="002D66BF">
              <w:rPr>
                <w:rFonts w:cs="Tahoma"/>
              </w:rPr>
              <w:fldChar w:fldCharType="begin" w:fldLock="1"/>
            </w:r>
            <w:r>
              <w:rPr>
                <w:rFonts w:cs="Tahoma"/>
              </w:rPr>
              <w:instrText>ADDIN CSL_CITATION {"citationItems":[{"id":"ITEM-1","itemData":{"author":[{"dropping-particle":"","family":"Thompson","given":"Edward F","non-dropping-particle":"","parse-names":false,"suffix":""},{"dropping-particle":"","family":"Wutkowski","given":"Michael","non-dropping-particle":"","parse-names":false,"suffix":""},{"dropping-particle":"","family":"Schesher","given":"Norman W","non-dropping-particle":"","parse-names":false,"suffix":""}],"id":"ITEM-1","issued":{"date-parts":[["1996"]]},"page":"4440-4450","title":"Risk Based Analysis of Coastal Project","type":"article-journal"},"uris":["http://www.mendeley.com/documents/?uuid=99795551-2221-4f16-8b96-13b6cf6bd156"]}],"mendeley":{"formattedCitation":"(Thompson et al., 1996)","plainTextFormattedCitation":"(Thompson et al., 1996)","previouslyFormattedCitation":"(Thompson et al., 1996)"},"properties":{"noteIndex":0},"schema":"https://github.com/citation-style-language/schema/raw/master/csl-citation.json"}</w:instrText>
            </w:r>
            <w:r w:rsidRPr="002D66BF">
              <w:rPr>
                <w:rFonts w:cs="Tahoma"/>
              </w:rPr>
              <w:fldChar w:fldCharType="separate"/>
            </w:r>
            <w:r w:rsidRPr="002D66BF">
              <w:rPr>
                <w:rFonts w:cs="Tahoma"/>
                <w:noProof/>
              </w:rPr>
              <w:t>(Thompson et al., 1996)</w:t>
            </w:r>
            <w:r w:rsidRPr="002D66BF">
              <w:rPr>
                <w:rFonts w:cs="Tahoma"/>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4ECE531" w14:textId="77777777" w:rsidR="00CC07D4" w:rsidRPr="002D66BF" w:rsidRDefault="00CC07D4" w:rsidP="003442EE">
            <w:pPr>
              <w:jc w:val="center"/>
              <w:rPr>
                <w:rFonts w:cs="Tahoma"/>
              </w:rPr>
            </w:pPr>
            <w:r w:rsidRPr="002D66BF">
              <w:rPr>
                <w:rFonts w:cs="Tahoma"/>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2F215DC5" w14:textId="77777777" w:rsidR="00CC07D4" w:rsidRPr="002D66BF" w:rsidRDefault="00CC07D4" w:rsidP="003442EE">
            <w:pPr>
              <w:jc w:val="center"/>
              <w:rPr>
                <w:rFonts w:cs="Tahoma"/>
              </w:rPr>
            </w:pPr>
            <w:r w:rsidRPr="002D66BF">
              <w:rPr>
                <w:rFonts w:cs="Tahoma"/>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2E1727A8" w14:textId="77777777" w:rsidR="00CC07D4" w:rsidRPr="002D66BF" w:rsidRDefault="00CC07D4" w:rsidP="003442EE">
            <w:pPr>
              <w:jc w:val="center"/>
              <w:rPr>
                <w:rFonts w:cs="Tahoma"/>
              </w:rPr>
            </w:pPr>
            <w:r w:rsidRPr="002D66BF">
              <w:rPr>
                <w:rFonts w:cs="Tahoma"/>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495930BF" w14:textId="77777777" w:rsidR="00CC07D4" w:rsidRPr="002D66BF" w:rsidRDefault="00CC07D4" w:rsidP="003442EE">
            <w:pPr>
              <w:jc w:val="center"/>
              <w:rPr>
                <w:rFonts w:cs="Tahoma"/>
              </w:rPr>
            </w:pPr>
            <w:r w:rsidRPr="002D66BF">
              <w:rPr>
                <w:rFonts w:cs="Tahoma"/>
              </w:rPr>
              <w:t>V</w:t>
            </w:r>
          </w:p>
        </w:tc>
        <w:tc>
          <w:tcPr>
            <w:tcW w:w="630" w:type="dxa"/>
            <w:tcBorders>
              <w:top w:val="single" w:sz="4" w:space="0" w:color="auto"/>
              <w:left w:val="nil"/>
              <w:bottom w:val="single" w:sz="4" w:space="0" w:color="auto"/>
              <w:right w:val="single" w:sz="4" w:space="0" w:color="auto"/>
            </w:tcBorders>
            <w:vAlign w:val="center"/>
          </w:tcPr>
          <w:p w14:paraId="7DAFEB9F" w14:textId="77777777" w:rsidR="00CC07D4" w:rsidRPr="002D66BF" w:rsidRDefault="00CC07D4" w:rsidP="003442EE">
            <w:pPr>
              <w:jc w:val="center"/>
              <w:rPr>
                <w:rFonts w:cs="Tahoma"/>
              </w:rPr>
            </w:pPr>
            <w:r w:rsidRPr="002D66BF">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60EF239A" w14:textId="77777777" w:rsidR="00CC07D4" w:rsidRPr="002D66BF" w:rsidRDefault="00CC07D4" w:rsidP="003442EE">
            <w:pPr>
              <w:jc w:val="center"/>
              <w:rPr>
                <w:rFonts w:cs="Tahoma"/>
              </w:rPr>
            </w:pPr>
            <w:r w:rsidRPr="002D66BF">
              <w:rPr>
                <w:rFonts w:cs="Tahoma"/>
              </w:rPr>
              <w:t>V</w:t>
            </w:r>
          </w:p>
        </w:tc>
        <w:tc>
          <w:tcPr>
            <w:tcW w:w="3240" w:type="dxa"/>
            <w:tcBorders>
              <w:top w:val="single" w:sz="4" w:space="0" w:color="auto"/>
              <w:left w:val="single" w:sz="4" w:space="0" w:color="auto"/>
              <w:bottom w:val="single" w:sz="4" w:space="0" w:color="auto"/>
              <w:right w:val="single" w:sz="4" w:space="0" w:color="auto"/>
            </w:tcBorders>
            <w:vAlign w:val="center"/>
          </w:tcPr>
          <w:p w14:paraId="5135BA10" w14:textId="77777777" w:rsidR="00CC07D4" w:rsidRPr="002D66BF" w:rsidRDefault="00CC07D4" w:rsidP="003442EE">
            <w:pPr>
              <w:jc w:val="both"/>
              <w:rPr>
                <w:rFonts w:cs="Tahoma"/>
              </w:rPr>
            </w:pPr>
            <w:r w:rsidRPr="002D66BF">
              <w:rPr>
                <w:rFonts w:cs="Tahoma"/>
              </w:rPr>
              <w:t>The following conclusions are reached regarding risk-based analysis of coastal projects:</w:t>
            </w:r>
          </w:p>
          <w:p w14:paraId="152FDFF7" w14:textId="77777777" w:rsidR="00CC07D4" w:rsidRPr="002D66BF" w:rsidRDefault="00CC07D4" w:rsidP="003442EE">
            <w:pPr>
              <w:jc w:val="both"/>
              <w:rPr>
                <w:rFonts w:cs="Tahoma"/>
              </w:rPr>
            </w:pPr>
            <w:r w:rsidRPr="002D66BF">
              <w:rPr>
                <w:rFonts w:cs="Tahoma"/>
              </w:rPr>
              <w:t>• Risk-based approaches provide a powerful tool for analyzing coastal projects.</w:t>
            </w:r>
          </w:p>
          <w:p w14:paraId="68AFCCA3" w14:textId="77777777" w:rsidR="00CC07D4" w:rsidRPr="002D66BF" w:rsidRDefault="00CC07D4" w:rsidP="003442EE">
            <w:pPr>
              <w:jc w:val="both"/>
              <w:rPr>
                <w:rFonts w:cs="Tahoma"/>
              </w:rPr>
            </w:pPr>
            <w:r w:rsidRPr="002D66BF">
              <w:rPr>
                <w:rFonts w:cs="Tahoma"/>
              </w:rPr>
              <w:t>• Risk-based analyses can lead to improved decision-making for project optimization.</w:t>
            </w:r>
          </w:p>
          <w:p w14:paraId="3B4A751D" w14:textId="77777777" w:rsidR="00CC07D4" w:rsidRPr="002D66BF" w:rsidRDefault="00CC07D4" w:rsidP="003442EE">
            <w:pPr>
              <w:jc w:val="both"/>
              <w:rPr>
                <w:rFonts w:cs="Tahoma"/>
              </w:rPr>
            </w:pPr>
            <w:r w:rsidRPr="002D66BF">
              <w:rPr>
                <w:rFonts w:cs="Tahoma"/>
              </w:rPr>
              <w:t>• The life cycle approach is especially well-suited to coastal engineering</w:t>
            </w:r>
          </w:p>
        </w:tc>
      </w:tr>
      <w:tr w:rsidR="00CC07D4" w:rsidRPr="002D66BF" w14:paraId="2718261C"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4C195884"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03659BBF" w14:textId="77777777" w:rsidR="00CC07D4" w:rsidRPr="002D66BF" w:rsidRDefault="00CC07D4" w:rsidP="003442EE">
            <w:pPr>
              <w:jc w:val="center"/>
              <w:rPr>
                <w:rFonts w:cs="Tahoma"/>
                <w:color w:val="000000"/>
              </w:rPr>
            </w:pPr>
            <w:r>
              <w:rPr>
                <w:rFonts w:cs="Tahoma"/>
                <w:color w:val="000000"/>
              </w:rPr>
              <w:fldChar w:fldCharType="begin" w:fldLock="1"/>
            </w:r>
            <w:r>
              <w:rPr>
                <w:rFonts w:cs="Tahoma"/>
                <w:color w:val="000000"/>
              </w:rPr>
              <w:instrText>ADDIN CSL_CITATION {"citationItems":[{"id":"ITEM-1","itemData":{"DOI":"10.5772/45738","ISSN":"18479790","abstract":"Supply chain risk management is primarily a process that involves the identification, assessment and mitigation of risks that arise in a particular supply chain system. Pertaining to that, the offshore and marine industry is one of the many industries that have seldom received much consideration when it comes to management of the supply chain system. The rig building facet of the offshore and marine industry was thus chosen as the main focus of the project to manage the risks that arise in a particular oil rig building project. A risk mitigation plan framework was proposed to act as a guideline to identify as much risk as possible, eliminate trivial ones, and subsequently, prioritizing the remaining ones. The final step involves the formulation of a mathematical model based on the selected risk. In this case, the risk of raw material price fluctuation is studied. The demonstration of the Monte Carlo simulation using the Risk Solver program was also done to quantify the risks. Two case scenarios were then developed along with the implementation of risk management techniques in order to observe the effectiveness of the risk management of the overall rig building supply chain. © 2012 Liew and Lee.","author":[{"dropping-particle":"","family":"Liew","given":"K. C.","non-dropping-particle":"","parse-names":false,"suffix":""},{"dropping-particle":"","family":"Lee","given":"C. K.M.","non-dropping-particle":"","parse-names":false,"suffix":""}],"container-title":"International Journal of Engineering Business Management","id":"ITEM-1","issue":"1","issued":{"date-parts":[["2012"]]},"page":"1-7","title":"Modelling and risk management in the offshore and marine industry supply chain","type":"article-journal","volume":"4"},"uris":["http://www.mendeley.com/documents/?uuid=9b7c62b4-a563-4d34-ba7c-be016bca35a4"]}],"mendeley":{"formattedCitation":"(Liew &amp; Lee, 2012)","plainTextFormattedCitation":"(Liew &amp; Lee, 2012)","previouslyFormattedCitation":"(Liew &amp; Lee, 2012)"},"properties":{"noteIndex":0},"schema":"https://github.com/citation-style-language/schema/raw/master/csl-citation.json"}</w:instrText>
            </w:r>
            <w:r>
              <w:rPr>
                <w:rFonts w:cs="Tahoma"/>
                <w:color w:val="000000"/>
              </w:rPr>
              <w:fldChar w:fldCharType="separate"/>
            </w:r>
            <w:r w:rsidRPr="0094403D">
              <w:rPr>
                <w:rFonts w:cs="Tahoma"/>
                <w:noProof/>
                <w:color w:val="000000"/>
              </w:rPr>
              <w:t>(Liew &amp; Lee, 2012)</w:t>
            </w:r>
            <w:r>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6C148F0E" w14:textId="77777777" w:rsidR="00CC07D4" w:rsidRPr="002D66BF" w:rsidRDefault="00CC07D4" w:rsidP="003442EE">
            <w:pPr>
              <w:jc w:val="center"/>
              <w:rPr>
                <w:rFonts w:cs="Tahoma"/>
                <w:color w:val="000000"/>
              </w:rPr>
            </w:pPr>
            <w:r>
              <w:rPr>
                <w:rFonts w:cs="Tahoma"/>
                <w:color w:val="000000"/>
              </w:rPr>
              <w:t>X</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6BC0ED6A" w14:textId="77777777" w:rsidR="00CC07D4" w:rsidRPr="002D66BF" w:rsidRDefault="00CC07D4" w:rsidP="003442EE">
            <w:pPr>
              <w:jc w:val="center"/>
              <w:rPr>
                <w:rFonts w:cs="Tahoma"/>
                <w:color w:val="000000"/>
              </w:rPr>
            </w:pPr>
            <w:r>
              <w:rPr>
                <w:rFonts w:cs="Tahoma"/>
                <w:color w:val="000000"/>
              </w:rPr>
              <w:t>X</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6360F9E9" w14:textId="77777777" w:rsidR="00CC07D4" w:rsidRPr="002D66BF" w:rsidRDefault="00CC07D4" w:rsidP="003442EE">
            <w:pPr>
              <w:jc w:val="center"/>
              <w:rPr>
                <w:rFonts w:cs="Tahoma"/>
                <w:color w:val="000000"/>
              </w:rPr>
            </w:pPr>
            <w:r>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1A6049F8" w14:textId="77777777" w:rsidR="00CC07D4" w:rsidRPr="002D66BF" w:rsidRDefault="00CC07D4" w:rsidP="003442EE">
            <w:pPr>
              <w:jc w:val="center"/>
              <w:rPr>
                <w:rFonts w:cs="Tahoma"/>
                <w:color w:val="000000"/>
              </w:rPr>
            </w:pPr>
            <w:r>
              <w:rPr>
                <w:rFonts w:cs="Tahoma"/>
                <w:color w:val="000000"/>
              </w:rPr>
              <w:t>X</w:t>
            </w:r>
          </w:p>
        </w:tc>
        <w:tc>
          <w:tcPr>
            <w:tcW w:w="630" w:type="dxa"/>
            <w:tcBorders>
              <w:top w:val="single" w:sz="4" w:space="0" w:color="auto"/>
              <w:left w:val="nil"/>
              <w:bottom w:val="single" w:sz="4" w:space="0" w:color="auto"/>
              <w:right w:val="single" w:sz="4" w:space="0" w:color="auto"/>
            </w:tcBorders>
            <w:vAlign w:val="center"/>
          </w:tcPr>
          <w:p w14:paraId="7B027F44" w14:textId="77777777" w:rsidR="00CC07D4" w:rsidRPr="002D66BF" w:rsidRDefault="00CC07D4" w:rsidP="003442EE">
            <w:pPr>
              <w:jc w:val="center"/>
              <w:rPr>
                <w:rFonts w:cs="Tahoma"/>
                <w:color w:val="000000"/>
              </w:rPr>
            </w:pPr>
            <w:r>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29D93B2E" w14:textId="77777777" w:rsidR="00CC07D4" w:rsidRPr="002D66BF" w:rsidRDefault="00CC07D4" w:rsidP="003442EE">
            <w:pPr>
              <w:jc w:val="center"/>
              <w:rPr>
                <w:rFonts w:cs="Tahoma"/>
                <w:color w:val="000000"/>
              </w:rPr>
            </w:pPr>
            <w:r>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0DC027B5" w14:textId="77777777" w:rsidR="00CC07D4" w:rsidRPr="0094403D" w:rsidRDefault="00CC07D4" w:rsidP="003442EE">
            <w:pPr>
              <w:jc w:val="both"/>
              <w:rPr>
                <w:rFonts w:cs="Tahoma"/>
                <w:color w:val="000000"/>
              </w:rPr>
            </w:pPr>
            <w:r w:rsidRPr="0094403D">
              <w:rPr>
                <w:rFonts w:cs="Tahoma"/>
                <w:color w:val="000000"/>
              </w:rPr>
              <w:t>the ongoing</w:t>
            </w:r>
            <w:r>
              <w:rPr>
                <w:rFonts w:cs="Tahoma"/>
                <w:color w:val="000000"/>
              </w:rPr>
              <w:t xml:space="preserve"> </w:t>
            </w:r>
            <w:r w:rsidRPr="0094403D">
              <w:rPr>
                <w:rFonts w:cs="Tahoma"/>
                <w:color w:val="000000"/>
              </w:rPr>
              <w:t>supply chain system that is being applied in this industry</w:t>
            </w:r>
            <w:r>
              <w:rPr>
                <w:rFonts w:cs="Tahoma"/>
                <w:color w:val="000000"/>
              </w:rPr>
              <w:t xml:space="preserve"> </w:t>
            </w:r>
            <w:r w:rsidRPr="0094403D">
              <w:rPr>
                <w:rFonts w:cs="Tahoma"/>
                <w:color w:val="000000"/>
              </w:rPr>
              <w:t>consists of a lot of loopholes rendering the supply chain</w:t>
            </w:r>
            <w:r>
              <w:rPr>
                <w:rFonts w:cs="Tahoma"/>
                <w:color w:val="000000"/>
              </w:rPr>
              <w:t xml:space="preserve"> </w:t>
            </w:r>
            <w:r w:rsidRPr="0094403D">
              <w:rPr>
                <w:rFonts w:cs="Tahoma"/>
                <w:color w:val="000000"/>
              </w:rPr>
              <w:t>system inefficient and vulnerable to many different types</w:t>
            </w:r>
            <w:r>
              <w:rPr>
                <w:rFonts w:cs="Tahoma"/>
                <w:color w:val="000000"/>
              </w:rPr>
              <w:t xml:space="preserve"> </w:t>
            </w:r>
            <w:r w:rsidRPr="0094403D">
              <w:rPr>
                <w:rFonts w:cs="Tahoma"/>
                <w:color w:val="000000"/>
              </w:rPr>
              <w:t>of risk</w:t>
            </w:r>
            <w:r>
              <w:rPr>
                <w:rFonts w:cs="Tahoma"/>
                <w:color w:val="000000"/>
              </w:rPr>
              <w:t xml:space="preserve">. </w:t>
            </w:r>
            <w:r w:rsidRPr="0094403D">
              <w:rPr>
                <w:rFonts w:cs="Tahoma"/>
                <w:color w:val="000000"/>
              </w:rPr>
              <w:t>the risk of raw</w:t>
            </w:r>
          </w:p>
          <w:p w14:paraId="1FC015FC" w14:textId="77777777" w:rsidR="00CC07D4" w:rsidRPr="002D66BF" w:rsidRDefault="00CC07D4" w:rsidP="003442EE">
            <w:pPr>
              <w:jc w:val="both"/>
              <w:rPr>
                <w:rFonts w:cs="Tahoma"/>
                <w:color w:val="000000"/>
              </w:rPr>
            </w:pPr>
            <w:r w:rsidRPr="0094403D">
              <w:rPr>
                <w:rFonts w:cs="Tahoma"/>
                <w:color w:val="000000"/>
              </w:rPr>
              <w:t>material price fluctuation is studied and a mathematical</w:t>
            </w:r>
            <w:r>
              <w:rPr>
                <w:rFonts w:cs="Tahoma"/>
                <w:color w:val="000000"/>
              </w:rPr>
              <w:t xml:space="preserve"> </w:t>
            </w:r>
            <w:r w:rsidRPr="0094403D">
              <w:rPr>
                <w:rFonts w:cs="Tahoma"/>
                <w:color w:val="000000"/>
              </w:rPr>
              <w:t>model is then developed so as to quantify the risks.</w:t>
            </w:r>
          </w:p>
        </w:tc>
      </w:tr>
      <w:tr w:rsidR="00CC07D4" w:rsidRPr="002D66BF" w14:paraId="63FE775B"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647AD789"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57AB9B07"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{"citationItems":[{"id":"ITEM-1","itemData":{"ISSN":"03772969","abstract":"Risks in construction projects are due to the uncertainty involved at decision making of management, manipulation of resources, tackling of constraints, implementation of quality etc. Therefore, construction projects are always a risky undertaking for all involved stakeholders (client, consultant, and contractor). The contractor as one of the stakeholder has to face maximum challenges to overcome the risk associated uncertainties. The management is essential in dealing with the potential risk exposures to the contractors. In response to these ever increasing uncertainties, in developed countries risk management was introduced as a separate new field in construction industry to manage risks effectively. However, construction industry in developing countries like Pakistan has a deprived reputation for coping with risks. With rapid advancements in the construction industry of Pakistan, many uncertainties are bound to occur. This paper highlights the major risks faced by the contractors in Pakistan. It has been observed that most of the risks faced by stakeholders in Pakistan are universal with few exceptions like political instability and price escalations. Unlike in developed countries, most of the contractor organizations in Pakistan are not adopting the risk management procedures in their organizational structure as well as during project execution. This paper also describes the effect of identified risks on schedule, scope and budget of the project through quantitative and qualitative analysis using database of two actual construction projects. These risks have been causing scope out of control, cost over budget, time over run or quality default. This research has proved that construction projects associated with un-managed risks must face obstacles in their successful completion. Hence, the construction stakeholders in Pakistan need literacy about benefits associated with effective risk management. © Pakistan Academy of Sciences.","author":[{"dropping-particle":"","family":"Khan","given":"Ammad Hassan","non-dropping-particle":"","parse-names":false,"suffix":""}],"container-title":"Proceedings of the Pakistan Academy of Sciences","id":"ITEM-1","issue":"3","issued":{"date-parts":[["2013"]]},"page":"189-200","title":"The contractors' perception of risk management in pakistan","type":"article-journal","volume":"50"},"uris":["http://www.mendeley.com/documents/?uuid=a3802dd3-fa5f-4051-be5f-a107241e2e0f"]}],"mendeley":{"formattedCitation":"(Khan, 2013)","plainTextFormattedCitation":"(Khan, 2013)","previouslyFormattedCitation":"(Khan, 2013)"},"properties":{"noteIndex":0},"schema":"https://github.com/citation-style-language/schema/raw/master/csl-citation.json"}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(Khan, 2013)</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6D6749D6"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2E887EF8"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457BBD0C"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37103DBE"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051D6756"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54120264" w14:textId="77777777" w:rsidR="00CC07D4" w:rsidRPr="002D66BF" w:rsidRDefault="00CC07D4" w:rsidP="003442EE">
            <w:pPr>
              <w:jc w:val="center"/>
              <w:rPr>
                <w:rFonts w:cs="Tahoma"/>
                <w:color w:val="000000"/>
              </w:rPr>
            </w:pPr>
            <w:r w:rsidRPr="002D66BF">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51F2A05A" w14:textId="77777777" w:rsidR="00CC07D4" w:rsidRPr="002D66BF" w:rsidRDefault="00CC07D4" w:rsidP="003442EE">
            <w:pPr>
              <w:jc w:val="both"/>
              <w:rPr>
                <w:rFonts w:cs="Tahoma"/>
              </w:rPr>
            </w:pPr>
            <w:r w:rsidRPr="002D66BF">
              <w:rPr>
                <w:rFonts w:cs="Tahoma"/>
              </w:rPr>
              <w:t>This paper describes the effect of identified risks on schedule, scope and budget of the project through quantitative and qualitative analysis using database of two actual construction projects. These risks have been causing scope out of control, cost over budget, time over run or quality default.</w:t>
            </w:r>
          </w:p>
        </w:tc>
      </w:tr>
      <w:tr w:rsidR="00CC07D4" w:rsidRPr="002D66BF" w14:paraId="6A12C718"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3435D605"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1060503E" w14:textId="77777777" w:rsidR="00CC07D4" w:rsidRPr="008E702A" w:rsidRDefault="00CC07D4" w:rsidP="003442EE">
            <w:pPr>
              <w:jc w:val="center"/>
              <w:rPr>
                <w:rFonts w:cs="Tahoma"/>
              </w:rPr>
            </w:pPr>
            <w:r>
              <w:rPr>
                <w:rFonts w:cs="Tahoma"/>
              </w:rPr>
              <w:fldChar w:fldCharType="begin" w:fldLock="1"/>
            </w:r>
            <w:r>
              <w:rPr>
                <w:rFonts w:cs="Tahoma"/>
              </w:rPr>
              <w:instrText>ADDIN CSL_CITATION {"citationItems":[{"id":"ITEM-1","itemData":{"author":[{"dropping-particle":"","family":"Jaber","given":"Kh Firas","non-dropping-particle":"","parse-names":false,"suffix":""}],"id":"ITEM-1","issue":"March 2015","issued":{"date-parts":[["2015"]]},"title":"ESTABLISHING RISK MANAGEMENT FACTORS FOR CONSTRUCTION PROJECTS IN IRAQ","type":"article-journal"},"uris":["http://www.mendeley.com/documents/?uuid=978ed893-949b-4a34-a2d1-0be8a2b39e7d"]}],"mendeley":{"formattedCitation":"(Jaber, 2015)","plainTextFormattedCitation":"(Jaber, 2015)","previouslyFormattedCitation":"(Jaber, 2015)"},"properties":{"noteIndex":0},"schema":"https://github.com/citation-style-language/schema/raw/master/csl-citation.json"}</w:instrText>
            </w:r>
            <w:r>
              <w:rPr>
                <w:rFonts w:cs="Tahoma"/>
              </w:rPr>
              <w:fldChar w:fldCharType="separate"/>
            </w:r>
            <w:r w:rsidRPr="008E702A">
              <w:rPr>
                <w:rFonts w:cs="Tahoma"/>
                <w:noProof/>
              </w:rPr>
              <w:t>(Jaber, 2015)</w:t>
            </w:r>
            <w:r>
              <w:rPr>
                <w:rFonts w:cs="Tahoma"/>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59F30681" w14:textId="77777777" w:rsidR="00CC07D4" w:rsidRPr="008E702A" w:rsidRDefault="00CC07D4" w:rsidP="003442EE">
            <w:pPr>
              <w:jc w:val="center"/>
              <w:rPr>
                <w:rFonts w:cs="Tahoma"/>
              </w:rPr>
            </w:pPr>
            <w:r w:rsidRPr="008E702A">
              <w:rPr>
                <w:rFonts w:cs="Tahoma"/>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5B4D749A" w14:textId="77777777" w:rsidR="00CC07D4" w:rsidRPr="008E702A" w:rsidRDefault="00CC07D4" w:rsidP="003442EE">
            <w:pPr>
              <w:jc w:val="center"/>
              <w:rPr>
                <w:rFonts w:cs="Tahoma"/>
              </w:rPr>
            </w:pPr>
            <w:r w:rsidRPr="008E702A">
              <w:rPr>
                <w:rFonts w:cs="Tahoma"/>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457F2DCF" w14:textId="77777777" w:rsidR="00CC07D4" w:rsidRPr="008E702A" w:rsidRDefault="00CC07D4" w:rsidP="003442EE">
            <w:pPr>
              <w:jc w:val="center"/>
              <w:rPr>
                <w:rFonts w:cs="Tahoma"/>
              </w:rPr>
            </w:pPr>
            <w:r w:rsidRPr="008E702A">
              <w:rPr>
                <w:rFonts w:cs="Tahoma"/>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3B0D2D53" w14:textId="77777777" w:rsidR="00CC07D4" w:rsidRPr="008E702A" w:rsidRDefault="00CC07D4" w:rsidP="003442EE">
            <w:pPr>
              <w:jc w:val="center"/>
              <w:rPr>
                <w:rFonts w:cs="Tahoma"/>
              </w:rPr>
            </w:pPr>
            <w:r w:rsidRPr="008E702A">
              <w:rPr>
                <w:rFonts w:cs="Tahoma"/>
              </w:rPr>
              <w:t>V</w:t>
            </w:r>
          </w:p>
        </w:tc>
        <w:tc>
          <w:tcPr>
            <w:tcW w:w="630" w:type="dxa"/>
            <w:tcBorders>
              <w:top w:val="single" w:sz="4" w:space="0" w:color="auto"/>
              <w:left w:val="nil"/>
              <w:bottom w:val="single" w:sz="4" w:space="0" w:color="auto"/>
              <w:right w:val="single" w:sz="4" w:space="0" w:color="auto"/>
            </w:tcBorders>
            <w:vAlign w:val="center"/>
          </w:tcPr>
          <w:p w14:paraId="03909BCD" w14:textId="77777777" w:rsidR="00CC07D4" w:rsidRPr="008E702A" w:rsidRDefault="00CC07D4" w:rsidP="003442EE">
            <w:pPr>
              <w:jc w:val="center"/>
              <w:rPr>
                <w:rFonts w:cs="Tahoma"/>
              </w:rPr>
            </w:pPr>
            <w:r w:rsidRPr="008E702A">
              <w:rPr>
                <w:rFonts w:cs="Tahoma"/>
              </w:rPr>
              <w:t>V</w:t>
            </w:r>
          </w:p>
        </w:tc>
        <w:tc>
          <w:tcPr>
            <w:tcW w:w="521" w:type="dxa"/>
            <w:tcBorders>
              <w:top w:val="single" w:sz="4" w:space="0" w:color="auto"/>
              <w:left w:val="single" w:sz="4" w:space="0" w:color="auto"/>
              <w:bottom w:val="single" w:sz="4" w:space="0" w:color="auto"/>
              <w:right w:val="single" w:sz="4" w:space="0" w:color="auto"/>
            </w:tcBorders>
            <w:vAlign w:val="center"/>
          </w:tcPr>
          <w:p w14:paraId="5DB5C85C" w14:textId="77777777" w:rsidR="00CC07D4" w:rsidRPr="008E702A" w:rsidRDefault="00CC07D4" w:rsidP="003442EE">
            <w:pPr>
              <w:jc w:val="center"/>
              <w:rPr>
                <w:rFonts w:cs="Tahoma"/>
              </w:rPr>
            </w:pPr>
            <w:r w:rsidRPr="008E702A">
              <w:rPr>
                <w:rFonts w:cs="Tahoma"/>
              </w:rPr>
              <w:t>V</w:t>
            </w:r>
          </w:p>
        </w:tc>
        <w:tc>
          <w:tcPr>
            <w:tcW w:w="3240" w:type="dxa"/>
            <w:tcBorders>
              <w:top w:val="single" w:sz="4" w:space="0" w:color="auto"/>
              <w:left w:val="single" w:sz="4" w:space="0" w:color="auto"/>
              <w:bottom w:val="single" w:sz="4" w:space="0" w:color="auto"/>
              <w:right w:val="single" w:sz="4" w:space="0" w:color="auto"/>
            </w:tcBorders>
            <w:vAlign w:val="center"/>
          </w:tcPr>
          <w:p w14:paraId="21D456CD" w14:textId="77777777" w:rsidR="00CC07D4" w:rsidRPr="008E702A" w:rsidRDefault="00CC07D4" w:rsidP="003442EE">
            <w:pPr>
              <w:jc w:val="both"/>
              <w:rPr>
                <w:rFonts w:cs="Tahoma"/>
              </w:rPr>
            </w:pPr>
            <w:r w:rsidRPr="008E702A">
              <w:rPr>
                <w:rFonts w:cs="Tahoma"/>
              </w:rPr>
              <w:t xml:space="preserve">The study revealed that the most ten important factors are: Security measures, loss incurred due to corruption and bribery, loss due to bureaucracy for late approvals, un-official holidays, loss incurred due to political changes, increase of materials price, unfairness in tendering, improper project planning and budgeting, design changes and </w:t>
            </w:r>
            <w:bookmarkStart w:id="1" w:name="_Hlk73391022"/>
            <w:r w:rsidRPr="008E702A">
              <w:rPr>
                <w:rFonts w:cs="Tahoma"/>
              </w:rPr>
              <w:t>increase of labor costs</w:t>
            </w:r>
            <w:bookmarkEnd w:id="1"/>
          </w:p>
        </w:tc>
      </w:tr>
      <w:tr w:rsidR="00CC07D4" w:rsidRPr="002D66BF" w14:paraId="751880BD"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6D6CCEA4"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02404B24"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{"citationItems":[{"id":"ITEM-1","itemData":{"author":[{"dropping-particle":"","family":"Nurjama","given":"Hari Nugraha","non-dropping-particle":"","parse-names":false,"suffix":""},{"dropping-particle":"","family":"I","given":"Universitas Persada Indonesia Y A","non-dropping-particle":"","parse-names":false,"suffix":""},{"dropping-particle":"","family":"Raya","given":"Jl","non-dropping-particle":"","parse-names":false,"suffix":""},{"dropping-particle":"","family":"No","given":"Salemba","non-dropping-particle":"","parse-names":false,"suffix":""}],"id":"ITEM-1","issued":{"date-parts":[["2017"]]},"page":"1-10","title":"MANAJEMEN RISIKO TERHADAP PENGENDALIAN WAKTU PROYEK PEMBANGUNAN PELABUHAN DERMAGA : Study Kasus Dermaga Pelabuhan Halmahera Utara Propinsi Maluku Utara","type":"article-journal"},"uris":["http://www.mendeley.com/documents/?uuid=6bc5046f-81d7-426f-b971-29201537e7ff"]}],"mendeley":{"formattedCitation":"(Nurjama et al., 2017)","manualFormatting":"(Iswanto et al., 2017)","plainTextFormattedCitation":"(Nurjama et al., 2017)","previouslyFormattedCitation":"(Nurjama et al., 2017)"},"properties":{"noteIndex":0},"schema":"https://github.com/citation-style-language/schema/raw/master/csl-citation.json"}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(Iswanto et al., 2017)</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778F445F"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4E3ED55E"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5B8C546F"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319005A2"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7D34F37C"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736DE1DE" w14:textId="77777777" w:rsidR="00CC07D4" w:rsidRPr="002D66BF" w:rsidRDefault="00CC07D4" w:rsidP="003442EE">
            <w:pPr>
              <w:jc w:val="center"/>
              <w:rPr>
                <w:rFonts w:cs="Tahoma"/>
                <w:color w:val="000000"/>
              </w:rPr>
            </w:pPr>
            <w:r w:rsidRPr="002D66BF">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597EEB5F" w14:textId="77777777" w:rsidR="00CC07D4" w:rsidRPr="002D66BF" w:rsidRDefault="00CC07D4" w:rsidP="003442EE">
            <w:pPr>
              <w:jc w:val="both"/>
              <w:rPr>
                <w:rFonts w:cs="Tahoma"/>
                <w:color w:val="000000"/>
              </w:rPr>
            </w:pPr>
            <w:r w:rsidRPr="002D66BF">
              <w:rPr>
                <w:rFonts w:cs="Tahoma"/>
                <w:color w:val="000000"/>
              </w:rPr>
              <w:t xml:space="preserve">The 12 main risk factors are effect on time performance are: Unstable socio-political environment, Big waves, Accidents that occurred to workers, Denial of implementation projects from the surrounding community caused by environmental pollution the surrounding community who does not support the construction project, Difficulty use of new technology, error in estimating the time of work in the field or wrong regulation, Uncertainty of the surrounding government policies on project </w:t>
            </w:r>
            <w:r w:rsidRPr="002D66BF">
              <w:rPr>
                <w:rFonts w:cs="Tahoma"/>
                <w:color w:val="000000"/>
              </w:rPr>
              <w:lastRenderedPageBreak/>
              <w:t>activities, The process of land acquisition for problematic projects, Material damage, Lack of support from the local government for the project, The occurrence of disputes with the local community</w:t>
            </w:r>
          </w:p>
        </w:tc>
      </w:tr>
      <w:tr w:rsidR="00CC07D4" w:rsidRPr="002D66BF" w14:paraId="50ECE215"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480FBBB6"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1EA10212" w14:textId="77777777" w:rsidR="00CC07D4" w:rsidRPr="002D66BF" w:rsidRDefault="00CC07D4" w:rsidP="003442EE">
            <w:pPr>
              <w:jc w:val="center"/>
              <w:rPr>
                <w:rFonts w:cs="Tahoma"/>
                <w:color w:val="000000"/>
              </w:rPr>
            </w:pPr>
            <w:r w:rsidRPr="002D66BF">
              <w:rPr>
                <w:rFonts w:cs="Tahoma"/>
                <w:color w:val="000000"/>
              </w:rPr>
              <w:fldChar w:fldCharType="begin" w:fldLock="1"/>
            </w:r>
            <w:r w:rsidRPr="002D66BF">
              <w:rPr>
                <w:rFonts w:cs="Tahoma"/>
                <w:color w:val="000000"/>
              </w:rPr>
              <w:instrText>ADDIN CSL_CITATION {"citationItems":[{"id":"ITEM-1","itemData":{"ISBN":"9786027060418","abstract":"Proyek pembangunan pengaman pantai di Provinsi Sulawesi Barat merupakan proyek pembangunan yang memiliki resiko cukup tinggi, seperti kondisi pasang surut, hantaman gelombang dan sebagainya, sehingga dikhawatirkan dapat menghambat pelaksanaan proyek. Penelitian ini bertujuan untuk mengidentifikasi dan analisa resiko yang timbul dalam pelaksanaan proyek pembangunan pengaman pantai di Provinsi Sulawesi Barat. Lokasi penelitian ini di proyek pembangunan pengaman pantai Provinsi Sulawesi Barat. Variabel resiko didapat dari literatur dan akan di validasi oleh metodologi dan alur penelitian. Responden penelitian ini adalah Project Manager proyek-proyek bangunan pantai di Provinsi Sulawesi Barat. Teknik sampling yang digunakan adalah non-probability sampling (purposive sampling) dan resiko akan dianalisa menggunakan probability impact matrix. Hasil akhir penelitian menunjukkan bawah pada proyek pembangunan bangunan pengaman pantai di Sulawesi Barat terdapat 3 resiko dengan kategori tinggi yaitu : Resiko kerusakan alat, keterlambatan pengadaan material dan peralatan dan resiko ketidaksesuaian hasil pelaksanaan dengan spesifikasi. Adapun untuk meminimasi resiko digunakan metode Risk Reduction (pengurangan resiko).","author":[{"dropping-particle":"","family":"Anwar","given":"","non-dropping-particle":"","parse-names":false,"suffix":""},{"dropping-particle":"","family":"Adi","given":"Tri Joko Wahyu","non-dropping-particle":"","parse-names":false,"suffix":""}],"container-title":"Seminar Nasional Manajemen Teknologi XXII","id":"ITEM-1","issued":{"date-parts":[["2015"]]},"page":"1-7","title":"Analisa Resiko Teknis Yang Mempengaruhi Kinerja Waktu Proyek Pembangunan Pengaman Pantai Di Provinsi Sulawesi Barat","type":"article-journal"},"uris":["http://www.mendeley.com/documents/?uuid=59f46f11-90e5-4ff9-a643-1e50247ba917"]}],"mendeley":{"formattedCitation":"(Anwar &amp; Adi, 2015)","plainTextFormattedCitation":"(Anwar &amp; Adi, 2015)","previouslyFormattedCitation":"(Anwar &amp; Adi, 2015)"},"properties":{"noteIndex":0},"schema":"https://github.com/citation-style-language/schema/raw/master/csl-citation.json"}</w:instrText>
            </w:r>
            <w:r w:rsidRPr="002D66BF">
              <w:rPr>
                <w:rFonts w:cs="Tahoma"/>
                <w:color w:val="000000"/>
              </w:rPr>
              <w:fldChar w:fldCharType="separate"/>
            </w:r>
            <w:r w:rsidRPr="002D66BF">
              <w:rPr>
                <w:rFonts w:cs="Tahoma"/>
                <w:noProof/>
                <w:color w:val="000000"/>
              </w:rPr>
              <w:t>(Anwar &amp; Adi, 2015)</w:t>
            </w:r>
            <w:r w:rsidRPr="002D66BF">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1D934EC" w14:textId="77777777" w:rsidR="00CC07D4" w:rsidRPr="002D66BF" w:rsidRDefault="00CC07D4" w:rsidP="003442EE">
            <w:pPr>
              <w:jc w:val="center"/>
              <w:rPr>
                <w:rFonts w:cs="Tahoma"/>
                <w:color w:val="000000"/>
              </w:rPr>
            </w:pPr>
            <w:r w:rsidRPr="002D66BF">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24D0070C" w14:textId="77777777" w:rsidR="00CC07D4" w:rsidRPr="002D66BF" w:rsidRDefault="00CC07D4" w:rsidP="003442EE">
            <w:pPr>
              <w:jc w:val="center"/>
              <w:rPr>
                <w:rFonts w:cs="Tahoma"/>
                <w:color w:val="000000"/>
              </w:rPr>
            </w:pPr>
            <w:r w:rsidRPr="002D66BF">
              <w:rPr>
                <w:rFonts w:cs="Tahoma"/>
                <w:color w:val="000000"/>
              </w:rPr>
              <w:t>X</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5BAB0B82" w14:textId="77777777" w:rsidR="00CC07D4" w:rsidRPr="002D66BF" w:rsidRDefault="00CC07D4" w:rsidP="003442EE">
            <w:pPr>
              <w:jc w:val="center"/>
              <w:rPr>
                <w:rFonts w:cs="Tahoma"/>
                <w:color w:val="000000"/>
              </w:rPr>
            </w:pPr>
            <w:r w:rsidRPr="002D66BF">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4BE56440" w14:textId="77777777" w:rsidR="00CC07D4" w:rsidRPr="002D66BF" w:rsidRDefault="00CC07D4" w:rsidP="003442EE">
            <w:pPr>
              <w:jc w:val="center"/>
              <w:rPr>
                <w:rFonts w:cs="Tahoma"/>
                <w:color w:val="000000"/>
              </w:rPr>
            </w:pPr>
            <w:r w:rsidRPr="002D66BF">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3A43C5EA" w14:textId="77777777" w:rsidR="00CC07D4" w:rsidRPr="002D66BF" w:rsidRDefault="00CC07D4" w:rsidP="003442EE">
            <w:pPr>
              <w:jc w:val="center"/>
              <w:rPr>
                <w:rFonts w:cs="Tahoma"/>
                <w:color w:val="000000"/>
              </w:rPr>
            </w:pPr>
            <w:r w:rsidRPr="002D66BF">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550C739B" w14:textId="77777777" w:rsidR="00CC07D4" w:rsidRPr="002D66BF" w:rsidRDefault="00CC07D4" w:rsidP="003442EE">
            <w:pPr>
              <w:jc w:val="center"/>
              <w:rPr>
                <w:rFonts w:cs="Tahoma"/>
                <w:color w:val="000000"/>
              </w:rPr>
            </w:pPr>
            <w:r w:rsidRPr="002D66BF">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59BBD3BA" w14:textId="77777777" w:rsidR="00CC07D4" w:rsidRPr="002D66BF" w:rsidRDefault="00CC07D4" w:rsidP="003442EE">
            <w:pPr>
              <w:jc w:val="both"/>
              <w:rPr>
                <w:rFonts w:cs="Tahoma"/>
                <w:color w:val="000000"/>
              </w:rPr>
            </w:pPr>
            <w:r w:rsidRPr="002D66BF">
              <w:rPr>
                <w:rFonts w:cs="Tahoma"/>
                <w:color w:val="000000"/>
              </w:rPr>
              <w:t>Risk analysis is on a high scale, namely:</w:t>
            </w:r>
          </w:p>
          <w:p w14:paraId="15B67F48" w14:textId="77777777" w:rsidR="00CC07D4" w:rsidRPr="002D66BF" w:rsidRDefault="00CC07D4" w:rsidP="003442EE">
            <w:pPr>
              <w:jc w:val="both"/>
              <w:rPr>
                <w:rFonts w:cs="Tahoma"/>
                <w:color w:val="000000"/>
              </w:rPr>
            </w:pPr>
            <w:r w:rsidRPr="002D66BF">
              <w:rPr>
                <w:rFonts w:cs="Tahoma"/>
                <w:color w:val="000000"/>
              </w:rPr>
              <w:t xml:space="preserve">a. There is a </w:t>
            </w:r>
            <w:bookmarkStart w:id="2" w:name="_Hlk73391124"/>
            <w:r w:rsidRPr="002D66BF">
              <w:rPr>
                <w:rFonts w:cs="Tahoma"/>
                <w:color w:val="000000"/>
              </w:rPr>
              <w:t>heavy equipment failure</w:t>
            </w:r>
            <w:bookmarkEnd w:id="2"/>
          </w:p>
          <w:p w14:paraId="153DB889" w14:textId="77777777" w:rsidR="00CC07D4" w:rsidRPr="002D66BF" w:rsidRDefault="00CC07D4" w:rsidP="003442EE">
            <w:pPr>
              <w:jc w:val="both"/>
              <w:rPr>
                <w:rFonts w:cs="Tahoma"/>
                <w:color w:val="000000"/>
              </w:rPr>
            </w:pPr>
            <w:r w:rsidRPr="002D66BF">
              <w:rPr>
                <w:rFonts w:cs="Tahoma"/>
                <w:color w:val="000000"/>
              </w:rPr>
              <w:t>b. Delays in procuring materials and equipment</w:t>
            </w:r>
          </w:p>
          <w:p w14:paraId="7BDD2F44" w14:textId="77777777" w:rsidR="00CC07D4" w:rsidRPr="002D66BF" w:rsidRDefault="00CC07D4" w:rsidP="003442EE">
            <w:pPr>
              <w:jc w:val="both"/>
              <w:rPr>
                <w:rFonts w:cs="Tahoma"/>
                <w:color w:val="000000"/>
              </w:rPr>
            </w:pPr>
            <w:r w:rsidRPr="002D66BF">
              <w:rPr>
                <w:rFonts w:cs="Tahoma"/>
                <w:color w:val="000000"/>
              </w:rPr>
              <w:t>c. Incompatibility of implementation results with specifications</w:t>
            </w:r>
          </w:p>
          <w:p w14:paraId="6F6B3930" w14:textId="77777777" w:rsidR="00CC07D4" w:rsidRPr="002D66BF" w:rsidRDefault="00CC07D4" w:rsidP="003442EE">
            <w:pPr>
              <w:jc w:val="both"/>
              <w:rPr>
                <w:rFonts w:cs="Tahoma"/>
                <w:color w:val="000000"/>
              </w:rPr>
            </w:pPr>
            <w:r w:rsidRPr="002D66BF">
              <w:rPr>
                <w:rFonts w:cs="Tahoma"/>
                <w:color w:val="000000"/>
              </w:rPr>
              <w:t>The risk analysis above which is on a moderate scale, namely:</w:t>
            </w:r>
          </w:p>
          <w:p w14:paraId="7F7DDF71" w14:textId="77777777" w:rsidR="00CC07D4" w:rsidRPr="002D66BF" w:rsidRDefault="00CC07D4" w:rsidP="003442EE">
            <w:pPr>
              <w:jc w:val="both"/>
              <w:rPr>
                <w:rFonts w:cs="Tahoma"/>
                <w:color w:val="000000"/>
              </w:rPr>
            </w:pPr>
            <w:r w:rsidRPr="002D66BF">
              <w:rPr>
                <w:rFonts w:cs="Tahoma"/>
                <w:color w:val="000000"/>
              </w:rPr>
              <w:t>a. The influence of erratic weather factors.</w:t>
            </w:r>
          </w:p>
          <w:p w14:paraId="1AF1FFBE" w14:textId="77777777" w:rsidR="00CC07D4" w:rsidRPr="002D66BF" w:rsidRDefault="00CC07D4" w:rsidP="003442EE">
            <w:pPr>
              <w:jc w:val="both"/>
              <w:rPr>
                <w:rFonts w:cs="Tahoma"/>
                <w:color w:val="000000"/>
              </w:rPr>
            </w:pPr>
            <w:r w:rsidRPr="002D66BF">
              <w:rPr>
                <w:rFonts w:cs="Tahoma"/>
                <w:color w:val="000000"/>
              </w:rPr>
              <w:t>b. Shop drawing and design work is not detailed.</w:t>
            </w:r>
          </w:p>
        </w:tc>
      </w:tr>
      <w:tr w:rsidR="00CC07D4" w:rsidRPr="002D66BF" w14:paraId="04791FDD"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2AAA131A"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59AB8D42" w14:textId="77777777" w:rsidR="00CC07D4" w:rsidRPr="002D66BF" w:rsidRDefault="00CC07D4" w:rsidP="003442EE">
            <w:pPr>
              <w:jc w:val="center"/>
              <w:rPr>
                <w:rFonts w:cs="Tahoma"/>
                <w:color w:val="000000"/>
              </w:rPr>
            </w:pPr>
            <w:r>
              <w:rPr>
                <w:rFonts w:cs="Tahoma"/>
                <w:color w:val="000000"/>
              </w:rPr>
              <w:fldChar w:fldCharType="begin" w:fldLock="1"/>
            </w:r>
            <w:r>
              <w:rPr>
                <w:rFonts w:cs="Tahoma"/>
                <w:color w:val="000000"/>
              </w:rPr>
              <w:instrText>ADDIN CSL_CITATION {"citationItems":[{"id":"ITEM-1","itemData":{"author":[{"dropping-particle":"","family":"Roubos","given":"Alfred","non-dropping-particle":"","parse-names":false,"suffix":""},{"dropping-particle":"","family":"Peters","given":"Dirk","non-dropping-particle":"","parse-names":false,"suffix":""},{"dropping-particle":"","family":"Steenbergen","given":"Raphael","non-dropping-particle":"","parse-names":false,"suffix":""}],"id":"ITEM-1","issued":{"date-parts":[["2019"]]},"page":"400-408","title":"Target Reliability Indices for Quay Walls, Jetties, and Flexible Dolphins","type":"article-journal","volume":"1"},"uris":["http://www.mendeley.com/documents/?uuid=d5d0ba31-54b9-4486-9321-8a4a85ed8ce7"]}],"mendeley":{"formattedCitation":"(Roubos et al., 2019)","plainTextFormattedCitation":"(Roubos et al., 2019)","previouslyFormattedCitation":"(Roubos et al., 2019)"},"properties":{"noteIndex":0},"schema":"https://github.com/citation-style-language/schema/raw/master/csl-citation.json"}</w:instrText>
            </w:r>
            <w:r>
              <w:rPr>
                <w:rFonts w:cs="Tahoma"/>
                <w:color w:val="000000"/>
              </w:rPr>
              <w:fldChar w:fldCharType="separate"/>
            </w:r>
            <w:r w:rsidRPr="0018378E">
              <w:rPr>
                <w:rFonts w:cs="Tahoma"/>
                <w:noProof/>
                <w:color w:val="000000"/>
              </w:rPr>
              <w:t>(Roubos et al., 2019)</w:t>
            </w:r>
            <w:r>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556FB63" w14:textId="77777777" w:rsidR="00CC07D4" w:rsidRPr="002D66BF" w:rsidRDefault="00CC07D4" w:rsidP="003442EE">
            <w:pPr>
              <w:jc w:val="center"/>
              <w:rPr>
                <w:rFonts w:cs="Tahoma"/>
                <w:color w:val="000000"/>
              </w:rPr>
            </w:pPr>
            <w:r>
              <w:rPr>
                <w:rFonts w:cs="Tahoma"/>
                <w:color w:val="000000"/>
              </w:rPr>
              <w:t>X</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14F6D9B6" w14:textId="77777777" w:rsidR="00CC07D4" w:rsidRPr="002D66BF" w:rsidRDefault="00CC07D4" w:rsidP="003442EE">
            <w:pPr>
              <w:jc w:val="center"/>
              <w:rPr>
                <w:rFonts w:cs="Tahoma"/>
                <w:color w:val="000000"/>
              </w:rPr>
            </w:pPr>
            <w:r>
              <w:rPr>
                <w:rFonts w:cs="Tahoma"/>
                <w:color w:val="000000"/>
              </w:rPr>
              <w:t>X</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5D0ADF4D" w14:textId="77777777" w:rsidR="00CC07D4" w:rsidRPr="002D66BF" w:rsidRDefault="00CC07D4" w:rsidP="003442EE">
            <w:pPr>
              <w:jc w:val="center"/>
              <w:rPr>
                <w:rFonts w:cs="Tahoma"/>
                <w:color w:val="000000"/>
              </w:rPr>
            </w:pPr>
            <w:r>
              <w:rPr>
                <w:rFonts w:cs="Tahoma"/>
                <w:color w:val="000000"/>
              </w:rPr>
              <w:t>X</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0525720E" w14:textId="77777777" w:rsidR="00CC07D4" w:rsidRPr="002D66BF" w:rsidRDefault="00CC07D4" w:rsidP="003442EE">
            <w:pPr>
              <w:jc w:val="center"/>
              <w:rPr>
                <w:rFonts w:cs="Tahoma"/>
                <w:color w:val="000000"/>
              </w:rPr>
            </w:pPr>
            <w:r>
              <w:rPr>
                <w:rFonts w:cs="Tahoma"/>
                <w:color w:val="000000"/>
              </w:rPr>
              <w:t>X</w:t>
            </w:r>
          </w:p>
        </w:tc>
        <w:tc>
          <w:tcPr>
            <w:tcW w:w="630" w:type="dxa"/>
            <w:tcBorders>
              <w:top w:val="single" w:sz="4" w:space="0" w:color="auto"/>
              <w:left w:val="nil"/>
              <w:bottom w:val="single" w:sz="4" w:space="0" w:color="auto"/>
              <w:right w:val="single" w:sz="4" w:space="0" w:color="auto"/>
            </w:tcBorders>
            <w:vAlign w:val="center"/>
          </w:tcPr>
          <w:p w14:paraId="089537D7" w14:textId="77777777" w:rsidR="00CC07D4" w:rsidRPr="002D66BF" w:rsidRDefault="00CC07D4" w:rsidP="003442EE">
            <w:pPr>
              <w:jc w:val="center"/>
              <w:rPr>
                <w:rFonts w:cs="Tahoma"/>
                <w:color w:val="000000"/>
              </w:rPr>
            </w:pPr>
            <w:r>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5F8BE1C9" w14:textId="77777777" w:rsidR="00CC07D4" w:rsidRPr="002D66BF" w:rsidRDefault="00CC07D4" w:rsidP="003442EE">
            <w:pPr>
              <w:jc w:val="center"/>
              <w:rPr>
                <w:rFonts w:cs="Tahoma"/>
                <w:color w:val="000000"/>
              </w:rPr>
            </w:pPr>
            <w:r>
              <w:rPr>
                <w:rFonts w:cs="Tahoma"/>
                <w:color w:val="000000"/>
              </w:rPr>
              <w:t>X</w:t>
            </w:r>
          </w:p>
        </w:tc>
        <w:tc>
          <w:tcPr>
            <w:tcW w:w="3240" w:type="dxa"/>
            <w:tcBorders>
              <w:top w:val="single" w:sz="4" w:space="0" w:color="auto"/>
              <w:left w:val="single" w:sz="4" w:space="0" w:color="auto"/>
              <w:bottom w:val="single" w:sz="4" w:space="0" w:color="auto"/>
              <w:right w:val="single" w:sz="4" w:space="0" w:color="auto"/>
            </w:tcBorders>
            <w:vAlign w:val="center"/>
          </w:tcPr>
          <w:p w14:paraId="1461BC15" w14:textId="77777777" w:rsidR="00CC07D4" w:rsidRPr="002D66BF" w:rsidRDefault="00CC07D4" w:rsidP="003442EE">
            <w:pPr>
              <w:jc w:val="both"/>
              <w:rPr>
                <w:rFonts w:cs="Tahoma"/>
                <w:color w:val="000000"/>
              </w:rPr>
            </w:pPr>
            <w:r w:rsidRPr="0018378E">
              <w:rPr>
                <w:rFonts w:cs="Tahoma"/>
                <w:color w:val="000000"/>
              </w:rPr>
              <w:t>The target reliability indices derived in this study were determined from several risk acceptance criteria. This section presents the reliability indices found for an arbitrary teq ≥ 20. This means that the expected consequences of a specific failure mode will generally be lower due to some additional measures for improving system robustness</w:t>
            </w:r>
          </w:p>
        </w:tc>
      </w:tr>
      <w:tr w:rsidR="00CC07D4" w:rsidRPr="002D66BF" w14:paraId="28E60EE2"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35C81789"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583BA9BA" w14:textId="77777777" w:rsidR="00CC07D4" w:rsidRPr="002D66BF" w:rsidRDefault="00CC07D4" w:rsidP="003442EE">
            <w:pPr>
              <w:jc w:val="center"/>
              <w:rPr>
                <w:rFonts w:cs="Tahoma"/>
                <w:color w:val="000000"/>
              </w:rPr>
            </w:pPr>
            <w:r>
              <w:rPr>
                <w:rFonts w:cs="Tahoma"/>
                <w:color w:val="000000"/>
              </w:rPr>
              <w:fldChar w:fldCharType="begin" w:fldLock="1"/>
            </w:r>
            <w:r>
              <w:rPr>
                <w:rFonts w:cs="Tahoma"/>
                <w:color w:val="000000"/>
              </w:rPr>
              <w:instrText>ADDIN CSL_CITATION {"citationItems":[{"id":"ITEM-1","itemData":{"DOI":"10.1061/(asce)is.1943-555x.0000346","ISSN":"1076-0342","abstract":"© 2017 American Society of Civil Engineers. This paper proposes an approach for developing optimal risk-based management strategies for bridges in coastal regions. Currently, bridge management strategies in these regions are designed to limit the negative effects corrosion has on bridge performance under traffic loads. However, recent large-scale hurricanes and their associated damage to bridges have demonstrated the need to consider hurricanes when making bridge management decisions. This paper aims to develop optimal risk-based management strategies that include both repair actions to address deteriorating performance under traffic loads and retrofit actions to minimize the potential for failure during hurricanes. The proposed approach considers the uncertainties associated with hazards, and the economic, social, and environmental consequences of failure under traffic loads and hurricanes. The optimal management strategies are achieved by formulating and solving a multiobjective optimization problem. The objectives of this optimization problem include minimizing the lifecycle costs accrued due to repair and retrofit actions and minimizing the maximum risk over the lifecycle of the bridge. The proposed risk-based approach is applied to a steel girder bridge located in a hurricane-prone region.","author":[{"dropping-particle":"","family":"Mondoro","given":"Alysson","non-dropping-particle":"","parse-names":false,"suffix":""},{"dropping-particle":"","family":"Frangopol","given":"Dan M.","non-dropping-particle":"","parse-names":false,"suffix":""},{"dropping-particle":"","family":"Soliman","given":"Mohamed","non-dropping-particle":"","parse-names":false,"suffix":""}],"container-title":"Journal of Infrastructure Systems","id":"ITEM-1","issue":"3","issued":{"date-parts":[["2017"]]},"page":"04016046","title":"Optimal Risk-Based Management of Coastal Bridges Vulnerable to Hurricanes","type":"article-journal","volume":"23"},"uris":["http://www.mendeley.com/documents/?uuid=5d921f28-21b1-46be-9535-20754d1cda31"]}],"mendeley":{"formattedCitation":"(Mondoro et al., 2017)","plainTextFormattedCitation":"(Mondoro et al., 2017)","previouslyFormattedCitation":"(Mondoro et al., 2017)"},"properties":{"noteIndex":0},"schema":"https://github.com/citation-style-language/schema/raw/master/csl-citation.json"}</w:instrText>
            </w:r>
            <w:r>
              <w:rPr>
                <w:rFonts w:cs="Tahoma"/>
                <w:color w:val="000000"/>
              </w:rPr>
              <w:fldChar w:fldCharType="separate"/>
            </w:r>
            <w:r w:rsidRPr="00F95BEC">
              <w:rPr>
                <w:rFonts w:cs="Tahoma"/>
                <w:noProof/>
                <w:color w:val="000000"/>
              </w:rPr>
              <w:t>(Mondoro et al., 2017)</w:t>
            </w:r>
            <w:r>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03EB1EF0" w14:textId="77777777" w:rsidR="00CC07D4" w:rsidRPr="002D66BF" w:rsidRDefault="00CC07D4" w:rsidP="003442EE">
            <w:pPr>
              <w:jc w:val="center"/>
              <w:rPr>
                <w:rFonts w:cs="Tahoma"/>
                <w:color w:val="000000"/>
              </w:rPr>
            </w:pPr>
            <w:r>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6E0E92E9" w14:textId="77777777" w:rsidR="00CC07D4" w:rsidRPr="002D66BF"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4026D78D" w14:textId="77777777" w:rsidR="00CC07D4" w:rsidRPr="002D66BF" w:rsidRDefault="00CC07D4" w:rsidP="003442EE">
            <w:pPr>
              <w:jc w:val="center"/>
              <w:rPr>
                <w:rFonts w:cs="Tahoma"/>
                <w:color w:val="000000"/>
              </w:rPr>
            </w:pPr>
            <w:r>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2D280D12" w14:textId="77777777" w:rsidR="00CC07D4" w:rsidRPr="002D66BF"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748A4500" w14:textId="77777777" w:rsidR="00CC07D4" w:rsidRPr="002D66BF" w:rsidRDefault="00CC07D4" w:rsidP="003442EE">
            <w:pPr>
              <w:jc w:val="center"/>
              <w:rPr>
                <w:rFonts w:cs="Tahoma"/>
                <w:color w:val="000000"/>
              </w:rPr>
            </w:pPr>
            <w:r>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77860C8E" w14:textId="77777777" w:rsidR="00CC07D4" w:rsidRPr="002D66BF" w:rsidRDefault="00CC07D4" w:rsidP="003442EE">
            <w:pPr>
              <w:jc w:val="center"/>
              <w:rPr>
                <w:rFonts w:cs="Tahoma"/>
                <w:color w:val="000000"/>
              </w:rPr>
            </w:pPr>
            <w:r>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6C9C91A7" w14:textId="77777777" w:rsidR="00CC07D4" w:rsidRPr="00F95BEC" w:rsidRDefault="00CC07D4" w:rsidP="003442EE">
            <w:pPr>
              <w:jc w:val="both"/>
              <w:rPr>
                <w:rFonts w:cs="Tahoma"/>
                <w:color w:val="000000"/>
              </w:rPr>
            </w:pPr>
            <w:r w:rsidRPr="00F95BEC">
              <w:rPr>
                <w:rFonts w:cs="Tahoma"/>
                <w:color w:val="000000"/>
              </w:rPr>
              <w:t>Minimizing lifecycle costs and minimizing the maximum lifecycle</w:t>
            </w:r>
          </w:p>
          <w:p w14:paraId="4D8CAD6D" w14:textId="77777777" w:rsidR="00CC07D4" w:rsidRPr="00F95BEC" w:rsidRDefault="00CC07D4" w:rsidP="003442EE">
            <w:pPr>
              <w:jc w:val="both"/>
              <w:rPr>
                <w:rFonts w:ascii="AdvOT483a8203" w:hAnsi="AdvOT483a8203" w:cs="AdvOT483a8203"/>
                <w:sz w:val="19"/>
                <w:szCs w:val="19"/>
              </w:rPr>
            </w:pPr>
            <w:r w:rsidRPr="00F95BEC">
              <w:rPr>
                <w:rFonts w:cs="Tahoma"/>
                <w:color w:val="000000"/>
              </w:rPr>
              <w:t>risk are conflicting objectives in which repair and retrofit</w:t>
            </w:r>
            <w:r>
              <w:rPr>
                <w:rFonts w:cs="Tahoma"/>
                <w:color w:val="000000"/>
              </w:rPr>
              <w:t xml:space="preserve"> </w:t>
            </w:r>
            <w:r w:rsidRPr="00F95BEC">
              <w:rPr>
                <w:rFonts w:cs="Tahoma"/>
                <w:color w:val="000000"/>
              </w:rPr>
              <w:t>actions increase the lifecycle cost but decrease the maximum</w:t>
            </w:r>
            <w:r>
              <w:rPr>
                <w:rFonts w:cs="Tahoma"/>
                <w:color w:val="000000"/>
              </w:rPr>
              <w:t xml:space="preserve"> </w:t>
            </w:r>
            <w:r w:rsidRPr="00F95BEC">
              <w:rPr>
                <w:rFonts w:cs="Tahoma"/>
                <w:color w:val="000000"/>
              </w:rPr>
              <w:t>lifecycle risk</w:t>
            </w:r>
            <w:r>
              <w:rPr>
                <w:rFonts w:cs="Tahoma"/>
                <w:color w:val="000000"/>
              </w:rPr>
              <w:t xml:space="preserve">. </w:t>
            </w:r>
            <w:r>
              <w:rPr>
                <w:rFonts w:ascii="AdvOT483a8203" w:hAnsi="AdvOT483a8203" w:cs="AdvOT483a8203"/>
                <w:sz w:val="19"/>
                <w:szCs w:val="19"/>
              </w:rPr>
              <w:t xml:space="preserve">The risk likely : </w:t>
            </w:r>
            <w:r w:rsidRPr="00F95BEC">
              <w:rPr>
                <w:rFonts w:ascii="AdvOT483a8203" w:hAnsi="AdvOT483a8203" w:cs="AdvOT483a8203"/>
                <w:sz w:val="19"/>
                <w:szCs w:val="19"/>
              </w:rPr>
              <w:t>hurricane,</w:t>
            </w:r>
            <w:r>
              <w:rPr>
                <w:rFonts w:ascii="AdvOT483a8203" w:hAnsi="AdvOT483a8203" w:cs="AdvOT483a8203"/>
                <w:sz w:val="19"/>
                <w:szCs w:val="19"/>
              </w:rPr>
              <w:t xml:space="preserve"> </w:t>
            </w:r>
            <w:r w:rsidRPr="00F95BEC">
              <w:rPr>
                <w:rFonts w:ascii="AdvOT483a8203" w:hAnsi="AdvOT483a8203" w:cs="AdvOT483a8203"/>
                <w:sz w:val="19"/>
                <w:szCs w:val="19"/>
              </w:rPr>
              <w:t>traffic hazards, and deterioration mechanisms</w:t>
            </w:r>
            <w:r>
              <w:rPr>
                <w:rFonts w:ascii="AdvOT483a8203" w:hAnsi="AdvOT483a8203" w:cs="AdvOT483a8203"/>
                <w:sz w:val="19"/>
                <w:szCs w:val="19"/>
              </w:rPr>
              <w:t xml:space="preserve">, </w:t>
            </w:r>
            <w:r w:rsidRPr="00F95BEC">
              <w:rPr>
                <w:rFonts w:ascii="AdvOT483a8203" w:hAnsi="AdvOT483a8203" w:cs="AdvOT483a8203"/>
                <w:sz w:val="19"/>
                <w:szCs w:val="19"/>
              </w:rPr>
              <w:t>The increased cost of construction materials and labor in a postdisaster</w:t>
            </w:r>
            <w:r>
              <w:rPr>
                <w:rFonts w:ascii="AdvOT483a8203" w:hAnsi="AdvOT483a8203" w:cs="AdvOT483a8203"/>
                <w:sz w:val="19"/>
                <w:szCs w:val="19"/>
              </w:rPr>
              <w:t xml:space="preserve"> </w:t>
            </w:r>
            <w:r w:rsidRPr="00F95BEC">
              <w:rPr>
                <w:rFonts w:ascii="AdvOT483a8203" w:hAnsi="AdvOT483a8203" w:cs="AdvOT483a8203"/>
                <w:sz w:val="19"/>
                <w:szCs w:val="19"/>
              </w:rPr>
              <w:t>region</w:t>
            </w:r>
            <w:r>
              <w:rPr>
                <w:rFonts w:ascii="AdvOT483a8203" w:hAnsi="AdvOT483a8203" w:cs="AdvOT483a8203"/>
                <w:sz w:val="19"/>
                <w:szCs w:val="19"/>
              </w:rPr>
              <w:t xml:space="preserve">, </w:t>
            </w:r>
            <w:r w:rsidRPr="00F95BEC">
              <w:rPr>
                <w:rFonts w:ascii="AdvOT483a8203" w:hAnsi="AdvOT483a8203" w:cs="AdvOT483a8203"/>
                <w:sz w:val="19"/>
                <w:szCs w:val="19"/>
              </w:rPr>
              <w:t>Economic conditions such as the real interest rate</w:t>
            </w:r>
          </w:p>
        </w:tc>
      </w:tr>
      <w:tr w:rsidR="00CC07D4" w:rsidRPr="002D66BF" w14:paraId="3ABEF74E"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1CD5B73D"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4DE36F68" w14:textId="77777777" w:rsidR="00CC07D4" w:rsidRPr="002D66BF" w:rsidRDefault="00CC07D4" w:rsidP="003442EE">
            <w:pPr>
              <w:jc w:val="center"/>
              <w:rPr>
                <w:rFonts w:cs="Tahoma"/>
                <w:color w:val="000000"/>
              </w:rPr>
            </w:pPr>
            <w:r>
              <w:rPr>
                <w:rFonts w:cs="Tahoma"/>
                <w:color w:val="000000"/>
              </w:rPr>
              <w:fldChar w:fldCharType="begin" w:fldLock="1"/>
            </w:r>
            <w:r>
              <w:rPr>
                <w:rFonts w:cs="Tahoma"/>
                <w:color w:val="000000"/>
              </w:rPr>
              <w:instrText>ADDIN CSL_CITATION {"citationItems":[{"id":"ITEM-1","itemData":{"DOI":"10.1111/jfr3.12690","ISSN":"1753318X","abstract":"A river exhibits strong upstream erosion and rapid downstream accumulation. Dredging is one of the methods that is most commonly adopted by the Taiwan Water Resources Agency (WRA) to ensure the smooth flow of rivers and their ability to discharge water, protecting lives and property from flood disasters. However, dredging projects are large, involving very many stakeholders, leading to high uncertainty in the implementation of the project. The WRA also lacks relevant risk management methods and countermeasures owing to the periodical brain drain and retirement within the organisation. In order to enhance risk management for dredging engineers, river management offices across the country were visited, and knowledge and experience of dredging engineering were obtained using expert meetings and scientific methods. Work was carried out with the WRA to identify six major risk categories for dredging projects, covering 30 risks. An Analytic Hierarchy Process (AHP) questionnaire was developed using the Risk Breakdown Structure (RBS), and a Risk Impact/Frequency Analysis (RIFA) questionnaire was developed using the Important/Performance Analysis (IPA) method; these were answered by 69 engineers with experience in river dredging. Finally, critical risk factors are identified and ranked by combining the responses to the questionnaires and in the interviews, helping engineers with risk management in the future. Research results demonstrate that most of the engineering management experience in practice is communicated by word of mouth, with no effective and systematic method of knowledge management. Therefore, a knowledge-based system is created, covering 170 risk events and solutions for various dredging projects, and a graphical user information system is built in a programming language, to enable the WRA to save engineering experience systematically for future exploitation.","author":[{"dropping-particle":"","family":"Chou","given":"Jui Sheng","non-dropping-particle":"","parse-names":false,"suffix":""},{"dropping-particle":"","family":"Chiu","given":"Ying Chen","non-dropping-particle":"","parse-names":false,"suffix":""}],"container-title":"Journal of Flood Risk Management","id":"ITEM-1","issue":"1","issued":{"date-parts":[["2020"]]},"page":"1-16","title":"Identifying critical risk factors and responses of river dredging projects for knowledge management within organisation","type":"article-journal","volume":"14"},"uris":["http://www.mendeley.com/documents/?uuid=dab64630-52ad-4007-a2ad-317e9598beb3"]}],"mendeley":{"formattedCitation":"(Chou &amp; Chiu, 2020)","plainTextFormattedCitation":"(Chou &amp; Chiu, 2020)","previouslyFormattedCitation":"(Chou &amp; Chiu, 2020)"},"properties":{"noteIndex":0},"schema":"https://github.com/citation-style-language/schema/raw/master/csl-citation.json"}</w:instrText>
            </w:r>
            <w:r>
              <w:rPr>
                <w:rFonts w:cs="Tahoma"/>
                <w:color w:val="000000"/>
              </w:rPr>
              <w:fldChar w:fldCharType="separate"/>
            </w:r>
            <w:r w:rsidRPr="00BF09CD">
              <w:rPr>
                <w:rFonts w:cs="Tahoma"/>
                <w:noProof/>
                <w:color w:val="000000"/>
              </w:rPr>
              <w:t>(Chou &amp; Chiu, 2020)</w:t>
            </w:r>
            <w:r>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2935D73A" w14:textId="77777777" w:rsidR="00CC07D4" w:rsidRPr="002D66BF" w:rsidRDefault="00CC07D4" w:rsidP="003442EE">
            <w:pPr>
              <w:jc w:val="center"/>
              <w:rPr>
                <w:rFonts w:cs="Tahoma"/>
                <w:color w:val="000000"/>
              </w:rPr>
            </w:pPr>
            <w:r>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118E9BDF" w14:textId="77777777" w:rsidR="00CC07D4" w:rsidRPr="002D66BF"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26FE7EA6" w14:textId="77777777" w:rsidR="00CC07D4" w:rsidRPr="002D66BF" w:rsidRDefault="00CC07D4" w:rsidP="003442EE">
            <w:pPr>
              <w:jc w:val="center"/>
              <w:rPr>
                <w:rFonts w:cs="Tahoma"/>
                <w:color w:val="000000"/>
              </w:rPr>
            </w:pPr>
            <w:r>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0C4D6878" w14:textId="77777777" w:rsidR="00CC07D4" w:rsidRPr="002D66BF"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10AD85FC" w14:textId="77777777" w:rsidR="00CC07D4" w:rsidRPr="002D66BF" w:rsidRDefault="00CC07D4" w:rsidP="003442EE">
            <w:pPr>
              <w:jc w:val="center"/>
              <w:rPr>
                <w:rFonts w:cs="Tahoma"/>
                <w:color w:val="000000"/>
              </w:rPr>
            </w:pPr>
            <w:r>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6BF9C579" w14:textId="77777777" w:rsidR="00CC07D4" w:rsidRPr="002D66BF" w:rsidRDefault="00CC07D4" w:rsidP="003442EE">
            <w:pPr>
              <w:jc w:val="center"/>
              <w:rPr>
                <w:rFonts w:cs="Tahoma"/>
                <w:color w:val="000000"/>
              </w:rPr>
            </w:pPr>
            <w:r>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6819A43F" w14:textId="77777777" w:rsidR="00CC07D4" w:rsidRPr="002D66BF" w:rsidRDefault="00CC07D4" w:rsidP="003442EE">
            <w:pPr>
              <w:jc w:val="both"/>
              <w:rPr>
                <w:rFonts w:cs="Tahoma"/>
                <w:color w:val="000000"/>
              </w:rPr>
            </w:pPr>
            <w:r w:rsidRPr="00BF09CD">
              <w:rPr>
                <w:rFonts w:cs="Tahoma"/>
                <w:color w:val="000000"/>
              </w:rPr>
              <w:t>a knowledge-based system is created, covering</w:t>
            </w:r>
            <w:r>
              <w:rPr>
                <w:rFonts w:cs="Tahoma"/>
                <w:color w:val="000000"/>
              </w:rPr>
              <w:t xml:space="preserve"> </w:t>
            </w:r>
            <w:r w:rsidRPr="00BF09CD">
              <w:rPr>
                <w:rFonts w:cs="Tahoma"/>
                <w:color w:val="000000"/>
              </w:rPr>
              <w:t>170 risk events and solutions for various dredging projects, and a graphical</w:t>
            </w:r>
            <w:r>
              <w:rPr>
                <w:rFonts w:cs="Tahoma"/>
                <w:color w:val="000000"/>
              </w:rPr>
              <w:t xml:space="preserve"> </w:t>
            </w:r>
            <w:r w:rsidRPr="00BF09CD">
              <w:rPr>
                <w:rFonts w:cs="Tahoma"/>
                <w:color w:val="000000"/>
              </w:rPr>
              <w:t>user information system is built in a programming language, to enable the WRA</w:t>
            </w:r>
            <w:r>
              <w:rPr>
                <w:rFonts w:cs="Tahoma"/>
                <w:color w:val="000000"/>
              </w:rPr>
              <w:t xml:space="preserve"> </w:t>
            </w:r>
            <w:r w:rsidRPr="00BF09CD">
              <w:rPr>
                <w:rFonts w:cs="Tahoma"/>
                <w:color w:val="000000"/>
              </w:rPr>
              <w:t>to save engineering experience systematically for future exploitation</w:t>
            </w:r>
          </w:p>
        </w:tc>
      </w:tr>
      <w:tr w:rsidR="00CC07D4" w:rsidRPr="002D66BF" w14:paraId="2EE3624D"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4B222CD3"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791E6B0C" w14:textId="77777777" w:rsidR="00CC07D4" w:rsidRPr="002D66BF" w:rsidRDefault="00CC07D4" w:rsidP="003442EE">
            <w:pPr>
              <w:jc w:val="center"/>
              <w:rPr>
                <w:rFonts w:cs="Tahoma"/>
                <w:color w:val="000000"/>
              </w:rPr>
            </w:pPr>
            <w:r>
              <w:rPr>
                <w:rFonts w:cs="Tahoma"/>
                <w:color w:val="000000"/>
              </w:rPr>
              <w:fldChar w:fldCharType="begin" w:fldLock="1"/>
            </w:r>
            <w:r>
              <w:rPr>
                <w:rFonts w:cs="Tahoma"/>
                <w:color w:val="000000"/>
              </w:rPr>
              <w:instrText>ADDIN CSL_CITATION {"citationItems":[{"id":"ITEM-1","itemData":{"DOI":"10.1016/j.scitotenv.2008.04.055","ISSN":"00489697","PMID":"18571217","abstract":"Sediment dredging is necessary to sustain navigation infrastructure in ports and harbor areas. In the United States alone between 250 and 300 million cubic yards of sediment are dredged annually. Dredging activities may cause stress on aquatic biota by locally increasing turbidity and suspended sediment concentrations, physically disturbing habitat by elevated sedimentation rates, interfering in migratory behaviors, and hydraulically entraining bottom dwelling organisms. Environmental windows are a management practice used to alleviate such stresses on resident and transient biota by placing temporal restrictions on the conduct of dredging operations. Adherence to environmental windows can significantly inflate costs for project sponsors and local stakeholders. Since their inception following passage of NEPA in 1969 the process for setting environmental windows has not followed structured procedures and represents an example of the difficulty inherent in achieving a balance between biological resource protection and cost-effective construction and maintenance of navigation infrastructure. Recent developments in the fields of risk assessment for non-chemical stressors as well as experience in implementing structured risk-informed decision-making tools for sediment and natural resource management are summarized in this paper in relation to setting environmental windows. Combining risk assessment and multi-criteria decision analysis allows development of a framework for an objective process consistent with recommendations by the National Academy of Sciences for setting environmental windows. A hypothetical application of the framework for protection of Pacific herring (Clupea pallasii) in San Francisco Bay is discussed. © 2008 Elsevier B.V.","author":[{"dropping-particle":"","family":"Suedel","given":"Burton C.","non-dropping-particle":"","parse-names":false,"suffix":""},{"dropping-particle":"","family":"Kim","given":"Jongbum","non-dropping-particle":"","parse-names":false,"suffix":""},{"dropping-particle":"","family":"Clarke","given":"Douglas G.","non-dropping-particle":"","parse-names":false,"suffix":""},{"dropping-particle":"","family":"Linkov","given":"Igor","non-dropping-particle":"","parse-names":false,"suffix":""}],"container-title":"Science of the Total Environment","id":"ITEM-1","issue":"1-3","issued":{"date-parts":[["2008"]]},"page":"1-11","title":"A risk-informed decision framework for setting environmental windows for dredging projects","type":"article-journal","volume":"403"},"uris":["http://www.mendeley.com/documents/?uuid=81d36093-951c-45f0-a613-e7852c36b6ee"]}],"mendeley":{"formattedCitation":"(Suedel et al., 2008)","plainTextFormattedCitation":"(Suedel et al., 2008)","previouslyFormattedCitation":"(Suedel et al., 2008)"},"properties":{"noteIndex":0},"schema":"https://github.com/citation-style-language/schema/raw/master/csl-citation.json"}</w:instrText>
            </w:r>
            <w:r>
              <w:rPr>
                <w:rFonts w:cs="Tahoma"/>
                <w:color w:val="000000"/>
              </w:rPr>
              <w:fldChar w:fldCharType="separate"/>
            </w:r>
            <w:r w:rsidRPr="00AB0459">
              <w:rPr>
                <w:rFonts w:cs="Tahoma"/>
                <w:noProof/>
                <w:color w:val="000000"/>
              </w:rPr>
              <w:t>(Suedel et al., 2008)</w:t>
            </w:r>
            <w:r>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1EFDA7BE" w14:textId="77777777" w:rsidR="00CC07D4" w:rsidRPr="002D66BF" w:rsidRDefault="00CC07D4" w:rsidP="003442EE">
            <w:pPr>
              <w:jc w:val="center"/>
              <w:rPr>
                <w:rFonts w:cs="Tahoma"/>
                <w:color w:val="000000"/>
              </w:rPr>
            </w:pPr>
            <w:r>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0418EB95" w14:textId="77777777" w:rsidR="00CC07D4" w:rsidRPr="002D66BF"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4B127883" w14:textId="77777777" w:rsidR="00CC07D4" w:rsidRPr="002D66BF" w:rsidRDefault="00CC07D4" w:rsidP="003442EE">
            <w:pPr>
              <w:jc w:val="center"/>
              <w:rPr>
                <w:rFonts w:cs="Tahoma"/>
                <w:color w:val="000000"/>
              </w:rPr>
            </w:pPr>
            <w:r>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1EA61B13" w14:textId="77777777" w:rsidR="00CC07D4" w:rsidRPr="002D66BF"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65696771" w14:textId="77777777" w:rsidR="00CC07D4" w:rsidRPr="002D66BF" w:rsidRDefault="00CC07D4" w:rsidP="003442EE">
            <w:pPr>
              <w:jc w:val="center"/>
              <w:rPr>
                <w:rFonts w:cs="Tahoma"/>
                <w:color w:val="000000"/>
              </w:rPr>
            </w:pPr>
            <w:r>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17B23517" w14:textId="77777777" w:rsidR="00CC07D4" w:rsidRPr="002D66BF" w:rsidRDefault="00CC07D4" w:rsidP="003442EE">
            <w:pPr>
              <w:jc w:val="center"/>
              <w:rPr>
                <w:rFonts w:cs="Tahoma"/>
                <w:color w:val="000000"/>
              </w:rPr>
            </w:pPr>
            <w:r>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2AAB816F" w14:textId="77777777" w:rsidR="00CC07D4" w:rsidRPr="00765422" w:rsidRDefault="00CC07D4" w:rsidP="003442EE">
            <w:pPr>
              <w:jc w:val="both"/>
              <w:rPr>
                <w:rFonts w:cs="Tahoma"/>
                <w:color w:val="000000"/>
              </w:rPr>
            </w:pPr>
            <w:r w:rsidRPr="00765422">
              <w:rPr>
                <w:rFonts w:cs="Tahoma"/>
                <w:color w:val="000000"/>
              </w:rPr>
              <w:t>Combining risk</w:t>
            </w:r>
            <w:r>
              <w:rPr>
                <w:rFonts w:cs="Tahoma"/>
                <w:color w:val="000000"/>
              </w:rPr>
              <w:t xml:space="preserve"> </w:t>
            </w:r>
            <w:r w:rsidRPr="00765422">
              <w:rPr>
                <w:rFonts w:cs="Tahoma"/>
                <w:color w:val="000000"/>
              </w:rPr>
              <w:t>assessment and multi-criteria decision analysis allows development of a framework for an</w:t>
            </w:r>
          </w:p>
          <w:p w14:paraId="10913D25" w14:textId="77777777" w:rsidR="00CC07D4" w:rsidRPr="002D66BF" w:rsidRDefault="00CC07D4" w:rsidP="003442EE">
            <w:pPr>
              <w:jc w:val="both"/>
              <w:rPr>
                <w:rFonts w:cs="Tahoma"/>
                <w:color w:val="000000"/>
              </w:rPr>
            </w:pPr>
            <w:r w:rsidRPr="00765422">
              <w:rPr>
                <w:rFonts w:cs="Tahoma"/>
                <w:color w:val="000000"/>
              </w:rPr>
              <w:t>objective process consistent with recommendations by the National Academy of Sciences</w:t>
            </w:r>
            <w:r>
              <w:rPr>
                <w:rFonts w:cs="Tahoma"/>
                <w:color w:val="000000"/>
              </w:rPr>
              <w:t xml:space="preserve"> </w:t>
            </w:r>
            <w:r w:rsidRPr="00765422">
              <w:rPr>
                <w:rFonts w:cs="Tahoma"/>
                <w:color w:val="000000"/>
              </w:rPr>
              <w:t>for setting environmental windows</w:t>
            </w:r>
          </w:p>
        </w:tc>
      </w:tr>
      <w:tr w:rsidR="00CC07D4" w:rsidRPr="002D66BF" w14:paraId="50210EFB" w14:textId="77777777" w:rsidTr="003442EE">
        <w:trPr>
          <w:trHeight w:val="315"/>
        </w:trPr>
        <w:tc>
          <w:tcPr>
            <w:tcW w:w="457" w:type="dxa"/>
            <w:tcBorders>
              <w:top w:val="single" w:sz="4" w:space="0" w:color="auto"/>
              <w:left w:val="single" w:sz="4" w:space="0" w:color="000000"/>
              <w:bottom w:val="single" w:sz="4" w:space="0" w:color="auto"/>
              <w:right w:val="single" w:sz="4" w:space="0" w:color="000000"/>
            </w:tcBorders>
            <w:shd w:val="clear" w:color="auto" w:fill="auto"/>
            <w:noWrap/>
            <w:vAlign w:val="center"/>
          </w:tcPr>
          <w:p w14:paraId="643EDDBE"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auto"/>
              <w:right w:val="single" w:sz="4" w:space="0" w:color="000000"/>
            </w:tcBorders>
            <w:shd w:val="clear" w:color="auto" w:fill="auto"/>
            <w:noWrap/>
            <w:vAlign w:val="center"/>
          </w:tcPr>
          <w:p w14:paraId="5ACD9D96" w14:textId="77777777" w:rsidR="00CC07D4" w:rsidRPr="002D66BF" w:rsidRDefault="00CC07D4" w:rsidP="003442EE">
            <w:pPr>
              <w:jc w:val="center"/>
              <w:rPr>
                <w:rFonts w:cs="Tahoma"/>
                <w:color w:val="000000"/>
              </w:rPr>
            </w:pPr>
            <w:r>
              <w:rPr>
                <w:rFonts w:cs="Tahoma"/>
                <w:color w:val="000000"/>
              </w:rPr>
              <w:fldChar w:fldCharType="begin" w:fldLock="1"/>
            </w:r>
            <w:r>
              <w:rPr>
                <w:rFonts w:cs="Tahoma"/>
                <w:color w:val="000000"/>
              </w:rPr>
              <w:instrText>ADDIN CSL_CITATION {"citationItems":[{"id":"ITEM-1","itemData":{"DOI":"10.1016/j.ecss.2019.106543","ISSN":"02727714","abstract":"The southwestern part of Bohai Bay in northeastern China is a shallow-water coast with a long fetch for water to pile up to produce large storm surge under strong wind action during the extreme weather condition. In addition, the coastline along the bay has experienced significant environmental impacts from large scale harbor constructions in the past two decades. Consequently, there is a pressing need to better understand the effects of two local large scale sequential harbor constructions on storm surge and coastal vulnerability in the bay area. The extreme cold front weather on 10-13th October 2003 caused a 1.31 billion Yuan damage. A two-way coupled tide-surge-wave Delft3D model is used to investigate the impact of the harbor constructions from 2003 to 2016 on the interaction of tide, storm surge and wave during a storm like that. The wind field by the newly-released global reanalysis wind product ERA5 of European Centre for Medium-Range Weather Forecasts (ECMWF) has been improved by assimilation with field observations at a higher resolution than previous version and is used to drive the tide, surge and wave modelling framework. The model results indicate that the storm surge in the study area is dominated by the wind-induced surge before and after the constructions whereas the maximum contribution from wave-induced surge (wave setup) is increased from 5%-15% to 8%–20% by the harbor constructions between 2003 and 2016. It is found that semi-diurnal modulation of storm surge is generated by nonlinear tide-surge interaction, which is mainly attributed to local tidal acceleration in the offshore zone and bottom stress in the nearshore zone respectively. The harbor constructions affect the coastal storm surge mainly through nonlinear tide-surge-wave interaction. In addition, the quarter-diurnal variation of storm surge induced by the harbor constructions is due to the influences of the harbor constructions on the local quarter-diurnal tidal constituents and their modulation of wave momentum transfer to coastal circulation.","author":[{"dropping-particle":"","family":"Song","given":"Honglin","non-dropping-particle":"","parse-names":false,"suffix":""},{"dropping-particle":"","family":"Kuang","given":"Cuiping","non-dropping-particle":"","parse-names":false,"suffix":""},{"dropping-particle":"","family":"Gu","given":"Jie","non-dropping-particle":"","parse-names":false,"suffix":""},{"dropping-particle":"","family":"Zou","given":"Qingping","non-dropping-particle":"","parse-names":false,"suffix":""},{"dropping-particle":"","family":"Liang","given":"Huidi","non-dropping-particle":"","parse-names":false,"suffix":""},{"dropping-particle":"","family":"Sun","given":"Xiaoming","non-dropping-particle":"","parse-names":false,"suffix":""},{"dropping-particle":"","family":"Ma","given":"Zhen","non-dropping-particle":"","parse-names":false,"suffix":""}],"container-title":"Estuarine, Coastal and Shelf Science","id":"ITEM-1","issue":"December 2019","issued":{"date-parts":[["2020"]]},"page":"106543","publisher":"Elsevier Ltd","title":"Nonlinear tide-surge-wave interaction at a shallow coast with large scale sequential harbor constructions","type":"article-journal","volume":"233"},"uris":["http://www.mendeley.com/documents/?uuid=d020c1fd-a901-4ad1-9523-162b2a76bda4"]}],"mendeley":{"formattedCitation":"(Song et al., 2020)","plainTextFormattedCitation":"(Song et al., 2020)","previouslyFormattedCitation":"(Song et al., 2020)"},"properties":{"noteIndex":0},"schema":"https://github.com/citation-style-language/schema/raw/master/csl-citation.json"}</w:instrText>
            </w:r>
            <w:r>
              <w:rPr>
                <w:rFonts w:cs="Tahoma"/>
                <w:color w:val="000000"/>
              </w:rPr>
              <w:fldChar w:fldCharType="separate"/>
            </w:r>
            <w:r w:rsidRPr="00D95E14">
              <w:rPr>
                <w:rFonts w:cs="Tahoma"/>
                <w:noProof/>
                <w:color w:val="000000"/>
              </w:rPr>
              <w:t>(Song et al., 2020)</w:t>
            </w:r>
            <w:r>
              <w:rPr>
                <w:rFonts w:cs="Tahoma"/>
                <w:color w:val="000000"/>
              </w:rPr>
              <w:fldChar w:fldCharType="end"/>
            </w:r>
          </w:p>
        </w:tc>
        <w:tc>
          <w:tcPr>
            <w:tcW w:w="464" w:type="dxa"/>
            <w:tcBorders>
              <w:top w:val="single" w:sz="4" w:space="0" w:color="auto"/>
              <w:left w:val="nil"/>
              <w:bottom w:val="single" w:sz="4" w:space="0" w:color="auto"/>
              <w:right w:val="single" w:sz="4" w:space="0" w:color="000000"/>
            </w:tcBorders>
            <w:shd w:val="clear" w:color="auto" w:fill="auto"/>
            <w:noWrap/>
            <w:vAlign w:val="center"/>
          </w:tcPr>
          <w:p w14:paraId="1D235BFC" w14:textId="77777777" w:rsidR="00CC07D4" w:rsidRPr="002D66BF" w:rsidRDefault="00CC07D4" w:rsidP="003442EE">
            <w:pPr>
              <w:jc w:val="center"/>
              <w:rPr>
                <w:rFonts w:cs="Tahoma"/>
                <w:color w:val="000000"/>
              </w:rPr>
            </w:pPr>
            <w:r>
              <w:rPr>
                <w:rFonts w:cs="Tahoma"/>
                <w:color w:val="000000"/>
              </w:rPr>
              <w:t>V</w:t>
            </w:r>
          </w:p>
        </w:tc>
        <w:tc>
          <w:tcPr>
            <w:tcW w:w="540" w:type="dxa"/>
            <w:tcBorders>
              <w:top w:val="single" w:sz="4" w:space="0" w:color="auto"/>
              <w:left w:val="nil"/>
              <w:bottom w:val="single" w:sz="4" w:space="0" w:color="auto"/>
              <w:right w:val="single" w:sz="4" w:space="0" w:color="000000"/>
            </w:tcBorders>
            <w:shd w:val="clear" w:color="auto" w:fill="auto"/>
            <w:noWrap/>
            <w:vAlign w:val="center"/>
          </w:tcPr>
          <w:p w14:paraId="708C99E0" w14:textId="77777777" w:rsidR="00CC07D4" w:rsidRPr="002D66BF"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auto"/>
              <w:right w:val="single" w:sz="4" w:space="0" w:color="000000"/>
            </w:tcBorders>
            <w:shd w:val="clear" w:color="auto" w:fill="auto"/>
            <w:noWrap/>
            <w:vAlign w:val="center"/>
          </w:tcPr>
          <w:p w14:paraId="5CF82394" w14:textId="77777777" w:rsidR="00CC07D4" w:rsidRPr="002D66BF" w:rsidRDefault="00CC07D4" w:rsidP="003442EE">
            <w:pPr>
              <w:jc w:val="center"/>
              <w:rPr>
                <w:rFonts w:cs="Tahoma"/>
                <w:color w:val="000000"/>
              </w:rPr>
            </w:pPr>
            <w:r>
              <w:rPr>
                <w:rFonts w:cs="Tahoma"/>
                <w:color w:val="000000"/>
              </w:rPr>
              <w:t>V</w:t>
            </w:r>
          </w:p>
        </w:tc>
        <w:tc>
          <w:tcPr>
            <w:tcW w:w="635" w:type="dxa"/>
            <w:tcBorders>
              <w:top w:val="single" w:sz="4" w:space="0" w:color="auto"/>
              <w:left w:val="nil"/>
              <w:bottom w:val="single" w:sz="4" w:space="0" w:color="auto"/>
              <w:right w:val="single" w:sz="4" w:space="0" w:color="000000"/>
            </w:tcBorders>
            <w:shd w:val="clear" w:color="auto" w:fill="auto"/>
            <w:noWrap/>
            <w:vAlign w:val="center"/>
          </w:tcPr>
          <w:p w14:paraId="3679D2B0" w14:textId="77777777" w:rsidR="00CC07D4" w:rsidRPr="002D66BF"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auto"/>
              <w:right w:val="single" w:sz="4" w:space="0" w:color="auto"/>
            </w:tcBorders>
            <w:vAlign w:val="center"/>
          </w:tcPr>
          <w:p w14:paraId="7A946F51" w14:textId="77777777" w:rsidR="00CC07D4" w:rsidRPr="002D66BF" w:rsidRDefault="00CC07D4" w:rsidP="003442EE">
            <w:pPr>
              <w:jc w:val="center"/>
              <w:rPr>
                <w:rFonts w:cs="Tahoma"/>
                <w:color w:val="000000"/>
              </w:rPr>
            </w:pPr>
            <w:r>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2B7F7E46" w14:textId="77777777" w:rsidR="00CC07D4" w:rsidRPr="002D66BF" w:rsidRDefault="00CC07D4" w:rsidP="003442EE">
            <w:pPr>
              <w:jc w:val="center"/>
              <w:rPr>
                <w:rFonts w:cs="Tahoma"/>
                <w:color w:val="000000"/>
              </w:rPr>
            </w:pPr>
            <w:r>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551C030B" w14:textId="77777777" w:rsidR="00CC07D4" w:rsidRPr="00D95E14" w:rsidRDefault="00CC07D4" w:rsidP="003442EE">
            <w:pPr>
              <w:jc w:val="both"/>
              <w:rPr>
                <w:rFonts w:cs="Tahoma"/>
                <w:color w:val="000000"/>
              </w:rPr>
            </w:pPr>
            <w:r w:rsidRPr="00D95E14">
              <w:rPr>
                <w:rFonts w:cs="Tahoma"/>
                <w:color w:val="000000"/>
              </w:rPr>
              <w:t>The harbor constructions affect the coastal storm surge mainly through</w:t>
            </w:r>
          </w:p>
          <w:p w14:paraId="2EAD9F01" w14:textId="77777777" w:rsidR="00CC07D4" w:rsidRPr="00D95E14" w:rsidRDefault="00CC07D4" w:rsidP="003442EE">
            <w:pPr>
              <w:jc w:val="both"/>
              <w:rPr>
                <w:rFonts w:cs="Tahoma"/>
                <w:color w:val="000000"/>
              </w:rPr>
            </w:pPr>
            <w:r w:rsidRPr="00D95E14">
              <w:rPr>
                <w:rFonts w:cs="Tahoma"/>
                <w:color w:val="000000"/>
              </w:rPr>
              <w:t>nonlinear tide-surge-wave interaction. In addition, the quarter-diurnal variation of storm surge induced by the</w:t>
            </w:r>
            <w:r>
              <w:rPr>
                <w:rFonts w:cs="Tahoma"/>
                <w:color w:val="000000"/>
              </w:rPr>
              <w:t xml:space="preserve"> </w:t>
            </w:r>
            <w:r w:rsidRPr="00D95E14">
              <w:rPr>
                <w:rFonts w:cs="Tahoma"/>
                <w:color w:val="000000"/>
              </w:rPr>
              <w:t>harbor constructions is due to the influences of the harbor constructions on the local quarter-diurnal tidal</w:t>
            </w:r>
          </w:p>
          <w:p w14:paraId="55B9B351" w14:textId="77777777" w:rsidR="00CC07D4" w:rsidRPr="002D66BF" w:rsidRDefault="00CC07D4" w:rsidP="003442EE">
            <w:pPr>
              <w:jc w:val="both"/>
              <w:rPr>
                <w:rFonts w:cs="Tahoma"/>
                <w:color w:val="000000"/>
              </w:rPr>
            </w:pPr>
            <w:r w:rsidRPr="00D95E14">
              <w:rPr>
                <w:rFonts w:cs="Tahoma"/>
                <w:color w:val="000000"/>
              </w:rPr>
              <w:t>constituents and their modulation of wave momentum transfer to coastal circulation.</w:t>
            </w:r>
          </w:p>
        </w:tc>
      </w:tr>
      <w:tr w:rsidR="00CC07D4" w:rsidRPr="002D66BF" w14:paraId="098FB881" w14:textId="77777777" w:rsidTr="003442EE">
        <w:trPr>
          <w:trHeight w:val="315"/>
        </w:trPr>
        <w:tc>
          <w:tcPr>
            <w:tcW w:w="457" w:type="dxa"/>
            <w:tcBorders>
              <w:top w:val="single" w:sz="4" w:space="0" w:color="auto"/>
              <w:left w:val="single" w:sz="4" w:space="0" w:color="000000"/>
              <w:bottom w:val="single" w:sz="4" w:space="0" w:color="000000"/>
              <w:right w:val="single" w:sz="4" w:space="0" w:color="000000"/>
            </w:tcBorders>
            <w:shd w:val="clear" w:color="auto" w:fill="auto"/>
            <w:noWrap/>
            <w:vAlign w:val="center"/>
          </w:tcPr>
          <w:p w14:paraId="1F4883E2" w14:textId="77777777" w:rsidR="00CC07D4" w:rsidRPr="002D66BF" w:rsidRDefault="00CC07D4" w:rsidP="003442EE">
            <w:pPr>
              <w:pStyle w:val="ListParagraph"/>
              <w:numPr>
                <w:ilvl w:val="0"/>
                <w:numId w:val="18"/>
              </w:numPr>
              <w:tabs>
                <w:tab w:val="left" w:pos="558"/>
              </w:tabs>
              <w:ind w:hanging="555"/>
              <w:rPr>
                <w:rFonts w:cs="Tahoma"/>
                <w:color w:val="000000"/>
                <w:sz w:val="20"/>
                <w:szCs w:val="20"/>
              </w:rPr>
            </w:pPr>
          </w:p>
        </w:tc>
        <w:tc>
          <w:tcPr>
            <w:tcW w:w="1961" w:type="dxa"/>
            <w:tcBorders>
              <w:top w:val="single" w:sz="4" w:space="0" w:color="auto"/>
              <w:left w:val="nil"/>
              <w:bottom w:val="single" w:sz="4" w:space="0" w:color="000000"/>
              <w:right w:val="single" w:sz="4" w:space="0" w:color="000000"/>
            </w:tcBorders>
            <w:shd w:val="clear" w:color="auto" w:fill="auto"/>
            <w:noWrap/>
            <w:vAlign w:val="center"/>
          </w:tcPr>
          <w:p w14:paraId="3BF840A1" w14:textId="77777777" w:rsidR="00CC07D4" w:rsidRDefault="00CC07D4" w:rsidP="003442EE">
            <w:pPr>
              <w:jc w:val="center"/>
              <w:rPr>
                <w:rFonts w:cs="Tahoma"/>
                <w:color w:val="000000"/>
              </w:rPr>
            </w:pPr>
            <w:r>
              <w:rPr>
                <w:rFonts w:cs="Tahoma"/>
                <w:color w:val="000000"/>
              </w:rPr>
              <w:fldChar w:fldCharType="begin" w:fldLock="1"/>
            </w:r>
            <w:r>
              <w:rPr>
                <w:rFonts w:cs="Tahoma"/>
                <w:color w:val="000000"/>
              </w:rPr>
              <w:instrText>ADDIN CSL_CITATION {"citationItems":[{"id":"ITEM-1","itemData":{"DOI":"10.35940/ijeat.b2358.129219","abstract":"Construction projects are started in a very critical and dynamic environment which results in more number of uncertainties and risks, which have the demand of time constraints. Now a days construction industries are changing their scenario by day to day basis based on their needs and uncertainties that prevails all over the world. By taking into consideration of all the uncertainties or risks, the important role played by few risks aspects which includes Constructability risks, financial risks, technical risks and administrative risks etc. In the above risks, the constructability risk plays major role which affect the entire process and progress of the work. From the past literatures it is to be observed that Technology risk, design risk, construction risk, procurement risk , management risk are considered to be more important. To overcome the above hurdles certain risk identification approach i.e. Formal approach, informal approach, and static approach. A special team can also be appointed by the clients to identify, analysis and to take preventive measure of the before the start of the work itself.","author":[{"dropping-particle":"","family":"Keerthana","given":"S","non-dropping-particle":"","parse-names":false,"suffix":""},{"dropping-particle":"","family":"Pradeep","given":"T","non-dropping-particle":"","parse-names":false,"suffix":""}],"container-title":"International Journal of Engineering and Advanced Technology","id":"ITEM-1","issue":"2","issued":{"date-parts":[["2019"]]},"page":"4979-4985","title":"Constructability Risk Assessment in Construction Projects","type":"article-journal","volume":"9"},"uris":["http://www.mendeley.com/documents/?uuid=e183fffe-aa67-4ca6-a2ca-70b460d97754"]}],"mendeley":{"formattedCitation":"(Keerthana &amp; Pradeep, 2019)","plainTextFormattedCitation":"(Keerthana &amp; Pradeep, 2019)","previouslyFormattedCitation":"(Keerthana &amp; Pradeep, 2019)"},"properties":{"noteIndex":0},"schema":"https://github.com/citation-style-language/schema/raw/master/csl-citation.json"}</w:instrText>
            </w:r>
            <w:r>
              <w:rPr>
                <w:rFonts w:cs="Tahoma"/>
                <w:color w:val="000000"/>
              </w:rPr>
              <w:fldChar w:fldCharType="separate"/>
            </w:r>
            <w:r w:rsidRPr="00B945E3">
              <w:rPr>
                <w:rFonts w:cs="Tahoma"/>
                <w:noProof/>
                <w:color w:val="000000"/>
              </w:rPr>
              <w:t>(Keerthana &amp; Pradeep, 2019)</w:t>
            </w:r>
            <w:r>
              <w:rPr>
                <w:rFonts w:cs="Tahoma"/>
                <w:color w:val="000000"/>
              </w:rPr>
              <w:fldChar w:fldCharType="end"/>
            </w:r>
          </w:p>
        </w:tc>
        <w:tc>
          <w:tcPr>
            <w:tcW w:w="464" w:type="dxa"/>
            <w:tcBorders>
              <w:top w:val="single" w:sz="4" w:space="0" w:color="auto"/>
              <w:left w:val="nil"/>
              <w:bottom w:val="single" w:sz="4" w:space="0" w:color="000000"/>
              <w:right w:val="single" w:sz="4" w:space="0" w:color="000000"/>
            </w:tcBorders>
            <w:shd w:val="clear" w:color="auto" w:fill="auto"/>
            <w:noWrap/>
            <w:vAlign w:val="center"/>
          </w:tcPr>
          <w:p w14:paraId="3DD43DED" w14:textId="77777777" w:rsidR="00CC07D4" w:rsidRDefault="00CC07D4" w:rsidP="003442EE">
            <w:pPr>
              <w:jc w:val="center"/>
              <w:rPr>
                <w:rFonts w:cs="Tahoma"/>
                <w:color w:val="000000"/>
              </w:rPr>
            </w:pPr>
            <w:r>
              <w:rPr>
                <w:rFonts w:cs="Tahoma"/>
                <w:color w:val="000000"/>
              </w:rPr>
              <w:t>V</w:t>
            </w:r>
          </w:p>
        </w:tc>
        <w:tc>
          <w:tcPr>
            <w:tcW w:w="540" w:type="dxa"/>
            <w:tcBorders>
              <w:top w:val="single" w:sz="4" w:space="0" w:color="auto"/>
              <w:left w:val="nil"/>
              <w:bottom w:val="single" w:sz="4" w:space="0" w:color="000000"/>
              <w:right w:val="single" w:sz="4" w:space="0" w:color="000000"/>
            </w:tcBorders>
            <w:shd w:val="clear" w:color="auto" w:fill="auto"/>
            <w:noWrap/>
            <w:vAlign w:val="center"/>
          </w:tcPr>
          <w:p w14:paraId="125873FC" w14:textId="77777777" w:rsidR="00CC07D4"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000000"/>
              <w:right w:val="single" w:sz="4" w:space="0" w:color="000000"/>
            </w:tcBorders>
            <w:shd w:val="clear" w:color="auto" w:fill="auto"/>
            <w:noWrap/>
            <w:vAlign w:val="center"/>
          </w:tcPr>
          <w:p w14:paraId="66663794" w14:textId="77777777" w:rsidR="00CC07D4" w:rsidRDefault="00CC07D4" w:rsidP="003442EE">
            <w:pPr>
              <w:jc w:val="center"/>
              <w:rPr>
                <w:rFonts w:cs="Tahoma"/>
                <w:color w:val="000000"/>
              </w:rPr>
            </w:pPr>
            <w:r>
              <w:rPr>
                <w:rFonts w:cs="Tahoma"/>
                <w:color w:val="000000"/>
              </w:rPr>
              <w:t>V</w:t>
            </w:r>
          </w:p>
        </w:tc>
        <w:tc>
          <w:tcPr>
            <w:tcW w:w="635" w:type="dxa"/>
            <w:tcBorders>
              <w:top w:val="single" w:sz="4" w:space="0" w:color="auto"/>
              <w:left w:val="nil"/>
              <w:bottom w:val="single" w:sz="4" w:space="0" w:color="000000"/>
              <w:right w:val="single" w:sz="4" w:space="0" w:color="000000"/>
            </w:tcBorders>
            <w:shd w:val="clear" w:color="auto" w:fill="auto"/>
            <w:noWrap/>
            <w:vAlign w:val="center"/>
          </w:tcPr>
          <w:p w14:paraId="7A6F08F8" w14:textId="77777777" w:rsidR="00CC07D4" w:rsidRDefault="00CC07D4" w:rsidP="003442EE">
            <w:pPr>
              <w:jc w:val="center"/>
              <w:rPr>
                <w:rFonts w:cs="Tahoma"/>
                <w:color w:val="000000"/>
              </w:rPr>
            </w:pPr>
            <w:r>
              <w:rPr>
                <w:rFonts w:cs="Tahoma"/>
                <w:color w:val="000000"/>
              </w:rPr>
              <w:t>V</w:t>
            </w:r>
          </w:p>
        </w:tc>
        <w:tc>
          <w:tcPr>
            <w:tcW w:w="630" w:type="dxa"/>
            <w:tcBorders>
              <w:top w:val="single" w:sz="4" w:space="0" w:color="auto"/>
              <w:left w:val="nil"/>
              <w:bottom w:val="single" w:sz="4" w:space="0" w:color="000000"/>
              <w:right w:val="single" w:sz="4" w:space="0" w:color="auto"/>
            </w:tcBorders>
            <w:vAlign w:val="center"/>
          </w:tcPr>
          <w:p w14:paraId="10B81AFE" w14:textId="77777777" w:rsidR="00CC07D4" w:rsidRDefault="00CC07D4" w:rsidP="003442EE">
            <w:pPr>
              <w:jc w:val="center"/>
              <w:rPr>
                <w:rFonts w:cs="Tahoma"/>
                <w:color w:val="000000"/>
              </w:rPr>
            </w:pPr>
            <w:r>
              <w:rPr>
                <w:rFonts w:cs="Tahoma"/>
                <w:color w:val="000000"/>
              </w:rPr>
              <w:t>V</w:t>
            </w:r>
          </w:p>
        </w:tc>
        <w:tc>
          <w:tcPr>
            <w:tcW w:w="521" w:type="dxa"/>
            <w:tcBorders>
              <w:top w:val="single" w:sz="4" w:space="0" w:color="auto"/>
              <w:left w:val="single" w:sz="4" w:space="0" w:color="auto"/>
              <w:bottom w:val="single" w:sz="4" w:space="0" w:color="auto"/>
              <w:right w:val="single" w:sz="4" w:space="0" w:color="auto"/>
            </w:tcBorders>
            <w:vAlign w:val="center"/>
          </w:tcPr>
          <w:p w14:paraId="01F0305C" w14:textId="77777777" w:rsidR="00CC07D4" w:rsidRDefault="00CC07D4" w:rsidP="003442EE">
            <w:pPr>
              <w:jc w:val="center"/>
              <w:rPr>
                <w:rFonts w:cs="Tahoma"/>
                <w:color w:val="000000"/>
              </w:rPr>
            </w:pPr>
            <w:r>
              <w:rPr>
                <w:rFonts w:cs="Tahoma"/>
                <w:color w:val="000000"/>
              </w:rPr>
              <w:t>V</w:t>
            </w:r>
          </w:p>
        </w:tc>
        <w:tc>
          <w:tcPr>
            <w:tcW w:w="3240" w:type="dxa"/>
            <w:tcBorders>
              <w:top w:val="single" w:sz="4" w:space="0" w:color="auto"/>
              <w:left w:val="single" w:sz="4" w:space="0" w:color="auto"/>
              <w:bottom w:val="single" w:sz="4" w:space="0" w:color="auto"/>
              <w:right w:val="single" w:sz="4" w:space="0" w:color="auto"/>
            </w:tcBorders>
            <w:vAlign w:val="center"/>
          </w:tcPr>
          <w:p w14:paraId="767BE1BB" w14:textId="77777777" w:rsidR="00CC07D4" w:rsidRPr="00D95E14" w:rsidRDefault="00CC07D4" w:rsidP="003442EE">
            <w:pPr>
              <w:jc w:val="both"/>
              <w:rPr>
                <w:rFonts w:cs="Tahoma"/>
                <w:color w:val="000000"/>
              </w:rPr>
            </w:pPr>
            <w:r>
              <w:t>Technology risk, design risk, construction risk, procurement risk , management risk are considered to be more important. To overcome the above hurdles certain risk identification approach i.e. Formal approach, informal approach, and static approach. From the responses collected, it was observed that constructability risk i.e. Non availability of labours during construction, weather condition play a vital role in completion of project, demand of specific material, Wrong assumptions during design leads to risk, etc., creates major impact on the project.</w:t>
            </w:r>
          </w:p>
        </w:tc>
      </w:tr>
    </w:tbl>
    <w:p w14:paraId="3ACC3E36" w14:textId="4EC49C76" w:rsidR="000F3D8D" w:rsidRPr="003D637D" w:rsidRDefault="000F3D8D" w:rsidP="00DE7D32">
      <w:pPr>
        <w:ind w:left="426"/>
        <w:rPr>
          <w:i/>
          <w:iCs/>
        </w:rPr>
      </w:pPr>
      <w:r w:rsidRPr="003D637D">
        <w:rPr>
          <w:i/>
          <w:lang w:val="en"/>
        </w:rPr>
        <w:t>Note: Technical (T)</w:t>
      </w:r>
      <w:r>
        <w:rPr>
          <w:i/>
          <w:lang w:val="en"/>
        </w:rPr>
        <w:t xml:space="preserve"> </w:t>
      </w:r>
      <w:r w:rsidRPr="003D637D">
        <w:rPr>
          <w:i/>
          <w:lang w:val="en"/>
        </w:rPr>
        <w:t>,</w:t>
      </w:r>
      <w:r>
        <w:rPr>
          <w:i/>
          <w:lang w:val="en"/>
        </w:rPr>
        <w:t xml:space="preserve">Non-Technical </w:t>
      </w:r>
      <w:r w:rsidRPr="003D637D">
        <w:rPr>
          <w:i/>
          <w:lang w:val="en"/>
        </w:rPr>
        <w:t>(</w:t>
      </w:r>
      <w:r>
        <w:rPr>
          <w:i/>
          <w:lang w:val="en"/>
        </w:rPr>
        <w:t>NT</w:t>
      </w:r>
      <w:r w:rsidRPr="003D637D">
        <w:rPr>
          <w:i/>
          <w:lang w:val="en"/>
        </w:rPr>
        <w:t>)</w:t>
      </w:r>
    </w:p>
    <w:p w14:paraId="487B82C5" w14:textId="77777777" w:rsidR="000F3D8D" w:rsidRDefault="000F3D8D" w:rsidP="00DE7D32">
      <w:pPr>
        <w:spacing w:after="240"/>
        <w:ind w:left="450"/>
        <w:jc w:val="center"/>
        <w:rPr>
          <w:b/>
          <w:sz w:val="22"/>
          <w:szCs w:val="22"/>
        </w:rPr>
        <w:sectPr w:rsidR="000F3D8D" w:rsidSect="002A6EE2">
          <w:type w:val="continuous"/>
          <w:pgSz w:w="11900" w:h="16840"/>
          <w:pgMar w:top="1138" w:right="1138" w:bottom="1138" w:left="1699" w:header="720" w:footer="720" w:gutter="0"/>
          <w:cols w:space="428"/>
          <w:noEndnote/>
          <w:docGrid w:linePitch="272"/>
        </w:sectPr>
      </w:pPr>
    </w:p>
    <w:p w14:paraId="376A98B2" w14:textId="3275BC6C" w:rsidR="00555D3D" w:rsidRPr="000275E7" w:rsidRDefault="00555D3D" w:rsidP="00945DDA">
      <w:pPr>
        <w:spacing w:after="240"/>
        <w:ind w:left="450"/>
        <w:jc w:val="center"/>
        <w:rPr>
          <w:b/>
          <w:sz w:val="22"/>
          <w:szCs w:val="22"/>
        </w:rPr>
      </w:pPr>
    </w:p>
    <w:p w14:paraId="19744EAD" w14:textId="5CFE67DC" w:rsidR="002A6EE2" w:rsidRDefault="002A6EE2" w:rsidP="00945DDA">
      <w:pPr>
        <w:spacing w:before="120" w:after="120" w:line="276" w:lineRule="auto"/>
        <w:jc w:val="center"/>
        <w:rPr>
          <w:b/>
          <w:bCs/>
          <w:sz w:val="22"/>
          <w:szCs w:val="22"/>
          <w:lang w:val="id"/>
        </w:rPr>
      </w:pPr>
      <w:r>
        <w:rPr>
          <w:noProof/>
        </w:rPr>
        <w:drawing>
          <wp:inline distT="0" distB="0" distL="0" distR="0" wp14:anchorId="26E33A37" wp14:editId="4B298DAB">
            <wp:extent cx="2736850" cy="2051050"/>
            <wp:effectExtent l="0" t="0" r="6350" b="6350"/>
            <wp:docPr id="2" name="Chart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8E9BAE3-8167-453F-B49B-80A86B8664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D6235B2" w14:textId="48D08B0B" w:rsidR="00DD3B97" w:rsidRDefault="000F3D8D" w:rsidP="00DD3B97">
      <w:pPr>
        <w:spacing w:before="120" w:after="120" w:line="276" w:lineRule="auto"/>
        <w:jc w:val="center"/>
        <w:rPr>
          <w:b/>
          <w:bCs/>
          <w:sz w:val="22"/>
          <w:szCs w:val="22"/>
          <w:lang w:val="id"/>
        </w:rPr>
      </w:pPr>
      <w:r w:rsidRPr="000275E7">
        <w:rPr>
          <w:b/>
          <w:sz w:val="22"/>
          <w:szCs w:val="22"/>
          <w:lang w:val="en"/>
        </w:rPr>
        <w:t xml:space="preserve">Figure 2. Barchart Analysis of Research Articles By Risk Category in </w:t>
      </w:r>
      <w:r w:rsidR="007D1E37">
        <w:rPr>
          <w:b/>
          <w:sz w:val="22"/>
          <w:szCs w:val="22"/>
          <w:lang w:val="en"/>
        </w:rPr>
        <w:t>Jetty</w:t>
      </w:r>
      <w:r w:rsidRPr="000275E7">
        <w:rPr>
          <w:b/>
          <w:sz w:val="22"/>
          <w:szCs w:val="22"/>
          <w:lang w:val="en"/>
        </w:rPr>
        <w:t xml:space="preserve"> Project</w:t>
      </w:r>
      <w:r w:rsidRPr="000275E7">
        <w:rPr>
          <w:b/>
          <w:sz w:val="22"/>
          <w:szCs w:val="22"/>
          <w:lang w:val="en"/>
        </w:rPr>
        <w:fldChar w:fldCharType="begin"/>
      </w:r>
      <w:r w:rsidRPr="000275E7">
        <w:rPr>
          <w:b/>
          <w:sz w:val="22"/>
          <w:szCs w:val="22"/>
          <w:lang w:val="en"/>
        </w:rPr>
        <w:instrText xml:space="preserve"> SEQ Figure \* ARABIC </w:instrText>
      </w:r>
      <w:r w:rsidRPr="000275E7">
        <w:rPr>
          <w:b/>
          <w:sz w:val="22"/>
          <w:szCs w:val="22"/>
          <w:lang w:val="en"/>
        </w:rPr>
        <w:fldChar w:fldCharType="end"/>
      </w:r>
    </w:p>
    <w:p w14:paraId="46BA23BC" w14:textId="77777777" w:rsidR="000F3D8D" w:rsidRDefault="000F3D8D" w:rsidP="00DD3B97">
      <w:pPr>
        <w:spacing w:before="120" w:after="120" w:line="276" w:lineRule="auto"/>
        <w:ind w:left="-90"/>
        <w:jc w:val="both"/>
        <w:rPr>
          <w:sz w:val="22"/>
          <w:szCs w:val="22"/>
        </w:rPr>
      </w:pPr>
    </w:p>
    <w:p w14:paraId="31A5514F" w14:textId="4E4EF939" w:rsidR="000F3D8D" w:rsidRPr="000275E7" w:rsidRDefault="000F3D8D" w:rsidP="00DB7805">
      <w:pPr>
        <w:spacing w:before="120" w:after="120" w:line="276" w:lineRule="auto"/>
        <w:ind w:left="-90"/>
        <w:jc w:val="both"/>
        <w:rPr>
          <w:sz w:val="22"/>
          <w:szCs w:val="22"/>
        </w:rPr>
      </w:pPr>
      <w:r w:rsidRPr="000275E7">
        <w:rPr>
          <w:sz w:val="22"/>
          <w:szCs w:val="22"/>
          <w:lang w:val="en"/>
        </w:rPr>
        <w:t xml:space="preserve">In the bar chart above it appears that the amount of risk caused by technical problems has a greater amount compared to non-technical, and the highest risk </w:t>
      </w:r>
      <w:r w:rsidR="0077785A">
        <w:rPr>
          <w:sz w:val="22"/>
          <w:szCs w:val="22"/>
          <w:lang w:val="en"/>
        </w:rPr>
        <w:t xml:space="preserve">is </w:t>
      </w:r>
      <w:r w:rsidRPr="000275E7">
        <w:rPr>
          <w:sz w:val="22"/>
          <w:szCs w:val="22"/>
          <w:lang w:val="en"/>
        </w:rPr>
        <w:t>project</w:t>
      </w:r>
      <w:r w:rsidR="0077785A">
        <w:rPr>
          <w:sz w:val="22"/>
          <w:szCs w:val="22"/>
          <w:lang w:val="en"/>
        </w:rPr>
        <w:t xml:space="preserve"> risk</w:t>
      </w:r>
      <w:r w:rsidRPr="000275E7">
        <w:rPr>
          <w:sz w:val="22"/>
          <w:szCs w:val="22"/>
          <w:lang w:val="en"/>
        </w:rPr>
        <w:t>.</w:t>
      </w:r>
    </w:p>
    <w:p w14:paraId="2E2D1C1E" w14:textId="77013D2B" w:rsidR="000F3D8D" w:rsidRDefault="000F3D8D" w:rsidP="00DB7805">
      <w:pPr>
        <w:spacing w:after="240"/>
        <w:ind w:left="-90"/>
        <w:jc w:val="both"/>
        <w:rPr>
          <w:sz w:val="22"/>
          <w:szCs w:val="22"/>
          <w:lang w:val="en"/>
        </w:rPr>
      </w:pPr>
      <w:r w:rsidRPr="000275E7">
        <w:rPr>
          <w:sz w:val="22"/>
          <w:szCs w:val="22"/>
          <w:lang w:val="en"/>
        </w:rPr>
        <w:t xml:space="preserve">While the risk recapitulation in the </w:t>
      </w:r>
      <w:r w:rsidR="0077785A">
        <w:rPr>
          <w:sz w:val="22"/>
          <w:szCs w:val="22"/>
          <w:lang w:val="en"/>
        </w:rPr>
        <w:t>jetty</w:t>
      </w:r>
      <w:r w:rsidRPr="000275E7">
        <w:rPr>
          <w:sz w:val="22"/>
          <w:szCs w:val="22"/>
          <w:lang w:val="en"/>
        </w:rPr>
        <w:t xml:space="preserve"> project based on the review of the article is shown in the </w:t>
      </w:r>
      <w:r>
        <w:rPr>
          <w:sz w:val="22"/>
          <w:szCs w:val="22"/>
          <w:lang w:val="en"/>
        </w:rPr>
        <w:t>table</w:t>
      </w:r>
      <w:r>
        <w:rPr>
          <w:lang w:val="en"/>
        </w:rPr>
        <w:t xml:space="preserve"> </w:t>
      </w:r>
      <w:r w:rsidRPr="000275E7">
        <w:rPr>
          <w:sz w:val="22"/>
          <w:szCs w:val="22"/>
          <w:lang w:val="en"/>
        </w:rPr>
        <w:t xml:space="preserve"> below:</w:t>
      </w:r>
    </w:p>
    <w:p w14:paraId="7FC7C1F1" w14:textId="463349A0" w:rsidR="000F3D8D" w:rsidRPr="0046542F" w:rsidRDefault="000F3D8D" w:rsidP="006F4069">
      <w:pPr>
        <w:spacing w:before="120" w:after="120" w:line="276" w:lineRule="auto"/>
        <w:jc w:val="center"/>
        <w:rPr>
          <w:b/>
          <w:sz w:val="22"/>
          <w:szCs w:val="22"/>
          <w:lang w:val="en"/>
        </w:rPr>
      </w:pPr>
      <w:r w:rsidRPr="0046542F">
        <w:rPr>
          <w:b/>
          <w:sz w:val="22"/>
          <w:szCs w:val="22"/>
          <w:lang w:val="en"/>
        </w:rPr>
        <w:t xml:space="preserve">Table 2. Journal Recapitulation </w:t>
      </w:r>
    </w:p>
    <w:p w14:paraId="4CD5991A" w14:textId="52961FDB" w:rsidR="00EA6BCA" w:rsidRDefault="0046542F" w:rsidP="006A0731">
      <w:pPr>
        <w:jc w:val="center"/>
        <w:rPr>
          <w:bCs/>
          <w:sz w:val="24"/>
          <w:szCs w:val="24"/>
          <w:lang w:val="id"/>
        </w:rPr>
      </w:pPr>
      <w:r>
        <w:rPr>
          <w:noProof/>
        </w:rPr>
        <w:drawing>
          <wp:inline distT="0" distB="0" distL="0" distR="0" wp14:anchorId="6450EB53" wp14:editId="11A283EE">
            <wp:extent cx="2741295" cy="1446485"/>
            <wp:effectExtent l="0" t="0" r="190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7037" t="33122" r="10328" b="36265"/>
                    <a:stretch/>
                  </pic:blipFill>
                  <pic:spPr bwMode="auto">
                    <a:xfrm>
                      <a:off x="0" y="0"/>
                      <a:ext cx="2741295" cy="1446485"/>
                    </a:xfrm>
                    <a:prstGeom prst="rect">
                      <a:avLst/>
                    </a:prstGeom>
                    <a:ln>
                      <a:noFill/>
                    </a:ln>
                    <a:extLst>
                      <a:ext uri="{53640926-AAD7-44D8-BBD7-CCE9431645EC}">
                        <a14:shadowObscured xmlns:a14="http://schemas.microsoft.com/office/drawing/2010/main"/>
                      </a:ext>
                    </a:extLst>
                  </pic:spPr>
                </pic:pic>
              </a:graphicData>
            </a:graphic>
          </wp:inline>
        </w:drawing>
      </w:r>
    </w:p>
    <w:p w14:paraId="17319D37" w14:textId="77777777" w:rsidR="000F3D8D" w:rsidRDefault="000F3D8D" w:rsidP="006A0731">
      <w:pPr>
        <w:jc w:val="center"/>
        <w:rPr>
          <w:bCs/>
          <w:sz w:val="24"/>
          <w:szCs w:val="24"/>
          <w:lang w:val="id"/>
        </w:rPr>
      </w:pPr>
    </w:p>
    <w:p w14:paraId="57F92847" w14:textId="77777777" w:rsidR="0046542F" w:rsidRDefault="0046542F" w:rsidP="006A0731">
      <w:pPr>
        <w:jc w:val="center"/>
        <w:rPr>
          <w:bCs/>
          <w:sz w:val="24"/>
          <w:szCs w:val="24"/>
          <w:lang w:val="id"/>
        </w:rPr>
        <w:sectPr w:rsidR="0046542F" w:rsidSect="00EA6BCA">
          <w:type w:val="continuous"/>
          <w:pgSz w:w="11900" w:h="16840"/>
          <w:pgMar w:top="1138" w:right="1138" w:bottom="1138" w:left="1699" w:header="720" w:footer="720" w:gutter="0"/>
          <w:cols w:num="2" w:space="428"/>
          <w:noEndnote/>
          <w:docGrid w:linePitch="272"/>
        </w:sectPr>
      </w:pPr>
    </w:p>
    <w:p w14:paraId="106BC7F7" w14:textId="57FA833A" w:rsidR="000F3D8D" w:rsidRDefault="000F3D8D" w:rsidP="006A0731">
      <w:pPr>
        <w:jc w:val="center"/>
        <w:rPr>
          <w:bCs/>
          <w:sz w:val="24"/>
          <w:szCs w:val="24"/>
          <w:lang w:val="id"/>
        </w:rPr>
        <w:sectPr w:rsidR="000F3D8D" w:rsidSect="001422CE">
          <w:type w:val="continuous"/>
          <w:pgSz w:w="11900" w:h="16840"/>
          <w:pgMar w:top="1138" w:right="1138" w:bottom="1138" w:left="1699" w:header="720" w:footer="720" w:gutter="0"/>
          <w:cols w:num="2" w:space="720"/>
          <w:noEndnote/>
          <w:docGrid w:linePitch="272"/>
        </w:sectPr>
      </w:pPr>
    </w:p>
    <w:p w14:paraId="56A86839" w14:textId="512EAE3E" w:rsidR="001422CE" w:rsidRPr="0046542F" w:rsidRDefault="001422CE" w:rsidP="001422CE">
      <w:pPr>
        <w:spacing w:after="240"/>
        <w:jc w:val="both"/>
        <w:rPr>
          <w:bCs/>
          <w:sz w:val="22"/>
          <w:szCs w:val="22"/>
        </w:rPr>
      </w:pPr>
      <w:r>
        <w:rPr>
          <w:noProof/>
        </w:rPr>
        <w:lastRenderedPageBreak/>
        <w:drawing>
          <wp:inline distT="0" distB="0" distL="0" distR="0" wp14:anchorId="06DF5F76" wp14:editId="4FE79A8D">
            <wp:extent cx="2590550" cy="3614738"/>
            <wp:effectExtent l="0" t="0" r="635"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59722" t="27920" r="12714" b="17948"/>
                    <a:stretch/>
                  </pic:blipFill>
                  <pic:spPr bwMode="auto">
                    <a:xfrm>
                      <a:off x="0" y="0"/>
                      <a:ext cx="2608455" cy="3639721"/>
                    </a:xfrm>
                    <a:prstGeom prst="rect">
                      <a:avLst/>
                    </a:prstGeom>
                    <a:ln>
                      <a:noFill/>
                    </a:ln>
                    <a:extLst>
                      <a:ext uri="{53640926-AAD7-44D8-BBD7-CCE9431645EC}">
                        <a14:shadowObscured xmlns:a14="http://schemas.microsoft.com/office/drawing/2010/main"/>
                      </a:ext>
                    </a:extLst>
                  </pic:spPr>
                </pic:pic>
              </a:graphicData>
            </a:graphic>
          </wp:inline>
        </w:drawing>
      </w:r>
    </w:p>
    <w:p w14:paraId="0FF6D8CF" w14:textId="24EE3E61" w:rsidR="001422CE" w:rsidRPr="001422CE" w:rsidRDefault="001422CE" w:rsidP="001422CE">
      <w:pPr>
        <w:spacing w:after="240"/>
        <w:ind w:left="450"/>
        <w:jc w:val="both"/>
        <w:rPr>
          <w:b/>
          <w:sz w:val="22"/>
          <w:szCs w:val="22"/>
        </w:rPr>
      </w:pPr>
      <w:r w:rsidRPr="001422CE">
        <w:rPr>
          <w:bCs/>
          <w:sz w:val="22"/>
          <w:szCs w:val="22"/>
        </w:rPr>
        <w:t>Based on the picture above, it can be seen that technical risks are more common than non-technical risks, but it can also be concluded that these two categories have almost the same effect on the jetty project.</w:t>
      </w:r>
    </w:p>
    <w:p w14:paraId="0006B803" w14:textId="627DD23A" w:rsidR="001422CE" w:rsidRDefault="000F3D8D" w:rsidP="001422CE">
      <w:pPr>
        <w:numPr>
          <w:ilvl w:val="0"/>
          <w:numId w:val="15"/>
        </w:numPr>
        <w:spacing w:after="240"/>
        <w:ind w:left="450" w:hanging="180"/>
        <w:jc w:val="both"/>
        <w:rPr>
          <w:b/>
          <w:sz w:val="22"/>
          <w:szCs w:val="22"/>
        </w:rPr>
      </w:pPr>
      <w:r w:rsidRPr="000F3D8D">
        <w:rPr>
          <w:b/>
          <w:sz w:val="22"/>
          <w:szCs w:val="22"/>
        </w:rPr>
        <w:t>CONCLUSION</w:t>
      </w:r>
    </w:p>
    <w:p w14:paraId="257C90CB" w14:textId="195F81E4" w:rsidR="001422CE" w:rsidRPr="000275E7" w:rsidRDefault="001422CE" w:rsidP="001422CE">
      <w:pPr>
        <w:ind w:left="450"/>
        <w:jc w:val="both"/>
        <w:rPr>
          <w:bCs/>
          <w:sz w:val="22"/>
          <w:szCs w:val="22"/>
        </w:rPr>
      </w:pPr>
      <w:r w:rsidRPr="000275E7">
        <w:rPr>
          <w:bCs/>
          <w:sz w:val="22"/>
          <w:szCs w:val="22"/>
          <w:lang w:val="en"/>
        </w:rPr>
        <w:t xml:space="preserve">The following conclusions are obtained regarding the risk-based analysis of the </w:t>
      </w:r>
      <w:r>
        <w:rPr>
          <w:bCs/>
          <w:sz w:val="22"/>
          <w:szCs w:val="22"/>
          <w:lang w:val="en"/>
        </w:rPr>
        <w:t xml:space="preserve">jetty </w:t>
      </w:r>
      <w:r w:rsidRPr="000275E7">
        <w:rPr>
          <w:bCs/>
          <w:sz w:val="22"/>
          <w:szCs w:val="22"/>
          <w:lang w:val="en"/>
        </w:rPr>
        <w:t>project:</w:t>
      </w:r>
    </w:p>
    <w:p w14:paraId="1669E87B" w14:textId="77777777" w:rsidR="001422CE" w:rsidRDefault="001422CE" w:rsidP="001422CE">
      <w:pPr>
        <w:numPr>
          <w:ilvl w:val="0"/>
          <w:numId w:val="42"/>
        </w:numPr>
        <w:ind w:left="810"/>
        <w:jc w:val="both"/>
        <w:rPr>
          <w:bCs/>
          <w:sz w:val="22"/>
          <w:szCs w:val="22"/>
          <w:lang w:val="en"/>
        </w:rPr>
      </w:pPr>
      <w:r w:rsidRPr="001422CE">
        <w:rPr>
          <w:bCs/>
          <w:sz w:val="22"/>
          <w:szCs w:val="22"/>
          <w:lang w:val="en"/>
        </w:rPr>
        <w:t xml:space="preserve">This literature review summary shows that Technical Risks have the greatest impact on jetty projects in internal and external project categories </w:t>
      </w:r>
    </w:p>
    <w:p w14:paraId="42927FBF" w14:textId="299A1023" w:rsidR="001422CE" w:rsidRPr="001422CE" w:rsidRDefault="001422CE" w:rsidP="001422CE">
      <w:pPr>
        <w:numPr>
          <w:ilvl w:val="0"/>
          <w:numId w:val="42"/>
        </w:numPr>
        <w:ind w:left="810"/>
        <w:jc w:val="both"/>
        <w:rPr>
          <w:bCs/>
          <w:sz w:val="22"/>
          <w:szCs w:val="22"/>
          <w:lang w:val="en"/>
        </w:rPr>
      </w:pPr>
      <w:r w:rsidRPr="001422CE">
        <w:rPr>
          <w:bCs/>
          <w:sz w:val="22"/>
          <w:szCs w:val="22"/>
          <w:lang w:val="en"/>
        </w:rPr>
        <w:t>The risk-based approach provides a powerful tool for analyzing jetty projects.</w:t>
      </w:r>
    </w:p>
    <w:p w14:paraId="093BA79E" w14:textId="77777777" w:rsidR="001422CE" w:rsidRPr="001422CE" w:rsidRDefault="001422CE" w:rsidP="001422CE">
      <w:pPr>
        <w:numPr>
          <w:ilvl w:val="0"/>
          <w:numId w:val="42"/>
        </w:numPr>
        <w:ind w:left="810"/>
        <w:jc w:val="both"/>
        <w:rPr>
          <w:bCs/>
          <w:sz w:val="22"/>
          <w:szCs w:val="22"/>
          <w:lang w:val="en"/>
        </w:rPr>
      </w:pPr>
      <w:r w:rsidRPr="001422CE">
        <w:rPr>
          <w:bCs/>
          <w:sz w:val="22"/>
          <w:szCs w:val="22"/>
          <w:lang w:val="en"/>
        </w:rPr>
        <w:t>Risk-based analysis can lead to better decision making for project optimization.</w:t>
      </w:r>
    </w:p>
    <w:p w14:paraId="509A1B15" w14:textId="77777777" w:rsidR="001422CE" w:rsidRPr="000F3D8D" w:rsidRDefault="001422CE" w:rsidP="001422CE">
      <w:pPr>
        <w:numPr>
          <w:ilvl w:val="0"/>
          <w:numId w:val="42"/>
        </w:numPr>
        <w:ind w:left="810"/>
        <w:jc w:val="both"/>
        <w:rPr>
          <w:bCs/>
          <w:sz w:val="22"/>
          <w:szCs w:val="22"/>
          <w:lang w:val="en"/>
        </w:rPr>
        <w:sectPr w:rsidR="001422CE" w:rsidRPr="000F3D8D" w:rsidSect="001422CE">
          <w:type w:val="continuous"/>
          <w:pgSz w:w="11900" w:h="16840"/>
          <w:pgMar w:top="1138" w:right="1138" w:bottom="1138" w:left="1699" w:header="720" w:footer="720" w:gutter="0"/>
          <w:cols w:num="2" w:space="720"/>
          <w:noEndnote/>
          <w:docGrid w:linePitch="272"/>
        </w:sectPr>
      </w:pPr>
      <w:r w:rsidRPr="001422CE">
        <w:rPr>
          <w:bCs/>
          <w:sz w:val="22"/>
          <w:szCs w:val="22"/>
          <w:lang w:val="en"/>
        </w:rPr>
        <w:t>The life cycle approach is perfect for jetty engineering.</w:t>
      </w:r>
    </w:p>
    <w:p w14:paraId="5E3DDC34" w14:textId="204958C1" w:rsidR="001422CE" w:rsidRDefault="001422CE" w:rsidP="001422CE">
      <w:pPr>
        <w:spacing w:after="240"/>
        <w:jc w:val="center"/>
        <w:rPr>
          <w:bCs/>
          <w:sz w:val="22"/>
          <w:szCs w:val="22"/>
        </w:rPr>
      </w:pPr>
      <w:r w:rsidRPr="001422CE">
        <w:rPr>
          <w:b/>
          <w:sz w:val="22"/>
          <w:szCs w:val="22"/>
        </w:rPr>
        <w:t xml:space="preserve">Figure 3. Risk in </w:t>
      </w:r>
      <w:r>
        <w:rPr>
          <w:b/>
          <w:sz w:val="22"/>
          <w:szCs w:val="22"/>
        </w:rPr>
        <w:t xml:space="preserve">Jetty </w:t>
      </w:r>
      <w:r w:rsidRPr="001422CE">
        <w:rPr>
          <w:b/>
          <w:sz w:val="22"/>
          <w:szCs w:val="22"/>
        </w:rPr>
        <w:t>Project Based on Articles Review</w:t>
      </w:r>
    </w:p>
    <w:p w14:paraId="600649F1" w14:textId="1D252E50" w:rsidR="001422CE" w:rsidRPr="001422CE" w:rsidRDefault="001422CE" w:rsidP="001422CE">
      <w:pPr>
        <w:spacing w:after="240"/>
        <w:jc w:val="center"/>
        <w:rPr>
          <w:b/>
          <w:sz w:val="22"/>
          <w:szCs w:val="22"/>
        </w:rPr>
      </w:pPr>
    </w:p>
    <w:p w14:paraId="6E7BE79E" w14:textId="503554EA" w:rsidR="00DD3B97" w:rsidRPr="001422CE" w:rsidRDefault="00DD3B97" w:rsidP="001422CE">
      <w:pPr>
        <w:numPr>
          <w:ilvl w:val="0"/>
          <w:numId w:val="42"/>
        </w:numPr>
        <w:spacing w:after="240"/>
        <w:ind w:left="810"/>
        <w:jc w:val="both"/>
        <w:rPr>
          <w:bCs/>
          <w:sz w:val="22"/>
          <w:szCs w:val="22"/>
        </w:rPr>
        <w:sectPr w:rsidR="00DD3B97" w:rsidRPr="001422CE" w:rsidSect="001422CE">
          <w:type w:val="continuous"/>
          <w:pgSz w:w="11900" w:h="16840"/>
          <w:pgMar w:top="1138" w:right="1138" w:bottom="1138" w:left="1699" w:header="720" w:footer="720" w:gutter="0"/>
          <w:cols w:num="2" w:space="720"/>
          <w:noEndnote/>
          <w:docGrid w:linePitch="272"/>
        </w:sectPr>
      </w:pPr>
    </w:p>
    <w:p w14:paraId="08BB863A" w14:textId="5485652C" w:rsidR="00097BFC" w:rsidRPr="001422CE" w:rsidRDefault="00097BFC" w:rsidP="001422CE">
      <w:pPr>
        <w:jc w:val="both"/>
        <w:rPr>
          <w:bCs/>
          <w:sz w:val="22"/>
          <w:szCs w:val="22"/>
          <w:lang w:val="en"/>
        </w:rPr>
        <w:sectPr w:rsidR="00097BFC" w:rsidRPr="001422CE" w:rsidSect="0046542F">
          <w:type w:val="continuous"/>
          <w:pgSz w:w="11900" w:h="16840"/>
          <w:pgMar w:top="1138" w:right="1138" w:bottom="1138" w:left="1699" w:header="720" w:footer="720" w:gutter="0"/>
          <w:cols w:space="720"/>
          <w:noEndnote/>
          <w:docGrid w:linePitch="272"/>
        </w:sectPr>
      </w:pPr>
    </w:p>
    <w:p w14:paraId="1AC70D7A" w14:textId="77777777" w:rsidR="00EA6BCA" w:rsidRDefault="00EA6BCA" w:rsidP="0004043B">
      <w:pPr>
        <w:widowControl w:val="0"/>
        <w:autoSpaceDE w:val="0"/>
        <w:autoSpaceDN w:val="0"/>
        <w:adjustRightInd w:val="0"/>
        <w:spacing w:after="240"/>
        <w:rPr>
          <w:b/>
          <w:sz w:val="22"/>
          <w:szCs w:val="22"/>
        </w:rPr>
        <w:sectPr w:rsidR="00EA6BCA" w:rsidSect="0046542F">
          <w:type w:val="continuous"/>
          <w:pgSz w:w="11900" w:h="16840"/>
          <w:pgMar w:top="1138" w:right="1138" w:bottom="1138" w:left="1699" w:header="720" w:footer="720" w:gutter="0"/>
          <w:cols w:num="2" w:space="428"/>
          <w:noEndnote/>
          <w:docGrid w:linePitch="272"/>
        </w:sectPr>
      </w:pPr>
    </w:p>
    <w:p w14:paraId="5C282413" w14:textId="184EA5CC" w:rsidR="0004043B" w:rsidRPr="000275E7" w:rsidRDefault="000275E7" w:rsidP="0004043B">
      <w:pPr>
        <w:widowControl w:val="0"/>
        <w:autoSpaceDE w:val="0"/>
        <w:autoSpaceDN w:val="0"/>
        <w:adjustRightInd w:val="0"/>
        <w:spacing w:after="240"/>
        <w:rPr>
          <w:b/>
          <w:sz w:val="22"/>
          <w:szCs w:val="22"/>
        </w:rPr>
      </w:pPr>
      <w:r w:rsidRPr="000275E7">
        <w:rPr>
          <w:b/>
          <w:sz w:val="22"/>
          <w:szCs w:val="22"/>
        </w:rPr>
        <w:t>REFEREN</w:t>
      </w:r>
      <w:r w:rsidR="000F3D8D">
        <w:rPr>
          <w:b/>
          <w:sz w:val="22"/>
          <w:szCs w:val="22"/>
        </w:rPr>
        <w:t>CES</w:t>
      </w:r>
    </w:p>
    <w:p w14:paraId="79A31463" w14:textId="76CE9F32" w:rsidR="006D3E71" w:rsidRPr="000275E7" w:rsidRDefault="005A0298" w:rsidP="006D3E71">
      <w:pPr>
        <w:widowControl w:val="0"/>
        <w:autoSpaceDE w:val="0"/>
        <w:autoSpaceDN w:val="0"/>
        <w:adjustRightInd w:val="0"/>
        <w:ind w:left="480" w:hanging="480"/>
        <w:rPr>
          <w:noProof/>
          <w:sz w:val="22"/>
          <w:szCs w:val="22"/>
        </w:rPr>
      </w:pPr>
      <w:r w:rsidRPr="000275E7">
        <w:rPr>
          <w:sz w:val="22"/>
          <w:szCs w:val="22"/>
          <w:lang w:val="id"/>
        </w:rPr>
        <w:fldChar w:fldCharType="begin" w:fldLock="1"/>
      </w:r>
      <w:r w:rsidRPr="000275E7">
        <w:rPr>
          <w:sz w:val="22"/>
          <w:szCs w:val="22"/>
          <w:lang w:val="id"/>
        </w:rPr>
        <w:instrText xml:space="preserve">ADDIN Mendeley Bibliography CSL_BIBLIOGRAPHY </w:instrText>
      </w:r>
      <w:r w:rsidRPr="000275E7">
        <w:rPr>
          <w:sz w:val="22"/>
          <w:szCs w:val="22"/>
          <w:lang w:val="id"/>
        </w:rPr>
        <w:fldChar w:fldCharType="separate"/>
      </w:r>
      <w:r w:rsidR="006D3E71" w:rsidRPr="000275E7">
        <w:rPr>
          <w:noProof/>
          <w:sz w:val="22"/>
          <w:szCs w:val="22"/>
        </w:rPr>
        <w:t xml:space="preserve">Al-Bahar, J. F., &amp; Crandall, K. C. (1990). SYSTEMATIC R I S K MANAGEMENT A P P R O A C H FOR CONSTRUCTION P R O J E C T S. </w:t>
      </w:r>
      <w:r w:rsidR="006D3E71" w:rsidRPr="000275E7">
        <w:rPr>
          <w:i/>
          <w:iCs/>
          <w:noProof/>
          <w:sz w:val="22"/>
          <w:szCs w:val="22"/>
        </w:rPr>
        <w:t>Engineering</w:t>
      </w:r>
      <w:r w:rsidR="006D3E71" w:rsidRPr="000275E7">
        <w:rPr>
          <w:noProof/>
          <w:sz w:val="22"/>
          <w:szCs w:val="22"/>
        </w:rPr>
        <w:t xml:space="preserve">, </w:t>
      </w:r>
      <w:r w:rsidR="006D3E71" w:rsidRPr="000275E7">
        <w:rPr>
          <w:i/>
          <w:iCs/>
          <w:noProof/>
          <w:sz w:val="22"/>
          <w:szCs w:val="22"/>
        </w:rPr>
        <w:t>116</w:t>
      </w:r>
      <w:r w:rsidR="006D3E71" w:rsidRPr="000275E7">
        <w:rPr>
          <w:noProof/>
          <w:sz w:val="22"/>
          <w:szCs w:val="22"/>
        </w:rPr>
        <w:t>(3), 533–546.</w:t>
      </w:r>
    </w:p>
    <w:p w14:paraId="00521706"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Anwar, &amp; Adi, T. J. W. (2015). Analisa Resiko Teknis Yang Mempengaruhi Kinerja Waktu Proyek Pembangunan Pengaman Pantai Di Provinsi Sulawesi Barat. </w:t>
      </w:r>
      <w:r w:rsidRPr="000275E7">
        <w:rPr>
          <w:i/>
          <w:iCs/>
          <w:noProof/>
          <w:sz w:val="22"/>
          <w:szCs w:val="22"/>
        </w:rPr>
        <w:t>Seminar Nasional Manajemen Teknologi XXII</w:t>
      </w:r>
      <w:r w:rsidRPr="000275E7">
        <w:rPr>
          <w:noProof/>
          <w:sz w:val="22"/>
          <w:szCs w:val="22"/>
        </w:rPr>
        <w:t>, 1–7. http://repository.its.ac.id/59848/</w:t>
      </w:r>
    </w:p>
    <w:p w14:paraId="6849FACC"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Aulady, M. F. N., Nuciferani, F., &amp; Wicaksono, S. (2018). Application of Failure Mode Effects Analysis (FMEA) Method and Fault Tree Analysis (FTA) Towards Health and Occupational Safety on Jetty Project, Gresik, Indonesia. </w:t>
      </w:r>
      <w:r w:rsidRPr="000275E7">
        <w:rPr>
          <w:i/>
          <w:iCs/>
          <w:noProof/>
          <w:sz w:val="22"/>
          <w:szCs w:val="22"/>
        </w:rPr>
        <w:t>Journal of Advanced Civil and Environmental Engineering</w:t>
      </w:r>
      <w:r w:rsidRPr="000275E7">
        <w:rPr>
          <w:noProof/>
          <w:sz w:val="22"/>
          <w:szCs w:val="22"/>
        </w:rPr>
        <w:t xml:space="preserve">, </w:t>
      </w:r>
      <w:r w:rsidRPr="000275E7">
        <w:rPr>
          <w:i/>
          <w:iCs/>
          <w:noProof/>
          <w:sz w:val="22"/>
          <w:szCs w:val="22"/>
        </w:rPr>
        <w:t>1</w:t>
      </w:r>
      <w:r w:rsidRPr="000275E7">
        <w:rPr>
          <w:noProof/>
          <w:sz w:val="22"/>
          <w:szCs w:val="22"/>
        </w:rPr>
        <w:t>(2), 100. https://doi.org/10.30659/jacee.1.2.100-108</w:t>
      </w:r>
    </w:p>
    <w:p w14:paraId="79275819"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Balas, C. E., &amp; Ergin, A. (2002). Case Study in Turkey. </w:t>
      </w:r>
      <w:r w:rsidRPr="000275E7">
        <w:rPr>
          <w:i/>
          <w:iCs/>
          <w:noProof/>
          <w:sz w:val="22"/>
          <w:szCs w:val="22"/>
        </w:rPr>
        <w:t>Middle East</w:t>
      </w:r>
      <w:r w:rsidRPr="000275E7">
        <w:rPr>
          <w:noProof/>
          <w:sz w:val="22"/>
          <w:szCs w:val="22"/>
        </w:rPr>
        <w:t xml:space="preserve">, </w:t>
      </w:r>
      <w:r w:rsidRPr="000275E7">
        <w:rPr>
          <w:i/>
          <w:iCs/>
          <w:noProof/>
          <w:sz w:val="22"/>
          <w:szCs w:val="22"/>
        </w:rPr>
        <w:t>April</w:t>
      </w:r>
      <w:r w:rsidRPr="000275E7">
        <w:rPr>
          <w:noProof/>
          <w:sz w:val="22"/>
          <w:szCs w:val="22"/>
        </w:rPr>
        <w:t>, 52–61.</w:t>
      </w:r>
    </w:p>
    <w:p w14:paraId="756BA633"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Bunni, N. G. (2003). Risk and Insurance in Construction. In </w:t>
      </w:r>
      <w:r w:rsidRPr="000275E7">
        <w:rPr>
          <w:i/>
          <w:iCs/>
          <w:noProof/>
          <w:sz w:val="22"/>
          <w:szCs w:val="22"/>
        </w:rPr>
        <w:t>Risk and Insurance in Construction</w:t>
      </w:r>
      <w:r w:rsidRPr="000275E7">
        <w:rPr>
          <w:noProof/>
          <w:sz w:val="22"/>
          <w:szCs w:val="22"/>
        </w:rPr>
        <w:t xml:space="preserve"> (Second). Spon Press. https://doi.org/10.4324/9780203476543</w:t>
      </w:r>
    </w:p>
    <w:p w14:paraId="3DD3DAC1"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Chou, J. S., &amp; Chiu, Y. C. (2020). Identifying critical risk factors and responses of river dredging projects for knowledge management within organisation. </w:t>
      </w:r>
      <w:r w:rsidRPr="000275E7">
        <w:rPr>
          <w:i/>
          <w:iCs/>
          <w:noProof/>
          <w:sz w:val="22"/>
          <w:szCs w:val="22"/>
        </w:rPr>
        <w:t>Journal of Flood Risk Management</w:t>
      </w:r>
      <w:r w:rsidRPr="000275E7">
        <w:rPr>
          <w:noProof/>
          <w:sz w:val="22"/>
          <w:szCs w:val="22"/>
        </w:rPr>
        <w:t xml:space="preserve">, </w:t>
      </w:r>
      <w:r w:rsidRPr="000275E7">
        <w:rPr>
          <w:i/>
          <w:iCs/>
          <w:noProof/>
          <w:sz w:val="22"/>
          <w:szCs w:val="22"/>
        </w:rPr>
        <w:t>14</w:t>
      </w:r>
      <w:r w:rsidRPr="000275E7">
        <w:rPr>
          <w:noProof/>
          <w:sz w:val="22"/>
          <w:szCs w:val="22"/>
        </w:rPr>
        <w:t>(1), 1–16. https://doi.org/10.1111/jfr3.12690</w:t>
      </w:r>
    </w:p>
    <w:p w14:paraId="037BEB12"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Connor, T., Cummings, P., Imrie, J., &amp; Pouusard, W. (2011). LOW COST BOAT HARBOR PROTECTION AS AN INTEGRAL ELEMENT OF NATURAL DISASTER RISK MANAGEMENT IN VIET NAM. </w:t>
      </w:r>
      <w:r w:rsidRPr="000275E7">
        <w:rPr>
          <w:i/>
          <w:iCs/>
          <w:noProof/>
          <w:sz w:val="22"/>
          <w:szCs w:val="22"/>
        </w:rPr>
        <w:t>Solutions to Coastal Disasters</w:t>
      </w:r>
      <w:r w:rsidRPr="000275E7">
        <w:rPr>
          <w:noProof/>
          <w:sz w:val="22"/>
          <w:szCs w:val="22"/>
        </w:rPr>
        <w:t>, 233–245.</w:t>
      </w:r>
    </w:p>
    <w:p w14:paraId="43F5B38E"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Cretu, O., Stewart, R., &amp; Berends, T. (2011). Risk Management for Design and Construction. </w:t>
      </w:r>
      <w:r w:rsidRPr="000275E7">
        <w:rPr>
          <w:i/>
          <w:iCs/>
          <w:noProof/>
          <w:sz w:val="22"/>
          <w:szCs w:val="22"/>
        </w:rPr>
        <w:t>Journal of Chemical Information and Modeling</w:t>
      </w:r>
      <w:r w:rsidRPr="000275E7">
        <w:rPr>
          <w:noProof/>
          <w:sz w:val="22"/>
          <w:szCs w:val="22"/>
        </w:rPr>
        <w:t xml:space="preserve">, </w:t>
      </w:r>
      <w:r w:rsidRPr="000275E7">
        <w:rPr>
          <w:i/>
          <w:iCs/>
          <w:noProof/>
          <w:sz w:val="22"/>
          <w:szCs w:val="22"/>
        </w:rPr>
        <w:t>53</w:t>
      </w:r>
      <w:r w:rsidRPr="000275E7">
        <w:rPr>
          <w:noProof/>
          <w:sz w:val="22"/>
          <w:szCs w:val="22"/>
        </w:rPr>
        <w:t>(9).</w:t>
      </w:r>
    </w:p>
    <w:p w14:paraId="43F63A42"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Ergin, A., &amp; Balas, C. E. (2002). Reliability-Based Risk Assessment of Rubble Mound Breakwaters under Tsunami Attack. </w:t>
      </w:r>
      <w:r w:rsidRPr="000275E7">
        <w:rPr>
          <w:i/>
          <w:iCs/>
          <w:noProof/>
          <w:sz w:val="22"/>
          <w:szCs w:val="22"/>
        </w:rPr>
        <w:t>Journal of Coastal Research</w:t>
      </w:r>
      <w:r w:rsidRPr="000275E7">
        <w:rPr>
          <w:noProof/>
          <w:sz w:val="22"/>
          <w:szCs w:val="22"/>
        </w:rPr>
        <w:t xml:space="preserve">, </w:t>
      </w:r>
      <w:r w:rsidRPr="000275E7">
        <w:rPr>
          <w:i/>
          <w:iCs/>
          <w:noProof/>
          <w:sz w:val="22"/>
          <w:szCs w:val="22"/>
        </w:rPr>
        <w:t>36</w:t>
      </w:r>
      <w:r w:rsidRPr="000275E7">
        <w:rPr>
          <w:noProof/>
          <w:sz w:val="22"/>
          <w:szCs w:val="22"/>
        </w:rPr>
        <w:t>, 266–272. https://doi.org/10.2112/1551-5036-36.sp1.266</w:t>
      </w:r>
    </w:p>
    <w:p w14:paraId="5825D07D"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Gudmestad, O. T. (2002). Risk assessment tools for use during fabrication of offshore structures and in marine operations projects. </w:t>
      </w:r>
      <w:r w:rsidRPr="000275E7">
        <w:rPr>
          <w:i/>
          <w:iCs/>
          <w:noProof/>
          <w:sz w:val="22"/>
          <w:szCs w:val="22"/>
        </w:rPr>
        <w:t>Journal of Offshore Mechanics and Arctic Engineering</w:t>
      </w:r>
      <w:r w:rsidRPr="000275E7">
        <w:rPr>
          <w:noProof/>
          <w:sz w:val="22"/>
          <w:szCs w:val="22"/>
        </w:rPr>
        <w:t xml:space="preserve">, </w:t>
      </w:r>
      <w:r w:rsidRPr="000275E7">
        <w:rPr>
          <w:i/>
          <w:iCs/>
          <w:noProof/>
          <w:sz w:val="22"/>
          <w:szCs w:val="22"/>
        </w:rPr>
        <w:t>124</w:t>
      </w:r>
      <w:r w:rsidRPr="000275E7">
        <w:rPr>
          <w:noProof/>
          <w:sz w:val="22"/>
          <w:szCs w:val="22"/>
        </w:rPr>
        <w:t xml:space="preserve">(3), 153–161. </w:t>
      </w:r>
      <w:r w:rsidRPr="000275E7">
        <w:rPr>
          <w:noProof/>
          <w:sz w:val="22"/>
          <w:szCs w:val="22"/>
        </w:rPr>
        <w:lastRenderedPageBreak/>
        <w:t>https://doi.org/10.1115/1.1492825</w:t>
      </w:r>
    </w:p>
    <w:p w14:paraId="3DBC356F"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Indraswari P, I Nyoman Norken, P. A. S. (2018). </w:t>
      </w:r>
      <w:r w:rsidRPr="000275E7">
        <w:rPr>
          <w:i/>
          <w:iCs/>
          <w:noProof/>
          <w:sz w:val="22"/>
          <w:szCs w:val="22"/>
        </w:rPr>
        <w:t>PELABUHAN BENOA Pande Pt Anggi Indraswari P . J , I Nyoman Norken dan Putu Alit Suthanaya RISK MANAGEMENT OF INFRASTRUCTURE DEVELOPMENT PLANNING</w:t>
      </w:r>
      <w:r w:rsidRPr="000275E7">
        <w:rPr>
          <w:noProof/>
          <w:sz w:val="22"/>
          <w:szCs w:val="22"/>
        </w:rPr>
        <w:t xml:space="preserve">. </w:t>
      </w:r>
      <w:r w:rsidRPr="000275E7">
        <w:rPr>
          <w:i/>
          <w:iCs/>
          <w:noProof/>
          <w:sz w:val="22"/>
          <w:szCs w:val="22"/>
        </w:rPr>
        <w:t>6</w:t>
      </w:r>
      <w:r w:rsidRPr="000275E7">
        <w:rPr>
          <w:noProof/>
          <w:sz w:val="22"/>
          <w:szCs w:val="22"/>
        </w:rPr>
        <w:t>(2), 144–151.</w:t>
      </w:r>
    </w:p>
    <w:p w14:paraId="785ABDFC"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Ismiyati, I., Sanggawuri, R., &amp; Handajani, M. (2020). Penerapan Manajemen Resiko pada Pembangunan Proyek Perpanjangan Dermaga log (Studi Kasus: Pelabuhan DalamTanjung Emas Semarang). </w:t>
      </w:r>
      <w:r w:rsidRPr="000275E7">
        <w:rPr>
          <w:i/>
          <w:iCs/>
          <w:noProof/>
          <w:sz w:val="22"/>
          <w:szCs w:val="22"/>
        </w:rPr>
        <w:t>Media Komunikasi Teknik Sipil</w:t>
      </w:r>
      <w:r w:rsidRPr="000275E7">
        <w:rPr>
          <w:noProof/>
          <w:sz w:val="22"/>
          <w:szCs w:val="22"/>
        </w:rPr>
        <w:t xml:space="preserve">, </w:t>
      </w:r>
      <w:r w:rsidRPr="000275E7">
        <w:rPr>
          <w:i/>
          <w:iCs/>
          <w:noProof/>
          <w:sz w:val="22"/>
          <w:szCs w:val="22"/>
        </w:rPr>
        <w:t>25</w:t>
      </w:r>
      <w:r w:rsidRPr="000275E7">
        <w:rPr>
          <w:noProof/>
          <w:sz w:val="22"/>
          <w:szCs w:val="22"/>
        </w:rPr>
        <w:t>(2), 209. https://doi.org/10.14710/mkts.v25i2.19467</w:t>
      </w:r>
    </w:p>
    <w:p w14:paraId="4C376482"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Ite, U. E. (2016). Non-Technical Risks Management: A Framework for Sustainable Energy Security and Stability. </w:t>
      </w:r>
      <w:r w:rsidRPr="000275E7">
        <w:rPr>
          <w:i/>
          <w:iCs/>
          <w:noProof/>
          <w:sz w:val="22"/>
          <w:szCs w:val="22"/>
        </w:rPr>
        <w:t>Society of Petroleum Engineers</w:t>
      </w:r>
      <w:r w:rsidRPr="000275E7">
        <w:rPr>
          <w:noProof/>
          <w:sz w:val="22"/>
          <w:szCs w:val="22"/>
        </w:rPr>
        <w:t>.</w:t>
      </w:r>
    </w:p>
    <w:p w14:paraId="0417A1BA"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Jaber, K. F. (2015). </w:t>
      </w:r>
      <w:r w:rsidRPr="000275E7">
        <w:rPr>
          <w:i/>
          <w:iCs/>
          <w:noProof/>
          <w:sz w:val="22"/>
          <w:szCs w:val="22"/>
        </w:rPr>
        <w:t>ESTABLISHING RISK MANAGEMENT FACTORS FOR CONSTRUCTION PROJECTS IN IRAQ</w:t>
      </w:r>
      <w:r w:rsidRPr="000275E7">
        <w:rPr>
          <w:noProof/>
          <w:sz w:val="22"/>
          <w:szCs w:val="22"/>
        </w:rPr>
        <w:t xml:space="preserve">. </w:t>
      </w:r>
      <w:r w:rsidRPr="000275E7">
        <w:rPr>
          <w:i/>
          <w:iCs/>
          <w:noProof/>
          <w:sz w:val="22"/>
          <w:szCs w:val="22"/>
        </w:rPr>
        <w:t>March 2015</w:t>
      </w:r>
      <w:r w:rsidRPr="000275E7">
        <w:rPr>
          <w:noProof/>
          <w:sz w:val="22"/>
          <w:szCs w:val="22"/>
        </w:rPr>
        <w:t>.</w:t>
      </w:r>
    </w:p>
    <w:p w14:paraId="19A40F86"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Joubert, F. J., &amp; Pretorius, L. (2020). Design and Construction Risks for a Shipping Port and Container Terminal: Case Study. </w:t>
      </w:r>
      <w:r w:rsidRPr="000275E7">
        <w:rPr>
          <w:i/>
          <w:iCs/>
          <w:noProof/>
          <w:sz w:val="22"/>
          <w:szCs w:val="22"/>
        </w:rPr>
        <w:t>Journal of Waterway, Port, Coastal, and Ocean Engineering</w:t>
      </w:r>
      <w:r w:rsidRPr="000275E7">
        <w:rPr>
          <w:noProof/>
          <w:sz w:val="22"/>
          <w:szCs w:val="22"/>
        </w:rPr>
        <w:t xml:space="preserve">, </w:t>
      </w:r>
      <w:r w:rsidRPr="000275E7">
        <w:rPr>
          <w:i/>
          <w:iCs/>
          <w:noProof/>
          <w:sz w:val="22"/>
          <w:szCs w:val="22"/>
        </w:rPr>
        <w:t>146</w:t>
      </w:r>
      <w:r w:rsidRPr="000275E7">
        <w:rPr>
          <w:noProof/>
          <w:sz w:val="22"/>
          <w:szCs w:val="22"/>
        </w:rPr>
        <w:t>(1), 05019003. https://doi.org/10.1061/(asce)ww.1943-5460.0000537</w:t>
      </w:r>
    </w:p>
    <w:p w14:paraId="45F44EF0"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Kartam, N. A., &amp; Kartam, S. A. (2000). Risk and its management in the Kuwaiti construction industry: A contractors’ perspective. </w:t>
      </w:r>
      <w:r w:rsidRPr="000275E7">
        <w:rPr>
          <w:i/>
          <w:iCs/>
          <w:noProof/>
          <w:sz w:val="22"/>
          <w:szCs w:val="22"/>
        </w:rPr>
        <w:t>International Journal of Project Management</w:t>
      </w:r>
      <w:r w:rsidRPr="000275E7">
        <w:rPr>
          <w:noProof/>
          <w:sz w:val="22"/>
          <w:szCs w:val="22"/>
        </w:rPr>
        <w:t xml:space="preserve">, </w:t>
      </w:r>
      <w:r w:rsidRPr="000275E7">
        <w:rPr>
          <w:i/>
          <w:iCs/>
          <w:noProof/>
          <w:sz w:val="22"/>
          <w:szCs w:val="22"/>
        </w:rPr>
        <w:t>19</w:t>
      </w:r>
      <w:r w:rsidRPr="000275E7">
        <w:rPr>
          <w:noProof/>
          <w:sz w:val="22"/>
          <w:szCs w:val="22"/>
        </w:rPr>
        <w:t>(6), 325–335. https://doi.org/10.1016/S0263-7863(00)00014-4</w:t>
      </w:r>
    </w:p>
    <w:p w14:paraId="48851D10"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Keerthana, S., &amp; Pradeep, T. (2019). Constructability Risk Assessment in Construction Projects. </w:t>
      </w:r>
      <w:r w:rsidRPr="000275E7">
        <w:rPr>
          <w:i/>
          <w:iCs/>
          <w:noProof/>
          <w:sz w:val="22"/>
          <w:szCs w:val="22"/>
        </w:rPr>
        <w:t>International Journal of Engineering and Advanced Technology</w:t>
      </w:r>
      <w:r w:rsidRPr="000275E7">
        <w:rPr>
          <w:noProof/>
          <w:sz w:val="22"/>
          <w:szCs w:val="22"/>
        </w:rPr>
        <w:t xml:space="preserve">, </w:t>
      </w:r>
      <w:r w:rsidRPr="000275E7">
        <w:rPr>
          <w:i/>
          <w:iCs/>
          <w:noProof/>
          <w:sz w:val="22"/>
          <w:szCs w:val="22"/>
        </w:rPr>
        <w:t>9</w:t>
      </w:r>
      <w:r w:rsidRPr="000275E7">
        <w:rPr>
          <w:noProof/>
          <w:sz w:val="22"/>
          <w:szCs w:val="22"/>
        </w:rPr>
        <w:t>(2), 4979–4985. https://doi.org/10.35940/ijeat.b2358.129219</w:t>
      </w:r>
    </w:p>
    <w:p w14:paraId="35B8BA6B"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Khan, A. H. (2013). The contractors’ perception of risk management in pakistan. </w:t>
      </w:r>
      <w:r w:rsidRPr="000275E7">
        <w:rPr>
          <w:i/>
          <w:iCs/>
          <w:noProof/>
          <w:sz w:val="22"/>
          <w:szCs w:val="22"/>
        </w:rPr>
        <w:t>Proceedings of the Pakistan Academy of Sciences</w:t>
      </w:r>
      <w:r w:rsidRPr="000275E7">
        <w:rPr>
          <w:noProof/>
          <w:sz w:val="22"/>
          <w:szCs w:val="22"/>
        </w:rPr>
        <w:t xml:space="preserve">, </w:t>
      </w:r>
      <w:r w:rsidRPr="000275E7">
        <w:rPr>
          <w:i/>
          <w:iCs/>
          <w:noProof/>
          <w:sz w:val="22"/>
          <w:szCs w:val="22"/>
        </w:rPr>
        <w:t>50</w:t>
      </w:r>
      <w:r w:rsidRPr="000275E7">
        <w:rPr>
          <w:noProof/>
          <w:sz w:val="22"/>
          <w:szCs w:val="22"/>
        </w:rPr>
        <w:t>(3), 189–200.</w:t>
      </w:r>
    </w:p>
    <w:p w14:paraId="0AD458EA"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Klein, J. H., &amp; Cork, R. B. (1998). An Approach to Technical Risk Assessment. </w:t>
      </w:r>
      <w:r w:rsidRPr="000275E7">
        <w:rPr>
          <w:i/>
          <w:iCs/>
          <w:noProof/>
          <w:sz w:val="22"/>
          <w:szCs w:val="22"/>
        </w:rPr>
        <w:t>International Journal of Project Management</w:t>
      </w:r>
      <w:r w:rsidRPr="000275E7">
        <w:rPr>
          <w:noProof/>
          <w:sz w:val="22"/>
          <w:szCs w:val="22"/>
        </w:rPr>
        <w:t xml:space="preserve">, </w:t>
      </w:r>
      <w:r w:rsidRPr="000275E7">
        <w:rPr>
          <w:i/>
          <w:iCs/>
          <w:noProof/>
          <w:sz w:val="22"/>
          <w:szCs w:val="22"/>
        </w:rPr>
        <w:t>16</w:t>
      </w:r>
      <w:r w:rsidRPr="000275E7">
        <w:rPr>
          <w:noProof/>
          <w:sz w:val="22"/>
          <w:szCs w:val="22"/>
        </w:rPr>
        <w:t>(6), 345–351.</w:t>
      </w:r>
    </w:p>
    <w:p w14:paraId="0F63CBC6"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Liew, K. C., &amp; Lee, C. K. M. (2012). Modelling and risk management in the offshore and marine industry supply chain. </w:t>
      </w:r>
      <w:r w:rsidRPr="000275E7">
        <w:rPr>
          <w:i/>
          <w:iCs/>
          <w:noProof/>
          <w:sz w:val="22"/>
          <w:szCs w:val="22"/>
        </w:rPr>
        <w:t>International Journal of Engineering Business Management</w:t>
      </w:r>
      <w:r w:rsidRPr="000275E7">
        <w:rPr>
          <w:noProof/>
          <w:sz w:val="22"/>
          <w:szCs w:val="22"/>
        </w:rPr>
        <w:t xml:space="preserve">, </w:t>
      </w:r>
      <w:r w:rsidRPr="000275E7">
        <w:rPr>
          <w:i/>
          <w:iCs/>
          <w:noProof/>
          <w:sz w:val="22"/>
          <w:szCs w:val="22"/>
        </w:rPr>
        <w:t>4</w:t>
      </w:r>
      <w:r w:rsidRPr="000275E7">
        <w:rPr>
          <w:noProof/>
          <w:sz w:val="22"/>
          <w:szCs w:val="22"/>
        </w:rPr>
        <w:t>(1), 1–7. https://doi.org/10.5772/45738</w:t>
      </w:r>
    </w:p>
    <w:p w14:paraId="028D1857"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Mondoro, A., Frangopol, D. M., &amp; Soliman, M. (2017). Optimal Risk-Based Management of Coastal Bridges Vulnerable to Hurricanes. </w:t>
      </w:r>
      <w:r w:rsidRPr="000275E7">
        <w:rPr>
          <w:i/>
          <w:iCs/>
          <w:noProof/>
          <w:sz w:val="22"/>
          <w:szCs w:val="22"/>
        </w:rPr>
        <w:t>Journal of Infrastructure Systems</w:t>
      </w:r>
      <w:r w:rsidRPr="000275E7">
        <w:rPr>
          <w:noProof/>
          <w:sz w:val="22"/>
          <w:szCs w:val="22"/>
        </w:rPr>
        <w:t xml:space="preserve">, </w:t>
      </w:r>
      <w:r w:rsidRPr="000275E7">
        <w:rPr>
          <w:i/>
          <w:iCs/>
          <w:noProof/>
          <w:sz w:val="22"/>
          <w:szCs w:val="22"/>
        </w:rPr>
        <w:t>23</w:t>
      </w:r>
      <w:r w:rsidRPr="000275E7">
        <w:rPr>
          <w:noProof/>
          <w:sz w:val="22"/>
          <w:szCs w:val="22"/>
        </w:rPr>
        <w:t>(3), 04016046. https://doi.org/10.1061/(asce)is.1943-555x.0000346</w:t>
      </w:r>
    </w:p>
    <w:p w14:paraId="79EB77ED"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Nugroho, B. P. (2019). Risk Management in Construction of Dry Bulk Jetty At Teluk Lamong Multipurpose Terminal. </w:t>
      </w:r>
      <w:r w:rsidRPr="000275E7">
        <w:rPr>
          <w:i/>
          <w:iCs/>
          <w:noProof/>
          <w:sz w:val="22"/>
          <w:szCs w:val="22"/>
        </w:rPr>
        <w:t>IJTI (International Journal of Transportation and Infrastructure)</w:t>
      </w:r>
      <w:r w:rsidRPr="000275E7">
        <w:rPr>
          <w:noProof/>
          <w:sz w:val="22"/>
          <w:szCs w:val="22"/>
        </w:rPr>
        <w:t xml:space="preserve">, </w:t>
      </w:r>
      <w:r w:rsidRPr="000275E7">
        <w:rPr>
          <w:i/>
          <w:iCs/>
          <w:noProof/>
          <w:sz w:val="22"/>
          <w:szCs w:val="22"/>
        </w:rPr>
        <w:t>2</w:t>
      </w:r>
      <w:r w:rsidRPr="000275E7">
        <w:rPr>
          <w:noProof/>
          <w:sz w:val="22"/>
          <w:szCs w:val="22"/>
        </w:rPr>
        <w:t>(2), 67–76. https://doi.org/10.29138/ijti.v2i2.785</w:t>
      </w:r>
    </w:p>
    <w:p w14:paraId="5964B363"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Nurjama, H. N., I, U. P. I. Y. A., Raya, J., &amp; No, S. (2017). </w:t>
      </w:r>
      <w:r w:rsidRPr="000275E7">
        <w:rPr>
          <w:i/>
          <w:iCs/>
          <w:noProof/>
          <w:sz w:val="22"/>
          <w:szCs w:val="22"/>
        </w:rPr>
        <w:t>MANAJEMEN RISIKO TERHADAP PENGENDALIAN WAKTU PROYEK PEMBANGUNAN PELABUHAN DERMAGA : Study Kasus Dermaga Pelabuhan Halmahera Utara Propinsi Maluku Utara</w:t>
      </w:r>
      <w:r w:rsidRPr="000275E7">
        <w:rPr>
          <w:noProof/>
          <w:sz w:val="22"/>
          <w:szCs w:val="22"/>
        </w:rPr>
        <w:t>. 1–10.</w:t>
      </w:r>
    </w:p>
    <w:p w14:paraId="0742CA4A"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Roubos, A., Peters, D., &amp; Steenbergen, R. (2019). </w:t>
      </w:r>
      <w:r w:rsidRPr="000275E7">
        <w:rPr>
          <w:i/>
          <w:iCs/>
          <w:noProof/>
          <w:sz w:val="22"/>
          <w:szCs w:val="22"/>
        </w:rPr>
        <w:t>Target Reliability Indices for Quay Walls, Jetties, and Flexible Dolphins</w:t>
      </w:r>
      <w:r w:rsidRPr="000275E7">
        <w:rPr>
          <w:noProof/>
          <w:sz w:val="22"/>
          <w:szCs w:val="22"/>
        </w:rPr>
        <w:t xml:space="preserve">. </w:t>
      </w:r>
      <w:r w:rsidRPr="000275E7">
        <w:rPr>
          <w:i/>
          <w:iCs/>
          <w:noProof/>
          <w:sz w:val="22"/>
          <w:szCs w:val="22"/>
        </w:rPr>
        <w:t>1</w:t>
      </w:r>
      <w:r w:rsidRPr="000275E7">
        <w:rPr>
          <w:noProof/>
          <w:sz w:val="22"/>
          <w:szCs w:val="22"/>
        </w:rPr>
        <w:t>, 400–408.</w:t>
      </w:r>
    </w:p>
    <w:p w14:paraId="28572CE3"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Simm, J. D., &amp; Camilleri, A. J. (2001). Construction risk in coastal and river engineering. </w:t>
      </w:r>
      <w:r w:rsidRPr="000275E7">
        <w:rPr>
          <w:i/>
          <w:iCs/>
          <w:noProof/>
          <w:sz w:val="22"/>
          <w:szCs w:val="22"/>
        </w:rPr>
        <w:t>Journal of the Chartered Institution of Water and Environmental Management</w:t>
      </w:r>
      <w:r w:rsidRPr="000275E7">
        <w:rPr>
          <w:noProof/>
          <w:sz w:val="22"/>
          <w:szCs w:val="22"/>
        </w:rPr>
        <w:t xml:space="preserve">, </w:t>
      </w:r>
      <w:r w:rsidRPr="000275E7">
        <w:rPr>
          <w:i/>
          <w:iCs/>
          <w:noProof/>
          <w:sz w:val="22"/>
          <w:szCs w:val="22"/>
        </w:rPr>
        <w:t>15</w:t>
      </w:r>
      <w:r w:rsidRPr="000275E7">
        <w:rPr>
          <w:noProof/>
          <w:sz w:val="22"/>
          <w:szCs w:val="22"/>
        </w:rPr>
        <w:t>(4), 258–264. https://doi.org/10.1111/j.1747-6593.2001.tb00351.x</w:t>
      </w:r>
    </w:p>
    <w:p w14:paraId="3361B631"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Siswanto, P. A. W. (2012). </w:t>
      </w:r>
      <w:r w:rsidRPr="000275E7">
        <w:rPr>
          <w:i/>
          <w:iCs/>
          <w:noProof/>
          <w:sz w:val="22"/>
          <w:szCs w:val="22"/>
        </w:rPr>
        <w:t>MULTIPURPOSE TELUK LAMONG SURABAYA DARI PERSEPSI</w:t>
      </w:r>
      <w:r w:rsidRPr="000275E7">
        <w:rPr>
          <w:noProof/>
          <w:sz w:val="22"/>
          <w:szCs w:val="22"/>
        </w:rPr>
        <w:t xml:space="preserve">. </w:t>
      </w:r>
      <w:r w:rsidRPr="000275E7">
        <w:rPr>
          <w:i/>
          <w:iCs/>
          <w:noProof/>
          <w:sz w:val="22"/>
          <w:szCs w:val="22"/>
        </w:rPr>
        <w:t>69</w:t>
      </w:r>
      <w:r w:rsidRPr="000275E7">
        <w:rPr>
          <w:noProof/>
          <w:sz w:val="22"/>
          <w:szCs w:val="22"/>
        </w:rPr>
        <w:t>.</w:t>
      </w:r>
    </w:p>
    <w:p w14:paraId="46973258"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Skibniewski, M. J., &amp; Vecino, G. A. (2012). Web-Based Project Management Framework for Dredging Projects. </w:t>
      </w:r>
      <w:r w:rsidRPr="000275E7">
        <w:rPr>
          <w:i/>
          <w:iCs/>
          <w:noProof/>
          <w:sz w:val="22"/>
          <w:szCs w:val="22"/>
        </w:rPr>
        <w:t>Journal of Management in Engineering</w:t>
      </w:r>
      <w:r w:rsidRPr="000275E7">
        <w:rPr>
          <w:noProof/>
          <w:sz w:val="22"/>
          <w:szCs w:val="22"/>
        </w:rPr>
        <w:t xml:space="preserve">, </w:t>
      </w:r>
      <w:r w:rsidRPr="000275E7">
        <w:rPr>
          <w:i/>
          <w:iCs/>
          <w:noProof/>
          <w:sz w:val="22"/>
          <w:szCs w:val="22"/>
        </w:rPr>
        <w:t>28</w:t>
      </w:r>
      <w:r w:rsidRPr="000275E7">
        <w:rPr>
          <w:noProof/>
          <w:sz w:val="22"/>
          <w:szCs w:val="22"/>
        </w:rPr>
        <w:t>(2), 127–139. https://doi.org/10.1061/(asce)me.1943-5479.0000070</w:t>
      </w:r>
    </w:p>
    <w:p w14:paraId="31732AD1"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Smith, N. J., Merna, T., &amp; Jobling, P. (2006). </w:t>
      </w:r>
      <w:r w:rsidRPr="000275E7">
        <w:rPr>
          <w:i/>
          <w:iCs/>
          <w:noProof/>
          <w:sz w:val="22"/>
          <w:szCs w:val="22"/>
        </w:rPr>
        <w:t>Managing Risk in Construction Projects</w:t>
      </w:r>
      <w:r w:rsidRPr="000275E7">
        <w:rPr>
          <w:noProof/>
          <w:sz w:val="22"/>
          <w:szCs w:val="22"/>
        </w:rPr>
        <w:t xml:space="preserve"> (Second). Blackwell Publishing.</w:t>
      </w:r>
    </w:p>
    <w:p w14:paraId="2A3E6D64"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Song, H., Kuang, C., Gu, J., Zou, Q., Liang, H., Sun, X., &amp; Ma, Z. (2020). Nonlinear tide-surge-wave interaction at a shallow coast with large scale sequential harbor constructions. </w:t>
      </w:r>
      <w:r w:rsidRPr="000275E7">
        <w:rPr>
          <w:i/>
          <w:iCs/>
          <w:noProof/>
          <w:sz w:val="22"/>
          <w:szCs w:val="22"/>
        </w:rPr>
        <w:t>Estuarine, Coastal and Shelf Science</w:t>
      </w:r>
      <w:r w:rsidRPr="000275E7">
        <w:rPr>
          <w:noProof/>
          <w:sz w:val="22"/>
          <w:szCs w:val="22"/>
        </w:rPr>
        <w:t xml:space="preserve">, </w:t>
      </w:r>
      <w:r w:rsidRPr="000275E7">
        <w:rPr>
          <w:i/>
          <w:iCs/>
          <w:noProof/>
          <w:sz w:val="22"/>
          <w:szCs w:val="22"/>
        </w:rPr>
        <w:t>233</w:t>
      </w:r>
      <w:r w:rsidRPr="000275E7">
        <w:rPr>
          <w:noProof/>
          <w:sz w:val="22"/>
          <w:szCs w:val="22"/>
        </w:rPr>
        <w:t>(December 2019), 106543. https://doi.org/10.1016/j.ecss.2019.106543</w:t>
      </w:r>
    </w:p>
    <w:p w14:paraId="37F76A86"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Suedel, B. C., Kim, J., Clarke, D. G., &amp; Linkov, I. (2008). A risk-informed decision framework for setting environmental windows for dredging projects. </w:t>
      </w:r>
      <w:r w:rsidRPr="000275E7">
        <w:rPr>
          <w:i/>
          <w:iCs/>
          <w:noProof/>
          <w:sz w:val="22"/>
          <w:szCs w:val="22"/>
        </w:rPr>
        <w:t>Science of the Total Environment</w:t>
      </w:r>
      <w:r w:rsidRPr="000275E7">
        <w:rPr>
          <w:noProof/>
          <w:sz w:val="22"/>
          <w:szCs w:val="22"/>
        </w:rPr>
        <w:t xml:space="preserve">, </w:t>
      </w:r>
      <w:r w:rsidRPr="000275E7">
        <w:rPr>
          <w:i/>
          <w:iCs/>
          <w:noProof/>
          <w:sz w:val="22"/>
          <w:szCs w:val="22"/>
        </w:rPr>
        <w:t>403</w:t>
      </w:r>
      <w:r w:rsidRPr="000275E7">
        <w:rPr>
          <w:noProof/>
          <w:sz w:val="22"/>
          <w:szCs w:val="22"/>
        </w:rPr>
        <w:t>(1–3), 1–11. https://doi.org/10.1016/j.scitotenv.2008.04.</w:t>
      </w:r>
      <w:r w:rsidRPr="000275E7">
        <w:rPr>
          <w:noProof/>
          <w:sz w:val="22"/>
          <w:szCs w:val="22"/>
        </w:rPr>
        <w:lastRenderedPageBreak/>
        <w:t>055</w:t>
      </w:r>
    </w:p>
    <w:p w14:paraId="29BE5E50"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Tam, V. W. Y., &amp; Shen, L. Y. (2012). Risk Management for Contractors in Marine Projects. </w:t>
      </w:r>
      <w:r w:rsidRPr="000275E7">
        <w:rPr>
          <w:i/>
          <w:iCs/>
          <w:noProof/>
          <w:sz w:val="22"/>
          <w:szCs w:val="22"/>
        </w:rPr>
        <w:t>Organization, Technology and Management in Construction: An International Journal</w:t>
      </w:r>
      <w:r w:rsidRPr="000275E7">
        <w:rPr>
          <w:noProof/>
          <w:sz w:val="22"/>
          <w:szCs w:val="22"/>
        </w:rPr>
        <w:t xml:space="preserve">, </w:t>
      </w:r>
      <w:r w:rsidRPr="000275E7">
        <w:rPr>
          <w:i/>
          <w:iCs/>
          <w:noProof/>
          <w:sz w:val="22"/>
          <w:szCs w:val="22"/>
        </w:rPr>
        <w:t>4</w:t>
      </w:r>
      <w:r w:rsidRPr="000275E7">
        <w:rPr>
          <w:noProof/>
          <w:sz w:val="22"/>
          <w:szCs w:val="22"/>
        </w:rPr>
        <w:t>(1), 403–410. https://doi.org/10.5592/otmcj.2012.1.5</w:t>
      </w:r>
    </w:p>
    <w:p w14:paraId="0734EF6B"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Tangdiembong, O., Sompie, B. F., Timboeleng, J. A., Pascasarjana, D., &amp; Sam, U. (2013). </w:t>
      </w:r>
      <w:r w:rsidRPr="000275E7">
        <w:rPr>
          <w:i/>
          <w:iCs/>
          <w:noProof/>
          <w:sz w:val="22"/>
          <w:szCs w:val="22"/>
        </w:rPr>
        <w:t>RESIKO PADA PROYEK-PROYEK DERMAGA DI SULAWESI UTARA</w:t>
      </w:r>
      <w:r w:rsidRPr="000275E7">
        <w:rPr>
          <w:noProof/>
          <w:sz w:val="22"/>
          <w:szCs w:val="22"/>
        </w:rPr>
        <w:t xml:space="preserve">. </w:t>
      </w:r>
      <w:r w:rsidRPr="000275E7">
        <w:rPr>
          <w:i/>
          <w:iCs/>
          <w:noProof/>
          <w:sz w:val="22"/>
          <w:szCs w:val="22"/>
        </w:rPr>
        <w:t>3</w:t>
      </w:r>
      <w:r w:rsidRPr="000275E7">
        <w:rPr>
          <w:noProof/>
          <w:sz w:val="22"/>
          <w:szCs w:val="22"/>
        </w:rPr>
        <w:t>(2), 115–119.</w:t>
      </w:r>
    </w:p>
    <w:p w14:paraId="14D192DF"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Thompson, E. F., Wutkowski, M., &amp; Schesher, N. W. (1996). </w:t>
      </w:r>
      <w:r w:rsidRPr="000275E7">
        <w:rPr>
          <w:i/>
          <w:iCs/>
          <w:noProof/>
          <w:sz w:val="22"/>
          <w:szCs w:val="22"/>
        </w:rPr>
        <w:t>Risk Based Analysis of Coastal Project</w:t>
      </w:r>
      <w:r w:rsidRPr="000275E7">
        <w:rPr>
          <w:noProof/>
          <w:sz w:val="22"/>
          <w:szCs w:val="22"/>
        </w:rPr>
        <w:t>. 4440–4450.</w:t>
      </w:r>
    </w:p>
    <w:p w14:paraId="46FC34ED"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W, R. K. (2018). Maritime safety risk analysis in Alur Pelayaran Barat Surabaya (APBS) during dredging process. </w:t>
      </w:r>
      <w:r w:rsidRPr="000275E7">
        <w:rPr>
          <w:i/>
          <w:iCs/>
          <w:noProof/>
          <w:sz w:val="22"/>
          <w:szCs w:val="22"/>
        </w:rPr>
        <w:t xml:space="preserve">Journal of Advances in Technology and Engineering </w:t>
      </w:r>
      <w:r w:rsidRPr="000275E7">
        <w:rPr>
          <w:i/>
          <w:iCs/>
          <w:noProof/>
          <w:sz w:val="22"/>
          <w:szCs w:val="22"/>
        </w:rPr>
        <w:t>Research</w:t>
      </w:r>
      <w:r w:rsidRPr="000275E7">
        <w:rPr>
          <w:noProof/>
          <w:sz w:val="22"/>
          <w:szCs w:val="22"/>
        </w:rPr>
        <w:t xml:space="preserve">, </w:t>
      </w:r>
      <w:r w:rsidRPr="000275E7">
        <w:rPr>
          <w:i/>
          <w:iCs/>
          <w:noProof/>
          <w:sz w:val="22"/>
          <w:szCs w:val="22"/>
        </w:rPr>
        <w:t>4</w:t>
      </w:r>
      <w:r w:rsidRPr="000275E7">
        <w:rPr>
          <w:noProof/>
          <w:sz w:val="22"/>
          <w:szCs w:val="22"/>
        </w:rPr>
        <w:t>(4), 176–185. https://doi.org/10.20474/jater-4.4.4</w:t>
      </w:r>
    </w:p>
    <w:p w14:paraId="54873F9D"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Wayan, I., Staf, S., Smk N, P., Sompie, T. B. F., &amp; Tarore, H. (2012). Analisis Resiko Proyek Pembangunan Dermaga Study Kasus Dermaga Pehe Di Kecamatan Siau Barat Kabupaten Kepulauan Sitaro. </w:t>
      </w:r>
      <w:r w:rsidRPr="000275E7">
        <w:rPr>
          <w:i/>
          <w:iCs/>
          <w:noProof/>
          <w:sz w:val="22"/>
          <w:szCs w:val="22"/>
        </w:rPr>
        <w:t>Jurnal Ilmiah MEDIA ENGINEERING</w:t>
      </w:r>
      <w:r w:rsidRPr="000275E7">
        <w:rPr>
          <w:noProof/>
          <w:sz w:val="22"/>
          <w:szCs w:val="22"/>
        </w:rPr>
        <w:t xml:space="preserve">, </w:t>
      </w:r>
      <w:r w:rsidRPr="000275E7">
        <w:rPr>
          <w:i/>
          <w:iCs/>
          <w:noProof/>
          <w:sz w:val="22"/>
          <w:szCs w:val="22"/>
        </w:rPr>
        <w:t>2</w:t>
      </w:r>
      <w:r w:rsidRPr="000275E7">
        <w:rPr>
          <w:noProof/>
          <w:sz w:val="22"/>
          <w:szCs w:val="22"/>
        </w:rPr>
        <w:t>(4), 257–266.</w:t>
      </w:r>
    </w:p>
    <w:p w14:paraId="63A049DE" w14:textId="77777777" w:rsidR="006D3E71" w:rsidRPr="000275E7" w:rsidRDefault="006D3E71" w:rsidP="006D3E71">
      <w:pPr>
        <w:widowControl w:val="0"/>
        <w:autoSpaceDE w:val="0"/>
        <w:autoSpaceDN w:val="0"/>
        <w:adjustRightInd w:val="0"/>
        <w:ind w:left="480" w:hanging="480"/>
        <w:rPr>
          <w:noProof/>
          <w:sz w:val="22"/>
          <w:szCs w:val="22"/>
        </w:rPr>
      </w:pPr>
      <w:r w:rsidRPr="000275E7">
        <w:rPr>
          <w:noProof/>
          <w:sz w:val="22"/>
          <w:szCs w:val="22"/>
        </w:rPr>
        <w:t xml:space="preserve">Yuan, W., Guo, A., &amp; Li, H. (2017). Seismic failure mode of coastal bridge piers considering the effects of corrosion-induced damage. </w:t>
      </w:r>
      <w:r w:rsidRPr="000275E7">
        <w:rPr>
          <w:i/>
          <w:iCs/>
          <w:noProof/>
          <w:sz w:val="22"/>
          <w:szCs w:val="22"/>
        </w:rPr>
        <w:t>Soil Dynamics and Earthquake Engineering</w:t>
      </w:r>
      <w:r w:rsidRPr="000275E7">
        <w:rPr>
          <w:noProof/>
          <w:sz w:val="22"/>
          <w:szCs w:val="22"/>
        </w:rPr>
        <w:t xml:space="preserve">, </w:t>
      </w:r>
      <w:r w:rsidRPr="000275E7">
        <w:rPr>
          <w:i/>
          <w:iCs/>
          <w:noProof/>
          <w:sz w:val="22"/>
          <w:szCs w:val="22"/>
        </w:rPr>
        <w:t>93</w:t>
      </w:r>
      <w:r w:rsidRPr="000275E7">
        <w:rPr>
          <w:noProof/>
          <w:sz w:val="22"/>
          <w:szCs w:val="22"/>
        </w:rPr>
        <w:t>(August 2016), 135–146. https://doi.org/10.1016/j.soildyn.2016.12.002</w:t>
      </w:r>
    </w:p>
    <w:p w14:paraId="49B8CD04" w14:textId="77777777" w:rsidR="00CC03F3" w:rsidRPr="000275E7" w:rsidRDefault="005A0298" w:rsidP="00270477">
      <w:pPr>
        <w:rPr>
          <w:sz w:val="22"/>
          <w:szCs w:val="22"/>
        </w:rPr>
        <w:sectPr w:rsidR="00CC03F3" w:rsidRPr="000275E7" w:rsidSect="0046542F">
          <w:type w:val="continuous"/>
          <w:pgSz w:w="11900" w:h="16840"/>
          <w:pgMar w:top="1138" w:right="1138" w:bottom="1138" w:left="1699" w:header="720" w:footer="720" w:gutter="0"/>
          <w:cols w:num="2" w:space="428"/>
          <w:noEndnote/>
          <w:docGrid w:linePitch="272"/>
        </w:sectPr>
      </w:pPr>
      <w:r w:rsidRPr="000275E7">
        <w:rPr>
          <w:sz w:val="22"/>
          <w:szCs w:val="22"/>
        </w:rPr>
        <w:fldChar w:fldCharType="end"/>
      </w:r>
    </w:p>
    <w:p w14:paraId="5DF3F929" w14:textId="1907E074" w:rsidR="000110FF" w:rsidRPr="000275E7" w:rsidRDefault="000110FF" w:rsidP="002F1E92">
      <w:pPr>
        <w:rPr>
          <w:color w:val="0070C0"/>
          <w:sz w:val="22"/>
          <w:szCs w:val="22"/>
        </w:rPr>
      </w:pPr>
    </w:p>
    <w:sectPr w:rsidR="000110FF" w:rsidRPr="000275E7" w:rsidSect="0046542F">
      <w:type w:val="continuous"/>
      <w:pgSz w:w="11900" w:h="16840"/>
      <w:pgMar w:top="1138" w:right="1138" w:bottom="1138" w:left="1699" w:header="720" w:footer="720" w:gutter="0"/>
      <w:cols w:num="2" w:space="42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669813" w14:textId="77777777" w:rsidR="00A3712E" w:rsidRDefault="00A3712E">
      <w:r>
        <w:rPr>
          <w:lang w:val="id"/>
        </w:rPr>
        <w:separator/>
      </w:r>
    </w:p>
  </w:endnote>
  <w:endnote w:type="continuationSeparator" w:id="0">
    <w:p w14:paraId="41F7A4C0" w14:textId="77777777" w:rsidR="00A3712E" w:rsidRDefault="00A3712E">
      <w:r>
        <w:rPr>
          <w:lang w:val="i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平成明朝">
    <w:altName w:val="MS Mincho"/>
    <w:panose1 w:val="00000000000000000000"/>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dvOT483a8203">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17989" w14:textId="77777777" w:rsidR="0096626A" w:rsidRDefault="0096626A">
    <w:pPr>
      <w:pStyle w:val="Footer"/>
      <w:jc w:val="center"/>
    </w:pPr>
    <w:r>
      <w:rPr>
        <w:lang w:val="id"/>
      </w:rPr>
      <w:fldChar w:fldCharType="begin"/>
    </w:r>
    <w:r>
      <w:rPr>
        <w:lang w:val="id"/>
      </w:rPr>
      <w:instrText xml:space="preserve"> PAGE   \* MERGEFORMAT </w:instrText>
    </w:r>
    <w:r>
      <w:rPr>
        <w:lang w:val="id"/>
      </w:rPr>
      <w:fldChar w:fldCharType="separate"/>
    </w:r>
    <w:r w:rsidR="00753F8F">
      <w:rPr>
        <w:noProof/>
        <w:lang w:val="id"/>
      </w:rPr>
      <w:t>1</w:t>
    </w:r>
    <w:r>
      <w:rPr>
        <w:noProof/>
        <w:lang w:val="id"/>
      </w:rPr>
      <w:fldChar w:fldCharType="end"/>
    </w:r>
  </w:p>
  <w:p w14:paraId="3EE05D34" w14:textId="77777777" w:rsidR="005610E9" w:rsidRDefault="005610E9">
    <w:pPr>
      <w:widowControl w:val="0"/>
      <w:autoSpaceDE w:val="0"/>
      <w:autoSpaceDN w:val="0"/>
      <w:adjustRightInd w:val="0"/>
      <w:spacing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FCECB" w14:textId="77777777" w:rsidR="00A3712E" w:rsidRDefault="00A3712E">
      <w:r>
        <w:rPr>
          <w:lang w:val="id"/>
        </w:rPr>
        <w:separator/>
      </w:r>
    </w:p>
  </w:footnote>
  <w:footnote w:type="continuationSeparator" w:id="0">
    <w:p w14:paraId="4E7A2DC9" w14:textId="77777777" w:rsidR="00A3712E" w:rsidRDefault="00A3712E">
      <w:r>
        <w:rPr>
          <w:lang w:val="id"/>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D61A6" w14:textId="4908F8D4" w:rsidR="005610E9" w:rsidRDefault="00CF7611">
    <w:pPr>
      <w:widowControl w:val="0"/>
      <w:autoSpaceDE w:val="0"/>
      <w:autoSpaceDN w:val="0"/>
      <w:adjustRightInd w:val="0"/>
      <w:spacing w:line="200" w:lineRule="exact"/>
    </w:pPr>
    <w:r>
      <w:rPr>
        <w:noProof/>
      </w:rPr>
      <mc:AlternateContent>
        <mc:Choice Requires="wps">
          <w:drawing>
            <wp:anchor distT="0" distB="0" distL="114300" distR="114300" simplePos="0" relativeHeight="251657728" behindDoc="1" locked="0" layoutInCell="0" allowOverlap="1" wp14:anchorId="29085E7E" wp14:editId="52D17882">
              <wp:simplePos x="0" y="0"/>
              <wp:positionH relativeFrom="page">
                <wp:posOffset>1075055</wp:posOffset>
              </wp:positionH>
              <wp:positionV relativeFrom="page">
                <wp:posOffset>242570</wp:posOffset>
              </wp:positionV>
              <wp:extent cx="5752465" cy="35052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246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DD087" w14:textId="77777777" w:rsidR="00C47193" w:rsidRPr="00C47193" w:rsidRDefault="00C47193" w:rsidP="00C47193">
                          <w:pPr>
                            <w:widowControl w:val="0"/>
                            <w:autoSpaceDE w:val="0"/>
                            <w:autoSpaceDN w:val="0"/>
                            <w:adjustRightInd w:val="0"/>
                            <w:ind w:right="-15"/>
                            <w:rPr>
                              <w:sz w:val="18"/>
                              <w:szCs w:val="18"/>
                            </w:rPr>
                          </w:pPr>
                          <w:r w:rsidRPr="00C47193">
                            <w:rPr>
                              <w:spacing w:val="-1"/>
                              <w:sz w:val="18"/>
                              <w:szCs w:val="18"/>
                              <w:lang w:val="id"/>
                            </w:rPr>
                            <w:t>Rekayasa Sipil</w:t>
                          </w:r>
                          <w:r>
                            <w:rPr>
                              <w:spacing w:val="-1"/>
                              <w:sz w:val="18"/>
                              <w:szCs w:val="18"/>
                              <w:lang w:val="id"/>
                            </w:rPr>
                            <w:t>_Bulan dan Tahun Pembuatan_Jumlah Halaman</w:t>
                          </w:r>
                          <w:r w:rsidR="002C7F62">
                            <w:rPr>
                              <w:spacing w:val="-1"/>
                              <w:sz w:val="18"/>
                              <w:szCs w:val="18"/>
                              <w:lang w:val="id"/>
                            </w:rPr>
                            <w:t xml:space="preserve">                                   </w:t>
                          </w:r>
                          <w:r w:rsidR="002F28F9">
                            <w:rPr>
                              <w:spacing w:val="-1"/>
                              <w:sz w:val="18"/>
                              <w:szCs w:val="18"/>
                              <w:lang w:val="id"/>
                            </w:rPr>
                            <w:t>p-ISSN 2252-7699 e-ISSN 2598-5051</w:t>
                          </w:r>
                        </w:p>
                        <w:p w14:paraId="2FD5B332" w14:textId="77777777" w:rsidR="005610E9" w:rsidRDefault="005610E9">
                          <w:pPr>
                            <w:widowControl w:val="0"/>
                            <w:autoSpaceDE w:val="0"/>
                            <w:autoSpaceDN w:val="0"/>
                            <w:adjustRightInd w:val="0"/>
                            <w:spacing w:before="3" w:line="180" w:lineRule="exact"/>
                            <w:rPr>
                              <w:rFonts w:ascii="Verdana" w:hAnsi="Verdana" w:cs="Verdana"/>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085E7E" id="_x0000_t202" coordsize="21600,21600" o:spt="202" path="m,l,21600r21600,l21600,xe">
              <v:stroke joinstyle="miter"/>
              <v:path gradientshapeok="t" o:connecttype="rect"/>
            </v:shapetype>
            <v:shape id="Text Box 4" o:spid="_x0000_s1026" type="#_x0000_t202" style="position:absolute;margin-left:84.65pt;margin-top:19.1pt;width:452.95pt;height:27.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" o:allowincell="f" filled="f" stroked="f">
              <v:textbox inset="0,0,0,0">
                <w:txbxContent>
                  <w:p w14:paraId="411DD087" w14:textId="77777777" w:rsidR="00C47193" w:rsidRPr="00C47193" w:rsidRDefault="00C47193" w:rsidP="00C47193">
                    <w:pPr>
                      <w:widowControl w:val="0"/>
                      <w:autoSpaceDE w:val="0"/>
                      <w:autoSpaceDN w:val="0"/>
                      <w:adjustRightInd w:val="0"/>
                      <w:ind w:right="-15"/>
                      <w:rPr>
                        <w:sz w:val="18"/>
                        <w:szCs w:val="18"/>
                      </w:rPr>
                    </w:pPr>
                    <w:r w:rsidRPr="00C47193">
                      <w:rPr>
                        <w:spacing w:val="-1"/>
                        <w:sz w:val="18"/>
                        <w:szCs w:val="18"/>
                        <w:lang w:val="id"/>
                      </w:rPr>
                      <w:t>Rekayasa Sipil</w:t>
                    </w:r>
                    <w:r>
                      <w:rPr>
                        <w:spacing w:val="-1"/>
                        <w:sz w:val="18"/>
                        <w:szCs w:val="18"/>
                        <w:lang w:val="id"/>
                      </w:rPr>
                      <w:t>_Bulan dan Tahun Pembuatan_Jumlah Halaman</w:t>
                    </w:r>
                    <w:r w:rsidR="002C7F62">
                      <w:rPr>
                        <w:spacing w:val="-1"/>
                        <w:sz w:val="18"/>
                        <w:szCs w:val="18"/>
                        <w:lang w:val="id"/>
                      </w:rPr>
                      <w:t xml:space="preserve">                                   </w:t>
                    </w:r>
                    <w:r w:rsidR="002F28F9">
                      <w:rPr>
                        <w:spacing w:val="-1"/>
                        <w:sz w:val="18"/>
                        <w:szCs w:val="18"/>
                        <w:lang w:val="id"/>
                      </w:rPr>
                      <w:t>p-ISSN 2252-7699 e-ISSN 2598-5051</w:t>
                    </w:r>
                  </w:p>
                  <w:p w14:paraId="2FD5B332" w14:textId="77777777" w:rsidR="005610E9" w:rsidRDefault="005610E9">
                    <w:pPr>
                      <w:widowControl w:val="0"/>
                      <w:autoSpaceDE w:val="0"/>
                      <w:autoSpaceDN w:val="0"/>
                      <w:adjustRightInd w:val="0"/>
                      <w:spacing w:before="3" w:line="180" w:lineRule="exact"/>
                      <w:rPr>
                        <w:rFonts w:ascii="Verdana" w:hAnsi="Verdana" w:cs="Verdana"/>
                        <w:sz w:val="18"/>
                        <w:szCs w:val="18"/>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81CAB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D17E3"/>
    <w:multiLevelType w:val="multilevel"/>
    <w:tmpl w:val="0CF460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1C0431A"/>
    <w:multiLevelType w:val="hybridMultilevel"/>
    <w:tmpl w:val="EDEAEB0E"/>
    <w:lvl w:ilvl="0" w:tplc="25B034E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237107"/>
    <w:multiLevelType w:val="multilevel"/>
    <w:tmpl w:val="E828E2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46E2869"/>
    <w:multiLevelType w:val="hybridMultilevel"/>
    <w:tmpl w:val="0828245A"/>
    <w:lvl w:ilvl="0" w:tplc="3C74BFD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175E10"/>
    <w:multiLevelType w:val="hybridMultilevel"/>
    <w:tmpl w:val="6F0A4D9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F148BA"/>
    <w:multiLevelType w:val="hybridMultilevel"/>
    <w:tmpl w:val="97EA9B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410B9"/>
    <w:multiLevelType w:val="hybridMultilevel"/>
    <w:tmpl w:val="000E8EBE"/>
    <w:lvl w:ilvl="0" w:tplc="A3C2C3B2">
      <w:start w:val="1"/>
      <w:numFmt w:val="upperLetter"/>
      <w:lvlText w:val="%1."/>
      <w:lvlJc w:val="left"/>
      <w:pPr>
        <w:ind w:left="720" w:hanging="675"/>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0B3C326C"/>
    <w:multiLevelType w:val="hybridMultilevel"/>
    <w:tmpl w:val="79E60CD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817DB6"/>
    <w:multiLevelType w:val="multilevel"/>
    <w:tmpl w:val="EE12BF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FFF3C2B"/>
    <w:multiLevelType w:val="multilevel"/>
    <w:tmpl w:val="E0C231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03D7E0A"/>
    <w:multiLevelType w:val="hybridMultilevel"/>
    <w:tmpl w:val="9DAEB94C"/>
    <w:lvl w:ilvl="0" w:tplc="04090013">
      <w:start w:val="1"/>
      <w:numFmt w:val="upperRoman"/>
      <w:lvlText w:val="%1."/>
      <w:lvlJc w:val="righ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9F1857"/>
    <w:multiLevelType w:val="multilevel"/>
    <w:tmpl w:val="D69EF4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2DD4078"/>
    <w:multiLevelType w:val="hybridMultilevel"/>
    <w:tmpl w:val="DECE05AA"/>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9C6192"/>
    <w:multiLevelType w:val="hybridMultilevel"/>
    <w:tmpl w:val="C9684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C069CA"/>
    <w:multiLevelType w:val="multilevel"/>
    <w:tmpl w:val="7B1ECD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495158"/>
    <w:multiLevelType w:val="hybridMultilevel"/>
    <w:tmpl w:val="A808B408"/>
    <w:lvl w:ilvl="0" w:tplc="EED4EDF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2437CBB"/>
    <w:multiLevelType w:val="hybridMultilevel"/>
    <w:tmpl w:val="C4023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DC773E"/>
    <w:multiLevelType w:val="hybridMultilevel"/>
    <w:tmpl w:val="CC2AF3CA"/>
    <w:lvl w:ilvl="0" w:tplc="04090011">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B624D3"/>
    <w:multiLevelType w:val="multilevel"/>
    <w:tmpl w:val="CB74AA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08914CB"/>
    <w:multiLevelType w:val="multilevel"/>
    <w:tmpl w:val="E0EA07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197797F"/>
    <w:multiLevelType w:val="hybridMultilevel"/>
    <w:tmpl w:val="DF50BAEA"/>
    <w:lvl w:ilvl="0" w:tplc="0409000F">
      <w:start w:val="1"/>
      <w:numFmt w:val="decimal"/>
      <w:lvlText w:val="%1."/>
      <w:lvlJc w:val="left"/>
      <w:pPr>
        <w:tabs>
          <w:tab w:val="num" w:pos="720"/>
        </w:tabs>
        <w:ind w:left="720" w:hanging="360"/>
      </w:pPr>
    </w:lvl>
    <w:lvl w:ilvl="1" w:tplc="C80CF28A">
      <w:start w:val="10"/>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3C64EBE"/>
    <w:multiLevelType w:val="hybridMultilevel"/>
    <w:tmpl w:val="0CC2BB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8675A2"/>
    <w:multiLevelType w:val="multilevel"/>
    <w:tmpl w:val="57E8DC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5EF13F8"/>
    <w:multiLevelType w:val="hybridMultilevel"/>
    <w:tmpl w:val="9DAEB94C"/>
    <w:lvl w:ilvl="0" w:tplc="04090013">
      <w:start w:val="1"/>
      <w:numFmt w:val="upperRoman"/>
      <w:lvlText w:val="%1."/>
      <w:lvlJc w:val="righ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FC79C7"/>
    <w:multiLevelType w:val="hybridMultilevel"/>
    <w:tmpl w:val="A32C6770"/>
    <w:lvl w:ilvl="0" w:tplc="C8001FD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4320C3"/>
    <w:multiLevelType w:val="multilevel"/>
    <w:tmpl w:val="0B5049A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BB640E9"/>
    <w:multiLevelType w:val="hybridMultilevel"/>
    <w:tmpl w:val="DA8E0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E857D8"/>
    <w:multiLevelType w:val="multilevel"/>
    <w:tmpl w:val="796CA5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DD07C06"/>
    <w:multiLevelType w:val="hybridMultilevel"/>
    <w:tmpl w:val="A9827FF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4CF4A44"/>
    <w:multiLevelType w:val="hybridMultilevel"/>
    <w:tmpl w:val="D5829DDE"/>
    <w:lvl w:ilvl="0" w:tplc="243EDDAE">
      <w:numFmt w:val="bullet"/>
      <w:lvlText w:val="•"/>
      <w:lvlJc w:val="left"/>
      <w:pPr>
        <w:ind w:left="786" w:hanging="426"/>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3C7857"/>
    <w:multiLevelType w:val="multilevel"/>
    <w:tmpl w:val="DB445D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4067520"/>
    <w:multiLevelType w:val="hybridMultilevel"/>
    <w:tmpl w:val="4DE84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583E16"/>
    <w:multiLevelType w:val="multilevel"/>
    <w:tmpl w:val="115AFE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EED3CCF"/>
    <w:multiLevelType w:val="hybridMultilevel"/>
    <w:tmpl w:val="FD2C0464"/>
    <w:lvl w:ilvl="0" w:tplc="04090011">
      <w:start w:val="1"/>
      <w:numFmt w:val="decimal"/>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35" w15:restartNumberingAfterBreak="0">
    <w:nsid w:val="6F5E49F9"/>
    <w:multiLevelType w:val="multilevel"/>
    <w:tmpl w:val="474E04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3B66A2"/>
    <w:multiLevelType w:val="hybridMultilevel"/>
    <w:tmpl w:val="7A2A0DA8"/>
    <w:lvl w:ilvl="0" w:tplc="F17CC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DF7AC4"/>
    <w:multiLevelType w:val="hybridMultilevel"/>
    <w:tmpl w:val="F9D068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CA0443"/>
    <w:multiLevelType w:val="multilevel"/>
    <w:tmpl w:val="724679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ABF49E7"/>
    <w:multiLevelType w:val="hybridMultilevel"/>
    <w:tmpl w:val="B9A0A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4F71FF"/>
    <w:multiLevelType w:val="multilevel"/>
    <w:tmpl w:val="19F638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F0B1608"/>
    <w:multiLevelType w:val="hybridMultilevel"/>
    <w:tmpl w:val="D5B89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27"/>
  </w:num>
  <w:num w:numId="5">
    <w:abstractNumId w:val="25"/>
  </w:num>
  <w:num w:numId="6">
    <w:abstractNumId w:val="8"/>
  </w:num>
  <w:num w:numId="7">
    <w:abstractNumId w:val="5"/>
  </w:num>
  <w:num w:numId="8">
    <w:abstractNumId w:val="34"/>
  </w:num>
  <w:num w:numId="9">
    <w:abstractNumId w:val="22"/>
  </w:num>
  <w:num w:numId="10">
    <w:abstractNumId w:val="6"/>
  </w:num>
  <w:num w:numId="11">
    <w:abstractNumId w:val="21"/>
  </w:num>
  <w:num w:numId="12">
    <w:abstractNumId w:val="29"/>
  </w:num>
  <w:num w:numId="13">
    <w:abstractNumId w:val="2"/>
  </w:num>
  <w:num w:numId="14">
    <w:abstractNumId w:val="41"/>
  </w:num>
  <w:num w:numId="15">
    <w:abstractNumId w:val="24"/>
  </w:num>
  <w:num w:numId="16">
    <w:abstractNumId w:val="36"/>
  </w:num>
  <w:num w:numId="17">
    <w:abstractNumId w:val="14"/>
  </w:num>
  <w:num w:numId="18">
    <w:abstractNumId w:val="13"/>
  </w:num>
  <w:num w:numId="19">
    <w:abstractNumId w:val="39"/>
  </w:num>
  <w:num w:numId="20">
    <w:abstractNumId w:val="17"/>
  </w:num>
  <w:num w:numId="21">
    <w:abstractNumId w:val="16"/>
  </w:num>
  <w:num w:numId="22">
    <w:abstractNumId w:val="9"/>
  </w:num>
  <w:num w:numId="23">
    <w:abstractNumId w:val="1"/>
  </w:num>
  <w:num w:numId="24">
    <w:abstractNumId w:val="19"/>
  </w:num>
  <w:num w:numId="25">
    <w:abstractNumId w:val="33"/>
  </w:num>
  <w:num w:numId="26">
    <w:abstractNumId w:val="38"/>
  </w:num>
  <w:num w:numId="27">
    <w:abstractNumId w:val="20"/>
  </w:num>
  <w:num w:numId="28">
    <w:abstractNumId w:val="26"/>
  </w:num>
  <w:num w:numId="29">
    <w:abstractNumId w:val="37"/>
  </w:num>
  <w:num w:numId="30">
    <w:abstractNumId w:val="32"/>
  </w:num>
  <w:num w:numId="31">
    <w:abstractNumId w:val="30"/>
  </w:num>
  <w:num w:numId="32">
    <w:abstractNumId w:val="3"/>
  </w:num>
  <w:num w:numId="33">
    <w:abstractNumId w:val="15"/>
  </w:num>
  <w:num w:numId="34">
    <w:abstractNumId w:val="23"/>
  </w:num>
  <w:num w:numId="35">
    <w:abstractNumId w:val="10"/>
  </w:num>
  <w:num w:numId="36">
    <w:abstractNumId w:val="40"/>
  </w:num>
  <w:num w:numId="37">
    <w:abstractNumId w:val="28"/>
  </w:num>
  <w:num w:numId="38">
    <w:abstractNumId w:val="35"/>
  </w:num>
  <w:num w:numId="39">
    <w:abstractNumId w:val="31"/>
  </w:num>
  <w:num w:numId="40">
    <w:abstractNumId w:val="12"/>
  </w:num>
  <w:num w:numId="41">
    <w:abstractNumId w:val="11"/>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BF1"/>
    <w:rsid w:val="00001ACB"/>
    <w:rsid w:val="000110FF"/>
    <w:rsid w:val="000275E7"/>
    <w:rsid w:val="00033901"/>
    <w:rsid w:val="000365E4"/>
    <w:rsid w:val="00037AA7"/>
    <w:rsid w:val="0004043B"/>
    <w:rsid w:val="00041EB3"/>
    <w:rsid w:val="00050041"/>
    <w:rsid w:val="00050E97"/>
    <w:rsid w:val="0005131D"/>
    <w:rsid w:val="000624FE"/>
    <w:rsid w:val="00062806"/>
    <w:rsid w:val="00063063"/>
    <w:rsid w:val="00076EF6"/>
    <w:rsid w:val="000815AA"/>
    <w:rsid w:val="000821A6"/>
    <w:rsid w:val="000962D6"/>
    <w:rsid w:val="0009720B"/>
    <w:rsid w:val="00097BFC"/>
    <w:rsid w:val="000A4C30"/>
    <w:rsid w:val="000B234E"/>
    <w:rsid w:val="000B6324"/>
    <w:rsid w:val="000B7903"/>
    <w:rsid w:val="000D5E21"/>
    <w:rsid w:val="000E5584"/>
    <w:rsid w:val="000F26F3"/>
    <w:rsid w:val="000F3D8D"/>
    <w:rsid w:val="0010140D"/>
    <w:rsid w:val="00107550"/>
    <w:rsid w:val="00107875"/>
    <w:rsid w:val="00107B68"/>
    <w:rsid w:val="0011406A"/>
    <w:rsid w:val="00116A7A"/>
    <w:rsid w:val="00130F3B"/>
    <w:rsid w:val="0013129D"/>
    <w:rsid w:val="001362D7"/>
    <w:rsid w:val="00140EE8"/>
    <w:rsid w:val="001422CE"/>
    <w:rsid w:val="00146854"/>
    <w:rsid w:val="0014734A"/>
    <w:rsid w:val="0015038A"/>
    <w:rsid w:val="0015088C"/>
    <w:rsid w:val="001568A5"/>
    <w:rsid w:val="001705EF"/>
    <w:rsid w:val="00172BE0"/>
    <w:rsid w:val="001754D3"/>
    <w:rsid w:val="00175B7B"/>
    <w:rsid w:val="0018378E"/>
    <w:rsid w:val="00187484"/>
    <w:rsid w:val="00197122"/>
    <w:rsid w:val="001A499D"/>
    <w:rsid w:val="001B5030"/>
    <w:rsid w:val="001B734B"/>
    <w:rsid w:val="001C536D"/>
    <w:rsid w:val="001D53FB"/>
    <w:rsid w:val="001E5DA9"/>
    <w:rsid w:val="001E7EFF"/>
    <w:rsid w:val="001F6C61"/>
    <w:rsid w:val="00221745"/>
    <w:rsid w:val="00222431"/>
    <w:rsid w:val="0023069A"/>
    <w:rsid w:val="0023449A"/>
    <w:rsid w:val="00234E12"/>
    <w:rsid w:val="00255AB2"/>
    <w:rsid w:val="00255B29"/>
    <w:rsid w:val="00261973"/>
    <w:rsid w:val="00264DFF"/>
    <w:rsid w:val="00270477"/>
    <w:rsid w:val="002750CF"/>
    <w:rsid w:val="00286BE2"/>
    <w:rsid w:val="00291781"/>
    <w:rsid w:val="00295B6E"/>
    <w:rsid w:val="002A6EE2"/>
    <w:rsid w:val="002B6363"/>
    <w:rsid w:val="002B709C"/>
    <w:rsid w:val="002C031A"/>
    <w:rsid w:val="002C7F62"/>
    <w:rsid w:val="002D0E67"/>
    <w:rsid w:val="002D66BF"/>
    <w:rsid w:val="002F00F3"/>
    <w:rsid w:val="002F1E92"/>
    <w:rsid w:val="002F2682"/>
    <w:rsid w:val="002F28F9"/>
    <w:rsid w:val="002F3800"/>
    <w:rsid w:val="003152F8"/>
    <w:rsid w:val="00317E90"/>
    <w:rsid w:val="00322FCD"/>
    <w:rsid w:val="0033078E"/>
    <w:rsid w:val="00330D00"/>
    <w:rsid w:val="003341A2"/>
    <w:rsid w:val="00343F86"/>
    <w:rsid w:val="00381127"/>
    <w:rsid w:val="00387598"/>
    <w:rsid w:val="00390778"/>
    <w:rsid w:val="00393FA1"/>
    <w:rsid w:val="003B3C53"/>
    <w:rsid w:val="003B56A6"/>
    <w:rsid w:val="003C1F96"/>
    <w:rsid w:val="003C2D7A"/>
    <w:rsid w:val="003C7CB3"/>
    <w:rsid w:val="003D3231"/>
    <w:rsid w:val="003D3BB7"/>
    <w:rsid w:val="003D6ED5"/>
    <w:rsid w:val="003E4D35"/>
    <w:rsid w:val="003E561B"/>
    <w:rsid w:val="003E6A2E"/>
    <w:rsid w:val="003F0713"/>
    <w:rsid w:val="003F12F9"/>
    <w:rsid w:val="00401FD1"/>
    <w:rsid w:val="004125F3"/>
    <w:rsid w:val="00422B61"/>
    <w:rsid w:val="004340C7"/>
    <w:rsid w:val="0043739F"/>
    <w:rsid w:val="0044115C"/>
    <w:rsid w:val="00444646"/>
    <w:rsid w:val="00450F99"/>
    <w:rsid w:val="00465085"/>
    <w:rsid w:val="0046542F"/>
    <w:rsid w:val="004808CE"/>
    <w:rsid w:val="00493347"/>
    <w:rsid w:val="00493FE8"/>
    <w:rsid w:val="004963C8"/>
    <w:rsid w:val="004A0F40"/>
    <w:rsid w:val="004A462F"/>
    <w:rsid w:val="004A65E9"/>
    <w:rsid w:val="004A6F99"/>
    <w:rsid w:val="004D0F17"/>
    <w:rsid w:val="004E1EAF"/>
    <w:rsid w:val="004E3567"/>
    <w:rsid w:val="004E5674"/>
    <w:rsid w:val="004E7C87"/>
    <w:rsid w:val="00520960"/>
    <w:rsid w:val="00526682"/>
    <w:rsid w:val="00532E9B"/>
    <w:rsid w:val="00533D1A"/>
    <w:rsid w:val="00536868"/>
    <w:rsid w:val="00537836"/>
    <w:rsid w:val="00546673"/>
    <w:rsid w:val="005469F8"/>
    <w:rsid w:val="00555D3D"/>
    <w:rsid w:val="005610E9"/>
    <w:rsid w:val="005715D0"/>
    <w:rsid w:val="00577C7F"/>
    <w:rsid w:val="00577CD0"/>
    <w:rsid w:val="005836A3"/>
    <w:rsid w:val="0059154F"/>
    <w:rsid w:val="00596743"/>
    <w:rsid w:val="00597050"/>
    <w:rsid w:val="005A0298"/>
    <w:rsid w:val="005A145E"/>
    <w:rsid w:val="005A4C1D"/>
    <w:rsid w:val="005A7AA9"/>
    <w:rsid w:val="005B06DF"/>
    <w:rsid w:val="005B2DE5"/>
    <w:rsid w:val="005B6E41"/>
    <w:rsid w:val="005C0289"/>
    <w:rsid w:val="005C414C"/>
    <w:rsid w:val="005C5A7D"/>
    <w:rsid w:val="005C7822"/>
    <w:rsid w:val="005D2777"/>
    <w:rsid w:val="005D50A0"/>
    <w:rsid w:val="005F3B80"/>
    <w:rsid w:val="005F43CA"/>
    <w:rsid w:val="005F44E7"/>
    <w:rsid w:val="005F76AE"/>
    <w:rsid w:val="00601D12"/>
    <w:rsid w:val="0060554E"/>
    <w:rsid w:val="006107FF"/>
    <w:rsid w:val="00621AC7"/>
    <w:rsid w:val="00621AF2"/>
    <w:rsid w:val="0062510F"/>
    <w:rsid w:val="00625EC2"/>
    <w:rsid w:val="006263ED"/>
    <w:rsid w:val="00637412"/>
    <w:rsid w:val="006479F1"/>
    <w:rsid w:val="00661803"/>
    <w:rsid w:val="00664329"/>
    <w:rsid w:val="006653EF"/>
    <w:rsid w:val="006669DE"/>
    <w:rsid w:val="00693FA2"/>
    <w:rsid w:val="00695E5E"/>
    <w:rsid w:val="006A5B46"/>
    <w:rsid w:val="006B5E6A"/>
    <w:rsid w:val="006B7AA9"/>
    <w:rsid w:val="006C2AC6"/>
    <w:rsid w:val="006D3E71"/>
    <w:rsid w:val="006E30A4"/>
    <w:rsid w:val="006E3A62"/>
    <w:rsid w:val="006E6B86"/>
    <w:rsid w:val="006F4B56"/>
    <w:rsid w:val="006F6C82"/>
    <w:rsid w:val="00704987"/>
    <w:rsid w:val="00705810"/>
    <w:rsid w:val="00707FEC"/>
    <w:rsid w:val="00713435"/>
    <w:rsid w:val="007135EB"/>
    <w:rsid w:val="00717D24"/>
    <w:rsid w:val="007263A2"/>
    <w:rsid w:val="00740563"/>
    <w:rsid w:val="00753F8F"/>
    <w:rsid w:val="00765422"/>
    <w:rsid w:val="0077785A"/>
    <w:rsid w:val="007A13C0"/>
    <w:rsid w:val="007A2BBA"/>
    <w:rsid w:val="007C20C3"/>
    <w:rsid w:val="007C7F0A"/>
    <w:rsid w:val="007D0062"/>
    <w:rsid w:val="007D1E37"/>
    <w:rsid w:val="007D2BF1"/>
    <w:rsid w:val="007D38CC"/>
    <w:rsid w:val="007D3C16"/>
    <w:rsid w:val="007D5F55"/>
    <w:rsid w:val="007F381B"/>
    <w:rsid w:val="00801948"/>
    <w:rsid w:val="00810374"/>
    <w:rsid w:val="00815C90"/>
    <w:rsid w:val="00815EDB"/>
    <w:rsid w:val="008173CE"/>
    <w:rsid w:val="008252B2"/>
    <w:rsid w:val="00825AB2"/>
    <w:rsid w:val="00825ACE"/>
    <w:rsid w:val="00825D22"/>
    <w:rsid w:val="00827E60"/>
    <w:rsid w:val="00841D44"/>
    <w:rsid w:val="00862916"/>
    <w:rsid w:val="0086350F"/>
    <w:rsid w:val="00865FD2"/>
    <w:rsid w:val="008755B2"/>
    <w:rsid w:val="00881746"/>
    <w:rsid w:val="00895E34"/>
    <w:rsid w:val="008C3930"/>
    <w:rsid w:val="008C7892"/>
    <w:rsid w:val="008D451A"/>
    <w:rsid w:val="008E40AA"/>
    <w:rsid w:val="008E702A"/>
    <w:rsid w:val="00905543"/>
    <w:rsid w:val="00905658"/>
    <w:rsid w:val="00907F35"/>
    <w:rsid w:val="00913B2C"/>
    <w:rsid w:val="009330CB"/>
    <w:rsid w:val="0094020D"/>
    <w:rsid w:val="00942607"/>
    <w:rsid w:val="0094403D"/>
    <w:rsid w:val="0094455A"/>
    <w:rsid w:val="00945DDA"/>
    <w:rsid w:val="0094734D"/>
    <w:rsid w:val="009557F3"/>
    <w:rsid w:val="00965727"/>
    <w:rsid w:val="0096626A"/>
    <w:rsid w:val="00967F1C"/>
    <w:rsid w:val="009727AD"/>
    <w:rsid w:val="00986181"/>
    <w:rsid w:val="009962B5"/>
    <w:rsid w:val="009A051B"/>
    <w:rsid w:val="009A5618"/>
    <w:rsid w:val="009A745C"/>
    <w:rsid w:val="009B2C2A"/>
    <w:rsid w:val="009B391B"/>
    <w:rsid w:val="009B7769"/>
    <w:rsid w:val="009C1B5C"/>
    <w:rsid w:val="009E0D75"/>
    <w:rsid w:val="009E64DD"/>
    <w:rsid w:val="009E7AA6"/>
    <w:rsid w:val="00A05ACC"/>
    <w:rsid w:val="00A16D90"/>
    <w:rsid w:val="00A17652"/>
    <w:rsid w:val="00A27D85"/>
    <w:rsid w:val="00A3712E"/>
    <w:rsid w:val="00A435F6"/>
    <w:rsid w:val="00A4418C"/>
    <w:rsid w:val="00A4610C"/>
    <w:rsid w:val="00A52896"/>
    <w:rsid w:val="00A603DB"/>
    <w:rsid w:val="00A6448A"/>
    <w:rsid w:val="00A70E0D"/>
    <w:rsid w:val="00A802E4"/>
    <w:rsid w:val="00A83962"/>
    <w:rsid w:val="00AA3296"/>
    <w:rsid w:val="00AB0459"/>
    <w:rsid w:val="00AC5F5A"/>
    <w:rsid w:val="00AD0B6F"/>
    <w:rsid w:val="00AD158A"/>
    <w:rsid w:val="00AD2012"/>
    <w:rsid w:val="00AD3046"/>
    <w:rsid w:val="00AE0746"/>
    <w:rsid w:val="00AE29B3"/>
    <w:rsid w:val="00AE5A2B"/>
    <w:rsid w:val="00AE61AB"/>
    <w:rsid w:val="00AE68DE"/>
    <w:rsid w:val="00AE7D75"/>
    <w:rsid w:val="00AF1FBD"/>
    <w:rsid w:val="00B06D28"/>
    <w:rsid w:val="00B07448"/>
    <w:rsid w:val="00B127EB"/>
    <w:rsid w:val="00B24087"/>
    <w:rsid w:val="00B31577"/>
    <w:rsid w:val="00B33BA4"/>
    <w:rsid w:val="00B413BE"/>
    <w:rsid w:val="00B536DB"/>
    <w:rsid w:val="00B61584"/>
    <w:rsid w:val="00B90600"/>
    <w:rsid w:val="00B945E3"/>
    <w:rsid w:val="00B95546"/>
    <w:rsid w:val="00B97C9B"/>
    <w:rsid w:val="00BA3B54"/>
    <w:rsid w:val="00BB3924"/>
    <w:rsid w:val="00BB4776"/>
    <w:rsid w:val="00BB7002"/>
    <w:rsid w:val="00BC3E0F"/>
    <w:rsid w:val="00BD03E9"/>
    <w:rsid w:val="00BE53E5"/>
    <w:rsid w:val="00BE5419"/>
    <w:rsid w:val="00BE5F7E"/>
    <w:rsid w:val="00BF09CD"/>
    <w:rsid w:val="00C07F18"/>
    <w:rsid w:val="00C174FA"/>
    <w:rsid w:val="00C217F0"/>
    <w:rsid w:val="00C26E87"/>
    <w:rsid w:val="00C26FD4"/>
    <w:rsid w:val="00C47193"/>
    <w:rsid w:val="00C476F5"/>
    <w:rsid w:val="00C47E36"/>
    <w:rsid w:val="00C52838"/>
    <w:rsid w:val="00C6501A"/>
    <w:rsid w:val="00C70218"/>
    <w:rsid w:val="00C75E9B"/>
    <w:rsid w:val="00C77C26"/>
    <w:rsid w:val="00C81C3C"/>
    <w:rsid w:val="00C825EE"/>
    <w:rsid w:val="00C86C07"/>
    <w:rsid w:val="00C97362"/>
    <w:rsid w:val="00CA4898"/>
    <w:rsid w:val="00CB5C0F"/>
    <w:rsid w:val="00CB7203"/>
    <w:rsid w:val="00CC03F3"/>
    <w:rsid w:val="00CC07D4"/>
    <w:rsid w:val="00CC0E64"/>
    <w:rsid w:val="00CC2B8F"/>
    <w:rsid w:val="00CC543D"/>
    <w:rsid w:val="00CC789B"/>
    <w:rsid w:val="00CD0F8E"/>
    <w:rsid w:val="00CD5F31"/>
    <w:rsid w:val="00CF4B89"/>
    <w:rsid w:val="00CF5A51"/>
    <w:rsid w:val="00CF7611"/>
    <w:rsid w:val="00D11114"/>
    <w:rsid w:val="00D16BF0"/>
    <w:rsid w:val="00D200BB"/>
    <w:rsid w:val="00D20AFE"/>
    <w:rsid w:val="00D222E9"/>
    <w:rsid w:val="00D22920"/>
    <w:rsid w:val="00D23751"/>
    <w:rsid w:val="00D26096"/>
    <w:rsid w:val="00D26DA9"/>
    <w:rsid w:val="00D27D94"/>
    <w:rsid w:val="00D3126A"/>
    <w:rsid w:val="00D44F0B"/>
    <w:rsid w:val="00D473E3"/>
    <w:rsid w:val="00D6390E"/>
    <w:rsid w:val="00D647AC"/>
    <w:rsid w:val="00D762F4"/>
    <w:rsid w:val="00D77BE7"/>
    <w:rsid w:val="00D80987"/>
    <w:rsid w:val="00D812E2"/>
    <w:rsid w:val="00D818E9"/>
    <w:rsid w:val="00D84C81"/>
    <w:rsid w:val="00D86544"/>
    <w:rsid w:val="00D87979"/>
    <w:rsid w:val="00D95E14"/>
    <w:rsid w:val="00D97AD9"/>
    <w:rsid w:val="00DA61FC"/>
    <w:rsid w:val="00DA6EF5"/>
    <w:rsid w:val="00DA706C"/>
    <w:rsid w:val="00DD3B97"/>
    <w:rsid w:val="00DE621A"/>
    <w:rsid w:val="00E00711"/>
    <w:rsid w:val="00E034C3"/>
    <w:rsid w:val="00E13AD4"/>
    <w:rsid w:val="00E14274"/>
    <w:rsid w:val="00E1728F"/>
    <w:rsid w:val="00E27BFD"/>
    <w:rsid w:val="00E374DB"/>
    <w:rsid w:val="00E43887"/>
    <w:rsid w:val="00E44499"/>
    <w:rsid w:val="00E4616E"/>
    <w:rsid w:val="00E46A24"/>
    <w:rsid w:val="00E473A3"/>
    <w:rsid w:val="00E4774F"/>
    <w:rsid w:val="00E578CA"/>
    <w:rsid w:val="00E66206"/>
    <w:rsid w:val="00E703E1"/>
    <w:rsid w:val="00E8329D"/>
    <w:rsid w:val="00E87618"/>
    <w:rsid w:val="00E91D50"/>
    <w:rsid w:val="00E964D0"/>
    <w:rsid w:val="00E96D19"/>
    <w:rsid w:val="00EA0AF7"/>
    <w:rsid w:val="00EA1C69"/>
    <w:rsid w:val="00EA3531"/>
    <w:rsid w:val="00EA6BCA"/>
    <w:rsid w:val="00EA7644"/>
    <w:rsid w:val="00EA7B1D"/>
    <w:rsid w:val="00EB4B0F"/>
    <w:rsid w:val="00EC60EF"/>
    <w:rsid w:val="00EF45B5"/>
    <w:rsid w:val="00F06298"/>
    <w:rsid w:val="00F06BBC"/>
    <w:rsid w:val="00F13C2C"/>
    <w:rsid w:val="00F13D5F"/>
    <w:rsid w:val="00F14B3C"/>
    <w:rsid w:val="00F22C06"/>
    <w:rsid w:val="00F24852"/>
    <w:rsid w:val="00F33777"/>
    <w:rsid w:val="00F35AB5"/>
    <w:rsid w:val="00F42AE8"/>
    <w:rsid w:val="00F50D1D"/>
    <w:rsid w:val="00F54EB7"/>
    <w:rsid w:val="00F613AD"/>
    <w:rsid w:val="00F82159"/>
    <w:rsid w:val="00F93740"/>
    <w:rsid w:val="00F95BEC"/>
    <w:rsid w:val="00F96195"/>
    <w:rsid w:val="00F97150"/>
    <w:rsid w:val="00FA6010"/>
    <w:rsid w:val="00FA73CA"/>
    <w:rsid w:val="00FB0184"/>
    <w:rsid w:val="00FB2E89"/>
    <w:rsid w:val="00FC571A"/>
    <w:rsid w:val="00FD2B20"/>
    <w:rsid w:val="00FE08D5"/>
    <w:rsid w:val="00FE30A8"/>
    <w:rsid w:val="00FE562C"/>
    <w:rsid w:val="00FE700F"/>
    <w:rsid w:val="00FE7620"/>
    <w:rsid w:val="00FF090C"/>
    <w:rsid w:val="00FF0E26"/>
    <w:rsid w:val="00FF3403"/>
    <w:rsid w:val="00FF5719"/>
    <w:rsid w:val="00FF5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5788AF"/>
  <w14:defaultImageDpi w14:val="300"/>
  <w15:docId w15:val="{84585F23-F2B9-4805-939C-92AF506CA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F7E"/>
  </w:style>
  <w:style w:type="paragraph" w:styleId="Heading1">
    <w:name w:val="heading 1"/>
    <w:basedOn w:val="Normal"/>
    <w:next w:val="Normal"/>
    <w:link w:val="Heading1Char"/>
    <w:uiPriority w:val="9"/>
    <w:qFormat/>
    <w:rsid w:val="0033078E"/>
    <w:pPr>
      <w:keepNext/>
      <w:spacing w:before="240" w:after="80"/>
      <w:ind w:left="851" w:hanging="360"/>
      <w:jc w:val="center"/>
      <w:outlineLvl w:val="0"/>
    </w:pPr>
    <w:rPr>
      <w:rFonts w:eastAsia="MS Mincho"/>
      <w:smallCaps/>
      <w:kern w:val="28"/>
    </w:rPr>
  </w:style>
  <w:style w:type="paragraph" w:styleId="Heading2">
    <w:name w:val="heading 2"/>
    <w:basedOn w:val="Normal"/>
    <w:next w:val="Normal"/>
    <w:link w:val="Heading2Char"/>
    <w:uiPriority w:val="9"/>
    <w:unhideWhenUsed/>
    <w:qFormat/>
    <w:rsid w:val="000E5584"/>
    <w:pPr>
      <w:keepNext/>
      <w:keepLines/>
      <w:widowControl w:val="0"/>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0C3"/>
    <w:pPr>
      <w:tabs>
        <w:tab w:val="center" w:pos="4320"/>
        <w:tab w:val="right" w:pos="8640"/>
      </w:tabs>
    </w:pPr>
  </w:style>
  <w:style w:type="character" w:customStyle="1" w:styleId="HeaderChar">
    <w:name w:val="Header Char"/>
    <w:basedOn w:val="DefaultParagraphFont"/>
    <w:link w:val="Header"/>
    <w:uiPriority w:val="99"/>
    <w:rsid w:val="007C20C3"/>
  </w:style>
  <w:style w:type="paragraph" w:styleId="Footer">
    <w:name w:val="footer"/>
    <w:basedOn w:val="Normal"/>
    <w:link w:val="FooterChar"/>
    <w:uiPriority w:val="99"/>
    <w:unhideWhenUsed/>
    <w:rsid w:val="007C20C3"/>
    <w:pPr>
      <w:tabs>
        <w:tab w:val="center" w:pos="4320"/>
        <w:tab w:val="right" w:pos="8640"/>
      </w:tabs>
    </w:pPr>
  </w:style>
  <w:style w:type="character" w:customStyle="1" w:styleId="FooterChar">
    <w:name w:val="Footer Char"/>
    <w:basedOn w:val="DefaultParagraphFont"/>
    <w:link w:val="Footer"/>
    <w:uiPriority w:val="99"/>
    <w:rsid w:val="007C20C3"/>
  </w:style>
  <w:style w:type="paragraph" w:customStyle="1" w:styleId="IEEEreference">
    <w:name w:val="IEEE reference"/>
    <w:basedOn w:val="Normal"/>
    <w:rsid w:val="00A16D90"/>
    <w:rPr>
      <w:rFonts w:eastAsia="SimSun"/>
      <w:sz w:val="24"/>
      <w:szCs w:val="24"/>
      <w:lang w:val="en-AU" w:eastAsia="zh-CN"/>
    </w:rPr>
  </w:style>
  <w:style w:type="paragraph" w:styleId="NoSpacing">
    <w:name w:val="No Spacing"/>
    <w:link w:val="NoSpacingChar"/>
    <w:qFormat/>
    <w:rsid w:val="000962D6"/>
    <w:rPr>
      <w:rFonts w:eastAsia="Calibri"/>
      <w:sz w:val="24"/>
      <w:szCs w:val="22"/>
    </w:rPr>
  </w:style>
  <w:style w:type="table" w:styleId="TableGrid">
    <w:name w:val="Table Grid"/>
    <w:basedOn w:val="TableNormal"/>
    <w:uiPriority w:val="59"/>
    <w:rsid w:val="000962D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62D6"/>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221745"/>
    <w:rPr>
      <w:rFonts w:ascii="Tahoma" w:hAnsi="Tahoma" w:cs="Tahoma"/>
      <w:sz w:val="16"/>
      <w:szCs w:val="16"/>
    </w:rPr>
  </w:style>
  <w:style w:type="character" w:customStyle="1" w:styleId="BalloonTextChar">
    <w:name w:val="Balloon Text Char"/>
    <w:link w:val="BalloonText"/>
    <w:uiPriority w:val="99"/>
    <w:semiHidden/>
    <w:rsid w:val="00221745"/>
    <w:rPr>
      <w:rFonts w:ascii="Tahoma" w:hAnsi="Tahoma" w:cs="Tahoma"/>
      <w:sz w:val="16"/>
      <w:szCs w:val="16"/>
    </w:rPr>
  </w:style>
  <w:style w:type="character" w:customStyle="1" w:styleId="apple-converted-space">
    <w:name w:val="apple-converted-space"/>
    <w:rsid w:val="00C52838"/>
  </w:style>
  <w:style w:type="paragraph" w:styleId="ListParagraph">
    <w:name w:val="List Paragraph"/>
    <w:basedOn w:val="Normal"/>
    <w:link w:val="ListParagraphChar"/>
    <w:uiPriority w:val="34"/>
    <w:qFormat/>
    <w:rsid w:val="003D3BB7"/>
    <w:pPr>
      <w:ind w:left="720"/>
    </w:pPr>
    <w:rPr>
      <w:sz w:val="24"/>
      <w:szCs w:val="24"/>
    </w:rPr>
  </w:style>
  <w:style w:type="character" w:customStyle="1" w:styleId="ListParagraphChar">
    <w:name w:val="List Paragraph Char"/>
    <w:link w:val="ListParagraph"/>
    <w:uiPriority w:val="34"/>
    <w:rsid w:val="003D3BB7"/>
    <w:rPr>
      <w:sz w:val="24"/>
      <w:szCs w:val="24"/>
    </w:rPr>
  </w:style>
  <w:style w:type="paragraph" w:customStyle="1" w:styleId="WP">
    <w:name w:val="WP_標準"/>
    <w:basedOn w:val="Normal"/>
    <w:rsid w:val="003D3BB7"/>
    <w:pPr>
      <w:widowControl w:val="0"/>
      <w:autoSpaceDE w:val="0"/>
      <w:autoSpaceDN w:val="0"/>
      <w:adjustRightInd w:val="0"/>
      <w:textAlignment w:val="baseline"/>
    </w:pPr>
    <w:rPr>
      <w:rFonts w:eastAsia="MS Mincho" w:cs="平成明朝"/>
      <w:lang w:eastAsia="ja-JP"/>
    </w:rPr>
  </w:style>
  <w:style w:type="character" w:customStyle="1" w:styleId="NoSpacingChar">
    <w:name w:val="No Spacing Char"/>
    <w:link w:val="NoSpacing"/>
    <w:locked/>
    <w:rsid w:val="00A802E4"/>
    <w:rPr>
      <w:rFonts w:eastAsia="Calibri"/>
      <w:sz w:val="24"/>
      <w:szCs w:val="22"/>
    </w:rPr>
  </w:style>
  <w:style w:type="character" w:customStyle="1" w:styleId="longtext">
    <w:name w:val="long_text"/>
    <w:rsid w:val="00393FA1"/>
  </w:style>
  <w:style w:type="character" w:customStyle="1" w:styleId="Heading1Char">
    <w:name w:val="Heading 1 Char"/>
    <w:link w:val="Heading1"/>
    <w:uiPriority w:val="9"/>
    <w:rsid w:val="0033078E"/>
    <w:rPr>
      <w:rFonts w:eastAsia="MS Mincho"/>
      <w:smallCaps/>
      <w:kern w:val="28"/>
    </w:rPr>
  </w:style>
  <w:style w:type="paragraph" w:styleId="HTMLPreformatted">
    <w:name w:val="HTML Preformatted"/>
    <w:basedOn w:val="Normal"/>
    <w:link w:val="HTMLPreformattedChar"/>
    <w:uiPriority w:val="99"/>
    <w:unhideWhenUsed/>
    <w:rsid w:val="00B97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eastAsia="id-ID"/>
    </w:rPr>
  </w:style>
  <w:style w:type="character" w:customStyle="1" w:styleId="HTMLPreformattedChar">
    <w:name w:val="HTML Preformatted Char"/>
    <w:link w:val="HTMLPreformatted"/>
    <w:uiPriority w:val="99"/>
    <w:rsid w:val="00B97C9B"/>
    <w:rPr>
      <w:rFonts w:ascii="Courier New" w:hAnsi="Courier New" w:cs="Courier New"/>
    </w:rPr>
  </w:style>
  <w:style w:type="character" w:styleId="Hyperlink">
    <w:name w:val="Hyperlink"/>
    <w:uiPriority w:val="99"/>
    <w:unhideWhenUsed/>
    <w:rsid w:val="00CA4898"/>
    <w:rPr>
      <w:color w:val="0000FF"/>
      <w:u w:val="single"/>
    </w:rPr>
  </w:style>
  <w:style w:type="character" w:customStyle="1" w:styleId="UnresolvedMention1">
    <w:name w:val="Unresolved Mention1"/>
    <w:uiPriority w:val="99"/>
    <w:semiHidden/>
    <w:unhideWhenUsed/>
    <w:rsid w:val="00261973"/>
    <w:rPr>
      <w:color w:val="605E5C"/>
      <w:shd w:val="clear" w:color="auto" w:fill="E1DFDD"/>
    </w:rPr>
  </w:style>
  <w:style w:type="paragraph" w:styleId="FootnoteText">
    <w:name w:val="footnote text"/>
    <w:basedOn w:val="Normal"/>
    <w:link w:val="FootnoteTextChar"/>
    <w:uiPriority w:val="99"/>
    <w:semiHidden/>
    <w:unhideWhenUsed/>
    <w:rsid w:val="00041EB3"/>
  </w:style>
  <w:style w:type="character" w:customStyle="1" w:styleId="FootnoteTextChar">
    <w:name w:val="Footnote Text Char"/>
    <w:basedOn w:val="DefaultParagraphFont"/>
    <w:link w:val="FootnoteText"/>
    <w:uiPriority w:val="99"/>
    <w:semiHidden/>
    <w:rsid w:val="00041EB3"/>
  </w:style>
  <w:style w:type="character" w:styleId="FootnoteReference">
    <w:name w:val="footnote reference"/>
    <w:uiPriority w:val="99"/>
    <w:semiHidden/>
    <w:unhideWhenUsed/>
    <w:rsid w:val="00041EB3"/>
    <w:rPr>
      <w:vertAlign w:val="superscript"/>
    </w:rPr>
  </w:style>
  <w:style w:type="paragraph" w:styleId="EndnoteText">
    <w:name w:val="endnote text"/>
    <w:basedOn w:val="Normal"/>
    <w:link w:val="EndnoteTextChar"/>
    <w:uiPriority w:val="99"/>
    <w:semiHidden/>
    <w:unhideWhenUsed/>
    <w:rsid w:val="00041EB3"/>
  </w:style>
  <w:style w:type="character" w:customStyle="1" w:styleId="EndnoteTextChar">
    <w:name w:val="Endnote Text Char"/>
    <w:basedOn w:val="DefaultParagraphFont"/>
    <w:link w:val="EndnoteText"/>
    <w:uiPriority w:val="99"/>
    <w:semiHidden/>
    <w:rsid w:val="00041EB3"/>
  </w:style>
  <w:style w:type="character" w:styleId="EndnoteReference">
    <w:name w:val="endnote reference"/>
    <w:uiPriority w:val="99"/>
    <w:semiHidden/>
    <w:unhideWhenUsed/>
    <w:rsid w:val="00041EB3"/>
    <w:rPr>
      <w:vertAlign w:val="superscript"/>
    </w:rPr>
  </w:style>
  <w:style w:type="character" w:styleId="PlaceholderText">
    <w:name w:val="Placeholder Text"/>
    <w:basedOn w:val="DefaultParagraphFont"/>
    <w:uiPriority w:val="99"/>
    <w:unhideWhenUsed/>
    <w:rsid w:val="00FF5719"/>
    <w:rPr>
      <w:color w:val="808080"/>
    </w:rPr>
  </w:style>
  <w:style w:type="paragraph" w:styleId="Bibliography">
    <w:name w:val="Bibliography"/>
    <w:basedOn w:val="Normal"/>
    <w:next w:val="Normal"/>
    <w:uiPriority w:val="70"/>
    <w:rsid w:val="005F76AE"/>
  </w:style>
  <w:style w:type="paragraph" w:styleId="Title">
    <w:name w:val="Title"/>
    <w:basedOn w:val="Normal"/>
    <w:next w:val="Normal"/>
    <w:link w:val="TitleChar"/>
    <w:uiPriority w:val="10"/>
    <w:qFormat/>
    <w:rsid w:val="0027047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477"/>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0E5584"/>
    <w:pPr>
      <w:widowControl w:val="0"/>
      <w:spacing w:after="200"/>
    </w:pPr>
    <w:rPr>
      <w:i/>
      <w:iCs/>
      <w:color w:val="44546A" w:themeColor="text2"/>
      <w:sz w:val="18"/>
      <w:szCs w:val="18"/>
    </w:rPr>
  </w:style>
  <w:style w:type="character" w:customStyle="1" w:styleId="Heading2Char">
    <w:name w:val="Heading 2 Char"/>
    <w:basedOn w:val="DefaultParagraphFont"/>
    <w:link w:val="Heading2"/>
    <w:uiPriority w:val="9"/>
    <w:rsid w:val="000E558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677565">
      <w:bodyDiv w:val="1"/>
      <w:marLeft w:val="0"/>
      <w:marRight w:val="0"/>
      <w:marTop w:val="0"/>
      <w:marBottom w:val="0"/>
      <w:divBdr>
        <w:top w:val="none" w:sz="0" w:space="0" w:color="auto"/>
        <w:left w:val="none" w:sz="0" w:space="0" w:color="auto"/>
        <w:bottom w:val="none" w:sz="0" w:space="0" w:color="auto"/>
        <w:right w:val="none" w:sz="0" w:space="0" w:color="auto"/>
      </w:divBdr>
    </w:div>
    <w:div w:id="301931871">
      <w:bodyDiv w:val="1"/>
      <w:marLeft w:val="0"/>
      <w:marRight w:val="0"/>
      <w:marTop w:val="0"/>
      <w:marBottom w:val="0"/>
      <w:divBdr>
        <w:top w:val="none" w:sz="0" w:space="0" w:color="auto"/>
        <w:left w:val="none" w:sz="0" w:space="0" w:color="auto"/>
        <w:bottom w:val="none" w:sz="0" w:space="0" w:color="auto"/>
        <w:right w:val="none" w:sz="0" w:space="0" w:color="auto"/>
      </w:divBdr>
    </w:div>
    <w:div w:id="337076865">
      <w:bodyDiv w:val="1"/>
      <w:marLeft w:val="0"/>
      <w:marRight w:val="0"/>
      <w:marTop w:val="0"/>
      <w:marBottom w:val="0"/>
      <w:divBdr>
        <w:top w:val="none" w:sz="0" w:space="0" w:color="auto"/>
        <w:left w:val="none" w:sz="0" w:space="0" w:color="auto"/>
        <w:bottom w:val="none" w:sz="0" w:space="0" w:color="auto"/>
        <w:right w:val="none" w:sz="0" w:space="0" w:color="auto"/>
      </w:divBdr>
    </w:div>
    <w:div w:id="407386263">
      <w:bodyDiv w:val="1"/>
      <w:marLeft w:val="0"/>
      <w:marRight w:val="0"/>
      <w:marTop w:val="0"/>
      <w:marBottom w:val="0"/>
      <w:divBdr>
        <w:top w:val="none" w:sz="0" w:space="0" w:color="auto"/>
        <w:left w:val="none" w:sz="0" w:space="0" w:color="auto"/>
        <w:bottom w:val="none" w:sz="0" w:space="0" w:color="auto"/>
        <w:right w:val="none" w:sz="0" w:space="0" w:color="auto"/>
      </w:divBdr>
    </w:div>
    <w:div w:id="468715627">
      <w:bodyDiv w:val="1"/>
      <w:marLeft w:val="0"/>
      <w:marRight w:val="0"/>
      <w:marTop w:val="0"/>
      <w:marBottom w:val="0"/>
      <w:divBdr>
        <w:top w:val="none" w:sz="0" w:space="0" w:color="auto"/>
        <w:left w:val="none" w:sz="0" w:space="0" w:color="auto"/>
        <w:bottom w:val="none" w:sz="0" w:space="0" w:color="auto"/>
        <w:right w:val="none" w:sz="0" w:space="0" w:color="auto"/>
      </w:divBdr>
    </w:div>
    <w:div w:id="571895933">
      <w:bodyDiv w:val="1"/>
      <w:marLeft w:val="0"/>
      <w:marRight w:val="0"/>
      <w:marTop w:val="0"/>
      <w:marBottom w:val="0"/>
      <w:divBdr>
        <w:top w:val="none" w:sz="0" w:space="0" w:color="auto"/>
        <w:left w:val="none" w:sz="0" w:space="0" w:color="auto"/>
        <w:bottom w:val="none" w:sz="0" w:space="0" w:color="auto"/>
        <w:right w:val="none" w:sz="0" w:space="0" w:color="auto"/>
      </w:divBdr>
    </w:div>
    <w:div w:id="580330923">
      <w:bodyDiv w:val="1"/>
      <w:marLeft w:val="0"/>
      <w:marRight w:val="0"/>
      <w:marTop w:val="0"/>
      <w:marBottom w:val="0"/>
      <w:divBdr>
        <w:top w:val="none" w:sz="0" w:space="0" w:color="auto"/>
        <w:left w:val="none" w:sz="0" w:space="0" w:color="auto"/>
        <w:bottom w:val="none" w:sz="0" w:space="0" w:color="auto"/>
        <w:right w:val="none" w:sz="0" w:space="0" w:color="auto"/>
      </w:divBdr>
    </w:div>
    <w:div w:id="589197982">
      <w:bodyDiv w:val="1"/>
      <w:marLeft w:val="0"/>
      <w:marRight w:val="0"/>
      <w:marTop w:val="0"/>
      <w:marBottom w:val="0"/>
      <w:divBdr>
        <w:top w:val="none" w:sz="0" w:space="0" w:color="auto"/>
        <w:left w:val="none" w:sz="0" w:space="0" w:color="auto"/>
        <w:bottom w:val="none" w:sz="0" w:space="0" w:color="auto"/>
        <w:right w:val="none" w:sz="0" w:space="0" w:color="auto"/>
      </w:divBdr>
    </w:div>
    <w:div w:id="594871584">
      <w:bodyDiv w:val="1"/>
      <w:marLeft w:val="0"/>
      <w:marRight w:val="0"/>
      <w:marTop w:val="0"/>
      <w:marBottom w:val="0"/>
      <w:divBdr>
        <w:top w:val="none" w:sz="0" w:space="0" w:color="auto"/>
        <w:left w:val="none" w:sz="0" w:space="0" w:color="auto"/>
        <w:bottom w:val="none" w:sz="0" w:space="0" w:color="auto"/>
        <w:right w:val="none" w:sz="0" w:space="0" w:color="auto"/>
      </w:divBdr>
    </w:div>
    <w:div w:id="724253154">
      <w:bodyDiv w:val="1"/>
      <w:marLeft w:val="0"/>
      <w:marRight w:val="0"/>
      <w:marTop w:val="0"/>
      <w:marBottom w:val="0"/>
      <w:divBdr>
        <w:top w:val="none" w:sz="0" w:space="0" w:color="auto"/>
        <w:left w:val="none" w:sz="0" w:space="0" w:color="auto"/>
        <w:bottom w:val="none" w:sz="0" w:space="0" w:color="auto"/>
        <w:right w:val="none" w:sz="0" w:space="0" w:color="auto"/>
      </w:divBdr>
    </w:div>
    <w:div w:id="775560067">
      <w:bodyDiv w:val="1"/>
      <w:marLeft w:val="0"/>
      <w:marRight w:val="0"/>
      <w:marTop w:val="0"/>
      <w:marBottom w:val="0"/>
      <w:divBdr>
        <w:top w:val="none" w:sz="0" w:space="0" w:color="auto"/>
        <w:left w:val="none" w:sz="0" w:space="0" w:color="auto"/>
        <w:bottom w:val="none" w:sz="0" w:space="0" w:color="auto"/>
        <w:right w:val="none" w:sz="0" w:space="0" w:color="auto"/>
      </w:divBdr>
    </w:div>
    <w:div w:id="792870996">
      <w:bodyDiv w:val="1"/>
      <w:marLeft w:val="0"/>
      <w:marRight w:val="0"/>
      <w:marTop w:val="0"/>
      <w:marBottom w:val="0"/>
      <w:divBdr>
        <w:top w:val="none" w:sz="0" w:space="0" w:color="auto"/>
        <w:left w:val="none" w:sz="0" w:space="0" w:color="auto"/>
        <w:bottom w:val="none" w:sz="0" w:space="0" w:color="auto"/>
        <w:right w:val="none" w:sz="0" w:space="0" w:color="auto"/>
      </w:divBdr>
    </w:div>
    <w:div w:id="795682450">
      <w:bodyDiv w:val="1"/>
      <w:marLeft w:val="0"/>
      <w:marRight w:val="0"/>
      <w:marTop w:val="0"/>
      <w:marBottom w:val="0"/>
      <w:divBdr>
        <w:top w:val="none" w:sz="0" w:space="0" w:color="auto"/>
        <w:left w:val="none" w:sz="0" w:space="0" w:color="auto"/>
        <w:bottom w:val="none" w:sz="0" w:space="0" w:color="auto"/>
        <w:right w:val="none" w:sz="0" w:space="0" w:color="auto"/>
      </w:divBdr>
    </w:div>
    <w:div w:id="807627860">
      <w:bodyDiv w:val="1"/>
      <w:marLeft w:val="0"/>
      <w:marRight w:val="0"/>
      <w:marTop w:val="0"/>
      <w:marBottom w:val="0"/>
      <w:divBdr>
        <w:top w:val="none" w:sz="0" w:space="0" w:color="auto"/>
        <w:left w:val="none" w:sz="0" w:space="0" w:color="auto"/>
        <w:bottom w:val="none" w:sz="0" w:space="0" w:color="auto"/>
        <w:right w:val="none" w:sz="0" w:space="0" w:color="auto"/>
      </w:divBdr>
    </w:div>
    <w:div w:id="887961549">
      <w:bodyDiv w:val="1"/>
      <w:marLeft w:val="0"/>
      <w:marRight w:val="0"/>
      <w:marTop w:val="0"/>
      <w:marBottom w:val="0"/>
      <w:divBdr>
        <w:top w:val="none" w:sz="0" w:space="0" w:color="auto"/>
        <w:left w:val="none" w:sz="0" w:space="0" w:color="auto"/>
        <w:bottom w:val="none" w:sz="0" w:space="0" w:color="auto"/>
        <w:right w:val="none" w:sz="0" w:space="0" w:color="auto"/>
      </w:divBdr>
    </w:div>
    <w:div w:id="1003313506">
      <w:bodyDiv w:val="1"/>
      <w:marLeft w:val="0"/>
      <w:marRight w:val="0"/>
      <w:marTop w:val="0"/>
      <w:marBottom w:val="0"/>
      <w:divBdr>
        <w:top w:val="none" w:sz="0" w:space="0" w:color="auto"/>
        <w:left w:val="none" w:sz="0" w:space="0" w:color="auto"/>
        <w:bottom w:val="none" w:sz="0" w:space="0" w:color="auto"/>
        <w:right w:val="none" w:sz="0" w:space="0" w:color="auto"/>
      </w:divBdr>
    </w:div>
    <w:div w:id="1032651380">
      <w:bodyDiv w:val="1"/>
      <w:marLeft w:val="0"/>
      <w:marRight w:val="0"/>
      <w:marTop w:val="0"/>
      <w:marBottom w:val="0"/>
      <w:divBdr>
        <w:top w:val="none" w:sz="0" w:space="0" w:color="auto"/>
        <w:left w:val="none" w:sz="0" w:space="0" w:color="auto"/>
        <w:bottom w:val="none" w:sz="0" w:space="0" w:color="auto"/>
        <w:right w:val="none" w:sz="0" w:space="0" w:color="auto"/>
      </w:divBdr>
    </w:div>
    <w:div w:id="1054506956">
      <w:bodyDiv w:val="1"/>
      <w:marLeft w:val="0"/>
      <w:marRight w:val="0"/>
      <w:marTop w:val="0"/>
      <w:marBottom w:val="0"/>
      <w:divBdr>
        <w:top w:val="none" w:sz="0" w:space="0" w:color="auto"/>
        <w:left w:val="none" w:sz="0" w:space="0" w:color="auto"/>
        <w:bottom w:val="none" w:sz="0" w:space="0" w:color="auto"/>
        <w:right w:val="none" w:sz="0" w:space="0" w:color="auto"/>
      </w:divBdr>
      <w:divsChild>
        <w:div w:id="327441424">
          <w:marLeft w:val="0"/>
          <w:marRight w:val="0"/>
          <w:marTop w:val="0"/>
          <w:marBottom w:val="0"/>
          <w:divBdr>
            <w:top w:val="none" w:sz="0" w:space="0" w:color="auto"/>
            <w:left w:val="none" w:sz="0" w:space="0" w:color="auto"/>
            <w:bottom w:val="none" w:sz="0" w:space="0" w:color="auto"/>
            <w:right w:val="none" w:sz="0" w:space="0" w:color="auto"/>
          </w:divBdr>
          <w:divsChild>
            <w:div w:id="1755205674">
              <w:marLeft w:val="0"/>
              <w:marRight w:val="0"/>
              <w:marTop w:val="0"/>
              <w:marBottom w:val="0"/>
              <w:divBdr>
                <w:top w:val="none" w:sz="0" w:space="0" w:color="auto"/>
                <w:left w:val="none" w:sz="0" w:space="0" w:color="auto"/>
                <w:bottom w:val="none" w:sz="0" w:space="0" w:color="auto"/>
                <w:right w:val="none" w:sz="0" w:space="0" w:color="auto"/>
              </w:divBdr>
              <w:divsChild>
                <w:div w:id="1341927513">
                  <w:marLeft w:val="0"/>
                  <w:marRight w:val="0"/>
                  <w:marTop w:val="0"/>
                  <w:marBottom w:val="0"/>
                  <w:divBdr>
                    <w:top w:val="none" w:sz="0" w:space="0" w:color="auto"/>
                    <w:left w:val="none" w:sz="0" w:space="0" w:color="auto"/>
                    <w:bottom w:val="none" w:sz="0" w:space="0" w:color="auto"/>
                    <w:right w:val="none" w:sz="0" w:space="0" w:color="auto"/>
                  </w:divBdr>
                  <w:divsChild>
                    <w:div w:id="511652845">
                      <w:marLeft w:val="0"/>
                      <w:marRight w:val="0"/>
                      <w:marTop w:val="0"/>
                      <w:marBottom w:val="0"/>
                      <w:divBdr>
                        <w:top w:val="none" w:sz="0" w:space="0" w:color="auto"/>
                        <w:left w:val="none" w:sz="0" w:space="0" w:color="auto"/>
                        <w:bottom w:val="none" w:sz="0" w:space="0" w:color="auto"/>
                        <w:right w:val="none" w:sz="0" w:space="0" w:color="auto"/>
                      </w:divBdr>
                      <w:divsChild>
                        <w:div w:id="58333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676002">
      <w:bodyDiv w:val="1"/>
      <w:marLeft w:val="0"/>
      <w:marRight w:val="0"/>
      <w:marTop w:val="0"/>
      <w:marBottom w:val="0"/>
      <w:divBdr>
        <w:top w:val="none" w:sz="0" w:space="0" w:color="auto"/>
        <w:left w:val="none" w:sz="0" w:space="0" w:color="auto"/>
        <w:bottom w:val="none" w:sz="0" w:space="0" w:color="auto"/>
        <w:right w:val="none" w:sz="0" w:space="0" w:color="auto"/>
      </w:divBdr>
    </w:div>
    <w:div w:id="1127042638">
      <w:bodyDiv w:val="1"/>
      <w:marLeft w:val="0"/>
      <w:marRight w:val="0"/>
      <w:marTop w:val="0"/>
      <w:marBottom w:val="0"/>
      <w:divBdr>
        <w:top w:val="none" w:sz="0" w:space="0" w:color="auto"/>
        <w:left w:val="none" w:sz="0" w:space="0" w:color="auto"/>
        <w:bottom w:val="none" w:sz="0" w:space="0" w:color="auto"/>
        <w:right w:val="none" w:sz="0" w:space="0" w:color="auto"/>
      </w:divBdr>
    </w:div>
    <w:div w:id="1141116177">
      <w:bodyDiv w:val="1"/>
      <w:marLeft w:val="0"/>
      <w:marRight w:val="0"/>
      <w:marTop w:val="0"/>
      <w:marBottom w:val="0"/>
      <w:divBdr>
        <w:top w:val="none" w:sz="0" w:space="0" w:color="auto"/>
        <w:left w:val="none" w:sz="0" w:space="0" w:color="auto"/>
        <w:bottom w:val="none" w:sz="0" w:space="0" w:color="auto"/>
        <w:right w:val="none" w:sz="0" w:space="0" w:color="auto"/>
      </w:divBdr>
    </w:div>
    <w:div w:id="1300959246">
      <w:bodyDiv w:val="1"/>
      <w:marLeft w:val="0"/>
      <w:marRight w:val="0"/>
      <w:marTop w:val="0"/>
      <w:marBottom w:val="0"/>
      <w:divBdr>
        <w:top w:val="none" w:sz="0" w:space="0" w:color="auto"/>
        <w:left w:val="none" w:sz="0" w:space="0" w:color="auto"/>
        <w:bottom w:val="none" w:sz="0" w:space="0" w:color="auto"/>
        <w:right w:val="none" w:sz="0" w:space="0" w:color="auto"/>
      </w:divBdr>
    </w:div>
    <w:div w:id="1416047896">
      <w:bodyDiv w:val="1"/>
      <w:marLeft w:val="0"/>
      <w:marRight w:val="0"/>
      <w:marTop w:val="0"/>
      <w:marBottom w:val="0"/>
      <w:divBdr>
        <w:top w:val="none" w:sz="0" w:space="0" w:color="auto"/>
        <w:left w:val="none" w:sz="0" w:space="0" w:color="auto"/>
        <w:bottom w:val="none" w:sz="0" w:space="0" w:color="auto"/>
        <w:right w:val="none" w:sz="0" w:space="0" w:color="auto"/>
      </w:divBdr>
    </w:div>
    <w:div w:id="1737439343">
      <w:bodyDiv w:val="1"/>
      <w:marLeft w:val="0"/>
      <w:marRight w:val="0"/>
      <w:marTop w:val="0"/>
      <w:marBottom w:val="0"/>
      <w:divBdr>
        <w:top w:val="none" w:sz="0" w:space="0" w:color="auto"/>
        <w:left w:val="none" w:sz="0" w:space="0" w:color="auto"/>
        <w:bottom w:val="none" w:sz="0" w:space="0" w:color="auto"/>
        <w:right w:val="none" w:sz="0" w:space="0" w:color="auto"/>
      </w:divBdr>
    </w:div>
    <w:div w:id="1785072981">
      <w:bodyDiv w:val="1"/>
      <w:marLeft w:val="0"/>
      <w:marRight w:val="0"/>
      <w:marTop w:val="0"/>
      <w:marBottom w:val="0"/>
      <w:divBdr>
        <w:top w:val="none" w:sz="0" w:space="0" w:color="auto"/>
        <w:left w:val="none" w:sz="0" w:space="0" w:color="auto"/>
        <w:bottom w:val="none" w:sz="0" w:space="0" w:color="auto"/>
        <w:right w:val="none" w:sz="0" w:space="0" w:color="auto"/>
      </w:divBdr>
    </w:div>
    <w:div w:id="1855725368">
      <w:bodyDiv w:val="1"/>
      <w:marLeft w:val="0"/>
      <w:marRight w:val="0"/>
      <w:marTop w:val="0"/>
      <w:marBottom w:val="0"/>
      <w:divBdr>
        <w:top w:val="none" w:sz="0" w:space="0" w:color="auto"/>
        <w:left w:val="none" w:sz="0" w:space="0" w:color="auto"/>
        <w:bottom w:val="none" w:sz="0" w:space="0" w:color="auto"/>
        <w:right w:val="none" w:sz="0" w:space="0" w:color="auto"/>
      </w:divBdr>
    </w:div>
    <w:div w:id="1865820190">
      <w:bodyDiv w:val="1"/>
      <w:marLeft w:val="0"/>
      <w:marRight w:val="0"/>
      <w:marTop w:val="0"/>
      <w:marBottom w:val="0"/>
      <w:divBdr>
        <w:top w:val="none" w:sz="0" w:space="0" w:color="auto"/>
        <w:left w:val="none" w:sz="0" w:space="0" w:color="auto"/>
        <w:bottom w:val="none" w:sz="0" w:space="0" w:color="auto"/>
        <w:right w:val="none" w:sz="0" w:space="0" w:color="auto"/>
      </w:divBdr>
    </w:div>
    <w:div w:id="1894465279">
      <w:bodyDiv w:val="1"/>
      <w:marLeft w:val="0"/>
      <w:marRight w:val="0"/>
      <w:marTop w:val="0"/>
      <w:marBottom w:val="0"/>
      <w:divBdr>
        <w:top w:val="none" w:sz="0" w:space="0" w:color="auto"/>
        <w:left w:val="none" w:sz="0" w:space="0" w:color="auto"/>
        <w:bottom w:val="none" w:sz="0" w:space="0" w:color="auto"/>
        <w:right w:val="none" w:sz="0" w:space="0" w:color="auto"/>
      </w:divBdr>
    </w:div>
    <w:div w:id="1913076396">
      <w:bodyDiv w:val="1"/>
      <w:marLeft w:val="0"/>
      <w:marRight w:val="0"/>
      <w:marTop w:val="0"/>
      <w:marBottom w:val="0"/>
      <w:divBdr>
        <w:top w:val="none" w:sz="0" w:space="0" w:color="auto"/>
        <w:left w:val="none" w:sz="0" w:space="0" w:color="auto"/>
        <w:bottom w:val="none" w:sz="0" w:space="0" w:color="auto"/>
        <w:right w:val="none" w:sz="0" w:space="0" w:color="auto"/>
      </w:divBdr>
    </w:div>
    <w:div w:id="1942444397">
      <w:bodyDiv w:val="1"/>
      <w:marLeft w:val="0"/>
      <w:marRight w:val="0"/>
      <w:marTop w:val="0"/>
      <w:marBottom w:val="0"/>
      <w:divBdr>
        <w:top w:val="none" w:sz="0" w:space="0" w:color="auto"/>
        <w:left w:val="none" w:sz="0" w:space="0" w:color="auto"/>
        <w:bottom w:val="none" w:sz="0" w:space="0" w:color="auto"/>
        <w:right w:val="none" w:sz="0" w:space="0" w:color="auto"/>
      </w:divBdr>
    </w:div>
    <w:div w:id="2013413338">
      <w:bodyDiv w:val="1"/>
      <w:marLeft w:val="0"/>
      <w:marRight w:val="0"/>
      <w:marTop w:val="0"/>
      <w:marBottom w:val="0"/>
      <w:divBdr>
        <w:top w:val="none" w:sz="0" w:space="0" w:color="auto"/>
        <w:left w:val="none" w:sz="0" w:space="0" w:color="auto"/>
        <w:bottom w:val="none" w:sz="0" w:space="0" w:color="auto"/>
        <w:right w:val="none" w:sz="0" w:space="0" w:color="auto"/>
      </w:divBdr>
    </w:div>
    <w:div w:id="2082753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kiki.patricia.dewi@gmail.com" TargetMode="Externa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atmiko.kurniawan72@gmail.com" TargetMode="Externa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41AC8641AA85EA8F8B6F285C93923E4045EF6116/file:///C:\Users\Asus\Downloads\2.%20PASCASARJANA%20KIKI\Perkuliahan%20Sem%202\5.%20MKRP\TUGAS%20BESAR%202\Analisis%20TB%20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Risk Category</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Sheet1!$B$6:$G$8</c:f>
              <c:multiLvlStrCache>
                <c:ptCount val="6"/>
                <c:lvl>
                  <c:pt idx="0">
                    <c:v>T</c:v>
                  </c:pt>
                  <c:pt idx="1">
                    <c:v>NT</c:v>
                  </c:pt>
                  <c:pt idx="2">
                    <c:v>T</c:v>
                  </c:pt>
                  <c:pt idx="3">
                    <c:v>NT</c:v>
                  </c:pt>
                  <c:pt idx="4">
                    <c:v>T</c:v>
                  </c:pt>
                  <c:pt idx="5">
                    <c:v>NT</c:v>
                  </c:pt>
                </c:lvl>
                <c:lvl>
                  <c:pt idx="0">
                    <c:v>Internal</c:v>
                  </c:pt>
                  <c:pt idx="2">
                    <c:v>External</c:v>
                  </c:pt>
                  <c:pt idx="4">
                    <c:v>Project</c:v>
                  </c:pt>
                </c:lvl>
                <c:lvl>
                  <c:pt idx="0">
                    <c:v>Risk Identification</c:v>
                  </c:pt>
                </c:lvl>
              </c:multiLvlStrCache>
            </c:multiLvlStrRef>
          </c:cat>
          <c:val>
            <c:numRef>
              <c:f>Sheet1!$B$9:$G$9</c:f>
              <c:numCache>
                <c:formatCode>General</c:formatCode>
                <c:ptCount val="6"/>
                <c:pt idx="0">
                  <c:v>26</c:v>
                </c:pt>
                <c:pt idx="1">
                  <c:v>20</c:v>
                </c:pt>
                <c:pt idx="2">
                  <c:v>29</c:v>
                </c:pt>
                <c:pt idx="3">
                  <c:v>21</c:v>
                </c:pt>
                <c:pt idx="4">
                  <c:v>30</c:v>
                </c:pt>
                <c:pt idx="5">
                  <c:v>19</c:v>
                </c:pt>
              </c:numCache>
            </c:numRef>
          </c:val>
          <c:extLst xmlns:c16r2="http://schemas.microsoft.com/office/drawing/2015/06/chart">
            <c:ext xmlns:c16="http://schemas.microsoft.com/office/drawing/2014/chart" uri="{C3380CC4-5D6E-409C-BE32-E72D297353CC}">
              <c16:uniqueId val="{00000000-C425-4912-B29C-FD0FE8656276}"/>
            </c:ext>
          </c:extLst>
        </c:ser>
        <c:dLbls>
          <c:showLegendKey val="0"/>
          <c:showVal val="0"/>
          <c:showCatName val="0"/>
          <c:showSerName val="0"/>
          <c:showPercent val="0"/>
          <c:showBubbleSize val="0"/>
        </c:dLbls>
        <c:gapWidth val="100"/>
        <c:axId val="308927920"/>
        <c:axId val="305509760"/>
      </c:barChart>
      <c:catAx>
        <c:axId val="308927920"/>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05509760"/>
        <c:crosses val="autoZero"/>
        <c:auto val="1"/>
        <c:lblAlgn val="ctr"/>
        <c:lblOffset val="100"/>
        <c:noMultiLvlLbl val="0"/>
      </c:catAx>
      <c:valAx>
        <c:axId val="305509760"/>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0892792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E3B0D0-F18E-4EF4-89F7-608C7759EC70}">
  <we:reference id="wa104382081" version="1.21.0.0" store="en-US" storeType="OMEX"/>
  <we:alternateReferences>
    <we:reference id="wa104382081" version="1.21.0.0" store="WA104382081" storeType="OMEX"/>
  </we:alternateReferences>
  <we:properties>
    <we:property name="MENDELEY_CITATIONS" value="[{&quot;citationID&quot;:&quot;MENDELEY_CITATION_83d5527d-7351-4e71-bf86-03badda6fc74&quot;,&quot;citationItems&quot;:[{&quot;id&quot;:&quot;d80bdb1b-59e2-3483-bee3-64e897970365&quot;,&quot;itemData&quot;:{&quot;type&quot;:&quot;article-journal&quot;,&quot;id&quot;:&quot;d80bdb1b-59e2-3483-bee3-64e897970365&quot;,&quot;title&quot;:&quot;Penerapan Manajemen Resiko pada Pembangunan Proyek Perpanjangan Dermaga log (Studi Kasus: Pelabuhan DalamTanjung Emas Semarang)&quot;,&quot;author&quot;:[{&quot;family&quot;:&quot;Ismiyati&quot;,&quot;given&quot;:&quot;Ismiyati&quot;,&quot;parse-names&quot;:false,&quot;dropping-particle&quot;:&quot;&quot;,&quot;non-dropping-particle&quot;:&quot;&quot;},{&quot;family&quot;:&quot;Sanggawuri&quot;,&quot;given&quot;:&quot;Ranggi&quot;,&quot;parse-names&quot;:false,&quot;dropping-particle&quot;:&quot;&quot;,&quot;non-dropping-particle&quot;:&quot;&quot;},{&quot;family&quot;:&quot;Handajani&quot;,&quot;given&quot;:&quot;Mudjiastuti&quot;,&quot;parse-names&quot;:false,&quot;dropping-particle&quot;:&quot;&quot;,&quot;non-dropping-particle&quot;:&quot;&quot;}],&quot;container-title&quot;:&quot;Media Komunikasi Teknik Sipil&quot;,&quot;DOI&quot;:&quot;10.14710/mkts.v25i2.19467&quot;,&quot;ISSN&quot;:&quot;08541809&quot;,&quot;issued&quot;:{&quot;date-parts&quot;:[[2020]]},&quot;page&quot;:&quot;209&quot;,&quot;abstract&quot;:&quot;Delay in the implementation of the project often occurs due to various risk factors that have not been identified during project implementation, so that the impact on project delays and unexpected costs increases. However, each construction project has different risks, becaused the environmental conditions of the project, so that it requires handling different methods of project implementation. This study aims to: 1) analyze the risks that could potentially occur during the construction of the log dock extension; 2) Appropriate Handling Methods for the Implementation of the Log Dock Extension Work. The research method is done by identifying the risks that occur in the field and with the interview method about the possibility of possible risks that occur. The results of the study indicate five high-risk categories according to the perception of service providers that most influence on project delays. These risks include unpredictable external phenomena, such as tidal elevations that exceed plan, resulting in changes in design and method of implementation. The conclusions of this study include that the application of risk management to the implementation of the log dock extension project at the port of Tanjung Emas Semarang needs to be applied to minimize delays and reduce unexpected costs.&quot;,&quot;issue&quot;:&quot;2&quot;,&quot;volume&quot;:&quot;25&quot;},&quot;isTemporary&quot;:false}],&quot;properties&quot;:{&quot;noteIndex&quot;:0},&quot;isEdited&quot;:false,&quot;manualOverride&quot;:{&quot;isManuallyOverriden&quot;:false,&quot;citeprocText&quot;:&quot;(Ismiyati et al., 2020)&quot;,&quot;manualOverrideText&quot;:&quot;&quot;},&quot;citationTag&quot;:&quot;MENDELEY_CITATION_{\&quot;citationID\&quot;:\&quot;MENDELEY_CITATION_83d5527d-7351-4e71-bf86-03badda6fc74\&quot;,\&quot;citationItems\&quot;:[{\&quot;id\&quot;:\&quot;d80bdb1b-59e2-3483-bee3-64e897970365\&quot;,\&quot;itemData\&quot;:{\&quot;type\&quot;:\&quot;article-journal\&quot;,\&quot;id\&quot;:\&quot;d80bdb1b-59e2-3483-bee3-64e897970365\&quot;,\&quot;title\&quot;:\&quot;Penerapan Manajemen Resiko pada Pembangunan Proyek Perpanjangan Dermaga log (Studi Kasus: Pelabuhan DalamTanjung Emas Semarang)\&quot;,\&quot;author\&quot;:[{\&quot;family\&quot;:\&quot;Ismiyati\&quot;,\&quot;given\&quot;:\&quot;Ismiyati\&quot;,\&quot;parse-names\&quot;:false,\&quot;dropping-particle\&quot;:\&quot;\&quot;,\&quot;non-dropping-particle\&quot;:\&quot;\&quot;},{\&quot;family\&quot;:\&quot;Sanggawuri\&quot;,\&quot;given\&quot;:\&quot;Ranggi\&quot;,\&quot;parse-names\&quot;:false,\&quot;dropping-particle\&quot;:\&quot;\&quot;,\&quot;non-dropping-particle\&quot;:\&quot;\&quot;},{\&quot;family\&quot;:\&quot;Handajani\&quot;,\&quot;given\&quot;:\&quot;Mudjiastuti\&quot;,\&quot;parse-names\&quot;:false,\&quot;dropping-particle\&quot;:\&quot;\&quot;,\&quot;non-dropping-particle\&quot;:\&quot;\&quot;}],\&quot;container-title\&quot;:\&quot;Media Komunikasi Teknik Sipil\&quot;,\&quot;DOI\&quot;:\&quot;10.14710/mkts.v25i2.19467\&quot;,\&quot;ISSN\&quot;:\&quot;08541809\&quot;,\&quot;issued\&quot;:{\&quot;date-parts\&quot;:[[2020]]},\&quot;page\&quot;:\&quot;209\&quot;,\&quot;abstract\&quot;:\&quot;Delay in the implementation of the project often occurs due to various risk factors that have not been identified during project implementation, so that the impact on project delays and unexpected costs increases. However, each construction project has different risks, becaused the environmental conditions of the project, so that it requires handling different methods of project implementation. This study aims to: 1) analyze the risks that could potentially occur during the construction of the log dock extension; 2) Appropriate Handling Methods for the Implementation of the Log Dock Extension Work. The research method is done by identifying the risks that occur in the field and with the interview method about the possibility of possible risks that occur. The results of the study indicate five high-risk categories according to the perception of service providers that most influence on project delays. These risks include unpredictable external phenomena, such as tidal elevations that exceed plan, resulting in changes in design and method of implementation. The conclusions of this study include that the application of risk management to the implementation of the log dock extension project at the port of Tanjung Emas Semarang needs to be applied to minimize delays and reduce unexpected costs.\&quot;,\&quot;issue\&quot;:\&quot;2\&quot;,\&quot;volume\&quot;:\&quot;25\&quot;},\&quot;isTemporary\&quot;:false}],\&quot;properties\&quot;:{\&quot;noteIndex\&quot;:0},\&quot;isEdited\&quot;:false,\&quot;manualOverride\&quot;:{\&quot;isManuallyOverriden\&quot;:false,\&quot;citeprocText\&quot;:\&quot;(MOH, 2008)\&quot;,\&quot;manualOverrideText\&quot;:\&quot;\&quot;}}&quot;},{&quot;citationID&quot;:&quot;MENDELEY_CITATION_e6469658-0ea0-4d52-ad8e-cc0339f2a659&quot;,&quot;citationItems&quot;:[{&quot;id&quot;:&quot;b668ec8d-2d14-3bee-aa71-c2e05de87f0b&quot;,&quot;itemData&quot;:{&quot;type&quot;:&quot;article-journal&quot;,&quot;id&quot;:&quot;b668ec8d-2d14-3bee-aa71-c2e05de87f0b&quot;,&quot;title&quot;:&quot;Risk Management in Construction of Dry Bulk Jetty At Teluk Lamong Multipurpose Terminal&quot;,&quot;author&quot;:[{&quot;family&quot;:&quot;Nugroho&quot;,&quot;given&quot;:&quot;Bayu Puji&quot;,&quot;parse-names&quot;:false,&quot;dropping-particle&quot;:&quot;&quot;,&quot;non-dropping-particle&quot;:&quot;&quot;}],&quot;container-title&quot;:&quot;IJTI (International Journal of Transportation and Infrastructure)&quot;,&quot;DOI&quot;:&quot;10.29138/ijti.v2i2.785&quot;,&quot;ISSN&quot;:&quot;2597-4734&quot;,&quot;issued&quot;:{&quot;date-parts&quot;:[[2019]]},&quot;page&quot;:&quot;67-76&quot;,&quot;abstract&quot;:&quot;Risk is a situation that is uncertain and there is an element of danger, the consequences that could occur due to a process that is ongoing or upcoming events. One of them in construction, where activity in this activity, there is some risk that may occur and give a great impact in the success of the completion of the work. Approaches were made to the risks involved with understanding/identification of risk, risk measurement, risk mapping, the response to risk. So with the existence of such activities can provide a recommendation as to whether the risks are acceptable, divided, reduced or avoided. This research was conducted with descriptive quantitative research methods. The results of this study concluded that there were 7 risk factors in very high level understanding of contract documents i.e., different site condition, productivity, quality equipment/material quality, smooth cash flow, the competence of sub contractors, and the influence of the weather. Against the risk of handling very high i.e. by way of doing business – business everything possible so that it can reduce the level of risk that exists so that the work can be resolved properly and the third project targets can be achieved.&quot;,&quot;issue&quot;:&quot;2&quot;,&quot;volume&quot;:&quot;2&quot;},&quot;isTemporary&quot;:false}],&quot;properties&quot;:{&quot;noteIndex&quot;:0},&quot;isEdited&quot;:false,&quot;manualOverride&quot;:{&quot;isManuallyOverriden&quot;:false,&quot;citeprocText&quot;:&quot;(Nugroho, 2019)&quot;,&quot;manualOverrideText&quot;:&quot;&quot;},&quot;citationTag&quot;:&quot;MENDELEY_CITATION_{\&quot;citationID\&quot;:\&quot;MENDELEY_CITATION_e6469658-0ea0-4d52-ad8e-cc0339f2a659\&quot;,\&quot;citationItems\&quot;:[{\&quot;id\&quot;:\&quot;b668ec8d-2d14-3bee-aa71-c2e05de87f0b\&quot;,\&quot;itemData\&quot;:{\&quot;type\&quot;:\&quot;article-journal\&quot;,\&quot;id\&quot;:\&quot;b668ec8d-2d14-3bee-aa71-c2e05de87f0b\&quot;,\&quot;title\&quot;:\&quot;Risk Management in Construction of Dry Bulk Jetty At Teluk Lamong Multipurpose Terminal\&quot;,\&quot;author\&quot;:[{\&quot;family\&quot;:\&quot;Nugroho\&quot;,\&quot;given\&quot;:\&quot;Bayu Puji\&quot;,\&quot;parse-names\&quot;:false,\&quot;dropping-particle\&quot;:\&quot;\&quot;,\&quot;non-dropping-particle\&quot;:\&quot;\&quot;}],\&quot;container-title\&quot;:\&quot;IJTI (International Journal of Transportation and Infrastructure)\&quot;,\&quot;DOI\&quot;:\&quot;10.29138/ijti.v2i2.785\&quot;,\&quot;ISSN\&quot;:\&quot;2597-4734\&quot;,\&quot;issued\&quot;:{\&quot;date-parts\&quot;:[[2019]]},\&quot;page\&quot;:\&quot;67-76\&quot;,\&quot;abstract\&quot;:\&quot;Risk is a situation that is uncertain and there is an element of danger, the consequences that could occur due to a process that is ongoing or upcoming events. One of them in construction, where activity in this activity, there is some risk that may occur and give a great impact in the success of the completion of the work. Approaches were made to the risks involved with understanding/identification of risk, risk measurement, risk mapping, the response to risk. So with the existence of such activities can provide a recommendation as to whether the risks are acceptable, divided, reduced or avoided. This research was conducted with descriptive quantitative research methods. The results of this study concluded that there were 7 risk factors in very high level understanding of contract documents i.e., different site condition, productivity, quality equipment/material quality, smooth cash flow, the competence of sub contractors, and the influence of the weather. Against the risk of handling very high i.e. by way of doing business – business everything possible so that it can reduce the level of risk that exists so that the work can be resolved properly and the third project targets can be achieved.\&quot;,\&quot;issue\&quot;:\&quot;2\&quot;,\&quot;volume\&quot;:\&quot;2\&quot;},\&quot;isTemporary\&quot;:false}],\&quot;properties\&quot;:{\&quot;noteIndex\&quot;:0},\&quot;isEdited\&quot;:false,\&quot;manualOverride\&quot;:{\&quot;isManuallyOverriden\&quot;:false,\&quot;citeprocText\&quot;:\&quot;(Nugroho, 2019)\&quot;,\&quot;manualOverrideText\&quot;:\&quot;\&quot;}}&quot;},{&quot;citationID&quot;:&quot;MENDELEY_CITATION_cab935c0-5590-43b3-bcac-5aaa84371674&quot;,&quot;citationItems&quot;:[{&quot;id&quot;:&quot;b668ec8d-2d14-3bee-aa71-c2e05de87f0b&quot;,&quot;itemData&quot;:{&quot;type&quot;:&quot;article-journal&quot;,&quot;id&quot;:&quot;b668ec8d-2d14-3bee-aa71-c2e05de87f0b&quot;,&quot;title&quot;:&quot;Risk Management in Construction of Dry Bulk Jetty At Teluk Lamong Multipurpose Terminal&quot;,&quot;author&quot;:[{&quot;family&quot;:&quot;Nugroho&quot;,&quot;given&quot;:&quot;Bayu Puji&quot;,&quot;parse-names&quot;:false,&quot;dropping-particle&quot;:&quot;&quot;,&quot;non-dropping-particle&quot;:&quot;&quot;}],&quot;container-title&quot;:&quot;IJTI (International Journal of Transportation and Infrastructure)&quot;,&quot;DOI&quot;:&quot;10.29138/ijti.v2i2.785&quot;,&quot;ISSN&quot;:&quot;2597-4734&quot;,&quot;issued&quot;:{&quot;date-parts&quot;:[[2019]]},&quot;page&quot;:&quot;67-76&quot;,&quot;abstract&quot;:&quot;Risk is a situation that is uncertain and there is an element of danger, the consequences that could occur due to a process that is ongoing or upcoming events. One of them in construction, where activity in this activity, there is some risk that may occur and give a great impact in the success of the completion of the work. Approaches were made to the risks involved with understanding/identification of risk, risk measurement, risk mapping, the response to risk. So with the existence of such activities can provide a recommendation as to whether the risks are acceptable, divided, reduced or avoided. This research was conducted with descriptive quantitative research methods. The results of this study concluded that there were 7 risk factors in very high level understanding of contract documents i.e., different site condition, productivity, quality equipment/material quality, smooth cash flow, the competence of sub contractors, and the influence of the weather. Against the risk of handling very high i.e. by way of doing business – business everything possible so that it can reduce the level of risk that exists so that the work can be resolved properly and the third project targets can be achieved.&quot;,&quot;issue&quot;:&quot;2&quot;,&quot;volume&quot;:&quot;2&quot;},&quot;isTemporary&quot;:false}],&quot;properties&quot;:{&quot;noteIndex&quot;:0},&quot;isEdited&quot;:false,&quot;manualOverride&quot;:{&quot;isManuallyOverriden&quot;:false,&quot;citeprocText&quot;:&quot;(Nugroho, 2019)&quot;,&quot;manualOverrideText&quot;:&quot;&quot;},&quot;citationTag&quot;:&quot;MENDELEY_CITATION_{\&quot;citationID\&quot;:\&quot;MENDELEY_CITATION_cab935c0-5590-43b3-bcac-5aaa84371674\&quot;,\&quot;citationItems\&quot;:[{\&quot;id\&quot;:\&quot;b668ec8d-2d14-3bee-aa71-c2e05de87f0b\&quot;,\&quot;itemData\&quot;:{\&quot;type\&quot;:\&quot;article-journal\&quot;,\&quot;id\&quot;:\&quot;b668ec8d-2d14-3bee-aa71-c2e05de87f0b\&quot;,\&quot;title\&quot;:\&quot;Risk Management in Construction of Dry Bulk Jetty At Teluk Lamong Multipurpose Terminal\&quot;,\&quot;author\&quot;:[{\&quot;family\&quot;:\&quot;Nugroho\&quot;,\&quot;given\&quot;:\&quot;Bayu Puji\&quot;,\&quot;parse-names\&quot;:false,\&quot;dropping-particle\&quot;:\&quot;\&quot;,\&quot;non-dropping-particle\&quot;:\&quot;\&quot;}],\&quot;container-title\&quot;:\&quot;IJTI (International Journal of Transportation and Infrastructure)\&quot;,\&quot;DOI\&quot;:\&quot;10.29138/ijti.v2i2.785\&quot;,\&quot;ISSN\&quot;:\&quot;2597-4734\&quot;,\&quot;issued\&quot;:{\&quot;date-parts\&quot;:[[2019]]},\&quot;page\&quot;:\&quot;67-76\&quot;,\&quot;abstract\&quot;:\&quot;Risk is a situation that is uncertain and there is an element of danger, the consequences that could occur due to a process that is ongoing or upcoming events. One of them in construction, where activity in this activity, there is some risk that may occur and give a great impact in the success of the completion of the work. Approaches were made to the risks involved with understanding/identification of risk, risk measurement, risk mapping, the response to risk. So with the existence of such activities can provide a recommendation as to whether the risks are acceptable, divided, reduced or avoided. This research was conducted with descriptive quantitative research methods. The results of this study concluded that there were 7 risk factors in very high level understanding of contract documents i.e., different site condition, productivity, quality equipment/material quality, smooth cash flow, the competence of sub contractors, and the influence of the weather. Against the risk of handling very high i.e. by way of doing business – business everything possible so that it can reduce the level of risk that exists so that the work can be resolved properly and the third project targets can be achieved.\&quot;,\&quot;issue\&quot;:\&quot;2\&quot;,\&quot;volume\&quot;:\&quot;2\&quot;},\&quot;isTemporary\&quot;:false}],\&quot;properties\&quot;:{\&quot;noteIndex\&quot;:0},\&quot;isEdited\&quot;:false,\&quot;manualOverride\&quot;:{\&quot;isManuallyOverriden\&quot;:false,\&quot;citeprocText\&quot;:\&quot;(Nugroho, 2019)\&quot;,\&quot;manualOverrideText\&quot;:\&quot;\&quot;}}&quot;}]"/>
    <we:property name="MENDELEY_CITATIONS_STYLE" value="&quot;https://www.zotero.org/styles/ap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BA7F7-32FF-4A1B-97F0-959C978AE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16017</Words>
  <Characters>91297</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Determination of the concentration of ammonia that could have lethal effect on fish pond</vt:lpstr>
    </vt:vector>
  </TitlesOfParts>
  <Company/>
  <LinksUpToDate>false</LinksUpToDate>
  <CharactersWithSpaces>107100</CharactersWithSpaces>
  <SharedDoc>false</SharedDoc>
  <HLinks>
    <vt:vector size="6" baseType="variant">
      <vt:variant>
        <vt:i4>4915301</vt:i4>
      </vt:variant>
      <vt:variant>
        <vt:i4>0</vt:i4>
      </vt:variant>
      <vt:variant>
        <vt:i4>0</vt:i4>
      </vt:variant>
      <vt:variant>
        <vt:i4>5</vt:i4>
      </vt:variant>
      <vt:variant>
        <vt:lpwstr>mailto:kiki.patricia.dewi@gmail.com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Determination of the concentration of ammonia that could have lethal effect on fish pond</dc:title>
  <dc:creator>Kiki Patricia Dewi</dc:creator>
  <dc:description>DocumentCreationInfo</dc:description>
  <cp:lastModifiedBy>JATMIKO KURNIAWAN  </cp:lastModifiedBy>
  <cp:revision>2</cp:revision>
  <dcterms:created xsi:type="dcterms:W3CDTF">2021-05-31T19:26:00Z</dcterms:created>
  <dcterms:modified xsi:type="dcterms:W3CDTF">2021-05-31T19:26:00Z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http://www.zotero.org/styles/modern-language-association</vt:lpwstr>
  </property>
  <property fmtid="{D5CDD505-2E9C-101B-9397-08002B2CF9AE}" pid="23" name="Mendeley Recent Style Name 9_1">
    <vt:lpwstr>Modern Language Association 8th edition</vt:lpwstr>
  </property>
  <property fmtid="{D5CDD505-2E9C-101B-9397-08002B2CF9AE}" pid="24" name="Mendeley Unique User Id_1">
    <vt:lpwstr>8303e38b-cb13-3a94-bf7e-6fb78b85c3c0</vt:lpwstr>
  </property>
</Properties>
</file>