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59C37" w14:textId="77AB0B98" w:rsidR="00CF44E9" w:rsidRPr="007C1FAE" w:rsidRDefault="00FD7702">
      <w:pPr>
        <w:pBdr>
          <w:top w:val="nil"/>
          <w:left w:val="nil"/>
          <w:bottom w:val="nil"/>
          <w:right w:val="nil"/>
          <w:between w:val="nil"/>
        </w:pBdr>
        <w:rPr>
          <w:b/>
          <w:bCs/>
          <w:sz w:val="28"/>
          <w:szCs w:val="28"/>
        </w:rPr>
      </w:pPr>
      <w:r w:rsidRPr="00FD7702">
        <w:rPr>
          <w:b/>
          <w:bCs/>
          <w:sz w:val="28"/>
          <w:szCs w:val="28"/>
        </w:rPr>
        <w:t>Optimizing the Inventory Fulfillment Level of Store Goods from PT. XYZ Warehouse with the Application of Response Surface Methodology</w:t>
      </w:r>
    </w:p>
    <w:p w14:paraId="2FA6B12A" w14:textId="77777777" w:rsidR="00CF44E9" w:rsidRDefault="00CF44E9">
      <w:pPr>
        <w:pBdr>
          <w:top w:val="nil"/>
          <w:left w:val="nil"/>
          <w:bottom w:val="nil"/>
          <w:right w:val="nil"/>
          <w:between w:val="nil"/>
        </w:pBdr>
        <w:rPr>
          <w:rFonts w:ascii="Arial" w:eastAsia="Arial" w:hAnsi="Arial" w:cs="Arial"/>
          <w:b/>
          <w:color w:val="000000"/>
          <w:sz w:val="20"/>
          <w:szCs w:val="20"/>
        </w:rPr>
      </w:pPr>
    </w:p>
    <w:p w14:paraId="28E7612A" w14:textId="763CC8CA" w:rsidR="00CF44E9" w:rsidRDefault="007C1FAE">
      <w:pPr>
        <w:pBdr>
          <w:top w:val="nil"/>
          <w:left w:val="nil"/>
          <w:bottom w:val="nil"/>
          <w:right w:val="nil"/>
          <w:between w:val="nil"/>
        </w:pBdr>
        <w:rPr>
          <w:rFonts w:ascii="Arial" w:eastAsia="Arial" w:hAnsi="Arial" w:cs="Arial"/>
          <w:b/>
          <w:color w:val="000000"/>
          <w:sz w:val="20"/>
          <w:szCs w:val="20"/>
        </w:rPr>
      </w:pPr>
      <w:bookmarkStart w:id="0" w:name="_heading=h.gjdgxs" w:colFirst="0" w:colLast="0"/>
      <w:bookmarkEnd w:id="0"/>
      <w:r>
        <w:rPr>
          <w:rFonts w:ascii="Arial" w:eastAsia="Arial" w:hAnsi="Arial" w:cs="Arial"/>
          <w:b/>
          <w:color w:val="000000"/>
          <w:sz w:val="20"/>
          <w:szCs w:val="20"/>
        </w:rPr>
        <w:t>Anggarnis D. Ardyani</w:t>
      </w:r>
      <w:r>
        <w:rPr>
          <w:rFonts w:ascii="Arial" w:eastAsia="Arial" w:hAnsi="Arial" w:cs="Arial"/>
          <w:b/>
          <w:color w:val="000000"/>
          <w:sz w:val="20"/>
          <w:szCs w:val="20"/>
          <w:vertAlign w:val="superscript"/>
        </w:rPr>
        <w:t>1*</w:t>
      </w:r>
      <w:r>
        <w:rPr>
          <w:rFonts w:ascii="Arial" w:eastAsia="Arial" w:hAnsi="Arial" w:cs="Arial"/>
          <w:b/>
          <w:color w:val="000000"/>
          <w:sz w:val="20"/>
          <w:szCs w:val="20"/>
        </w:rPr>
        <w:t>, Dwi S</w:t>
      </w:r>
      <w:r w:rsidR="001C79F7">
        <w:rPr>
          <w:rFonts w:ascii="Arial" w:eastAsia="Arial" w:hAnsi="Arial" w:cs="Arial"/>
          <w:b/>
          <w:color w:val="000000"/>
          <w:sz w:val="20"/>
          <w:szCs w:val="20"/>
        </w:rPr>
        <w:t>. Donoriyanto</w:t>
      </w:r>
      <w:r>
        <w:rPr>
          <w:rFonts w:ascii="Arial" w:eastAsia="Arial" w:hAnsi="Arial" w:cs="Arial"/>
          <w:b/>
          <w:color w:val="000000"/>
          <w:sz w:val="20"/>
          <w:szCs w:val="20"/>
          <w:vertAlign w:val="superscript"/>
        </w:rPr>
        <w:t>2</w:t>
      </w:r>
    </w:p>
    <w:p w14:paraId="16471C37" w14:textId="1F686A24" w:rsidR="00CF44E9" w:rsidRDefault="007A18D0">
      <w:pPr>
        <w:rPr>
          <w:rFonts w:ascii="Arial" w:eastAsia="Arial" w:hAnsi="Arial" w:cs="Arial"/>
        </w:rPr>
      </w:pPr>
      <w:r>
        <w:rPr>
          <w:rFonts w:ascii="Arial" w:eastAsia="Arial" w:hAnsi="Arial" w:cs="Arial"/>
          <w:vertAlign w:val="superscript"/>
        </w:rPr>
        <w:t xml:space="preserve">1,2 </w:t>
      </w:r>
      <w:r>
        <w:rPr>
          <w:rFonts w:ascii="Arial" w:eastAsia="Arial" w:hAnsi="Arial" w:cs="Arial"/>
        </w:rPr>
        <w:t>Department of Industrial Engineering,</w:t>
      </w:r>
      <w:r w:rsidR="007C1FAE">
        <w:rPr>
          <w:rFonts w:ascii="Arial" w:eastAsia="Arial" w:hAnsi="Arial" w:cs="Arial"/>
        </w:rPr>
        <w:t xml:space="preserve"> UPN Veteran Jawa Timur,</w:t>
      </w:r>
      <w:r>
        <w:rPr>
          <w:rFonts w:ascii="Arial" w:eastAsia="Arial" w:hAnsi="Arial" w:cs="Arial"/>
        </w:rPr>
        <w:t xml:space="preserve"> </w:t>
      </w:r>
      <w:r w:rsidR="007C1FAE">
        <w:rPr>
          <w:rFonts w:ascii="Arial" w:eastAsia="Arial" w:hAnsi="Arial" w:cs="Arial"/>
        </w:rPr>
        <w:t>Surabaya</w:t>
      </w:r>
      <w:r>
        <w:rPr>
          <w:rFonts w:ascii="Arial" w:eastAsia="Arial" w:hAnsi="Arial" w:cs="Arial"/>
        </w:rPr>
        <w:t xml:space="preserve">, </w:t>
      </w:r>
      <w:r w:rsidR="00F40FE4">
        <w:rPr>
          <w:rFonts w:ascii="Arial" w:eastAsia="Arial" w:hAnsi="Arial" w:cs="Arial"/>
        </w:rPr>
        <w:t>East Java</w:t>
      </w:r>
      <w:r>
        <w:rPr>
          <w:rFonts w:ascii="Arial" w:eastAsia="Arial" w:hAnsi="Arial" w:cs="Arial"/>
        </w:rPr>
        <w:t xml:space="preserve">, </w:t>
      </w:r>
      <w:r w:rsidR="007C1FAE">
        <w:rPr>
          <w:rFonts w:ascii="Arial" w:eastAsia="Arial" w:hAnsi="Arial" w:cs="Arial"/>
        </w:rPr>
        <w:t>Indonesia</w:t>
      </w:r>
      <w:r>
        <w:rPr>
          <w:rFonts w:ascii="Arial" w:eastAsia="Arial" w:hAnsi="Arial" w:cs="Arial"/>
        </w:rPr>
        <w:t xml:space="preserve"> </w:t>
      </w:r>
    </w:p>
    <w:p w14:paraId="41123043" w14:textId="04E710C1" w:rsidR="00CF44E9" w:rsidRDefault="00000000">
      <w:pPr>
        <w:rPr>
          <w:rFonts w:ascii="Arial" w:eastAsia="Arial" w:hAnsi="Arial" w:cs="Arial"/>
        </w:rPr>
      </w:pPr>
      <w:r>
        <w:rPr>
          <w:rFonts w:ascii="Arial" w:eastAsia="Arial" w:hAnsi="Arial" w:cs="Arial"/>
        </w:rPr>
        <w:t xml:space="preserve">*   Corresponding author: </w:t>
      </w:r>
      <w:hyperlink r:id="rId9" w:history="1">
        <w:r w:rsidR="007C1FAE" w:rsidRPr="007016F2">
          <w:rPr>
            <w:rStyle w:val="Hyperlink"/>
            <w:rFonts w:ascii="Arial" w:eastAsia="Arial" w:hAnsi="Arial" w:cs="Arial"/>
          </w:rPr>
          <w:t>anggarnisdwi@gmail.com</w:t>
        </w:r>
      </w:hyperlink>
      <w:r w:rsidR="007C1FAE">
        <w:rPr>
          <w:rFonts w:ascii="Arial" w:eastAsia="Arial" w:hAnsi="Arial" w:cs="Arial"/>
          <w:color w:val="0563C1"/>
          <w:u w:val="single"/>
        </w:rPr>
        <w:t xml:space="preserve">, </w:t>
      </w:r>
      <w:r w:rsidR="001C79F7">
        <w:rPr>
          <w:rFonts w:ascii="Arial" w:eastAsia="Arial" w:hAnsi="Arial" w:cs="Arial"/>
          <w:color w:val="0563C1"/>
          <w:u w:val="single"/>
        </w:rPr>
        <w:t>dwisukama.ti@upnjatim.ac.id</w:t>
      </w:r>
    </w:p>
    <w:p w14:paraId="71D262B6" w14:textId="77777777" w:rsidR="00CF44E9" w:rsidRDefault="00CF44E9">
      <w:pPr>
        <w:rPr>
          <w:rFonts w:ascii="Arial" w:eastAsia="Arial" w:hAnsi="Arial" w:cs="Arial"/>
        </w:rPr>
      </w:pPr>
    </w:p>
    <w:tbl>
      <w:tblPr>
        <w:tblStyle w:val="a"/>
        <w:tblpPr w:leftFromText="187" w:rightFromText="187" w:bottomFromText="187" w:vertAnchor="text" w:tblpY="1"/>
        <w:tblW w:w="9092"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714"/>
        <w:gridCol w:w="72"/>
        <w:gridCol w:w="6232"/>
        <w:gridCol w:w="74"/>
      </w:tblGrid>
      <w:tr w:rsidR="00CF44E9" w14:paraId="75A85F83" w14:textId="77777777">
        <w:trPr>
          <w:trHeight w:val="741"/>
        </w:trPr>
        <w:tc>
          <w:tcPr>
            <w:tcW w:w="2714" w:type="dxa"/>
            <w:tcBorders>
              <w:top w:val="single" w:sz="12" w:space="0" w:color="9AD762"/>
              <w:bottom w:val="single" w:sz="12" w:space="0" w:color="9AD762"/>
            </w:tcBorders>
            <w:shd w:val="clear" w:color="auto" w:fill="auto"/>
            <w:vAlign w:val="center"/>
          </w:tcPr>
          <w:p w14:paraId="2F21E14B" w14:textId="77777777" w:rsidR="00CF44E9" w:rsidRDefault="00000000">
            <w:pPr>
              <w:pStyle w:val="Judul2"/>
            </w:pPr>
            <w:r>
              <w:t>ARTICLE INFO</w:t>
            </w:r>
          </w:p>
        </w:tc>
        <w:tc>
          <w:tcPr>
            <w:tcW w:w="72" w:type="dxa"/>
            <w:tcBorders>
              <w:top w:val="single" w:sz="12" w:space="0" w:color="9AD762"/>
              <w:bottom w:val="nil"/>
            </w:tcBorders>
            <w:shd w:val="clear" w:color="auto" w:fill="auto"/>
          </w:tcPr>
          <w:p w14:paraId="41CCD9C8" w14:textId="77777777" w:rsidR="00CF44E9" w:rsidRDefault="00CF44E9">
            <w:pPr>
              <w:pBdr>
                <w:top w:val="nil"/>
                <w:left w:val="nil"/>
                <w:bottom w:val="nil"/>
                <w:right w:val="nil"/>
                <w:between w:val="nil"/>
              </w:pBdr>
              <w:rPr>
                <w:rFonts w:ascii="Arial" w:eastAsia="Arial" w:hAnsi="Arial" w:cs="Arial"/>
                <w:b/>
                <w:smallCaps/>
                <w:color w:val="000000"/>
                <w:sz w:val="20"/>
                <w:szCs w:val="20"/>
              </w:rPr>
            </w:pPr>
          </w:p>
        </w:tc>
        <w:tc>
          <w:tcPr>
            <w:tcW w:w="6232" w:type="dxa"/>
            <w:tcBorders>
              <w:top w:val="single" w:sz="12" w:space="0" w:color="9AD762"/>
              <w:bottom w:val="single" w:sz="12" w:space="0" w:color="9AD762"/>
            </w:tcBorders>
            <w:shd w:val="clear" w:color="auto" w:fill="auto"/>
            <w:tcMar>
              <w:left w:w="240" w:type="dxa"/>
            </w:tcMar>
            <w:vAlign w:val="center"/>
          </w:tcPr>
          <w:p w14:paraId="6ACB97D5" w14:textId="77777777" w:rsidR="00CF44E9" w:rsidRDefault="00000000">
            <w:pPr>
              <w:pStyle w:val="Judul2"/>
            </w:pPr>
            <w:r>
              <w:t xml:space="preserve">ABSTRACT </w:t>
            </w:r>
          </w:p>
        </w:tc>
        <w:tc>
          <w:tcPr>
            <w:tcW w:w="74" w:type="dxa"/>
            <w:tcBorders>
              <w:top w:val="single" w:sz="12" w:space="0" w:color="9AD762"/>
              <w:bottom w:val="single" w:sz="12" w:space="0" w:color="9AD762"/>
            </w:tcBorders>
            <w:shd w:val="clear" w:color="auto" w:fill="auto"/>
          </w:tcPr>
          <w:p w14:paraId="1F8CBFD7" w14:textId="77777777" w:rsidR="00CF44E9" w:rsidRDefault="00CF44E9">
            <w:pPr>
              <w:pBdr>
                <w:top w:val="nil"/>
                <w:left w:val="nil"/>
                <w:bottom w:val="nil"/>
                <w:right w:val="nil"/>
                <w:between w:val="nil"/>
              </w:pBdr>
              <w:rPr>
                <w:rFonts w:ascii="Arial" w:eastAsia="Arial" w:hAnsi="Arial" w:cs="Arial"/>
                <w:smallCaps/>
                <w:color w:val="000000"/>
                <w:sz w:val="20"/>
                <w:szCs w:val="20"/>
              </w:rPr>
            </w:pPr>
          </w:p>
        </w:tc>
      </w:tr>
      <w:tr w:rsidR="00CF44E9" w14:paraId="7361E17A" w14:textId="77777777">
        <w:trPr>
          <w:trHeight w:val="1098"/>
        </w:trPr>
        <w:tc>
          <w:tcPr>
            <w:tcW w:w="2714" w:type="dxa"/>
            <w:tcBorders>
              <w:top w:val="single" w:sz="12" w:space="0" w:color="9AD762"/>
              <w:bottom w:val="nil"/>
            </w:tcBorders>
            <w:tcMar>
              <w:top w:w="72" w:type="dxa"/>
            </w:tcMar>
          </w:tcPr>
          <w:p w14:paraId="57651E92"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5D52BC27" w14:textId="77777777" w:rsidR="00CF44E9" w:rsidRDefault="00000000">
            <w:pPr>
              <w:pBdr>
                <w:top w:val="nil"/>
                <w:left w:val="nil"/>
                <w:bottom w:val="nil"/>
                <w:right w:val="nil"/>
                <w:between w:val="nil"/>
              </w:pBdr>
              <w:spacing w:line="200" w:lineRule="auto"/>
              <w:rPr>
                <w:rFonts w:ascii="Arial" w:eastAsia="Arial" w:hAnsi="Arial" w:cs="Arial"/>
                <w:b/>
                <w:color w:val="000000"/>
                <w:sz w:val="14"/>
                <w:szCs w:val="14"/>
              </w:rPr>
            </w:pPr>
            <w:r>
              <w:rPr>
                <w:rFonts w:ascii="Arial" w:eastAsia="Arial" w:hAnsi="Arial" w:cs="Arial"/>
                <w:b/>
                <w:color w:val="000000"/>
                <w:sz w:val="14"/>
                <w:szCs w:val="14"/>
              </w:rPr>
              <w:t>Article history</w:t>
            </w:r>
          </w:p>
          <w:p w14:paraId="4A08FA56" w14:textId="77777777" w:rsidR="00CF44E9" w:rsidRDefault="00000000">
            <w:pPr>
              <w:pBdr>
                <w:top w:val="nil"/>
                <w:left w:val="nil"/>
                <w:bottom w:val="nil"/>
                <w:right w:val="nil"/>
                <w:between w:val="nil"/>
              </w:pBdr>
              <w:spacing w:line="200" w:lineRule="auto"/>
              <w:rPr>
                <w:rFonts w:ascii="Arial" w:eastAsia="Arial" w:hAnsi="Arial" w:cs="Arial"/>
                <w:color w:val="000000"/>
                <w:sz w:val="14"/>
                <w:szCs w:val="14"/>
              </w:rPr>
            </w:pPr>
            <w:r>
              <w:rPr>
                <w:rFonts w:ascii="Arial" w:eastAsia="Arial" w:hAnsi="Arial" w:cs="Arial"/>
                <w:color w:val="000000"/>
                <w:sz w:val="14"/>
                <w:szCs w:val="14"/>
              </w:rPr>
              <w:t>Submission</w:t>
            </w:r>
          </w:p>
          <w:p w14:paraId="55788ABC" w14:textId="77777777" w:rsidR="00CF44E9" w:rsidRDefault="00000000">
            <w:pPr>
              <w:pBdr>
                <w:top w:val="nil"/>
                <w:left w:val="nil"/>
                <w:bottom w:val="nil"/>
                <w:right w:val="nil"/>
                <w:between w:val="nil"/>
              </w:pBdr>
              <w:spacing w:line="200" w:lineRule="auto"/>
              <w:rPr>
                <w:rFonts w:ascii="Arial" w:eastAsia="Arial" w:hAnsi="Arial" w:cs="Arial"/>
                <w:color w:val="000000"/>
                <w:sz w:val="14"/>
                <w:szCs w:val="14"/>
              </w:rPr>
            </w:pPr>
            <w:r>
              <w:rPr>
                <w:rFonts w:ascii="Arial" w:eastAsia="Arial" w:hAnsi="Arial" w:cs="Arial"/>
                <w:color w:val="000000"/>
                <w:sz w:val="14"/>
                <w:szCs w:val="14"/>
              </w:rPr>
              <w:t xml:space="preserve">Revised </w:t>
            </w:r>
          </w:p>
          <w:p w14:paraId="0C6F31CE" w14:textId="77777777" w:rsidR="00CF44E9" w:rsidRDefault="00000000">
            <w:pPr>
              <w:pBdr>
                <w:top w:val="nil"/>
                <w:left w:val="nil"/>
                <w:bottom w:val="nil"/>
                <w:right w:val="nil"/>
                <w:between w:val="nil"/>
              </w:pBdr>
              <w:spacing w:line="200" w:lineRule="auto"/>
              <w:rPr>
                <w:rFonts w:ascii="Arial" w:eastAsia="Arial" w:hAnsi="Arial" w:cs="Arial"/>
                <w:color w:val="000000"/>
                <w:sz w:val="14"/>
                <w:szCs w:val="14"/>
              </w:rPr>
            </w:pPr>
            <w:r>
              <w:rPr>
                <w:rFonts w:ascii="Arial" w:eastAsia="Arial" w:hAnsi="Arial" w:cs="Arial"/>
                <w:color w:val="000000"/>
                <w:sz w:val="14"/>
                <w:szCs w:val="14"/>
              </w:rPr>
              <w:t>Accepted</w:t>
            </w:r>
          </w:p>
          <w:p w14:paraId="20D667B5"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5C554340"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tc>
        <w:tc>
          <w:tcPr>
            <w:tcW w:w="72" w:type="dxa"/>
            <w:tcBorders>
              <w:top w:val="nil"/>
              <w:bottom w:val="nil"/>
            </w:tcBorders>
            <w:shd w:val="clear" w:color="auto" w:fill="auto"/>
          </w:tcPr>
          <w:p w14:paraId="4E01C671" w14:textId="77777777" w:rsidR="00CF44E9" w:rsidRDefault="00CF44E9">
            <w:pPr>
              <w:pBdr>
                <w:top w:val="nil"/>
                <w:left w:val="nil"/>
                <w:bottom w:val="nil"/>
                <w:right w:val="nil"/>
                <w:between w:val="nil"/>
              </w:pBdr>
              <w:spacing w:after="80" w:line="200" w:lineRule="auto"/>
              <w:ind w:right="144"/>
              <w:jc w:val="both"/>
              <w:rPr>
                <w:rFonts w:ascii="Arial" w:eastAsia="Arial" w:hAnsi="Arial" w:cs="Arial"/>
                <w:color w:val="000000"/>
                <w:sz w:val="20"/>
                <w:szCs w:val="20"/>
              </w:rPr>
            </w:pPr>
          </w:p>
        </w:tc>
        <w:tc>
          <w:tcPr>
            <w:tcW w:w="6232" w:type="dxa"/>
            <w:vMerge w:val="restart"/>
            <w:tcBorders>
              <w:top w:val="single" w:sz="12" w:space="0" w:color="9AD762"/>
              <w:bottom w:val="single" w:sz="12" w:space="0" w:color="9AD762"/>
            </w:tcBorders>
            <w:shd w:val="clear" w:color="auto" w:fill="F2F2F2"/>
            <w:tcMar>
              <w:left w:w="240" w:type="dxa"/>
            </w:tcMar>
          </w:tcPr>
          <w:p w14:paraId="486F724D" w14:textId="68AD1A43" w:rsidR="0013545B" w:rsidRDefault="00F40FE4" w:rsidP="001A4767">
            <w:pPr>
              <w:ind w:left="-53" w:right="89"/>
              <w:jc w:val="both"/>
              <w:rPr>
                <w:rFonts w:ascii="Arial" w:eastAsia="Arial" w:hAnsi="Arial" w:cs="Arial"/>
                <w:color w:val="000000"/>
                <w:sz w:val="20"/>
                <w:szCs w:val="20"/>
              </w:rPr>
            </w:pPr>
            <w:r w:rsidRPr="00F40FE4">
              <w:rPr>
                <w:rFonts w:ascii="Arial" w:eastAsia="Arial" w:hAnsi="Arial" w:cs="Arial"/>
                <w:color w:val="000000"/>
                <w:sz w:val="20"/>
                <w:szCs w:val="20"/>
              </w:rPr>
              <w:t>The retail industry continues to grow amidst the challenges of fluctuating customer demand and uncertain supplier lead times. PT XYZ faces problems in managing stock of non-food items, especially toiletries, which often do not meet the demand of sub-branch retail stores. This study uses Response Surface Methodology (RSM) to determine the significant factors that affect stock items. The results showed that the variables of demand for goods, supplier incoming goods, and delivery lead time had a 99.6% influence on the optimization of stock items in the warehouse, with a value (R²) of 0.996. This research is expected to improve warehouse efficiency and reduce logistics costs.</w:t>
            </w:r>
          </w:p>
          <w:p w14:paraId="3F93781E" w14:textId="77777777" w:rsidR="00F40FE4" w:rsidRDefault="00F40FE4" w:rsidP="00F40FE4">
            <w:pPr>
              <w:jc w:val="both"/>
              <w:rPr>
                <w:rFonts w:ascii="Arial" w:eastAsia="Arial" w:hAnsi="Arial" w:cs="Arial"/>
                <w:color w:val="000000"/>
                <w:sz w:val="20"/>
                <w:szCs w:val="20"/>
              </w:rPr>
            </w:pPr>
          </w:p>
          <w:tbl>
            <w:tblPr>
              <w:tblStyle w:val="a0"/>
              <w:tblW w:w="5992" w:type="dxa"/>
              <w:tblBorders>
                <w:top w:val="nil"/>
                <w:left w:val="nil"/>
                <w:bottom w:val="nil"/>
                <w:right w:val="nil"/>
                <w:insideH w:val="nil"/>
                <w:insideV w:val="nil"/>
              </w:tblBorders>
              <w:tblLayout w:type="fixed"/>
              <w:tblLook w:val="0400" w:firstRow="0" w:lastRow="0" w:firstColumn="0" w:lastColumn="0" w:noHBand="0" w:noVBand="1"/>
            </w:tblPr>
            <w:tblGrid>
              <w:gridCol w:w="2023"/>
              <w:gridCol w:w="3969"/>
            </w:tblGrid>
            <w:tr w:rsidR="00CF44E9" w14:paraId="02423DE2" w14:textId="77777777">
              <w:tc>
                <w:tcPr>
                  <w:tcW w:w="2023" w:type="dxa"/>
                </w:tcPr>
                <w:p w14:paraId="76EE3796" w14:textId="77777777" w:rsidR="00CF44E9" w:rsidRDefault="00000000" w:rsidP="001A4767">
                  <w:pPr>
                    <w:framePr w:hSpace="187" w:wrap="around" w:vAnchor="text" w:hAnchor="text" w:y="1"/>
                    <w:jc w:val="both"/>
                    <w:rPr>
                      <w:rFonts w:ascii="Arial" w:eastAsia="Arial" w:hAnsi="Arial" w:cs="Arial"/>
                      <w:color w:val="000000"/>
                      <w:sz w:val="20"/>
                      <w:szCs w:val="20"/>
                    </w:rPr>
                  </w:pPr>
                  <w:r>
                    <w:rPr>
                      <w:noProof/>
                    </w:rPr>
                    <w:drawing>
                      <wp:inline distT="0" distB="0" distL="0" distR="0" wp14:anchorId="7B9412B1" wp14:editId="7A9E0EB4">
                        <wp:extent cx="717630" cy="71763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717630" cy="717630"/>
                                </a:xfrm>
                                <a:prstGeom prst="rect">
                                  <a:avLst/>
                                </a:prstGeom>
                                <a:ln/>
                              </pic:spPr>
                            </pic:pic>
                          </a:graphicData>
                        </a:graphic>
                      </wp:inline>
                    </w:drawing>
                  </w:r>
                </w:p>
              </w:tc>
              <w:tc>
                <w:tcPr>
                  <w:tcW w:w="3969" w:type="dxa"/>
                </w:tcPr>
                <w:p w14:paraId="2BD7685C" w14:textId="77777777" w:rsidR="00CF44E9" w:rsidRDefault="00CF44E9" w:rsidP="001A4767">
                  <w:pPr>
                    <w:framePr w:hSpace="187" w:wrap="around" w:vAnchor="text" w:hAnchor="text" w:y="1"/>
                    <w:pBdr>
                      <w:top w:val="nil"/>
                      <w:left w:val="nil"/>
                      <w:bottom w:val="nil"/>
                      <w:right w:val="nil"/>
                      <w:between w:val="nil"/>
                    </w:pBdr>
                    <w:spacing w:line="200" w:lineRule="auto"/>
                    <w:jc w:val="right"/>
                    <w:rPr>
                      <w:rFonts w:ascii="Arial" w:eastAsia="Arial" w:hAnsi="Arial" w:cs="Arial"/>
                      <w:color w:val="000000"/>
                      <w:sz w:val="14"/>
                      <w:szCs w:val="14"/>
                    </w:rPr>
                  </w:pPr>
                </w:p>
                <w:p w14:paraId="01CB566F" w14:textId="77777777" w:rsidR="00CF44E9" w:rsidRDefault="00CF44E9" w:rsidP="001A4767">
                  <w:pPr>
                    <w:framePr w:hSpace="187" w:wrap="around" w:vAnchor="text" w:hAnchor="text" w:y="1"/>
                    <w:pBdr>
                      <w:top w:val="nil"/>
                      <w:left w:val="nil"/>
                      <w:bottom w:val="nil"/>
                      <w:right w:val="nil"/>
                      <w:between w:val="nil"/>
                    </w:pBdr>
                    <w:spacing w:line="200" w:lineRule="auto"/>
                    <w:jc w:val="right"/>
                    <w:rPr>
                      <w:rFonts w:ascii="Arial" w:eastAsia="Arial" w:hAnsi="Arial" w:cs="Arial"/>
                      <w:color w:val="000000"/>
                      <w:sz w:val="14"/>
                      <w:szCs w:val="14"/>
                    </w:rPr>
                  </w:pPr>
                </w:p>
                <w:p w14:paraId="70BF9EF6" w14:textId="77777777" w:rsidR="00CF44E9" w:rsidRDefault="00000000" w:rsidP="001A4767">
                  <w:pPr>
                    <w:framePr w:hSpace="187" w:wrap="around" w:vAnchor="text" w:hAnchor="text" w:y="1"/>
                    <w:pBdr>
                      <w:top w:val="nil"/>
                      <w:left w:val="nil"/>
                      <w:bottom w:val="nil"/>
                      <w:right w:val="nil"/>
                      <w:between w:val="nil"/>
                    </w:pBdr>
                    <w:spacing w:line="200" w:lineRule="auto"/>
                    <w:jc w:val="right"/>
                    <w:rPr>
                      <w:rFonts w:ascii="Arial" w:eastAsia="Arial" w:hAnsi="Arial" w:cs="Arial"/>
                      <w:color w:val="000000"/>
                      <w:sz w:val="14"/>
                      <w:szCs w:val="14"/>
                    </w:rPr>
                  </w:pPr>
                  <w:r>
                    <w:rPr>
                      <w:rFonts w:ascii="Arial" w:eastAsia="Arial" w:hAnsi="Arial" w:cs="Arial"/>
                      <w:color w:val="000000"/>
                      <w:sz w:val="14"/>
                      <w:szCs w:val="14"/>
                    </w:rPr>
                    <w:t xml:space="preserve">This is an open access article under the </w:t>
                  </w:r>
                  <w:hyperlink r:id="rId11">
                    <w:r w:rsidR="00CF44E9">
                      <w:rPr>
                        <w:rFonts w:ascii="Arial" w:eastAsia="Arial" w:hAnsi="Arial" w:cs="Arial"/>
                        <w:color w:val="0563C1"/>
                        <w:sz w:val="14"/>
                        <w:szCs w:val="14"/>
                      </w:rPr>
                      <w:t>CC–BY-SA</w:t>
                    </w:r>
                  </w:hyperlink>
                  <w:r>
                    <w:rPr>
                      <w:rFonts w:ascii="Arial" w:eastAsia="Arial" w:hAnsi="Arial" w:cs="Arial"/>
                      <w:color w:val="000000"/>
                      <w:sz w:val="14"/>
                      <w:szCs w:val="14"/>
                    </w:rPr>
                    <w:t xml:space="preserve"> license.</w:t>
                  </w:r>
                  <w:r>
                    <w:rPr>
                      <w:rFonts w:ascii="Century Schoolbook" w:eastAsia="Century Schoolbook" w:hAnsi="Century Schoolbook" w:cs="Century Schoolbook"/>
                      <w:color w:val="000000"/>
                      <w:sz w:val="14"/>
                      <w:szCs w:val="14"/>
                    </w:rPr>
                    <w:t xml:space="preserve">   </w:t>
                  </w:r>
                  <w:r>
                    <w:rPr>
                      <w:noProof/>
                    </w:rPr>
                    <w:drawing>
                      <wp:anchor distT="0" distB="0" distL="114300" distR="114300" simplePos="0" relativeHeight="251658240" behindDoc="0" locked="0" layoutInCell="1" hidden="0" allowOverlap="1" wp14:anchorId="1CA6F9B7" wp14:editId="4CC6B1BA">
                        <wp:simplePos x="0" y="0"/>
                        <wp:positionH relativeFrom="column">
                          <wp:posOffset>1520190</wp:posOffset>
                        </wp:positionH>
                        <wp:positionV relativeFrom="paragraph">
                          <wp:posOffset>14605</wp:posOffset>
                        </wp:positionV>
                        <wp:extent cx="840105" cy="297180"/>
                        <wp:effectExtent l="0" t="0" r="0" b="0"/>
                        <wp:wrapTopAndBottom distT="0" distB="0"/>
                        <wp:docPr id="33"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srcRect/>
                                <a:stretch>
                                  <a:fillRect/>
                                </a:stretch>
                              </pic:blipFill>
                              <pic:spPr>
                                <a:xfrm>
                                  <a:off x="0" y="0"/>
                                  <a:ext cx="840105" cy="297180"/>
                                </a:xfrm>
                                <a:prstGeom prst="rect">
                                  <a:avLst/>
                                </a:prstGeom>
                                <a:ln/>
                              </pic:spPr>
                            </pic:pic>
                          </a:graphicData>
                        </a:graphic>
                      </wp:anchor>
                    </w:drawing>
                  </w:r>
                </w:p>
              </w:tc>
            </w:tr>
          </w:tbl>
          <w:p w14:paraId="424CAA8B" w14:textId="77777777" w:rsidR="00CF44E9" w:rsidRDefault="00CF44E9">
            <w:pPr>
              <w:pStyle w:val="Judul3"/>
            </w:pPr>
          </w:p>
        </w:tc>
        <w:tc>
          <w:tcPr>
            <w:tcW w:w="74" w:type="dxa"/>
            <w:vMerge w:val="restart"/>
            <w:tcBorders>
              <w:top w:val="single" w:sz="12" w:space="0" w:color="9AD762"/>
              <w:bottom w:val="single" w:sz="12" w:space="0" w:color="9AD762"/>
            </w:tcBorders>
            <w:shd w:val="clear" w:color="auto" w:fill="F2F2F2"/>
          </w:tcPr>
          <w:p w14:paraId="12376D1E" w14:textId="77777777" w:rsidR="00CF44E9" w:rsidRDefault="00CF44E9">
            <w:pPr>
              <w:pBdr>
                <w:top w:val="nil"/>
                <w:left w:val="nil"/>
                <w:bottom w:val="nil"/>
                <w:right w:val="nil"/>
                <w:between w:val="nil"/>
              </w:pBdr>
              <w:spacing w:after="80" w:line="200" w:lineRule="auto"/>
              <w:jc w:val="both"/>
              <w:rPr>
                <w:rFonts w:ascii="Arial" w:eastAsia="Arial" w:hAnsi="Arial" w:cs="Arial"/>
                <w:color w:val="000000"/>
                <w:sz w:val="20"/>
                <w:szCs w:val="20"/>
              </w:rPr>
            </w:pPr>
          </w:p>
        </w:tc>
      </w:tr>
      <w:tr w:rsidR="00CF44E9" w14:paraId="32476E12" w14:textId="77777777">
        <w:trPr>
          <w:trHeight w:val="1451"/>
        </w:trPr>
        <w:tc>
          <w:tcPr>
            <w:tcW w:w="2714" w:type="dxa"/>
            <w:tcBorders>
              <w:top w:val="nil"/>
              <w:bottom w:val="single" w:sz="12" w:space="0" w:color="9AD762"/>
            </w:tcBorders>
            <w:tcMar>
              <w:top w:w="72" w:type="dxa"/>
              <w:left w:w="0" w:type="dxa"/>
            </w:tcMar>
          </w:tcPr>
          <w:p w14:paraId="0D13ED66"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32E6B885" w14:textId="58DDBAD0" w:rsidR="0013545B" w:rsidRDefault="00000000">
            <w:pPr>
              <w:pBdr>
                <w:top w:val="nil"/>
                <w:left w:val="nil"/>
                <w:bottom w:val="nil"/>
                <w:right w:val="nil"/>
                <w:between w:val="nil"/>
              </w:pBdr>
              <w:spacing w:line="200" w:lineRule="auto"/>
              <w:rPr>
                <w:rFonts w:ascii="Arial" w:eastAsia="Arial" w:hAnsi="Arial" w:cs="Arial"/>
                <w:b/>
                <w:color w:val="000000"/>
                <w:sz w:val="14"/>
                <w:szCs w:val="14"/>
              </w:rPr>
            </w:pPr>
            <w:r>
              <w:rPr>
                <w:rFonts w:ascii="Arial" w:eastAsia="Arial" w:hAnsi="Arial" w:cs="Arial"/>
                <w:b/>
                <w:color w:val="000000"/>
                <w:sz w:val="14"/>
                <w:szCs w:val="14"/>
              </w:rPr>
              <w:t>Keywords</w:t>
            </w:r>
            <w:r w:rsidR="0013545B">
              <w:rPr>
                <w:rFonts w:ascii="Arial" w:eastAsia="Arial" w:hAnsi="Arial" w:cs="Arial"/>
                <w:b/>
                <w:color w:val="000000"/>
                <w:sz w:val="14"/>
                <w:szCs w:val="14"/>
              </w:rPr>
              <w:t xml:space="preserve"> : Inventory,Optimization, Response Surface, Retail</w:t>
            </w:r>
          </w:p>
          <w:p w14:paraId="6B0C8029"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599D8FD1"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0CA32690"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6A0B096C"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44756D65"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67F28A84"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5EB8C716" w14:textId="77777777" w:rsidR="00CF44E9" w:rsidRDefault="00CF44E9">
            <w:pPr>
              <w:pBdr>
                <w:top w:val="nil"/>
                <w:left w:val="nil"/>
                <w:bottom w:val="nil"/>
                <w:right w:val="nil"/>
                <w:between w:val="nil"/>
              </w:pBdr>
              <w:spacing w:line="200" w:lineRule="auto"/>
              <w:rPr>
                <w:rFonts w:ascii="Arial" w:eastAsia="Arial" w:hAnsi="Arial" w:cs="Arial"/>
                <w:color w:val="000000"/>
                <w:sz w:val="14"/>
                <w:szCs w:val="14"/>
              </w:rPr>
            </w:pPr>
          </w:p>
          <w:p w14:paraId="71BA8EBA" w14:textId="77777777" w:rsidR="00CF44E9" w:rsidRDefault="00000000">
            <w:pPr>
              <w:pBdr>
                <w:top w:val="nil"/>
                <w:left w:val="nil"/>
                <w:bottom w:val="nil"/>
                <w:right w:val="nil"/>
                <w:between w:val="nil"/>
              </w:pBdr>
              <w:spacing w:before="120"/>
              <w:rPr>
                <w:color w:val="000000"/>
                <w:sz w:val="14"/>
                <w:szCs w:val="14"/>
              </w:rPr>
            </w:pPr>
            <w:r>
              <w:rPr>
                <w:noProof/>
                <w:color w:val="000000"/>
                <w:sz w:val="14"/>
                <w:szCs w:val="14"/>
              </w:rPr>
              <w:drawing>
                <wp:inline distT="0" distB="0" distL="0" distR="0" wp14:anchorId="7D9D1B03" wp14:editId="0F223841">
                  <wp:extent cx="179705" cy="179705"/>
                  <wp:effectExtent l="0" t="0" r="0" b="0"/>
                  <wp:docPr id="34" name="image3.png" descr="C:\Users\Dana Marsetya Utama\Downloads\1200px-DOI_logo.svg.png"/>
                  <wp:cNvGraphicFramePr/>
                  <a:graphic xmlns:a="http://schemas.openxmlformats.org/drawingml/2006/main">
                    <a:graphicData uri="http://schemas.openxmlformats.org/drawingml/2006/picture">
                      <pic:pic xmlns:pic="http://schemas.openxmlformats.org/drawingml/2006/picture">
                        <pic:nvPicPr>
                          <pic:cNvPr id="0" name="image3.png" descr="C:\Users\Dana Marsetya Utama\Downloads\1200px-DOI_logo.svg.png"/>
                          <pic:cNvPicPr preferRelativeResize="0"/>
                        </pic:nvPicPr>
                        <pic:blipFill>
                          <a:blip r:embed="rId13"/>
                          <a:srcRect/>
                          <a:stretch>
                            <a:fillRect/>
                          </a:stretch>
                        </pic:blipFill>
                        <pic:spPr>
                          <a:xfrm>
                            <a:off x="0" y="0"/>
                            <a:ext cx="179705" cy="179705"/>
                          </a:xfrm>
                          <a:prstGeom prst="rect">
                            <a:avLst/>
                          </a:prstGeom>
                          <a:ln/>
                        </pic:spPr>
                      </pic:pic>
                    </a:graphicData>
                  </a:graphic>
                </wp:inline>
              </w:drawing>
            </w:r>
            <w:r>
              <w:rPr>
                <w:color w:val="000000"/>
                <w:sz w:val="14"/>
                <w:szCs w:val="14"/>
              </w:rPr>
              <w:t xml:space="preserve"> </w:t>
            </w:r>
            <w:hyperlink r:id="rId14">
              <w:r w:rsidR="00CF44E9">
                <w:rPr>
                  <w:color w:val="00B0F0"/>
                  <w:sz w:val="14"/>
                  <w:szCs w:val="14"/>
                  <w:u w:val="single"/>
                </w:rPr>
                <w:t>https://doi.org/10.22219/oe.2024.v</w:t>
              </w:r>
            </w:hyperlink>
            <w:r>
              <w:rPr>
                <w:color w:val="00B0F0"/>
                <w:sz w:val="14"/>
                <w:szCs w:val="14"/>
                <w:u w:val="single"/>
              </w:rPr>
              <w:t>16i1001.</w:t>
            </w:r>
            <w:r>
              <w:rPr>
                <w:color w:val="00B0F0"/>
                <w:sz w:val="14"/>
                <w:szCs w:val="14"/>
              </w:rPr>
              <w:t xml:space="preserve"> </w:t>
            </w:r>
          </w:p>
          <w:p w14:paraId="1D025974" w14:textId="77777777" w:rsidR="00CF44E9" w:rsidRDefault="00000000">
            <w:pPr>
              <w:pBdr>
                <w:top w:val="nil"/>
                <w:left w:val="nil"/>
                <w:bottom w:val="nil"/>
                <w:right w:val="nil"/>
                <w:between w:val="nil"/>
              </w:pBdr>
              <w:spacing w:before="120"/>
              <w:rPr>
                <w:rFonts w:ascii="Arial" w:eastAsia="Arial" w:hAnsi="Arial" w:cs="Arial"/>
                <w:color w:val="000000"/>
                <w:sz w:val="14"/>
                <w:szCs w:val="14"/>
              </w:rPr>
            </w:pPr>
            <w:r>
              <w:rPr>
                <w:color w:val="000000"/>
                <w:sz w:val="14"/>
                <w:szCs w:val="14"/>
              </w:rPr>
              <w:t xml:space="preserve">     </w:t>
            </w:r>
          </w:p>
        </w:tc>
        <w:tc>
          <w:tcPr>
            <w:tcW w:w="72" w:type="dxa"/>
            <w:tcBorders>
              <w:top w:val="nil"/>
              <w:bottom w:val="single" w:sz="12" w:space="0" w:color="9AD762"/>
            </w:tcBorders>
            <w:shd w:val="clear" w:color="auto" w:fill="auto"/>
          </w:tcPr>
          <w:p w14:paraId="7E2E6F8F" w14:textId="77777777" w:rsidR="00CF44E9" w:rsidRDefault="00CF44E9">
            <w:pPr>
              <w:spacing w:after="80" w:line="200" w:lineRule="auto"/>
              <w:rPr>
                <w:rFonts w:ascii="Arial" w:eastAsia="Arial" w:hAnsi="Arial" w:cs="Arial"/>
              </w:rPr>
            </w:pPr>
          </w:p>
        </w:tc>
        <w:tc>
          <w:tcPr>
            <w:tcW w:w="6232" w:type="dxa"/>
            <w:vMerge/>
            <w:tcBorders>
              <w:top w:val="single" w:sz="12" w:space="0" w:color="9AD762"/>
              <w:bottom w:val="single" w:sz="12" w:space="0" w:color="9AD762"/>
            </w:tcBorders>
            <w:shd w:val="clear" w:color="auto" w:fill="F2F2F2"/>
            <w:tcMar>
              <w:left w:w="240" w:type="dxa"/>
            </w:tcMar>
          </w:tcPr>
          <w:p w14:paraId="567AB889" w14:textId="77777777" w:rsidR="00CF44E9" w:rsidRDefault="00CF44E9">
            <w:pPr>
              <w:widowControl w:val="0"/>
              <w:pBdr>
                <w:top w:val="nil"/>
                <w:left w:val="nil"/>
                <w:bottom w:val="nil"/>
                <w:right w:val="nil"/>
                <w:between w:val="nil"/>
              </w:pBdr>
              <w:spacing w:line="276" w:lineRule="auto"/>
              <w:rPr>
                <w:rFonts w:ascii="Arial" w:eastAsia="Arial" w:hAnsi="Arial" w:cs="Arial"/>
              </w:rPr>
            </w:pPr>
          </w:p>
        </w:tc>
        <w:tc>
          <w:tcPr>
            <w:tcW w:w="74" w:type="dxa"/>
            <w:vMerge/>
            <w:tcBorders>
              <w:top w:val="single" w:sz="12" w:space="0" w:color="9AD762"/>
              <w:bottom w:val="single" w:sz="12" w:space="0" w:color="9AD762"/>
            </w:tcBorders>
            <w:shd w:val="clear" w:color="auto" w:fill="F2F2F2"/>
          </w:tcPr>
          <w:p w14:paraId="3D0635B6" w14:textId="77777777" w:rsidR="00CF44E9" w:rsidRDefault="00CF44E9">
            <w:pPr>
              <w:widowControl w:val="0"/>
              <w:pBdr>
                <w:top w:val="nil"/>
                <w:left w:val="nil"/>
                <w:bottom w:val="nil"/>
                <w:right w:val="nil"/>
                <w:between w:val="nil"/>
              </w:pBdr>
              <w:spacing w:line="276" w:lineRule="auto"/>
              <w:rPr>
                <w:rFonts w:ascii="Arial" w:eastAsia="Arial" w:hAnsi="Arial" w:cs="Arial"/>
              </w:rPr>
            </w:pPr>
          </w:p>
        </w:tc>
      </w:tr>
    </w:tbl>
    <w:p w14:paraId="7956720A" w14:textId="7F59645B" w:rsidR="00CF44E9" w:rsidRDefault="00000000">
      <w:pPr>
        <w:pStyle w:val="Judul2"/>
      </w:pPr>
      <w:r>
        <w:t xml:space="preserve">1. Introduction </w:t>
      </w:r>
    </w:p>
    <w:p w14:paraId="0FF74190" w14:textId="736F4C42" w:rsidR="00693E9D" w:rsidRDefault="00F40FE4" w:rsidP="00115EA1">
      <w:pPr>
        <w:ind w:firstLine="284"/>
        <w:jc w:val="both"/>
        <w:rPr>
          <w:rFonts w:ascii="Arial" w:eastAsia="Times New Roman" w:hAnsi="Arial" w:cs="Arial"/>
          <w:sz w:val="20"/>
          <w:szCs w:val="20"/>
          <w:lang w:val="id-ID"/>
        </w:rPr>
      </w:pPr>
      <w:r w:rsidRPr="00F40FE4">
        <w:rPr>
          <w:rFonts w:ascii="Arial" w:eastAsia="Arial" w:hAnsi="Arial" w:cs="Arial"/>
          <w:color w:val="000000"/>
          <w:sz w:val="20"/>
          <w:szCs w:val="20"/>
        </w:rPr>
        <w:t xml:space="preserve">The retail industry continues to grow by facing many challenges, especially in the current era of industrial revolution </w:t>
      </w:r>
      <w:r w:rsidR="0036180C">
        <w:rPr>
          <w:rFonts w:ascii="Arial" w:eastAsia="Times New Roman" w:hAnsi="Arial" w:cs="Arial"/>
          <w:sz w:val="20"/>
          <w:szCs w:val="20"/>
          <w:lang w:val="id-ID"/>
        </w:rPr>
        <w:fldChar w:fldCharType="begin" w:fldLock="1"/>
      </w:r>
      <w:r w:rsidR="0036180C">
        <w:rPr>
          <w:rFonts w:ascii="Arial" w:eastAsia="Times New Roman" w:hAnsi="Arial" w:cs="Arial"/>
          <w:sz w:val="20"/>
          <w:szCs w:val="20"/>
          <w:lang w:val="id-ID"/>
        </w:rPr>
        <w:instrText>ADDIN CSL_CITATION {"citationItems":[{"id":"ITEM-1","itemData":{"ISSN":"2775 - 2003","abstract":"Tujuan dari penelitian ini adalah untuk menentukan penyebab kesalahan dalam pencatatan persediaan masuk dari supplier di PT. Triniti Perkasa Internasional dan untuk mengevaluasi penerapan pengendalian internal persediaan pada aplikasi E-commerce. Metode penelitian yang digunakan penulis adalah metode analisis deskriptif kualitatif. Pengumpulan data dilakukan dengan teknik observasi, wawancara dan dokumentasi. Teknik wawancara dilakukan oleh bagian manajemen persediaan di PT. Triniti Perkasa Internasional. Hasil dari penelitian ini menunjukkan kurangnya ketelitian, belum diterapkannya Standar Operasional Prosedur (SOP) pengelolaan persediaan di perusahaan dan jarangnya dilakukan control stock di gudang yang menyebabkan selisih antara kartu persediaan gudang dengan kartu persediaan administrasi di Excel sheet. Terdapat evaluasi unsur-unsur pengendalian internal persediaan yang menggambarkan bagaimana keadaan sistem pengendalian internal pada aplikasi E-commerce di PT. Triniti Perkasa Internasional. Komponen pengendalian internal dengan diterapkannya teori Warren (2017), bahwa pengendalian internal telah dilaksanakan dengan baik. Namun, beberapa poin masih perlu ditingkatkan, seperti terdapat kebijakan tertulis mengenai kejujuran dan kedisiplinan perusahaan, memiliki struktur organisasi yang jelas, mempunyai gudang yang dilengkapi dengan fasilitas keamanan yang memadai, dan dilakukan perbaikan mengenai kelemahan dalam aktivitas pengawasan di PT. Triniti Perkasa Internasional agar dapat berjalan efektif.","author":[{"dropping-particle":"","family":"Putri","given":"Dyah Kania","non-dropping-particle":"","parse-names":false,"suffix":""},{"dropping-particle":"","family":"Dinuka","given":"Vina Kholisa","non-dropping-particle":"","parse-names":false,"suffix":""}],"container-title":"Relawan Jurnal Indonesia","id":"ITEM-1","issue":"1","issued":{"date-parts":[["2022"]]},"page":"920","title":"Pengendalian Internal Persediaan Pada PT. Triniti Perkasa Internasionala","type":"article-journal","volume":"13"},"uris":["http://www.mendeley.com/documents/?uuid=65b5d384-3a0c-4837-86f8-d976438a8e9f"]}],"mendeley":{"formattedCitation":"(Putri &amp; Dinuka, 2022)","plainTextFormattedCitation":"(Putri &amp; Dinuka, 2022)","previouslyFormattedCitation":"(Putri &amp; Dinuka, 2022)"},"properties":{"noteIndex":0},"schema":"https://github.com/citation-style-language/schema/raw/master/csl-citation.json"}</w:instrText>
      </w:r>
      <w:r w:rsidR="0036180C">
        <w:rPr>
          <w:rFonts w:ascii="Arial" w:eastAsia="Times New Roman" w:hAnsi="Arial" w:cs="Arial"/>
          <w:sz w:val="20"/>
          <w:szCs w:val="20"/>
          <w:lang w:val="id-ID"/>
        </w:rPr>
        <w:fldChar w:fldCharType="separate"/>
      </w:r>
      <w:r w:rsidR="0036180C" w:rsidRPr="0036180C">
        <w:rPr>
          <w:rFonts w:ascii="Arial" w:eastAsia="Times New Roman" w:hAnsi="Arial" w:cs="Arial"/>
          <w:noProof/>
          <w:sz w:val="20"/>
          <w:szCs w:val="20"/>
          <w:lang w:val="id-ID"/>
        </w:rPr>
        <w:t>(Putri &amp; Dinuka, 2022)</w:t>
      </w:r>
      <w:r w:rsidR="0036180C">
        <w:rPr>
          <w:rFonts w:ascii="Arial" w:eastAsia="Times New Roman" w:hAnsi="Arial" w:cs="Arial"/>
          <w:sz w:val="20"/>
          <w:szCs w:val="20"/>
          <w:lang w:val="id-ID"/>
        </w:rPr>
        <w:fldChar w:fldCharType="end"/>
      </w:r>
      <w:r w:rsidR="00693E9D" w:rsidRPr="0020565D">
        <w:rPr>
          <w:rFonts w:ascii="Arial" w:eastAsia="Times New Roman" w:hAnsi="Arial" w:cs="Arial"/>
          <w:sz w:val="20"/>
          <w:szCs w:val="20"/>
          <w:lang w:val="id-ID"/>
        </w:rPr>
        <w:t xml:space="preserve">. </w:t>
      </w:r>
      <w:r w:rsidRPr="00F40FE4">
        <w:rPr>
          <w:rFonts w:ascii="Arial" w:eastAsia="Times New Roman" w:hAnsi="Arial" w:cs="Arial"/>
          <w:sz w:val="20"/>
          <w:szCs w:val="20"/>
          <w:lang w:val="id-ID"/>
        </w:rPr>
        <w:t>Demand from retail businesses is increasing and there are also more and more competitors. Therefore, to compete and survive, stores must be able to provide the goods sought by customers. If you cannot provide the goods you are looking for due to inventory availability, it can reduce the store's reputation</w:t>
      </w:r>
      <w:r w:rsidR="00693E9D" w:rsidRPr="00693E9D">
        <w:rPr>
          <w:rFonts w:ascii="Arial" w:eastAsia="Times New Roman" w:hAnsi="Arial" w:cs="Arial"/>
          <w:sz w:val="20"/>
          <w:szCs w:val="20"/>
          <w:lang w:val="id-ID"/>
        </w:rPr>
        <w:t xml:space="preserve"> </w:t>
      </w:r>
      <w:r w:rsidR="00693E9D" w:rsidRPr="00693E9D">
        <w:rPr>
          <w:rFonts w:ascii="Arial" w:eastAsia="Times New Roman" w:hAnsi="Arial" w:cs="Arial"/>
          <w:sz w:val="20"/>
          <w:szCs w:val="20"/>
          <w:lang w:val="id-ID"/>
        </w:rPr>
        <w:fldChar w:fldCharType="begin" w:fldLock="1"/>
      </w:r>
      <w:r w:rsidR="0036180C">
        <w:rPr>
          <w:rFonts w:ascii="Arial" w:eastAsia="Times New Roman" w:hAnsi="Arial" w:cs="Arial"/>
          <w:sz w:val="20"/>
          <w:szCs w:val="20"/>
          <w:lang w:val="id-ID"/>
        </w:rPr>
        <w:instrText>ADDIN CSL_CITATION {"citationItems":[{"id":"ITEM-1","itemData":{"author":[{"dropping-particle":"","family":"Nurwahyuningsih, Arifin","given":"Nurul","non-dropping-particle":"","parse-names":false,"suffix":""},{"dropping-particle":"","family":"Sari","given":"Risna Destiana","non-dropping-particle":"","parse-names":false,"suffix":""},{"dropping-particle":"","family":"Fauzi","given":"Vicky Nur","non-dropping-particle":"","parse-names":false,"suffix":""}],"container-title":"NARATIF(Jurnal Ilmiah Nasional Riset Aplikasi dan Teknik Informatika)","id":"ITEM-1","issue":"02","issued":{"date-parts":[["2021"]]},"page":"36-40","title":"Barang Dagang Berbasis Web Bagi Bisnis Retail","type":"article-journal","volume":"03"},"uris":["http://www.mendeley.com/documents/?uuid=e92a6d90-0e1b-42d7-b4af-478a15a2fdc5"]}],"mendeley":{"formattedCitation":"(Nurwahyuningsih, Arifin et al., 2021)","plainTextFormattedCitation":"(Nurwahyuningsih, Arifin et al., 2021)","previouslyFormattedCitation":"(Nurwahyuningsih, Arifin et al., 2021)"},"properties":{"noteIndex":0},"schema":"https://github.com/citation-style-language/schema/raw/master/csl-citation.json"}</w:instrText>
      </w:r>
      <w:r w:rsidR="00693E9D" w:rsidRPr="00693E9D">
        <w:rPr>
          <w:rFonts w:ascii="Arial" w:eastAsia="Times New Roman" w:hAnsi="Arial" w:cs="Arial"/>
          <w:sz w:val="20"/>
          <w:szCs w:val="20"/>
          <w:lang w:val="id-ID"/>
        </w:rPr>
        <w:fldChar w:fldCharType="separate"/>
      </w:r>
      <w:r w:rsidR="0036180C" w:rsidRPr="0036180C">
        <w:rPr>
          <w:rFonts w:ascii="Arial" w:eastAsia="Times New Roman" w:hAnsi="Arial" w:cs="Arial"/>
          <w:noProof/>
          <w:sz w:val="20"/>
          <w:szCs w:val="20"/>
          <w:lang w:val="id-ID"/>
        </w:rPr>
        <w:t>(Nurwahyuningsih, Arifin et al., 2021)</w:t>
      </w:r>
      <w:r w:rsidR="00693E9D" w:rsidRPr="00693E9D">
        <w:rPr>
          <w:rFonts w:ascii="Arial" w:eastAsia="Times New Roman" w:hAnsi="Arial" w:cs="Arial"/>
          <w:sz w:val="20"/>
          <w:szCs w:val="20"/>
          <w:lang w:val="id-ID"/>
        </w:rPr>
        <w:fldChar w:fldCharType="end"/>
      </w:r>
      <w:r w:rsidR="00693E9D" w:rsidRPr="00693E9D">
        <w:rPr>
          <w:rFonts w:ascii="Arial" w:eastAsia="Times New Roman" w:hAnsi="Arial" w:cs="Arial"/>
          <w:sz w:val="20"/>
          <w:szCs w:val="20"/>
          <w:lang w:val="id-ID"/>
        </w:rPr>
        <w:t>.</w:t>
      </w:r>
      <w:r w:rsidR="00740288">
        <w:rPr>
          <w:rFonts w:ascii="Arial" w:eastAsia="Times New Roman" w:hAnsi="Arial" w:cs="Arial"/>
          <w:sz w:val="20"/>
          <w:szCs w:val="20"/>
          <w:lang w:val="id-ID"/>
        </w:rPr>
        <w:t xml:space="preserve"> </w:t>
      </w:r>
      <w:r w:rsidRPr="00F40FE4">
        <w:rPr>
          <w:rFonts w:ascii="Arial" w:eastAsia="Times New Roman" w:hAnsi="Arial" w:cs="Arial"/>
          <w:sz w:val="20"/>
          <w:szCs w:val="20"/>
          <w:lang w:val="id-ID"/>
        </w:rPr>
        <w:t>Determining the amount of inventory is an absolute matter for the company, because inventory has an absolute impact on the company's profitability</w:t>
      </w:r>
      <w:r>
        <w:rPr>
          <w:rFonts w:ascii="Arial" w:eastAsia="Times New Roman" w:hAnsi="Arial" w:cs="Arial"/>
          <w:sz w:val="20"/>
          <w:szCs w:val="20"/>
          <w:lang w:val="id-ID"/>
        </w:rPr>
        <w:t xml:space="preserve"> </w:t>
      </w:r>
      <w:r w:rsidR="00740288" w:rsidRPr="00740288">
        <w:rPr>
          <w:rFonts w:ascii="Arial" w:eastAsia="Times New Roman" w:hAnsi="Arial" w:cs="Arial"/>
          <w:sz w:val="20"/>
          <w:szCs w:val="20"/>
          <w:lang w:val="id-ID"/>
        </w:rPr>
        <w:fldChar w:fldCharType="begin" w:fldLock="1"/>
      </w:r>
      <w:r w:rsidR="00740288" w:rsidRPr="00740288">
        <w:rPr>
          <w:rFonts w:ascii="Arial" w:eastAsia="Times New Roman" w:hAnsi="Arial" w:cs="Arial"/>
          <w:sz w:val="20"/>
          <w:szCs w:val="20"/>
          <w:lang w:val="id-ID"/>
        </w:rPr>
        <w:instrText>ADDIN CSL_CITATION {"citationItems":[{"id":"ITEM-1","itemData":{"DOI":"10.56670/jsrd.v5i2.157","ISSN":"2715-6974","abstract":"Pengendalian persediaan salah satu kegiatan didalam industry manufaktur maupun non manufaktur untuk dapat menjaga persediaan yang cukup agar kegiatan operasi dapat berjalan dengan lancar dan efisien. CV. JF adalah perusahaan yang bergerak dibidang pengolahan makanan beku. Tujuan penelitian ini perlu ditetapkan perencaaan dan pengendalian bahan baku yang optimal dengan menerapkan sistem persediaan yang tepat dalam perusahaan, setidaknya mampu memperhitungkan jumlah produksi dengan persediaan yang ada dan menghitung frekuensi pembelian, menghitung total biaya (total inventory cost), menghitung safety stock dan merencanakan kapan harus memesan kembali (reorder point) untuk memproduksi pada tahap selanjutnya. Meramalkan jumlah pemakaian bahan baku dengan menggunakan metode moving average 3 dan 5 bulan dan exponential semoothing α 0,1, 0,5 dan 0,9. Adapun metode peramalan yang digunakan adalah moving average 3 bulan karena menghasilkan MAD terkecil sebesar 257,96. Hasil pengendalian persediaan bahan baku dari perhitungan peramalan pemakaian bahan baku. Menghasilkan perhitungan EOQ pembelian yang ekonomis sebesar 1,065 kg. Frekuensi pembelian 10 kali dalam satu periodedan total biaya persediaan Rp. 524404,343. Safety stock yang dibutuhkan adalah sebesar 338,714Kg. dan Re Order Point 416,294 Kg.","author":[{"dropping-particle":"","family":"Susanti","given":"Arini Festy Octavia","non-dropping-particle":"","parse-names":false,"suffix":""},{"dropping-particle":"","family":"Hermansyah","given":"M.","non-dropping-particle":"","parse-names":false,"suffix":""}],"container-title":"Journal of Scientech Research and Development","id":"ITEM-1","issue":"2","issued":{"date-parts":[["2023"]]},"page":"42-52","title":"Analisis Pengendalian Persediaan Bahan Baku Tapioca Menggunakan Pendekatan Economic Order Quantity (Eoq)","type":"article-journal","volume":"5"},"uris":["http://www.mendeley.com/documents/?uuid=a8a3261b-5b4f-40d2-8d32-8a2223fcb66c"]}],"mendeley":{"formattedCitation":"(Susanti &amp; Hermansyah, 2023)","plainTextFormattedCitation":"(Susanti &amp; Hermansyah, 2023)","previouslyFormattedCitation":"(Susanti &amp; Hermansyah, 2023)"},"properties":{"noteIndex":0},"schema":"https://github.com/citation-style-language/schema/raw/master/csl-citation.json"}</w:instrText>
      </w:r>
      <w:r w:rsidR="00740288" w:rsidRPr="00740288">
        <w:rPr>
          <w:rFonts w:ascii="Arial" w:eastAsia="Times New Roman" w:hAnsi="Arial" w:cs="Arial"/>
          <w:sz w:val="20"/>
          <w:szCs w:val="20"/>
          <w:lang w:val="id-ID"/>
        </w:rPr>
        <w:fldChar w:fldCharType="separate"/>
      </w:r>
      <w:r w:rsidR="00740288" w:rsidRPr="00740288">
        <w:rPr>
          <w:rFonts w:ascii="Arial" w:eastAsia="Times New Roman" w:hAnsi="Arial" w:cs="Arial"/>
          <w:noProof/>
          <w:sz w:val="20"/>
          <w:szCs w:val="20"/>
          <w:lang w:val="id-ID"/>
        </w:rPr>
        <w:t>(Susanti &amp; Hermansyah, 2023)</w:t>
      </w:r>
      <w:r w:rsidR="00740288" w:rsidRPr="00740288">
        <w:rPr>
          <w:rFonts w:ascii="Arial" w:eastAsia="Times New Roman" w:hAnsi="Arial" w:cs="Arial"/>
          <w:sz w:val="20"/>
          <w:szCs w:val="20"/>
          <w:lang w:val="id-ID"/>
        </w:rPr>
        <w:fldChar w:fldCharType="end"/>
      </w:r>
      <w:r w:rsidR="00740288" w:rsidRPr="00740288">
        <w:rPr>
          <w:rFonts w:ascii="Arial" w:eastAsia="Times New Roman" w:hAnsi="Arial" w:cs="Arial"/>
          <w:sz w:val="20"/>
          <w:szCs w:val="20"/>
          <w:lang w:val="id-ID"/>
        </w:rPr>
        <w:t>.</w:t>
      </w:r>
      <w:r w:rsidR="00740288">
        <w:rPr>
          <w:rFonts w:ascii="Arial" w:eastAsia="Times New Roman" w:hAnsi="Arial" w:cs="Arial"/>
          <w:sz w:val="20"/>
          <w:szCs w:val="20"/>
          <w:lang w:val="id-ID"/>
        </w:rPr>
        <w:t xml:space="preserve"> </w:t>
      </w:r>
      <w:r w:rsidRPr="00F40FE4">
        <w:rPr>
          <w:rFonts w:ascii="Arial" w:eastAsia="Times New Roman" w:hAnsi="Arial" w:cs="Arial"/>
          <w:sz w:val="20"/>
          <w:szCs w:val="20"/>
          <w:lang w:val="id-ID"/>
        </w:rPr>
        <w:t xml:space="preserve">Inventory management becomes difficult due to the large fluctuations in customer demand and the uncertainty of lead times from suppliers to supply goods. Each component leads to ineffective warehouse control </w:t>
      </w:r>
      <w:r w:rsidR="00740288" w:rsidRPr="00740288">
        <w:rPr>
          <w:rFonts w:ascii="Arial" w:eastAsia="Times New Roman" w:hAnsi="Arial" w:cs="Arial"/>
          <w:sz w:val="20"/>
          <w:szCs w:val="20"/>
          <w:lang w:val="id-ID"/>
        </w:rPr>
        <w:fldChar w:fldCharType="begin" w:fldLock="1"/>
      </w:r>
      <w:r w:rsidR="0036180C">
        <w:rPr>
          <w:rFonts w:ascii="Arial" w:eastAsia="Times New Roman" w:hAnsi="Arial" w:cs="Arial"/>
          <w:sz w:val="20"/>
          <w:szCs w:val="20"/>
          <w:lang w:val="id-ID"/>
        </w:rPr>
        <w:instrText>ADDIN CSL_CITATION {"citationItems":[{"id":"ITEM-1","itemData":{"DOI":"10.3390/MATH8081210","ISSN":"22277390","abstract":"Inventory management plays a critical role in balancing supply availability with customer requirements and significantly contributes to the performance of the whole supply chain. It involves many different features, such as controlling and managing purchases from suppliers to consumers, keeping safety stock, examining the amount of product for sale, and order fulfillment. This paper involves the development of computational modeling for the inventory control problem in Thailand. The problem focuses on determining levels of factors, which are order quantity, reorder point, target stock, and inventory review policy, using a heuristic approach. The objective is to determine the best levels of factors that are significantly affected by their responses to optimize them using the response surface methodology. Values of the quantity of backlog and the average inventory amount, as well as their corresponding total costs, are simulated using the Arena software to gain statistical power. Then, the Minitab-response surface methodology is used to find the feasible solutions of the responses, which consist of test power and sample size, full factorial design, and Box-Behnken design. For a numerical example, the computational model is tested with real data to show the efficacy of the model. The result suggests that the effects from the reorder point, target stock, and inventory review policy are significant to the minimum total cost if their levels are set appropriately. The managerial implications of this model's results not only suggest the best levels of factors for a case study of the leading air compressor manufacturers in Thailand, but also provide a guideline for decision-makers to satisfy customer demand at the minimum possible total inventory cost. Therefore, this paper can be a useful reference for warehouse supervisors, managers, and policymakers to determine the best levels of factors to improve warehouse performance.","author":[{"dropping-particle":"","family":"Wang","given":"Chia Nan","non-dropping-particle":"","parse-names":false,"suffix":""},{"dropping-particle":"","family":"Dang","given":"Thanh Tuan","non-dropping-particle":"","parse-names":false,"suffix":""},{"dropping-particle":"","family":"Nguyen","given":"Ngoc Ai Thy","non-dropping-particle":"","parse-names":false,"suffix":""}],"container-title":"Mathematics","id":"ITEM-1","issue":"8","issued":{"date-parts":[["2020"]]},"title":"A computational model for determining levels of factors in inventory management using response surface methodology","type":"article-journal","volume":"8"},"uris":["http://www.mendeley.com/documents/?uuid=bce1a073-22a9-44c2-84c8-b3bccd771f14"]}],"mendeley":{"formattedCitation":"(Wang et al., 2020)","plainTextFormattedCitation":"(Wang et al., 2020)","previouslyFormattedCitation":"(Wang et al., 2020)"},"properties":{"noteIndex":0},"schema":"https://github.com/citation-style-language/schema/raw/master/csl-citation.json"}</w:instrText>
      </w:r>
      <w:r w:rsidR="00740288" w:rsidRPr="00740288">
        <w:rPr>
          <w:rFonts w:ascii="Arial" w:eastAsia="Times New Roman" w:hAnsi="Arial" w:cs="Arial"/>
          <w:sz w:val="20"/>
          <w:szCs w:val="20"/>
          <w:lang w:val="id-ID"/>
        </w:rPr>
        <w:fldChar w:fldCharType="separate"/>
      </w:r>
      <w:r w:rsidR="0036180C" w:rsidRPr="0036180C">
        <w:rPr>
          <w:rFonts w:ascii="Arial" w:eastAsia="Times New Roman" w:hAnsi="Arial" w:cs="Arial"/>
          <w:noProof/>
          <w:sz w:val="20"/>
          <w:szCs w:val="20"/>
          <w:lang w:val="id-ID"/>
        </w:rPr>
        <w:t>(Wang et al., 2020)</w:t>
      </w:r>
      <w:r w:rsidR="00740288" w:rsidRPr="00740288">
        <w:rPr>
          <w:rFonts w:ascii="Arial" w:eastAsia="Times New Roman" w:hAnsi="Arial" w:cs="Arial"/>
          <w:sz w:val="20"/>
          <w:szCs w:val="20"/>
          <w:lang w:val="id-ID"/>
        </w:rPr>
        <w:fldChar w:fldCharType="end"/>
      </w:r>
      <w:r w:rsidR="00740288" w:rsidRPr="00740288">
        <w:rPr>
          <w:rFonts w:ascii="Arial" w:eastAsia="Times New Roman" w:hAnsi="Arial" w:cs="Arial"/>
          <w:sz w:val="20"/>
          <w:szCs w:val="20"/>
          <w:lang w:val="id-ID"/>
        </w:rPr>
        <w:t>.</w:t>
      </w:r>
    </w:p>
    <w:p w14:paraId="1BE25127" w14:textId="4ECE16C7" w:rsidR="00E5295D" w:rsidRDefault="00F40FE4" w:rsidP="00115EA1">
      <w:pPr>
        <w:ind w:firstLine="284"/>
        <w:jc w:val="both"/>
        <w:rPr>
          <w:rFonts w:ascii="Arial" w:eastAsia="Times New Roman" w:hAnsi="Arial" w:cs="Arial"/>
          <w:sz w:val="20"/>
          <w:szCs w:val="20"/>
          <w:lang w:val="id-ID"/>
        </w:rPr>
      </w:pPr>
      <w:r w:rsidRPr="00F40FE4">
        <w:rPr>
          <w:rFonts w:ascii="Arial" w:eastAsia="Times New Roman" w:hAnsi="Arial" w:cs="Arial"/>
          <w:sz w:val="20"/>
          <w:szCs w:val="20"/>
          <w:lang w:val="id-ID"/>
        </w:rPr>
        <w:t>Inventory is a resource that is idle and waiting to be further processed to meet current and future demand</w:t>
      </w:r>
      <w:r>
        <w:rPr>
          <w:rFonts w:ascii="Arial" w:eastAsia="Times New Roman" w:hAnsi="Arial" w:cs="Arial"/>
          <w:sz w:val="20"/>
          <w:szCs w:val="20"/>
          <w:lang w:val="id-ID"/>
        </w:rPr>
        <w:t xml:space="preserve"> </w:t>
      </w:r>
      <w:r w:rsidR="00740288" w:rsidRPr="00740288">
        <w:rPr>
          <w:rFonts w:ascii="Arial" w:eastAsia="Times New Roman" w:hAnsi="Arial" w:cs="Arial"/>
          <w:sz w:val="20"/>
          <w:szCs w:val="20"/>
          <w:lang w:val="id-ID"/>
        </w:rPr>
        <w:fldChar w:fldCharType="begin" w:fldLock="1"/>
      </w:r>
      <w:r w:rsidR="00740288" w:rsidRPr="00740288">
        <w:rPr>
          <w:rFonts w:ascii="Arial" w:eastAsia="Times New Roman" w:hAnsi="Arial" w:cs="Arial"/>
          <w:sz w:val="20"/>
          <w:szCs w:val="20"/>
          <w:lang w:val="id-ID"/>
        </w:rPr>
        <w:instrText>ADDIN CSL_CITATION {"citationItems":[{"id":"ITEM-1","itemData":{"author":[{"dropping-particle":"","family":"Aryanny","given":"Enny","non-dropping-particle":"","parse-names":false,"suffix":""},{"dropping-particle":"","family":"Jati","given":"Ragil Kusuma","non-dropping-particle":"","parse-names":false,"suffix":""}],"container-title":"Tekmapro: Journal of Industrial Engineering and Management","id":"ITEM-1","issue":"01","issued":{"date-parts":[["2021"]]},"page":"106-117","title":"Analisa Pengendalian Persediaan Daun Kayu Putih yang Optimal dengan Metode Continous Review System","type":"article-journal","volume":"16"},"uris":["http://www.mendeley.com/documents/?uuid=e0d92923-774c-4efe-b422-d1b508a9b250"]}],"mendeley":{"formattedCitation":"(Aryanny &amp; Jati, 2021)","plainTextFormattedCitation":"(Aryanny &amp; Jati, 2021)","previouslyFormattedCitation":"(Aryanny &amp; Jati, 2021)"},"properties":{"noteIndex":0},"schema":"https://github.com/citation-style-language/schema/raw/master/csl-citation.json"}</w:instrText>
      </w:r>
      <w:r w:rsidR="00740288" w:rsidRPr="00740288">
        <w:rPr>
          <w:rFonts w:ascii="Arial" w:eastAsia="Times New Roman" w:hAnsi="Arial" w:cs="Arial"/>
          <w:sz w:val="20"/>
          <w:szCs w:val="20"/>
          <w:lang w:val="id-ID"/>
        </w:rPr>
        <w:fldChar w:fldCharType="separate"/>
      </w:r>
      <w:r w:rsidR="00740288" w:rsidRPr="00740288">
        <w:rPr>
          <w:rFonts w:ascii="Arial" w:eastAsia="Times New Roman" w:hAnsi="Arial" w:cs="Arial"/>
          <w:noProof/>
          <w:sz w:val="20"/>
          <w:szCs w:val="20"/>
          <w:lang w:val="id-ID"/>
        </w:rPr>
        <w:t>(Aryanny &amp; Jati, 2021)</w:t>
      </w:r>
      <w:r w:rsidR="00740288" w:rsidRPr="00740288">
        <w:rPr>
          <w:rFonts w:ascii="Arial" w:eastAsia="Times New Roman" w:hAnsi="Arial" w:cs="Arial"/>
          <w:sz w:val="20"/>
          <w:szCs w:val="20"/>
          <w:lang w:val="id-ID"/>
        </w:rPr>
        <w:fldChar w:fldCharType="end"/>
      </w:r>
      <w:r w:rsidR="00740288" w:rsidRPr="00740288">
        <w:rPr>
          <w:rFonts w:ascii="Arial" w:eastAsia="Times New Roman" w:hAnsi="Arial" w:cs="Arial"/>
          <w:sz w:val="20"/>
          <w:szCs w:val="20"/>
          <w:lang w:val="id-ID"/>
        </w:rPr>
        <w:t>.</w:t>
      </w:r>
      <w:r w:rsidR="00740288">
        <w:rPr>
          <w:rFonts w:ascii="Arial" w:eastAsia="Times New Roman" w:hAnsi="Arial" w:cs="Arial"/>
          <w:sz w:val="20"/>
          <w:szCs w:val="20"/>
          <w:lang w:val="id-ID"/>
        </w:rPr>
        <w:t xml:space="preserve"> </w:t>
      </w:r>
      <w:r w:rsidRPr="00F40FE4">
        <w:rPr>
          <w:rFonts w:ascii="Arial" w:eastAsia="Times New Roman" w:hAnsi="Arial" w:cs="Arial"/>
          <w:sz w:val="20"/>
          <w:szCs w:val="20"/>
          <w:lang w:val="id-ID"/>
        </w:rPr>
        <w:t>Inventories are goods that are stored for future use or sale</w:t>
      </w:r>
      <w:r w:rsidR="0036180C">
        <w:rPr>
          <w:rFonts w:ascii="Arial" w:eastAsia="Times New Roman" w:hAnsi="Arial" w:cs="Arial"/>
          <w:noProof/>
          <w:sz w:val="20"/>
          <w:szCs w:val="20"/>
          <w:lang w:val="id-ID"/>
        </w:rPr>
        <w:t xml:space="preserve"> </w:t>
      </w:r>
      <w:r w:rsidR="0036180C">
        <w:rPr>
          <w:rFonts w:ascii="Arial" w:eastAsia="Times New Roman" w:hAnsi="Arial" w:cs="Arial"/>
          <w:noProof/>
          <w:sz w:val="20"/>
          <w:szCs w:val="20"/>
          <w:lang w:val="id-ID"/>
        </w:rPr>
        <w:fldChar w:fldCharType="begin" w:fldLock="1"/>
      </w:r>
      <w:r w:rsidR="0036180C">
        <w:rPr>
          <w:rFonts w:ascii="Arial" w:eastAsia="Times New Roman" w:hAnsi="Arial" w:cs="Arial"/>
          <w:noProof/>
          <w:sz w:val="20"/>
          <w:szCs w:val="20"/>
          <w:lang w:val="id-ID"/>
        </w:rPr>
        <w:instrText>ADDIN CSL_CITATION {"citationItems":[{"id":"ITEM-1","itemData":{"author":[{"dropping-particle":"","family":"Ernita","given":"Tri","non-dropping-particle":"","parse-names":false,"suffix":""},{"dropping-particle":"","family":"Ervil","given":"Riko","non-dropping-particle":"","parse-names":false,"suffix":""},{"dropping-particle":"","family":"Meidy","given":"Restiani","non-dropping-particle":"","parse-names":false,"suffix":""},{"dropping-particle":"","family":"Studi","given":"Program","non-dropping-particle":"","parse-names":false,"suffix":""},{"dropping-particle":"","family":"Industri","given":"Teknik","non-dropping-particle":"","parse-names":false,"suffix":""},{"dropping-particle":"","family":"Tinggi","given":"Sekolah","non-dropping-particle":"","parse-names":false,"suffix":""},{"dropping-particle":"","family":"Industri","given":"Teknologi","non-dropping-particle":"","parse-names":false,"suffix":""}],"container-title":"Jurnal Sains danTeknologi","id":"ITEM-1","issue":"1","issued":{"date-parts":[["2021"]]},"page":"40-49","title":"Perencanaan Persediaan Bahan Baku dengan Metode Material Requirement Planning ( MRP ) pada Proses Produksi Bak Mobil Truk di CV . Lursa Abadi Kota","type":"article-journal","volume":"21"},"uris":["http://www.mendeley.com/documents/?uuid=416db55f-344d-4a92-b61d-81562e45752a"]}],"mendeley":{"formattedCitation":"(Ernita et al., 2021)","plainTextFormattedCitation":"(Ernita et al., 2021)","previouslyFormattedCitation":"(Ernita et al., 2021)"},"properties":{"noteIndex":0},"schema":"https://github.com/citation-style-language/schema/raw/master/csl-citation.json"}</w:instrText>
      </w:r>
      <w:r w:rsidR="0036180C">
        <w:rPr>
          <w:rFonts w:ascii="Arial" w:eastAsia="Times New Roman" w:hAnsi="Arial" w:cs="Arial"/>
          <w:noProof/>
          <w:sz w:val="20"/>
          <w:szCs w:val="20"/>
          <w:lang w:val="id-ID"/>
        </w:rPr>
        <w:fldChar w:fldCharType="separate"/>
      </w:r>
      <w:r w:rsidR="0036180C" w:rsidRPr="0036180C">
        <w:rPr>
          <w:rFonts w:ascii="Arial" w:eastAsia="Times New Roman" w:hAnsi="Arial" w:cs="Arial"/>
          <w:noProof/>
          <w:sz w:val="20"/>
          <w:szCs w:val="20"/>
          <w:lang w:val="id-ID"/>
        </w:rPr>
        <w:t>(Ernita et al., 2021)</w:t>
      </w:r>
      <w:r w:rsidR="0036180C">
        <w:rPr>
          <w:rFonts w:ascii="Arial" w:eastAsia="Times New Roman" w:hAnsi="Arial" w:cs="Arial"/>
          <w:noProof/>
          <w:sz w:val="20"/>
          <w:szCs w:val="20"/>
          <w:lang w:val="id-ID"/>
        </w:rPr>
        <w:fldChar w:fldCharType="end"/>
      </w:r>
      <w:r w:rsidR="0020565D" w:rsidRPr="0020565D">
        <w:rPr>
          <w:rFonts w:ascii="Arial" w:eastAsia="Times New Roman" w:hAnsi="Arial" w:cs="Arial"/>
          <w:sz w:val="20"/>
          <w:szCs w:val="20"/>
          <w:lang w:val="id-ID"/>
        </w:rPr>
        <w:t xml:space="preserve">. </w:t>
      </w:r>
      <w:r>
        <w:rPr>
          <w:rFonts w:ascii="Arial" w:eastAsia="Times New Roman" w:hAnsi="Arial" w:cs="Arial"/>
          <w:sz w:val="20"/>
          <w:szCs w:val="20"/>
          <w:lang w:val="id-ID"/>
        </w:rPr>
        <w:t>According</w:t>
      </w:r>
      <w:r w:rsidR="00740288" w:rsidRPr="0020565D">
        <w:rPr>
          <w:rFonts w:ascii="Arial" w:eastAsia="Times New Roman" w:hAnsi="Arial" w:cs="Arial"/>
          <w:sz w:val="20"/>
          <w:szCs w:val="20"/>
          <w:lang w:val="id-ID"/>
        </w:rPr>
        <w:t xml:space="preserve"> </w:t>
      </w:r>
      <w:r w:rsidR="002C642C">
        <w:rPr>
          <w:rFonts w:ascii="Arial" w:eastAsia="Times New Roman" w:hAnsi="Arial" w:cs="Arial"/>
          <w:sz w:val="20"/>
          <w:szCs w:val="20"/>
          <w:lang w:val="id-ID"/>
        </w:rPr>
        <w:t xml:space="preserve">to </w:t>
      </w:r>
      <w:r w:rsidR="00740288" w:rsidRPr="0020565D">
        <w:rPr>
          <w:rFonts w:ascii="Arial" w:eastAsia="Times New Roman" w:hAnsi="Arial" w:cs="Arial"/>
          <w:sz w:val="20"/>
          <w:szCs w:val="20"/>
          <w:lang w:val="id-ID"/>
        </w:rPr>
        <w:fldChar w:fldCharType="begin" w:fldLock="1"/>
      </w:r>
      <w:r w:rsidR="00740288" w:rsidRPr="0020565D">
        <w:rPr>
          <w:rFonts w:ascii="Arial" w:eastAsia="Times New Roman" w:hAnsi="Arial" w:cs="Arial"/>
          <w:sz w:val="20"/>
          <w:szCs w:val="20"/>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Kata","author":[{"dropping-particle":"","family":"Waters","given":"Donald","non-dropping-particle":"","parse-names":false,"suffix":""}],"id":"ITEM-1","issued":{"date-parts":[["2016"]]},"number-of-pages":"404","title":"Inventory Control &amp; Management 2nd Edition","type":"book"},"uris":["http://www.mendeley.com/documents/?uuid=70fb6a3a-57bd-41bc-bb80-b238fcb3840f"]}],"mendeley":{"formattedCitation":"(Waters, 2016)","plainTextFormattedCitation":"(Waters, 2016)","previouslyFormattedCitation":"(Waters, 2016)"},"properties":{"noteIndex":0},"schema":"https://github.com/citation-style-language/schema/raw/master/csl-citation.json"}</w:instrText>
      </w:r>
      <w:r w:rsidR="00740288" w:rsidRPr="0020565D">
        <w:rPr>
          <w:rFonts w:ascii="Arial" w:eastAsia="Times New Roman" w:hAnsi="Arial" w:cs="Arial"/>
          <w:sz w:val="20"/>
          <w:szCs w:val="20"/>
          <w:lang w:val="id-ID"/>
        </w:rPr>
        <w:fldChar w:fldCharType="separate"/>
      </w:r>
      <w:r w:rsidR="00740288" w:rsidRPr="0020565D">
        <w:rPr>
          <w:rFonts w:ascii="Arial" w:eastAsia="Times New Roman" w:hAnsi="Arial" w:cs="Arial"/>
          <w:noProof/>
          <w:sz w:val="20"/>
          <w:szCs w:val="20"/>
          <w:lang w:val="id-ID"/>
        </w:rPr>
        <w:t>(Waters, 2016)</w:t>
      </w:r>
      <w:r w:rsidR="00740288" w:rsidRPr="0020565D">
        <w:rPr>
          <w:rFonts w:ascii="Arial" w:eastAsia="Times New Roman" w:hAnsi="Arial" w:cs="Arial"/>
          <w:sz w:val="20"/>
          <w:szCs w:val="20"/>
          <w:lang w:val="id-ID"/>
        </w:rPr>
        <w:fldChar w:fldCharType="end"/>
      </w:r>
      <w:r w:rsidR="00740288" w:rsidRPr="0020565D">
        <w:rPr>
          <w:rFonts w:ascii="Arial" w:eastAsia="Times New Roman" w:hAnsi="Arial" w:cs="Arial"/>
          <w:sz w:val="20"/>
          <w:szCs w:val="20"/>
          <w:lang w:val="id-ID"/>
        </w:rPr>
        <w:t xml:space="preserve">, </w:t>
      </w:r>
      <w:r w:rsidRPr="00F40FE4">
        <w:rPr>
          <w:rFonts w:ascii="Arial" w:eastAsia="Times New Roman" w:hAnsi="Arial" w:cs="Arial"/>
          <w:sz w:val="20"/>
          <w:szCs w:val="20"/>
          <w:lang w:val="id-ID"/>
        </w:rPr>
        <w:t>whenever a company gets raw materials that must be used immediately, inventory is created. Materials are shipped from suppliers, and stock is held until needed. Inventory control is a way to monitor inventory levels by determining the number of items to be ordered and the timing of orders</w:t>
      </w:r>
      <w:r>
        <w:rPr>
          <w:rFonts w:ascii="Arial" w:eastAsia="Times New Roman" w:hAnsi="Arial" w:cs="Arial"/>
          <w:sz w:val="20"/>
          <w:szCs w:val="20"/>
          <w:lang w:val="id-ID"/>
        </w:rPr>
        <w:t xml:space="preserve"> </w:t>
      </w:r>
      <w:r w:rsidR="00E5295D" w:rsidRPr="00E5295D">
        <w:rPr>
          <w:rFonts w:ascii="Arial" w:eastAsia="Times New Roman" w:hAnsi="Arial" w:cs="Arial"/>
          <w:sz w:val="20"/>
          <w:szCs w:val="20"/>
          <w:lang w:val="id-ID"/>
        </w:rPr>
        <w:fldChar w:fldCharType="begin" w:fldLock="1"/>
      </w:r>
      <w:r w:rsidR="00E5295D" w:rsidRPr="00E5295D">
        <w:rPr>
          <w:rFonts w:ascii="Arial" w:eastAsia="Times New Roman" w:hAnsi="Arial" w:cs="Arial"/>
          <w:sz w:val="20"/>
          <w:szCs w:val="20"/>
          <w:lang w:val="id-ID"/>
        </w:rPr>
        <w:instrText>ADDIN CSL_CITATION {"citationItems":[{"id":"ITEM-1","itemData":{"author":[{"dropping-particle":"","family":"Monica","given":"Shinta","non-dropping-particle":"","parse-names":false,"suffix":""},{"dropping-particle":"","family":"Setiawan","given":"Putu Yudi","non-dropping-particle":"","parse-names":false,"suffix":""}],"container-title":"Jurnal Manajemen","id":"ITEM-1","issue":"5","issued":{"date-parts":[["2019"]]},"page":"2944-2972","title":"Analisis Material Requirement Planning Produk Body Scrub Powder pada CV . Denara Duta Mandiri","type":"article-journal","volume":"8"},"uris":["http://www.mendeley.com/documents/?uuid=83a66a51-a2d0-430f-a972-e88a5b45c598"]}],"mendeley":{"formattedCitation":"(Monica &amp; Setiawan, 2019)","plainTextFormattedCitation":"(Monica &amp; Setiawan, 2019)","previouslyFormattedCitation":"(Monica &amp; Setiawan, 2019)"},"properties":{"noteIndex":0},"schema":"https://github.com/citation-style-language/schema/raw/master/csl-citation.json"}</w:instrText>
      </w:r>
      <w:r w:rsidR="00E5295D" w:rsidRPr="00E5295D">
        <w:rPr>
          <w:rFonts w:ascii="Arial" w:eastAsia="Times New Roman" w:hAnsi="Arial" w:cs="Arial"/>
          <w:sz w:val="20"/>
          <w:szCs w:val="20"/>
          <w:lang w:val="id-ID"/>
        </w:rPr>
        <w:fldChar w:fldCharType="separate"/>
      </w:r>
      <w:r w:rsidR="00E5295D" w:rsidRPr="00E5295D">
        <w:rPr>
          <w:rFonts w:ascii="Arial" w:eastAsia="Times New Roman" w:hAnsi="Arial" w:cs="Arial"/>
          <w:noProof/>
          <w:sz w:val="20"/>
          <w:szCs w:val="20"/>
          <w:lang w:val="id-ID"/>
        </w:rPr>
        <w:t>(Monica &amp; Setiawan, 2019)</w:t>
      </w:r>
      <w:r w:rsidR="00E5295D" w:rsidRPr="00E5295D">
        <w:rPr>
          <w:rFonts w:ascii="Arial" w:eastAsia="Times New Roman" w:hAnsi="Arial" w:cs="Arial"/>
          <w:sz w:val="20"/>
          <w:szCs w:val="20"/>
          <w:lang w:val="id-ID"/>
        </w:rPr>
        <w:fldChar w:fldCharType="end"/>
      </w:r>
      <w:r w:rsidR="00E5295D" w:rsidRPr="00E5295D">
        <w:rPr>
          <w:rFonts w:ascii="Arial" w:eastAsia="Times New Roman" w:hAnsi="Arial" w:cs="Arial"/>
          <w:sz w:val="20"/>
          <w:szCs w:val="20"/>
          <w:lang w:val="id-ID"/>
        </w:rPr>
        <w:t>.</w:t>
      </w:r>
      <w:r w:rsidRPr="00F40FE4">
        <w:t xml:space="preserve"> </w:t>
      </w:r>
      <w:r w:rsidRPr="00F40FE4">
        <w:rPr>
          <w:rFonts w:ascii="Arial" w:eastAsia="Times New Roman" w:hAnsi="Arial" w:cs="Arial"/>
          <w:sz w:val="20"/>
          <w:szCs w:val="20"/>
          <w:lang w:val="id-ID"/>
        </w:rPr>
        <w:t>The problem of managing inventory is very important for retail management operations. Lack of quality in inventory management can result in the accumulation of goods, which is caused by purchases made only based on assumptions without accurate calculations</w:t>
      </w:r>
      <w:r>
        <w:rPr>
          <w:rFonts w:ascii="Arial" w:eastAsia="Times New Roman" w:hAnsi="Arial" w:cs="Arial"/>
          <w:sz w:val="20"/>
          <w:szCs w:val="20"/>
          <w:lang w:val="id-ID"/>
        </w:rPr>
        <w:t xml:space="preserve"> </w:t>
      </w:r>
      <w:r w:rsidR="00740288" w:rsidRPr="00740288">
        <w:rPr>
          <w:rFonts w:ascii="Arial" w:eastAsia="Times New Roman" w:hAnsi="Arial" w:cs="Arial"/>
          <w:sz w:val="20"/>
          <w:szCs w:val="20"/>
          <w:lang w:val="id-ID"/>
        </w:rPr>
        <w:fldChar w:fldCharType="begin" w:fldLock="1"/>
      </w:r>
      <w:r w:rsidR="0036180C">
        <w:rPr>
          <w:rFonts w:ascii="Arial" w:eastAsia="Times New Roman" w:hAnsi="Arial" w:cs="Arial"/>
          <w:sz w:val="20"/>
          <w:szCs w:val="20"/>
          <w:lang w:val="id-ID"/>
        </w:rPr>
        <w:instrText>ADDIN CSL_CITATION {"citationItems":[{"id":"ITEM-1","itemData":{"author":[{"dropping-particle":"","family":"Nurwahyuningsih, Arifin","given":"Nurul","non-dropping-particle":"","parse-names":false,"suffix":""},{"dropping-particle":"","family":"Sari","given":"Risna Destiana","non-dropping-particle":"","parse-names":false,"suffix":""},{"dropping-particle":"","family":"Fauzi","given":"Vicky Nur","non-dropping-particle":"","parse-names":false,"suffix":""}],"container-title":"NARATIF(Jurnal Ilmiah Nasional Riset Aplikasi dan Teknik Informatika)","id":"ITEM-1","issue":"02","issued":{"date-parts":[["2021"]]},"page":"36-40","title":"Barang Dagang Berbasis Web Bagi Bisnis Retail","type":"article-journal","volume":"03"},"uris":["http://www.mendeley.com/documents/?uuid=e92a6d90-0e1b-42d7-b4af-478a15a2fdc5"]}],"mendeley":{"formattedCitation":"(Nurwahyuningsih, Arifin et al., 2021)","plainTextFormattedCitation":"(Nurwahyuningsih, Arifin et al., 2021)","previouslyFormattedCitation":"(Nurwahyuningsih, Arifin et al., 2021)"},"properties":{"noteIndex":0},"schema":"https://github.com/citation-style-language/schema/raw/master/csl-citation.json"}</w:instrText>
      </w:r>
      <w:r w:rsidR="00740288" w:rsidRPr="00740288">
        <w:rPr>
          <w:rFonts w:ascii="Arial" w:eastAsia="Times New Roman" w:hAnsi="Arial" w:cs="Arial"/>
          <w:sz w:val="20"/>
          <w:szCs w:val="20"/>
          <w:lang w:val="id-ID"/>
        </w:rPr>
        <w:fldChar w:fldCharType="separate"/>
      </w:r>
      <w:r w:rsidR="0036180C" w:rsidRPr="0036180C">
        <w:rPr>
          <w:rFonts w:ascii="Arial" w:eastAsia="Times New Roman" w:hAnsi="Arial" w:cs="Arial"/>
          <w:noProof/>
          <w:sz w:val="20"/>
          <w:szCs w:val="20"/>
          <w:lang w:val="id-ID"/>
        </w:rPr>
        <w:t>(Nurwahyuningsih, Arifin et al., 2021)</w:t>
      </w:r>
      <w:r w:rsidR="00740288" w:rsidRPr="00740288">
        <w:rPr>
          <w:rFonts w:ascii="Arial" w:eastAsia="Times New Roman" w:hAnsi="Arial" w:cs="Arial"/>
          <w:sz w:val="20"/>
          <w:szCs w:val="20"/>
          <w:lang w:val="id-ID"/>
        </w:rPr>
        <w:fldChar w:fldCharType="end"/>
      </w:r>
      <w:r w:rsidR="00740288" w:rsidRPr="00740288">
        <w:rPr>
          <w:rFonts w:ascii="Arial" w:eastAsia="Times New Roman" w:hAnsi="Arial" w:cs="Arial"/>
          <w:sz w:val="20"/>
          <w:szCs w:val="20"/>
          <w:lang w:val="id-ID"/>
        </w:rPr>
        <w:t>.</w:t>
      </w:r>
      <w:r w:rsidR="00740288">
        <w:rPr>
          <w:rFonts w:ascii="Arial" w:eastAsia="Times New Roman" w:hAnsi="Arial" w:cs="Arial"/>
          <w:sz w:val="20"/>
          <w:szCs w:val="20"/>
          <w:lang w:val="id-ID"/>
        </w:rPr>
        <w:t xml:space="preserve"> </w:t>
      </w:r>
    </w:p>
    <w:p w14:paraId="457245C8" w14:textId="0155F411" w:rsidR="003101FD" w:rsidRDefault="00F40FE4" w:rsidP="003101FD">
      <w:pPr>
        <w:ind w:firstLine="284"/>
        <w:jc w:val="both"/>
        <w:rPr>
          <w:rFonts w:ascii="Arial" w:hAnsi="Arial" w:cs="Arial"/>
          <w:bCs/>
          <w:sz w:val="20"/>
          <w:szCs w:val="20"/>
          <w:lang w:val="id-ID"/>
        </w:rPr>
      </w:pPr>
      <w:r>
        <w:rPr>
          <w:rFonts w:ascii="Arial" w:hAnsi="Arial" w:cs="Arial"/>
          <w:bCs/>
          <w:sz w:val="20"/>
          <w:szCs w:val="20"/>
          <w:lang w:val="id-ID"/>
        </w:rPr>
        <w:t>According</w:t>
      </w:r>
      <w:r w:rsidR="003101FD" w:rsidRPr="003101FD">
        <w:rPr>
          <w:rFonts w:ascii="Arial" w:hAnsi="Arial" w:cs="Arial"/>
          <w:bCs/>
          <w:sz w:val="20"/>
          <w:szCs w:val="20"/>
          <w:lang w:val="id-ID"/>
        </w:rPr>
        <w:t xml:space="preserve"> </w:t>
      </w:r>
      <w:r w:rsidR="002C642C">
        <w:rPr>
          <w:rFonts w:ascii="Arial" w:hAnsi="Arial" w:cs="Arial"/>
          <w:bCs/>
          <w:sz w:val="20"/>
          <w:szCs w:val="20"/>
          <w:lang w:val="id-ID"/>
        </w:rPr>
        <w:t xml:space="preserve">to </w:t>
      </w:r>
      <w:r w:rsidR="003101FD" w:rsidRPr="003101FD">
        <w:rPr>
          <w:rFonts w:ascii="Arial" w:hAnsi="Arial" w:cs="Arial"/>
          <w:bCs/>
          <w:sz w:val="20"/>
          <w:szCs w:val="20"/>
          <w:lang w:val="id-ID"/>
        </w:rPr>
        <w:fldChar w:fldCharType="begin" w:fldLock="1"/>
      </w:r>
      <w:r w:rsidR="003101FD" w:rsidRPr="003101FD">
        <w:rPr>
          <w:rFonts w:ascii="Arial" w:hAnsi="Arial" w:cs="Arial"/>
          <w:bCs/>
          <w:sz w:val="20"/>
          <w:szCs w:val="20"/>
          <w:lang w:val="id-ID"/>
        </w:rPr>
        <w:instrText>ADDIN CSL_CITATION {"citationItems":[{"id":"ITEM-1","itemData":{"DOI":"10.55122/blogchain.v3i2.919","abstract":"Penelitian ini bertujuan untuk mengetahui efektivitas dan kendala efektivitas pengelolaan gudang dalam proses penyimpanan barang pada perusahaan. Metode penelitian yang digunakan adalah metode deskriptif dengan pendekatan kualitatif, teknik pengumpulan digunakan dengan teknik observasi, wawancara, dan dokumentasi. Hasil penelitian ini menunjukkan bahwa pengelolaan gudang dalam proses penyimpanan barang di perusahaan tersebut sudah berjalan optimal. Namun hal tersebut belum dapat dikatakan bahwa produktivitas pengelolaan gudang dalam proses penyimpanan barang di perusahaan tersebut sudah produktif. Hal ini dapat dibuktikan dengan pengukuran efektivitas yang didukung dengan data hasil wawancara dengan informan. Terdapat beberapa kendala yang menghambat proses di dalam gudang. Seperti kurangnya staf operasional dan teknologi yang memadai di gudang mereka.","author":[{"dropping-particle":"","family":"Naomi","given":"Arcelina Cindy","non-dropping-particle":"","parse-names":false,"suffix":""},{"dropping-particle":"","family":"Fauziah","given":"Luluk","non-dropping-particle":"","parse-names":false,"suffix":""}],"container-title":"Jurnal Bisnis, Logistik dan Supply Chain (BLOGCHAIN)","id":"ITEM-1","issue":"2","issued":{"date-parts":[["2023"]]},"page":"74-78","title":"Tingkat Efektivitas Dalam Proses Penyimpanan Barang Di Gudang","type":"article-journal","volume":"3"},"uris":["http://www.mendeley.com/documents/?uuid=7a08c0c9-4c2e-4269-9aa6-ee8dcfc53ca6"]}],"mendeley":{"formattedCitation":"(Naomi &amp; Fauziah, 2023)","plainTextFormattedCitation":"(Naomi &amp; Fauziah, 2023)","previouslyFormattedCitation":"(Naomi &amp; Fauziah, 2023)"},"properties":{"noteIndex":0},"schema":"https://github.com/citation-style-language/schema/raw/master/csl-citation.json"}</w:instrText>
      </w:r>
      <w:r w:rsidR="003101FD" w:rsidRPr="003101FD">
        <w:rPr>
          <w:rFonts w:ascii="Arial" w:hAnsi="Arial" w:cs="Arial"/>
          <w:bCs/>
          <w:sz w:val="20"/>
          <w:szCs w:val="20"/>
          <w:lang w:val="id-ID"/>
        </w:rPr>
        <w:fldChar w:fldCharType="separate"/>
      </w:r>
      <w:r w:rsidR="003101FD" w:rsidRPr="003101FD">
        <w:rPr>
          <w:rFonts w:ascii="Arial" w:hAnsi="Arial" w:cs="Arial"/>
          <w:bCs/>
          <w:noProof/>
          <w:sz w:val="20"/>
          <w:szCs w:val="20"/>
          <w:lang w:val="id-ID"/>
        </w:rPr>
        <w:t>(Naomi &amp; Fauziah, 2023)</w:t>
      </w:r>
      <w:r w:rsidR="003101FD" w:rsidRPr="003101FD">
        <w:rPr>
          <w:rFonts w:ascii="Arial" w:hAnsi="Arial" w:cs="Arial"/>
          <w:bCs/>
          <w:sz w:val="20"/>
          <w:szCs w:val="20"/>
          <w:lang w:val="id-ID"/>
        </w:rPr>
        <w:fldChar w:fldCharType="end"/>
      </w:r>
      <w:r w:rsidR="003101FD" w:rsidRPr="003101FD">
        <w:rPr>
          <w:rFonts w:ascii="Arial" w:hAnsi="Arial" w:cs="Arial"/>
          <w:bCs/>
          <w:sz w:val="20"/>
          <w:szCs w:val="20"/>
          <w:lang w:val="id-ID"/>
        </w:rPr>
        <w:t xml:space="preserve">, </w:t>
      </w:r>
      <w:r w:rsidRPr="00F40FE4">
        <w:rPr>
          <w:rFonts w:ascii="Arial" w:hAnsi="Arial" w:cs="Arial"/>
          <w:bCs/>
          <w:sz w:val="20"/>
          <w:szCs w:val="20"/>
          <w:lang w:val="id-ID"/>
        </w:rPr>
        <w:t>effectiveness in warehouse management involves increasing productivity, reducing costs, optimizing the use of resources, and implementing best practices in organization, stock control, operational efficiency, risk management, and analysis and measurement. If this is done well, it will facilitate the inventory calculation process and support the smooth entry and exit of goods</w:t>
      </w:r>
      <w:r>
        <w:rPr>
          <w:rFonts w:ascii="Arial" w:hAnsi="Arial" w:cs="Arial"/>
          <w:bCs/>
          <w:sz w:val="20"/>
          <w:szCs w:val="20"/>
          <w:lang w:val="id-ID"/>
        </w:rPr>
        <w:t xml:space="preserve"> </w:t>
      </w:r>
      <w:r w:rsidR="003101FD" w:rsidRPr="003101FD">
        <w:rPr>
          <w:rFonts w:ascii="Arial" w:hAnsi="Arial" w:cs="Arial"/>
          <w:bCs/>
          <w:sz w:val="20"/>
          <w:szCs w:val="20"/>
          <w:lang w:val="id-ID"/>
        </w:rPr>
        <w:fldChar w:fldCharType="begin" w:fldLock="1"/>
      </w:r>
      <w:r w:rsidR="003101FD" w:rsidRPr="003101FD">
        <w:rPr>
          <w:rFonts w:ascii="Arial" w:hAnsi="Arial" w:cs="Arial"/>
          <w:bCs/>
          <w:sz w:val="20"/>
          <w:szCs w:val="20"/>
          <w:lang w:val="id-ID"/>
        </w:rPr>
        <w:instrText>ADDIN CSL_CITATION {"citationItems":[{"id":"ITEM-1","itemData":{"author":[{"dropping-particle":"","family":"Rifda","given":"Zalfaa","non-dropping-particle":"","parse-names":false,"suffix":""}],"container-title":"Jurnal Bisnis, Logistik dan Supply Chain (BLOGCHAIN)","id":"ITEM-1","issue":"2","issued":{"date-parts":[["2023"]]},"page":"83-86","title":"Analisis Efektivitas Penyimpanan Barang di Gudang pada PT. ZYR","type":"article-journal","volume":"3"},"uris":["http://www.mendeley.com/documents/?uuid=21d19ab7-0f0f-482c-8080-a4c43f5394c5"]}],"mendeley":{"formattedCitation":"(Rifda, 2023)","plainTextFormattedCitation":"(Rifda, 2023)","previouslyFormattedCitation":"(Rifda, 2023)"},"properties":{"noteIndex":0},"schema":"https://github.com/citation-style-language/schema/raw/master/csl-citation.json"}</w:instrText>
      </w:r>
      <w:r w:rsidR="003101FD" w:rsidRPr="003101FD">
        <w:rPr>
          <w:rFonts w:ascii="Arial" w:hAnsi="Arial" w:cs="Arial"/>
          <w:bCs/>
          <w:sz w:val="20"/>
          <w:szCs w:val="20"/>
          <w:lang w:val="id-ID"/>
        </w:rPr>
        <w:fldChar w:fldCharType="separate"/>
      </w:r>
      <w:r w:rsidR="003101FD" w:rsidRPr="003101FD">
        <w:rPr>
          <w:rFonts w:ascii="Arial" w:hAnsi="Arial" w:cs="Arial"/>
          <w:bCs/>
          <w:noProof/>
          <w:sz w:val="20"/>
          <w:szCs w:val="20"/>
          <w:lang w:val="id-ID"/>
        </w:rPr>
        <w:t>(Rifda, 2023)</w:t>
      </w:r>
      <w:r w:rsidR="003101FD" w:rsidRPr="003101FD">
        <w:rPr>
          <w:rFonts w:ascii="Arial" w:hAnsi="Arial" w:cs="Arial"/>
          <w:bCs/>
          <w:sz w:val="20"/>
          <w:szCs w:val="20"/>
          <w:lang w:val="id-ID"/>
        </w:rPr>
        <w:fldChar w:fldCharType="end"/>
      </w:r>
      <w:r w:rsidR="003101FD" w:rsidRPr="003101FD">
        <w:rPr>
          <w:rFonts w:ascii="Arial" w:hAnsi="Arial" w:cs="Arial"/>
          <w:bCs/>
          <w:sz w:val="20"/>
          <w:szCs w:val="20"/>
          <w:lang w:val="id-ID"/>
        </w:rPr>
        <w:t xml:space="preserve">. </w:t>
      </w:r>
      <w:r>
        <w:rPr>
          <w:rFonts w:ascii="Arial" w:hAnsi="Arial" w:cs="Arial"/>
          <w:bCs/>
          <w:sz w:val="20"/>
          <w:szCs w:val="20"/>
          <w:lang w:val="id-ID"/>
        </w:rPr>
        <w:t>According</w:t>
      </w:r>
      <w:r w:rsidR="002C642C">
        <w:rPr>
          <w:rFonts w:ascii="Arial" w:hAnsi="Arial" w:cs="Arial"/>
          <w:bCs/>
          <w:sz w:val="20"/>
          <w:szCs w:val="20"/>
          <w:lang w:val="id-ID"/>
        </w:rPr>
        <w:t xml:space="preserve"> to</w:t>
      </w:r>
      <w:r w:rsidR="00E5295D" w:rsidRPr="003101FD">
        <w:rPr>
          <w:rFonts w:ascii="Arial" w:hAnsi="Arial" w:cs="Arial"/>
          <w:bCs/>
          <w:sz w:val="20"/>
          <w:szCs w:val="20"/>
          <w:lang w:val="id-ID"/>
        </w:rPr>
        <w:t xml:space="preserve"> </w:t>
      </w:r>
      <w:r w:rsidR="00E5295D" w:rsidRPr="003101FD">
        <w:rPr>
          <w:rFonts w:ascii="Arial" w:hAnsi="Arial" w:cs="Arial"/>
          <w:bCs/>
          <w:sz w:val="20"/>
          <w:szCs w:val="20"/>
          <w:lang w:val="id-ID"/>
        </w:rPr>
        <w:fldChar w:fldCharType="begin" w:fldLock="1"/>
      </w:r>
      <w:r w:rsidR="00E5295D" w:rsidRPr="003101FD">
        <w:rPr>
          <w:rFonts w:ascii="Arial" w:hAnsi="Arial" w:cs="Arial"/>
          <w:bCs/>
          <w:sz w:val="20"/>
          <w:szCs w:val="20"/>
          <w:lang w:val="id-ID"/>
        </w:rPr>
        <w:instrText>ADDIN CSL_CITATION {"citationItems":[{"id":"ITEM-1","itemData":{"author":[{"dropping-particle":"","family":"Aresti","given":"","non-dropping-particle":"","parse-names":false,"suffix":""}],"container-title":"Juremi: Jurnal Riset Ekonomi","id":"ITEM-1","issued":{"date-parts":[["2021"]]},"page":"241-246","title":"Analisis Manajemen Pergudangan pada PT. Beurata Subur Persada","type":"article-journal","volume":"1"},"uris":["http://www.mendeley.com/documents/?uuid=819b053c-05bb-4d76-ba52-bb7c0ae243c5"]}],"mendeley":{"formattedCitation":"(Aresti, 2021)","plainTextFormattedCitation":"(Aresti, 2021)","previouslyFormattedCitation":"(Aresti, 2021)"},"properties":{"noteIndex":0},"schema":"https://github.com/citation-style-language/schema/raw/master/csl-citation.json"}</w:instrText>
      </w:r>
      <w:r w:rsidR="00E5295D" w:rsidRPr="003101FD">
        <w:rPr>
          <w:rFonts w:ascii="Arial" w:hAnsi="Arial" w:cs="Arial"/>
          <w:bCs/>
          <w:sz w:val="20"/>
          <w:szCs w:val="20"/>
          <w:lang w:val="id-ID"/>
        </w:rPr>
        <w:fldChar w:fldCharType="separate"/>
      </w:r>
      <w:r w:rsidR="00E5295D" w:rsidRPr="003101FD">
        <w:rPr>
          <w:rFonts w:ascii="Arial" w:hAnsi="Arial" w:cs="Arial"/>
          <w:bCs/>
          <w:noProof/>
          <w:sz w:val="20"/>
          <w:szCs w:val="20"/>
          <w:lang w:val="id-ID"/>
        </w:rPr>
        <w:t>(Aresti, 2021)</w:t>
      </w:r>
      <w:r w:rsidR="00E5295D" w:rsidRPr="003101FD">
        <w:rPr>
          <w:rFonts w:ascii="Arial" w:hAnsi="Arial" w:cs="Arial"/>
          <w:bCs/>
          <w:sz w:val="20"/>
          <w:szCs w:val="20"/>
          <w:lang w:val="id-ID"/>
        </w:rPr>
        <w:fldChar w:fldCharType="end"/>
      </w:r>
      <w:r w:rsidR="00E5295D" w:rsidRPr="003101FD">
        <w:rPr>
          <w:rFonts w:ascii="Arial" w:hAnsi="Arial" w:cs="Arial"/>
          <w:bCs/>
          <w:sz w:val="20"/>
          <w:szCs w:val="20"/>
          <w:lang w:val="id-ID"/>
        </w:rPr>
        <w:t>,</w:t>
      </w:r>
      <w:r w:rsidR="00E5295D" w:rsidRPr="00E5295D">
        <w:rPr>
          <w:rFonts w:ascii="Arial" w:hAnsi="Arial" w:cs="Arial"/>
          <w:bCs/>
          <w:sz w:val="20"/>
          <w:szCs w:val="20"/>
          <w:lang w:val="id-ID"/>
        </w:rPr>
        <w:t xml:space="preserve"> </w:t>
      </w:r>
      <w:r w:rsidRPr="00F40FE4">
        <w:rPr>
          <w:rFonts w:ascii="Arial" w:hAnsi="Arial" w:cs="Arial"/>
          <w:bCs/>
          <w:sz w:val="20"/>
          <w:szCs w:val="20"/>
          <w:lang w:val="id-ID"/>
        </w:rPr>
        <w:t xml:space="preserve">a well-implemented process in the warehouse is carried out in order to maintain the survival of the company which is very important for the company. </w:t>
      </w:r>
      <w:r w:rsidRPr="00F40FE4">
        <w:rPr>
          <w:rFonts w:ascii="Arial" w:hAnsi="Arial" w:cs="Arial"/>
          <w:bCs/>
          <w:sz w:val="20"/>
          <w:szCs w:val="20"/>
          <w:lang w:val="id-ID"/>
        </w:rPr>
        <w:lastRenderedPageBreak/>
        <w:t>Retailing is all activities involved in selling goods or services directly to end consumers for personal and non-business use</w:t>
      </w:r>
      <w:r>
        <w:rPr>
          <w:rFonts w:ascii="Arial" w:hAnsi="Arial" w:cs="Arial"/>
          <w:bCs/>
          <w:sz w:val="20"/>
          <w:szCs w:val="20"/>
          <w:lang w:val="id-ID"/>
        </w:rPr>
        <w:t xml:space="preserve"> </w:t>
      </w:r>
      <w:r w:rsidR="00E5295D" w:rsidRPr="00E5295D">
        <w:rPr>
          <w:rFonts w:ascii="Arial" w:hAnsi="Arial" w:cs="Arial"/>
          <w:sz w:val="20"/>
          <w:szCs w:val="20"/>
        </w:rPr>
        <w:fldChar w:fldCharType="begin" w:fldLock="1"/>
      </w:r>
      <w:r w:rsidR="0036180C">
        <w:rPr>
          <w:rFonts w:ascii="Arial" w:hAnsi="Arial" w:cs="Arial"/>
          <w:sz w:val="20"/>
          <w:szCs w:val="20"/>
        </w:rPr>
        <w:instrText>ADDIN CSL_CITATION {"citationItems":[{"id":"ITEM-1","itemData":{"author":[{"dropping-particle":"","family":"Nurwahyuningsih, Arifin","given":"Nurul","non-dropping-particle":"","parse-names":false,"suffix":""},{"dropping-particle":"","family":"Sari","given":"Risna Destiana","non-dropping-particle":"","parse-names":false,"suffix":""},{"dropping-particle":"","family":"Fauzi","given":"Vicky Nur","non-dropping-particle":"","parse-names":false,"suffix":""}],"container-title":"NARATIF(Jurnal Ilmiah Nasional Riset Aplikasi dan Teknik Informatika)","id":"ITEM-1","issue":"02","issued":{"date-parts":[["2021"]]},"page":"36-40","title":"Barang Dagang Berbasis Web Bagi Bisnis Retail","type":"article-journal","volume":"03"},"uris":["http://www.mendeley.com/documents/?uuid=e92a6d90-0e1b-42d7-b4af-478a15a2fdc5"]}],"mendeley":{"formattedCitation":"(Nurwahyuningsih, Arifin et al., 2021)","plainTextFormattedCitation":"(Nurwahyuningsih, Arifin et al., 2021)","previouslyFormattedCitation":"(Nurwahyuningsih, Arifin et al., 2021)"},"properties":{"noteIndex":0},"schema":"https://github.com/citation-style-language/schema/raw/master/csl-citation.json"}</w:instrText>
      </w:r>
      <w:r w:rsidR="00E5295D" w:rsidRPr="00E5295D">
        <w:rPr>
          <w:rFonts w:ascii="Arial" w:hAnsi="Arial" w:cs="Arial"/>
          <w:sz w:val="20"/>
          <w:szCs w:val="20"/>
        </w:rPr>
        <w:fldChar w:fldCharType="separate"/>
      </w:r>
      <w:r w:rsidR="0036180C" w:rsidRPr="0036180C">
        <w:rPr>
          <w:rFonts w:ascii="Arial" w:hAnsi="Arial" w:cs="Arial"/>
          <w:noProof/>
          <w:sz w:val="20"/>
          <w:szCs w:val="20"/>
        </w:rPr>
        <w:t>(Nurwahyuningsih, Arifin et al., 2021)</w:t>
      </w:r>
      <w:r w:rsidR="00E5295D" w:rsidRPr="00E5295D">
        <w:rPr>
          <w:rFonts w:ascii="Arial" w:hAnsi="Arial" w:cs="Arial"/>
          <w:sz w:val="20"/>
          <w:szCs w:val="20"/>
        </w:rPr>
        <w:fldChar w:fldCharType="end"/>
      </w:r>
      <w:r w:rsidR="00E5295D" w:rsidRPr="00E5295D">
        <w:rPr>
          <w:rFonts w:ascii="Arial" w:hAnsi="Arial" w:cs="Arial"/>
          <w:sz w:val="20"/>
          <w:szCs w:val="20"/>
        </w:rPr>
        <w:t>.</w:t>
      </w:r>
      <w:r w:rsidR="00E5295D" w:rsidRPr="00E5295D">
        <w:rPr>
          <w:rFonts w:ascii="Arial" w:hAnsi="Arial" w:cs="Arial"/>
          <w:bCs/>
          <w:sz w:val="20"/>
          <w:szCs w:val="20"/>
          <w:lang w:val="id-ID"/>
        </w:rPr>
        <w:t xml:space="preserve"> </w:t>
      </w:r>
    </w:p>
    <w:p w14:paraId="62CC04C0" w14:textId="53A2ACE4" w:rsidR="00740288" w:rsidRPr="003101FD" w:rsidRDefault="002C642C" w:rsidP="003101FD">
      <w:pPr>
        <w:ind w:firstLine="284"/>
        <w:jc w:val="both"/>
        <w:rPr>
          <w:rFonts w:ascii="Arial" w:eastAsia="Times New Roman" w:hAnsi="Arial" w:cs="Arial"/>
          <w:sz w:val="20"/>
          <w:szCs w:val="20"/>
          <w:lang w:val="id-ID"/>
        </w:rPr>
      </w:pPr>
      <w:r w:rsidRPr="002C642C">
        <w:rPr>
          <w:rFonts w:ascii="Arial" w:eastAsia="Times New Roman" w:hAnsi="Arial" w:cs="Arial"/>
          <w:sz w:val="20"/>
          <w:szCs w:val="20"/>
          <w:lang w:val="id-ID"/>
        </w:rPr>
        <w:t>At the PT XYZ warehouse, there are problems in optimizing the fulfillment of stock items in sub-branch retail stores on non-food items, especially toiletries. The stock of toiletries in the warehouse sometimes has an amount less than the demand for store goods and results in the warehouse not being able to fulfill the entire demand for store goods. It is important to adapt to market changes and companies need to have good inventory management to be able to respond to market demand. Customer demand expects fast and accurate availability of goods.</w:t>
      </w:r>
    </w:p>
    <w:p w14:paraId="520AEB47" w14:textId="11BA1D7E" w:rsidR="00CF44E9" w:rsidRDefault="002C642C" w:rsidP="00115EA1">
      <w:pPr>
        <w:ind w:firstLine="284"/>
        <w:jc w:val="both"/>
        <w:rPr>
          <w:rFonts w:ascii="Arial" w:eastAsia="Times New Roman" w:hAnsi="Arial" w:cs="Arial"/>
          <w:sz w:val="20"/>
          <w:szCs w:val="20"/>
          <w:lang w:val="id-ID"/>
        </w:rPr>
      </w:pPr>
      <w:r>
        <w:rPr>
          <w:rFonts w:ascii="Arial" w:eastAsia="Times New Roman" w:hAnsi="Arial" w:cs="Arial"/>
          <w:sz w:val="20"/>
          <w:szCs w:val="20"/>
          <w:lang w:val="id-ID"/>
        </w:rPr>
        <w:t>According to</w:t>
      </w:r>
      <w:r w:rsidR="00740288" w:rsidRPr="00740288">
        <w:rPr>
          <w:rFonts w:ascii="Arial" w:eastAsia="Times New Roman" w:hAnsi="Arial" w:cs="Arial"/>
          <w:sz w:val="20"/>
          <w:szCs w:val="20"/>
          <w:lang w:val="id-ID"/>
        </w:rPr>
        <w:t xml:space="preserve"> </w:t>
      </w:r>
      <w:r w:rsidR="00740288" w:rsidRPr="00740288">
        <w:rPr>
          <w:rFonts w:ascii="Arial" w:eastAsia="Times New Roman" w:hAnsi="Arial" w:cs="Arial"/>
          <w:sz w:val="20"/>
          <w:szCs w:val="20"/>
          <w:lang w:val="id-ID"/>
        </w:rPr>
        <w:fldChar w:fldCharType="begin" w:fldLock="1"/>
      </w:r>
      <w:r w:rsidR="0036180C">
        <w:rPr>
          <w:rFonts w:ascii="Arial" w:eastAsia="Times New Roman" w:hAnsi="Arial" w:cs="Arial"/>
          <w:sz w:val="20"/>
          <w:szCs w:val="20"/>
          <w:lang w:val="id-ID"/>
        </w:rPr>
        <w:instrText>ADDIN CSL_CITATION {"citationItems":[{"id":"ITEM-1","itemData":{"DOI":"10.3390/MATH8081210","ISSN":"22277390","abstract":"Inventory management plays a critical role in balancing supply availability with customer requirements and significantly contributes to the performance of the whole supply chain. It involves many different features, such as controlling and managing purchases from suppliers to consumers, keeping safety stock, examining the amount of product for sale, and order fulfillment. This paper involves the development of computational modeling for the inventory control problem in Thailand. The problem focuses on determining levels of factors, which are order quantity, reorder point, target stock, and inventory review policy, using a heuristic approach. The objective is to determine the best levels of factors that are significantly affected by their responses to optimize them using the response surface methodology. Values of the quantity of backlog and the average inventory amount, as well as their corresponding total costs, are simulated using the Arena software to gain statistical power. Then, the Minitab-response surface methodology is used to find the feasible solutions of the responses, which consist of test power and sample size, full factorial design, and Box-Behnken design. For a numerical example, the computational model is tested with real data to show the efficacy of the model. The result suggests that the effects from the reorder point, target stock, and inventory review policy are significant to the minimum total cost if their levels are set appropriately. The managerial implications of this model's results not only suggest the best levels of factors for a case study of the leading air compressor manufacturers in Thailand, but also provide a guideline for decision-makers to satisfy customer demand at the minimum possible total inventory cost. Therefore, this paper can be a useful reference for warehouse supervisors, managers, and policymakers to determine the best levels of factors to improve warehouse performance.","author":[{"dropping-particle":"","family":"Wang","given":"Chia Nan","non-dropping-particle":"","parse-names":false,"suffix":""},{"dropping-particle":"","family":"Dang","given":"Thanh Tuan","non-dropping-particle":"","parse-names":false,"suffix":""},{"dropping-particle":"","family":"Nguyen","given":"Ngoc Ai Thy","non-dropping-particle":"","parse-names":false,"suffix":""}],"container-title":"Mathematics","id":"ITEM-1","issue":"8","issued":{"date-parts":[["2020"]]},"title":"A computational model for determining levels of factors in inventory management using response surface methodology","type":"article-journal","volume":"8"},"uris":["http://www.mendeley.com/documents/?uuid=bce1a073-22a9-44c2-84c8-b3bccd771f14"]}],"mendeley":{"formattedCitation":"(Wang et al., 2020)","plainTextFormattedCitation":"(Wang et al., 2020)","previouslyFormattedCitation":"(Wang et al., 2020)"},"properties":{"noteIndex":0},"schema":"https://github.com/citation-style-language/schema/raw/master/csl-citation.json"}</w:instrText>
      </w:r>
      <w:r w:rsidR="00740288" w:rsidRPr="00740288">
        <w:rPr>
          <w:rFonts w:ascii="Arial" w:eastAsia="Times New Roman" w:hAnsi="Arial" w:cs="Arial"/>
          <w:sz w:val="20"/>
          <w:szCs w:val="20"/>
          <w:lang w:val="id-ID"/>
        </w:rPr>
        <w:fldChar w:fldCharType="separate"/>
      </w:r>
      <w:r w:rsidR="0036180C" w:rsidRPr="0036180C">
        <w:rPr>
          <w:rFonts w:ascii="Arial" w:eastAsia="Times New Roman" w:hAnsi="Arial" w:cs="Arial"/>
          <w:noProof/>
          <w:sz w:val="20"/>
          <w:szCs w:val="20"/>
          <w:lang w:val="id-ID"/>
        </w:rPr>
        <w:t>(Wang et al., 2020)</w:t>
      </w:r>
      <w:r w:rsidR="00740288" w:rsidRPr="00740288">
        <w:rPr>
          <w:rFonts w:ascii="Arial" w:eastAsia="Times New Roman" w:hAnsi="Arial" w:cs="Arial"/>
          <w:sz w:val="20"/>
          <w:szCs w:val="20"/>
          <w:lang w:val="id-ID"/>
        </w:rPr>
        <w:fldChar w:fldCharType="end"/>
      </w:r>
      <w:r w:rsidR="00740288" w:rsidRPr="00740288">
        <w:rPr>
          <w:rFonts w:ascii="Arial" w:eastAsia="Times New Roman" w:hAnsi="Arial" w:cs="Arial"/>
          <w:sz w:val="20"/>
          <w:szCs w:val="20"/>
          <w:lang w:val="id-ID"/>
        </w:rPr>
        <w:t xml:space="preserve"> </w:t>
      </w:r>
      <w:r w:rsidRPr="002C642C">
        <w:rPr>
          <w:rFonts w:ascii="Arial" w:eastAsia="Times New Roman" w:hAnsi="Arial" w:cs="Arial"/>
          <w:sz w:val="20"/>
          <w:szCs w:val="20"/>
          <w:lang w:val="id-ID"/>
        </w:rPr>
        <w:t>a heuristic approach can be used as an alternative to optimization models, enabling a more practical and faster process. This provides a long-term solution that helps leaders save time and resources. In this context, factors such as store item demand, warehouse inventory, lead time, and supplier incoming items are taken into account to determine the significant factors affecting the response using response surface methodology (RSM). Through proper experimental design and analysis, RSM seeks to correlate the response to the level of a number of variables or factors affecting it</w:t>
      </w:r>
      <w:r w:rsidR="00F07421" w:rsidRPr="00F07421">
        <w:rPr>
          <w:rFonts w:ascii="Arial" w:eastAsia="Times New Roman" w:hAnsi="Arial" w:cs="Arial"/>
          <w:sz w:val="20"/>
          <w:szCs w:val="20"/>
          <w:lang w:val="id-ID"/>
        </w:rPr>
        <w:t xml:space="preserve"> </w:t>
      </w:r>
      <w:r w:rsidR="00F07421" w:rsidRPr="00F07421">
        <w:rPr>
          <w:rFonts w:ascii="Arial" w:eastAsia="Times New Roman" w:hAnsi="Arial" w:cs="Arial"/>
          <w:sz w:val="20"/>
          <w:szCs w:val="20"/>
          <w:lang w:val="id-ID"/>
        </w:rPr>
        <w:fldChar w:fldCharType="begin" w:fldLock="1"/>
      </w:r>
      <w:r w:rsidR="0036180C">
        <w:rPr>
          <w:rFonts w:ascii="Arial" w:eastAsia="Times New Roman" w:hAnsi="Arial" w:cs="Arial"/>
          <w:sz w:val="20"/>
          <w:szCs w:val="20"/>
          <w:lang w:val="id-ID"/>
        </w:rPr>
        <w:instrText>ADDIN CSL_CITATION {"citationItems":[{"id":"ITEM-1","itemData":{"author":[{"dropping-particle":"","family":"Suri","given":"Indah","non-dropping-particle":"","parse-names":false,"suffix":""},{"dropping-particle":"","family":"Aprilia","given":"Dinda","non-dropping-particle":"","parse-names":false,"suffix":""},{"dropping-particle":"","family":"Renaldi","given":"Achi","non-dropping-particle":"","parse-names":false,"suffix":""}],"container-title":"Journal of Innovation Research and Knowledge","id":"ITEM-1","issue":"1","issued":{"date-parts":[["2022"]]},"page":"7-14","title":"Method of Response Surface untuk Optimalisasi Keuntungan Produksi A Home Industry Kripik Pisang","type":"article-journal","volume":"2"},"uris":["http://www.mendeley.com/documents/?uuid=d9c5e8b5-a3b7-49cc-9267-196119bc1bc3"]}],"mendeley":{"formattedCitation":"(Suri et al., 2022)","plainTextFormattedCitation":"(Suri et al., 2022)","previouslyFormattedCitation":"(Suri et al., 2022)"},"properties":{"noteIndex":0},"schema":"https://github.com/citation-style-language/schema/raw/master/csl-citation.json"}</w:instrText>
      </w:r>
      <w:r w:rsidR="00F07421" w:rsidRPr="00F07421">
        <w:rPr>
          <w:rFonts w:ascii="Arial" w:eastAsia="Times New Roman" w:hAnsi="Arial" w:cs="Arial"/>
          <w:sz w:val="20"/>
          <w:szCs w:val="20"/>
          <w:lang w:val="id-ID"/>
        </w:rPr>
        <w:fldChar w:fldCharType="separate"/>
      </w:r>
      <w:r w:rsidR="0036180C" w:rsidRPr="0036180C">
        <w:rPr>
          <w:rFonts w:ascii="Arial" w:eastAsia="Times New Roman" w:hAnsi="Arial" w:cs="Arial"/>
          <w:noProof/>
          <w:sz w:val="20"/>
          <w:szCs w:val="20"/>
          <w:lang w:val="id-ID"/>
        </w:rPr>
        <w:t>(Suri et al., 2022)</w:t>
      </w:r>
      <w:r w:rsidR="00F07421" w:rsidRPr="00F07421">
        <w:rPr>
          <w:rFonts w:ascii="Arial" w:eastAsia="Times New Roman" w:hAnsi="Arial" w:cs="Arial"/>
          <w:sz w:val="20"/>
          <w:szCs w:val="20"/>
          <w:lang w:val="id-ID"/>
        </w:rPr>
        <w:fldChar w:fldCharType="end"/>
      </w:r>
      <w:r w:rsidR="00F07421" w:rsidRPr="00F07421">
        <w:rPr>
          <w:rFonts w:ascii="Arial" w:eastAsia="Times New Roman" w:hAnsi="Arial" w:cs="Arial"/>
          <w:sz w:val="20"/>
          <w:szCs w:val="20"/>
          <w:lang w:val="id-ID"/>
        </w:rPr>
        <w:t>.</w:t>
      </w:r>
      <w:r w:rsidR="00F07421">
        <w:rPr>
          <w:rFonts w:ascii="Arial" w:eastAsia="Times New Roman" w:hAnsi="Arial" w:cs="Arial"/>
          <w:sz w:val="20"/>
          <w:szCs w:val="20"/>
          <w:lang w:val="id-ID"/>
        </w:rPr>
        <w:t xml:space="preserve"> </w:t>
      </w:r>
      <w:r w:rsidRPr="002C642C">
        <w:rPr>
          <w:rFonts w:ascii="Arial" w:eastAsia="Times New Roman" w:hAnsi="Arial" w:cs="Arial"/>
          <w:sz w:val="20"/>
          <w:szCs w:val="20"/>
          <w:lang w:val="id-ID"/>
        </w:rPr>
        <w:t>The main goal of RSM is to obtain the best values for the variables that provide optimal response performance. In addition, the method generates a regression model that relates the variables to the process response</w:t>
      </w:r>
      <w:r>
        <w:rPr>
          <w:rFonts w:ascii="Arial" w:eastAsia="Times New Roman" w:hAnsi="Arial" w:cs="Arial"/>
          <w:sz w:val="20"/>
          <w:szCs w:val="20"/>
          <w:lang w:val="id-ID"/>
        </w:rPr>
        <w:t xml:space="preserve"> </w:t>
      </w:r>
      <w:r w:rsidR="00F07421" w:rsidRPr="00F07421">
        <w:rPr>
          <w:rFonts w:ascii="Arial" w:eastAsia="Times New Roman" w:hAnsi="Arial" w:cs="Arial"/>
          <w:sz w:val="20"/>
          <w:szCs w:val="20"/>
          <w:lang w:val="id-ID"/>
        </w:rPr>
        <w:fldChar w:fldCharType="begin" w:fldLock="1"/>
      </w:r>
      <w:r w:rsidR="00F07421" w:rsidRPr="00F07421">
        <w:rPr>
          <w:rFonts w:ascii="Arial" w:eastAsia="Times New Roman" w:hAnsi="Arial" w:cs="Arial"/>
          <w:sz w:val="20"/>
          <w:szCs w:val="20"/>
          <w:lang w:val="id-ID"/>
        </w:rPr>
        <w:instrText>ADDIN CSL_CITATION {"citationItems":[{"id":"ITEM-1","itemData":{"DOI":"10.5772/intechopen.106763","abstract":"Abstract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Lamidi","given":"Sheriff","non-dropping-particle":"","parse-names":false,"suffix":""},{"dropping-particle":"","family":"Olaleye","given":"Nurudeen","non-dropping-particle":"","parse-names":false,"suffix":""},{"dropping-particle":"","family":"Bankole","given":"Yakub","non-dropping-particle":"","parse-names":false,"suffix":""},{"dropping-particle":"","family":"Obalola","given":"Aishat","non-dropping-particle":"","parse-names":false,"suffix":""},{"dropping-particle":"","family":"Aribike","given":"Emmanuella","non-dropping-particle":"","parse-names":false,"suffix":""},{"dropping-particle":"","family":"Adigun","given":"Idris","non-dropping-particle":"","parse-names":false,"suffix":""}],"container-title":"Response Surface Methodology - Research Advances and Applications","id":"ITEM-1","issue":"December 2023","issued":{"date-parts":[["2023"]]},"title":"Applications of Response Surface Methodology (RSM) in Product Design, Development, and Process Optimization","type":"article-journal"},"uris":["http://www.mendeley.com/documents/?uuid=237fa474-de35-437a-819d-eb02cdfee523"]}],"mendeley":{"formattedCitation":"(Lamidi et al., 2023)","manualFormatting":"(Lamidi dkk., 2023)","plainTextFormattedCitation":"(Lamidi et al., 2023)","previouslyFormattedCitation":"(Lamidi et al., 2023)"},"properties":{"noteIndex":0},"schema":"https://github.com/citation-style-language/schema/raw/master/csl-citation.json"}</w:instrText>
      </w:r>
      <w:r w:rsidR="00F07421" w:rsidRPr="00F07421">
        <w:rPr>
          <w:rFonts w:ascii="Arial" w:eastAsia="Times New Roman" w:hAnsi="Arial" w:cs="Arial"/>
          <w:sz w:val="20"/>
          <w:szCs w:val="20"/>
          <w:lang w:val="id-ID"/>
        </w:rPr>
        <w:fldChar w:fldCharType="separate"/>
      </w:r>
      <w:r w:rsidR="00F07421" w:rsidRPr="00F07421">
        <w:rPr>
          <w:rFonts w:ascii="Arial" w:eastAsia="Times New Roman" w:hAnsi="Arial" w:cs="Arial"/>
          <w:noProof/>
          <w:sz w:val="20"/>
          <w:szCs w:val="20"/>
          <w:lang w:val="id-ID"/>
        </w:rPr>
        <w:t xml:space="preserve">(Lamidi </w:t>
      </w:r>
      <w:r w:rsidR="001A4767">
        <w:rPr>
          <w:rFonts w:ascii="Arial" w:eastAsia="Times New Roman" w:hAnsi="Arial" w:cs="Arial"/>
          <w:noProof/>
          <w:sz w:val="20"/>
          <w:szCs w:val="20"/>
          <w:lang w:val="id-ID"/>
        </w:rPr>
        <w:t>et al</w:t>
      </w:r>
      <w:r w:rsidR="00F07421" w:rsidRPr="00F07421">
        <w:rPr>
          <w:rFonts w:ascii="Arial" w:eastAsia="Times New Roman" w:hAnsi="Arial" w:cs="Arial"/>
          <w:noProof/>
          <w:sz w:val="20"/>
          <w:szCs w:val="20"/>
          <w:lang w:val="id-ID"/>
        </w:rPr>
        <w:t>., 2023)</w:t>
      </w:r>
      <w:r w:rsidR="00F07421" w:rsidRPr="00F07421">
        <w:rPr>
          <w:rFonts w:ascii="Arial" w:eastAsia="Times New Roman" w:hAnsi="Arial" w:cs="Arial"/>
          <w:sz w:val="20"/>
          <w:szCs w:val="20"/>
          <w:lang w:val="id-ID"/>
        </w:rPr>
        <w:fldChar w:fldCharType="end"/>
      </w:r>
      <w:r w:rsidR="00F07421" w:rsidRPr="00F07421">
        <w:rPr>
          <w:rFonts w:ascii="Arial" w:eastAsia="Times New Roman" w:hAnsi="Arial" w:cs="Arial"/>
          <w:sz w:val="20"/>
          <w:szCs w:val="20"/>
          <w:lang w:val="id-ID"/>
        </w:rPr>
        <w:t>.</w:t>
      </w:r>
    </w:p>
    <w:p w14:paraId="05772B70" w14:textId="3A8207A0" w:rsidR="0020565D" w:rsidRPr="002C642C" w:rsidRDefault="002C642C" w:rsidP="00115EA1">
      <w:pPr>
        <w:ind w:firstLine="284"/>
        <w:jc w:val="both"/>
        <w:rPr>
          <w:rFonts w:ascii="Arial" w:eastAsia="Times New Roman" w:hAnsi="Arial" w:cs="Arial"/>
          <w:sz w:val="20"/>
          <w:szCs w:val="20"/>
          <w:lang w:val="id-ID"/>
        </w:rPr>
      </w:pPr>
      <w:r w:rsidRPr="002C642C">
        <w:rPr>
          <w:rFonts w:ascii="Arial" w:eastAsia="Times New Roman" w:hAnsi="Arial" w:cs="Arial"/>
          <w:sz w:val="20"/>
          <w:szCs w:val="20"/>
          <w:lang w:val="id-ID"/>
        </w:rPr>
        <w:t>RSM implements DoE in the first stage. The DoE is responsible for experiment planning, data collection, analysis, and interpretation, and ensures that the experiment meets its objectives</w:t>
      </w:r>
      <w:r>
        <w:rPr>
          <w:rFonts w:ascii="Arial" w:eastAsia="Times New Roman" w:hAnsi="Arial" w:cs="Arial"/>
          <w:sz w:val="20"/>
          <w:szCs w:val="20"/>
          <w:lang w:val="id-ID"/>
        </w:rPr>
        <w:t xml:space="preserve"> </w:t>
      </w:r>
      <w:r w:rsidR="0020565D" w:rsidRPr="0020565D">
        <w:rPr>
          <w:rFonts w:ascii="Arial" w:eastAsia="Times New Roman" w:hAnsi="Arial" w:cs="Arial"/>
          <w:sz w:val="20"/>
          <w:szCs w:val="20"/>
          <w:lang w:val="id-ID"/>
        </w:rPr>
        <w:fldChar w:fldCharType="begin" w:fldLock="1"/>
      </w:r>
      <w:r w:rsidR="0036180C">
        <w:rPr>
          <w:rFonts w:ascii="Arial" w:eastAsia="Times New Roman" w:hAnsi="Arial" w:cs="Arial"/>
          <w:sz w:val="20"/>
          <w:szCs w:val="20"/>
          <w:lang w:val="id-ID"/>
        </w:rPr>
        <w:instrText>ADDIN CSL_CITATION {"citationItems":[{"id":"ITEM-1","itemData":{"DOI":"10.3390/app122010663","ISSN":"20763417","abstract":"In the response surface methodology (RSM), the designed experiment helps create interfactor orthogonality and interpretable response models for the purpose of process and design optimization. However, along with the development of data-recording technology, observational data have emerged as an alternative to experimental data, and they contain potential information on design/process parameters (as factors) and product characteristics that are useful for RSM analysis. Recent studies in various fields have proposed modifications to the standard RSM procedures to adopt observational data and attain considerable results despite some limitations. This paper aims to explore various methods to incorporate observational data in the RSM through a systematic literature review. More than 400 papers were retrieved from the Scopus database, and 83 were selected and carefully reviewed. To adopt observational data, modifications to the procedures of RSM analysis include the design of the experiment (DoE), response modeling, and design/process optimization. The proposed approaches were then mapped to capture the sequence of the modified RSM analysis. The findings highlight the novelty of observational-data-based RSM (RSM-OD) for generating reproducible results involving the discussion of the treatments for observational data as an alternative to the DoE, the refinement of the RSM model to fit the data, and the adaptation of the optimization technique. Future potential research, such as the improvement of factor orthogonality and RSM model modifications, is also discussed.","author":[{"dropping-particle":"","family":"Hadiyat","given":"Mochammad Arbi","non-dropping-particle":"","parse-names":false,"suffix":""},{"dropping-particle":"","family":"Sopha","given":"Bertha Maya","non-dropping-particle":"","parse-names":false,"suffix":""},{"dropping-particle":"","family":"Wibowo","given":"Budhi Sholeh","non-dropping-particle":"","parse-names":false,"suffix":""}],"container-title":"Applied Sciences (Switzerland)","id":"ITEM-1","issue":"20","issued":{"date-parts":[["2022"]]},"title":"Response Surface Methodology Using Observational Data: A Systematic Literature Review","type":"article-journal","volume":"12"},"uris":["http://www.mendeley.com/documents/?uuid=7edcd6a1-c045-46c3-a3b3-eb867f7c16a0"]}],"mendeley":{"formattedCitation":"(Hadiyat et al., 2022)","plainTextFormattedCitation":"(Hadiyat et al., 2022)","previouslyFormattedCitation":"(Hadiyat et al., 2022)"},"properties":{"noteIndex":0},"schema":"https://github.com/citation-style-language/schema/raw/master/csl-citation.json"}</w:instrText>
      </w:r>
      <w:r w:rsidR="0020565D" w:rsidRPr="0020565D">
        <w:rPr>
          <w:rFonts w:ascii="Arial" w:eastAsia="Times New Roman" w:hAnsi="Arial" w:cs="Arial"/>
          <w:sz w:val="20"/>
          <w:szCs w:val="20"/>
          <w:lang w:val="id-ID"/>
        </w:rPr>
        <w:fldChar w:fldCharType="separate"/>
      </w:r>
      <w:r w:rsidR="0036180C" w:rsidRPr="0036180C">
        <w:rPr>
          <w:rFonts w:ascii="Arial" w:eastAsia="Times New Roman" w:hAnsi="Arial" w:cs="Arial"/>
          <w:noProof/>
          <w:sz w:val="20"/>
          <w:szCs w:val="20"/>
          <w:lang w:val="id-ID"/>
        </w:rPr>
        <w:t>(Hadiyat et al., 2022)</w:t>
      </w:r>
      <w:r w:rsidR="0020565D" w:rsidRPr="0020565D">
        <w:rPr>
          <w:rFonts w:ascii="Arial" w:eastAsia="Times New Roman" w:hAnsi="Arial" w:cs="Arial"/>
          <w:sz w:val="20"/>
          <w:szCs w:val="20"/>
          <w:lang w:val="id-ID"/>
        </w:rPr>
        <w:fldChar w:fldCharType="end"/>
      </w:r>
      <w:r w:rsidR="0020565D" w:rsidRPr="0020565D">
        <w:rPr>
          <w:rFonts w:ascii="Arial" w:eastAsia="Times New Roman" w:hAnsi="Arial" w:cs="Arial"/>
          <w:sz w:val="20"/>
          <w:szCs w:val="20"/>
          <w:lang w:val="id-ID"/>
        </w:rPr>
        <w:t>.</w:t>
      </w:r>
      <w:r w:rsidR="0020565D">
        <w:rPr>
          <w:rFonts w:ascii="Arial" w:eastAsia="Times New Roman" w:hAnsi="Arial" w:cs="Arial"/>
          <w:sz w:val="20"/>
          <w:szCs w:val="20"/>
          <w:lang w:val="id-ID"/>
        </w:rPr>
        <w:t xml:space="preserve"> </w:t>
      </w:r>
      <w:r>
        <w:rPr>
          <w:rFonts w:ascii="Arial" w:eastAsia="Times New Roman" w:hAnsi="Arial" w:cs="Arial"/>
          <w:sz w:val="20"/>
          <w:szCs w:val="20"/>
          <w:lang w:val="id-ID"/>
        </w:rPr>
        <w:t>According to</w:t>
      </w:r>
      <w:r w:rsidR="0020565D" w:rsidRPr="0020565D">
        <w:rPr>
          <w:rFonts w:ascii="Arial" w:eastAsia="Times New Roman" w:hAnsi="Arial" w:cs="Arial"/>
          <w:sz w:val="20"/>
          <w:szCs w:val="20"/>
          <w:lang w:val="id-ID"/>
        </w:rPr>
        <w:t xml:space="preserve"> </w:t>
      </w:r>
      <w:r w:rsidR="0020565D" w:rsidRPr="0020565D">
        <w:rPr>
          <w:rFonts w:ascii="Arial" w:eastAsia="Times New Roman" w:hAnsi="Arial" w:cs="Arial"/>
          <w:sz w:val="20"/>
          <w:szCs w:val="20"/>
          <w:lang w:val="id-ID"/>
        </w:rPr>
        <w:fldChar w:fldCharType="begin" w:fldLock="1"/>
      </w:r>
      <w:r w:rsidR="0020565D" w:rsidRPr="0020565D">
        <w:rPr>
          <w:rFonts w:ascii="Arial" w:eastAsia="Times New Roman" w:hAnsi="Arial" w:cs="Arial"/>
          <w:sz w:val="20"/>
          <w:szCs w:val="20"/>
          <w:lang w:val="id-ID"/>
        </w:rPr>
        <w:instrText>ADDIN CSL_CITATION {"citationItems":[{"id":"ITEM-1","itemData":{"DOI":"10.18231/j.ijmr.2022.042","ISSN":"2394-546X","abstract":"In recent years, the fascinating range of Response surface methodology (RSM) applications has captured the interest of many researchers and engineers worldwide. RSM is entirely based on well-known regression principles and variance analysis principles that enable the user to improve, develop and optimize the process or product under study. An overview of the theoretical principles of RSM, the experimental strategy and its tools and components, along with the applications and pros and cons, are described in this paper. Some of the widely used experimental designs of RSM compared in terms of its characteristics and efficiency are included, which helps to point out the importance of design of experiments (DOE) in optimization using RSM. The live demonstrations of a few optimization examples using response surface methodology in different research manuscripts included in this paper also provide a better understanding of the characteristics of RSM in different scenarios.","author":[{"dropping-particle":"","family":"Kumar","given":"Rupak","non-dropping-particle":"","parse-names":false,"suffix":""},{"dropping-particle":"","family":"Reji","given":"Meega","non-dropping-particle":"","parse-names":false,"suffix":""}],"container-title":"Indian Journal of Microbiology Research","id":"ITEM-1","issue":"4","issued":{"date-parts":[["2023"]]},"page":"241-248","title":"Response surface methodology (RSM): An overview to analyze multivariate data","type":"article-journal","volume":"9"},"uris":["http://www.mendeley.com/documents/?uuid=9ce32b1a-1b0c-4a5c-ab8a-c79db5f22425"]}],"mendeley":{"formattedCitation":"(Kumar &amp; Reji, 2023)","plainTextFormattedCitation":"(Kumar &amp; Reji, 2023)","previouslyFormattedCitation":"(Kumar &amp; Reji, 2023)"},"properties":{"noteIndex":0},"schema":"https://github.com/citation-style-language/schema/raw/master/csl-citation.json"}</w:instrText>
      </w:r>
      <w:r w:rsidR="0020565D" w:rsidRPr="0020565D">
        <w:rPr>
          <w:rFonts w:ascii="Arial" w:eastAsia="Times New Roman" w:hAnsi="Arial" w:cs="Arial"/>
          <w:sz w:val="20"/>
          <w:szCs w:val="20"/>
          <w:lang w:val="id-ID"/>
        </w:rPr>
        <w:fldChar w:fldCharType="separate"/>
      </w:r>
      <w:r w:rsidR="0020565D" w:rsidRPr="0020565D">
        <w:rPr>
          <w:rFonts w:ascii="Arial" w:eastAsia="Times New Roman" w:hAnsi="Arial" w:cs="Arial"/>
          <w:noProof/>
          <w:sz w:val="20"/>
          <w:szCs w:val="20"/>
          <w:lang w:val="id-ID"/>
        </w:rPr>
        <w:t>(Kumar &amp; Reji, 2023)</w:t>
      </w:r>
      <w:r w:rsidR="0020565D" w:rsidRPr="0020565D">
        <w:rPr>
          <w:rFonts w:ascii="Arial" w:eastAsia="Times New Roman" w:hAnsi="Arial" w:cs="Arial"/>
          <w:sz w:val="20"/>
          <w:szCs w:val="20"/>
          <w:lang w:val="id-ID"/>
        </w:rPr>
        <w:fldChar w:fldCharType="end"/>
      </w:r>
      <w:r w:rsidR="0020565D" w:rsidRPr="0020565D">
        <w:rPr>
          <w:rFonts w:ascii="Arial" w:eastAsia="Times New Roman" w:hAnsi="Arial" w:cs="Arial"/>
          <w:sz w:val="20"/>
          <w:szCs w:val="20"/>
          <w:lang w:val="id-ID"/>
        </w:rPr>
        <w:t xml:space="preserve">, </w:t>
      </w:r>
      <w:r w:rsidRPr="002C642C">
        <w:rPr>
          <w:rFonts w:ascii="Arial" w:eastAsia="Times New Roman" w:hAnsi="Arial" w:cs="Arial"/>
          <w:sz w:val="20"/>
          <w:szCs w:val="20"/>
          <w:lang w:val="id-ID"/>
        </w:rPr>
        <w:t>Design of experiments (DoE) is an approach to determine the correlation between processing parameters and process outputs. DoE seeks to identify design variables that have influence for further investigation. Box-behnken defines three levels for each factor, each of which consists of a specific sub-set of factorial combinations. The impact of various design parameters can be analyzed sequentially with this model if the other elements are kept constant while the first factor is examined.</w:t>
      </w:r>
    </w:p>
    <w:p w14:paraId="1CD4D51A" w14:textId="77777777" w:rsidR="00F07421" w:rsidRPr="00F07421" w:rsidRDefault="00F07421" w:rsidP="00740288">
      <w:pPr>
        <w:ind w:firstLine="567"/>
        <w:jc w:val="both"/>
        <w:rPr>
          <w:rFonts w:ascii="Arial" w:eastAsia="Arial" w:hAnsi="Arial" w:cs="Arial"/>
          <w:color w:val="000000"/>
          <w:sz w:val="20"/>
          <w:szCs w:val="20"/>
        </w:rPr>
      </w:pPr>
    </w:p>
    <w:p w14:paraId="07F0D1FF" w14:textId="77777777" w:rsidR="00CF44E9" w:rsidRDefault="00000000">
      <w:pPr>
        <w:pStyle w:val="Judul2"/>
      </w:pPr>
      <w:r>
        <w:t>2. Methods</w:t>
      </w:r>
    </w:p>
    <w:p w14:paraId="47719DF9" w14:textId="595E4EB9" w:rsidR="00CF44E9" w:rsidRPr="006450A7" w:rsidRDefault="002C642C" w:rsidP="00F07421">
      <w:pPr>
        <w:pBdr>
          <w:top w:val="nil"/>
          <w:left w:val="nil"/>
          <w:bottom w:val="nil"/>
          <w:right w:val="nil"/>
          <w:between w:val="nil"/>
        </w:pBdr>
        <w:ind w:firstLine="284"/>
        <w:jc w:val="both"/>
        <w:rPr>
          <w:rFonts w:ascii="Arial" w:eastAsia="Times New Roman" w:hAnsi="Arial" w:cs="Arial"/>
          <w:sz w:val="20"/>
          <w:szCs w:val="20"/>
          <w:lang w:val="id-ID"/>
        </w:rPr>
      </w:pPr>
      <w:r w:rsidRPr="002C642C">
        <w:rPr>
          <w:rFonts w:ascii="Arial" w:eastAsia="Times New Roman" w:hAnsi="Arial" w:cs="Arial"/>
          <w:sz w:val="20"/>
          <w:szCs w:val="20"/>
          <w:lang w:val="id-ID"/>
        </w:rPr>
        <w:t>Response Surface Methodology (RSM) is a technique that combines mathematical and statistical laws to analyze problems where many independent variables affect the response. The relationship between the response and the process parameters is shown visually in this plot. Furthermore, the optimal values for the parameters that affect the performance of the system can be shown visually from these contour images</w:t>
      </w:r>
      <w:r>
        <w:rPr>
          <w:rFonts w:ascii="Arial" w:eastAsia="Times New Roman" w:hAnsi="Arial" w:cs="Arial"/>
          <w:i/>
          <w:iCs/>
          <w:sz w:val="20"/>
          <w:szCs w:val="20"/>
          <w:lang w:val="id-ID"/>
        </w:rPr>
        <w:t xml:space="preserve"> </w:t>
      </w:r>
      <w:r w:rsidR="00F07421" w:rsidRPr="00F07421">
        <w:rPr>
          <w:rFonts w:ascii="Arial" w:eastAsia="Times New Roman" w:hAnsi="Arial" w:cs="Arial"/>
          <w:sz w:val="20"/>
          <w:szCs w:val="20"/>
          <w:lang w:val="id-ID"/>
        </w:rPr>
        <w:fldChar w:fldCharType="begin" w:fldLock="1"/>
      </w:r>
      <w:r w:rsidR="00F07421" w:rsidRPr="00F07421">
        <w:rPr>
          <w:rFonts w:ascii="Arial" w:eastAsia="Times New Roman" w:hAnsi="Arial" w:cs="Arial"/>
          <w:sz w:val="20"/>
          <w:szCs w:val="20"/>
          <w:lang w:val="id-ID"/>
        </w:rPr>
        <w:instrText>ADDIN CSL_CITATION {"citationItems":[{"id":"ITEM-1","itemData":{"DOI":"10.5772/intechopen.106763","abstract":"Abstract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Lamidi","given":"Sheriff","non-dropping-particle":"","parse-names":false,"suffix":""},{"dropping-particle":"","family":"Olaleye","given":"Nurudeen","non-dropping-particle":"","parse-names":false,"suffix":""},{"dropping-particle":"","family":"Bankole","given":"Yakub","non-dropping-particle":"","parse-names":false,"suffix":""},{"dropping-particle":"","family":"Obalola","given":"Aishat","non-dropping-particle":"","parse-names":false,"suffix":""},{"dropping-particle":"","family":"Aribike","given":"Emmanuella","non-dropping-particle":"","parse-names":false,"suffix":""},{"dropping-particle":"","family":"Adigun","given":"Idris","non-dropping-particle":"","parse-names":false,"suffix":""}],"container-title":"Response Surface Methodology - Research Advances and Applications","id":"ITEM-1","issue":"December 2023","issued":{"date-parts":[["2023"]]},"title":"Applications of Response Surface Methodology (RSM) in Product Design, Development, and Process Optimization","type":"article-journal"},"uris":["http://www.mendeley.com/documents/?uuid=237fa474-de35-437a-819d-eb02cdfee523"]}],"mendeley":{"formattedCitation":"(Lamidi et al., 2023)","manualFormatting":"(Lamidi dkk., 2023)","plainTextFormattedCitation":"(Lamidi et al., 2023)","previouslyFormattedCitation":"(Lamidi et al., 2023)"},"properties":{"noteIndex":0},"schema":"https://github.com/citation-style-language/schema/raw/master/csl-citation.json"}</w:instrText>
      </w:r>
      <w:r w:rsidR="00F07421" w:rsidRPr="00F07421">
        <w:rPr>
          <w:rFonts w:ascii="Arial" w:eastAsia="Times New Roman" w:hAnsi="Arial" w:cs="Arial"/>
          <w:sz w:val="20"/>
          <w:szCs w:val="20"/>
          <w:lang w:val="id-ID"/>
        </w:rPr>
        <w:fldChar w:fldCharType="separate"/>
      </w:r>
      <w:r w:rsidR="00F07421" w:rsidRPr="00F07421">
        <w:rPr>
          <w:rFonts w:ascii="Arial" w:eastAsia="Times New Roman" w:hAnsi="Arial" w:cs="Arial"/>
          <w:noProof/>
          <w:sz w:val="20"/>
          <w:szCs w:val="20"/>
          <w:lang w:val="id-ID"/>
        </w:rPr>
        <w:t xml:space="preserve">(Lamidi </w:t>
      </w:r>
      <w:r w:rsidR="001A4767">
        <w:rPr>
          <w:rFonts w:ascii="Arial" w:eastAsia="Times New Roman" w:hAnsi="Arial" w:cs="Arial"/>
          <w:noProof/>
          <w:sz w:val="20"/>
          <w:szCs w:val="20"/>
          <w:lang w:val="id-ID"/>
        </w:rPr>
        <w:t>et al</w:t>
      </w:r>
      <w:r w:rsidR="00F07421" w:rsidRPr="00F07421">
        <w:rPr>
          <w:rFonts w:ascii="Arial" w:eastAsia="Times New Roman" w:hAnsi="Arial" w:cs="Arial"/>
          <w:noProof/>
          <w:sz w:val="20"/>
          <w:szCs w:val="20"/>
          <w:lang w:val="id-ID"/>
        </w:rPr>
        <w:t>., 2023)</w:t>
      </w:r>
      <w:r w:rsidR="00F07421" w:rsidRPr="00F07421">
        <w:rPr>
          <w:rFonts w:ascii="Arial" w:eastAsia="Times New Roman" w:hAnsi="Arial" w:cs="Arial"/>
          <w:sz w:val="20"/>
          <w:szCs w:val="20"/>
          <w:lang w:val="id-ID"/>
        </w:rPr>
        <w:fldChar w:fldCharType="end"/>
      </w:r>
      <w:r w:rsidR="00F07421">
        <w:rPr>
          <w:rFonts w:ascii="Times New Roman" w:eastAsia="Times New Roman" w:hAnsi="Times New Roman" w:cs="Times New Roman"/>
          <w:sz w:val="24"/>
          <w:szCs w:val="24"/>
          <w:lang w:val="id-ID"/>
        </w:rPr>
        <w:t xml:space="preserve">. </w:t>
      </w:r>
      <w:r w:rsidRPr="002C642C">
        <w:rPr>
          <w:rFonts w:ascii="Arial" w:hAnsi="Arial" w:cs="Arial"/>
          <w:sz w:val="20"/>
          <w:szCs w:val="20"/>
        </w:rPr>
        <w:t>In this research, it is necessary to identify the research variables that will affect the fulfillment rate of store goods. Referring to the research problem, the dependent variable (response) can be identified, namely warehouse goods stock and independent variables, namely store goods demand, supplier incoming goods, and delivery lead time. Data is taken directly by researchers by making observations in the fulfillment of stock inventory of store goods by the warehouse.</w:t>
      </w:r>
    </w:p>
    <w:p w14:paraId="58E8D447" w14:textId="68254427" w:rsidR="002C552F" w:rsidRPr="002C552F" w:rsidRDefault="002C642C" w:rsidP="00115EA1">
      <w:pPr>
        <w:pStyle w:val="DaftarParagraf"/>
        <w:ind w:left="0" w:firstLine="284"/>
        <w:jc w:val="both"/>
        <w:rPr>
          <w:rFonts w:ascii="Arial" w:hAnsi="Arial" w:cs="Arial"/>
          <w:sz w:val="20"/>
          <w:szCs w:val="20"/>
        </w:rPr>
      </w:pPr>
      <w:r w:rsidRPr="002C642C">
        <w:rPr>
          <w:rFonts w:ascii="Arial" w:hAnsi="Arial" w:cs="Arial"/>
          <w:sz w:val="20"/>
          <w:szCs w:val="20"/>
        </w:rPr>
        <w:t>In this study, researchers applied the Response Surface experimental design method. Factors that affect warehouse inventory stock are store goods demand, supplier incoming goods, and delivery lead time. The Response Surface method is applied in optimizing warehouse inventory stock by taking primary data as an indicator of optimization. In the factorial experiment, there are 3 levels used, namely the lowest level given the code (-1), the center point given the code (0), and the highest level given the code (+1). The codes and variables used in the experimental design as well as the level code values can be seen in the following table:</w:t>
      </w:r>
    </w:p>
    <w:p w14:paraId="77248B85" w14:textId="6E35B9F0" w:rsidR="002C552F" w:rsidRPr="002C552F" w:rsidRDefault="002C552F" w:rsidP="002C552F">
      <w:pPr>
        <w:pStyle w:val="DaftarParagraf"/>
        <w:ind w:left="0"/>
        <w:jc w:val="center"/>
        <w:rPr>
          <w:rFonts w:ascii="Arial" w:hAnsi="Arial" w:cs="Arial"/>
          <w:sz w:val="20"/>
          <w:szCs w:val="20"/>
        </w:rPr>
      </w:pPr>
      <w:r w:rsidRPr="002C552F">
        <w:rPr>
          <w:rFonts w:ascii="Arial" w:hAnsi="Arial" w:cs="Arial"/>
          <w:sz w:val="20"/>
          <w:szCs w:val="20"/>
        </w:rPr>
        <w:t xml:space="preserve">Table 3.1 </w:t>
      </w:r>
      <w:r w:rsidR="002C642C">
        <w:rPr>
          <w:rFonts w:ascii="Arial" w:hAnsi="Arial" w:cs="Arial"/>
          <w:sz w:val="20"/>
          <w:szCs w:val="20"/>
        </w:rPr>
        <w:t>Code and Level 3 Variables</w:t>
      </w:r>
    </w:p>
    <w:tbl>
      <w:tblPr>
        <w:tblW w:w="4734" w:type="pct"/>
        <w:jc w:val="center"/>
        <w:tblLook w:val="04A0" w:firstRow="1" w:lastRow="0" w:firstColumn="1" w:lastColumn="0" w:noHBand="0" w:noVBand="1"/>
      </w:tblPr>
      <w:tblGrid>
        <w:gridCol w:w="2295"/>
        <w:gridCol w:w="2080"/>
        <w:gridCol w:w="2107"/>
        <w:gridCol w:w="2089"/>
        <w:gridCol w:w="17"/>
      </w:tblGrid>
      <w:tr w:rsidR="002C552F" w:rsidRPr="002C552F" w14:paraId="530F6E45" w14:textId="77777777" w:rsidTr="00C50DDD">
        <w:trPr>
          <w:trHeight w:val="290"/>
          <w:tblHeader/>
          <w:jc w:val="center"/>
        </w:trPr>
        <w:tc>
          <w:tcPr>
            <w:tcW w:w="1336" w:type="pct"/>
            <w:vMerge w:val="restart"/>
            <w:tcBorders>
              <w:top w:val="single" w:sz="4" w:space="0" w:color="auto"/>
              <w:bottom w:val="single" w:sz="4" w:space="0" w:color="auto"/>
            </w:tcBorders>
            <w:shd w:val="clear" w:color="auto" w:fill="auto"/>
            <w:vAlign w:val="center"/>
            <w:hideMark/>
          </w:tcPr>
          <w:p w14:paraId="50096474" w14:textId="15D4A215" w:rsidR="002C552F" w:rsidRPr="00C50DDD" w:rsidRDefault="002C642C" w:rsidP="002C552F">
            <w:pPr>
              <w:jc w:val="center"/>
              <w:rPr>
                <w:rFonts w:ascii="Arial" w:eastAsia="Times New Roman" w:hAnsi="Arial" w:cs="Arial"/>
                <w:b/>
                <w:bCs/>
                <w:color w:val="000000"/>
                <w:szCs w:val="18"/>
                <w:lang w:val="id-ID"/>
              </w:rPr>
            </w:pPr>
            <w:r>
              <w:rPr>
                <w:rFonts w:ascii="Arial" w:eastAsia="Times New Roman" w:hAnsi="Arial" w:cs="Arial"/>
                <w:b/>
                <w:bCs/>
                <w:color w:val="000000"/>
                <w:szCs w:val="18"/>
                <w:lang w:val="id-ID"/>
              </w:rPr>
              <w:t>Independent Variable</w:t>
            </w:r>
          </w:p>
        </w:tc>
        <w:tc>
          <w:tcPr>
            <w:tcW w:w="3664" w:type="pct"/>
            <w:gridSpan w:val="4"/>
            <w:tcBorders>
              <w:top w:val="single" w:sz="4" w:space="0" w:color="auto"/>
            </w:tcBorders>
            <w:shd w:val="clear" w:color="auto" w:fill="auto"/>
            <w:noWrap/>
            <w:vAlign w:val="center"/>
            <w:hideMark/>
          </w:tcPr>
          <w:p w14:paraId="135F88CA" w14:textId="77777777" w:rsidR="002C552F" w:rsidRPr="00C50DDD" w:rsidRDefault="002C552F" w:rsidP="002C552F">
            <w:pPr>
              <w:jc w:val="center"/>
              <w:rPr>
                <w:rFonts w:ascii="Arial" w:eastAsia="Times New Roman" w:hAnsi="Arial" w:cs="Arial"/>
                <w:b/>
                <w:bCs/>
                <w:color w:val="000000"/>
                <w:szCs w:val="18"/>
                <w:lang w:val="id-ID"/>
              </w:rPr>
            </w:pPr>
            <w:r w:rsidRPr="00C50DDD">
              <w:rPr>
                <w:rFonts w:ascii="Arial" w:eastAsia="Times New Roman" w:hAnsi="Arial" w:cs="Arial"/>
                <w:b/>
                <w:bCs/>
                <w:color w:val="000000"/>
                <w:szCs w:val="18"/>
                <w:lang w:val="id-ID"/>
              </w:rPr>
              <w:t>Kode</w:t>
            </w:r>
          </w:p>
        </w:tc>
      </w:tr>
      <w:tr w:rsidR="002C552F" w:rsidRPr="002C552F" w14:paraId="5EC2F914" w14:textId="77777777" w:rsidTr="00C50DDD">
        <w:trPr>
          <w:gridAfter w:val="1"/>
          <w:wAfter w:w="10" w:type="pct"/>
          <w:trHeight w:val="290"/>
          <w:tblHeader/>
          <w:jc w:val="center"/>
        </w:trPr>
        <w:tc>
          <w:tcPr>
            <w:tcW w:w="1336" w:type="pct"/>
            <w:vMerge/>
            <w:tcBorders>
              <w:bottom w:val="single" w:sz="4" w:space="0" w:color="auto"/>
            </w:tcBorders>
            <w:vAlign w:val="center"/>
            <w:hideMark/>
          </w:tcPr>
          <w:p w14:paraId="12063273" w14:textId="77777777" w:rsidR="002C552F" w:rsidRPr="00C50DDD" w:rsidRDefault="002C552F" w:rsidP="002C552F">
            <w:pPr>
              <w:jc w:val="center"/>
              <w:rPr>
                <w:rFonts w:ascii="Arial" w:eastAsia="Times New Roman" w:hAnsi="Arial" w:cs="Arial"/>
                <w:b/>
                <w:bCs/>
                <w:color w:val="000000"/>
                <w:szCs w:val="18"/>
                <w:lang w:val="id-ID"/>
              </w:rPr>
            </w:pPr>
          </w:p>
        </w:tc>
        <w:tc>
          <w:tcPr>
            <w:tcW w:w="1211" w:type="pct"/>
            <w:tcBorders>
              <w:top w:val="single" w:sz="4" w:space="0" w:color="auto"/>
              <w:bottom w:val="single" w:sz="4" w:space="0" w:color="auto"/>
            </w:tcBorders>
            <w:shd w:val="clear" w:color="auto" w:fill="auto"/>
            <w:noWrap/>
            <w:vAlign w:val="center"/>
            <w:hideMark/>
          </w:tcPr>
          <w:p w14:paraId="12CA100A" w14:textId="77777777" w:rsidR="002C552F" w:rsidRPr="00C50DDD" w:rsidRDefault="002C552F" w:rsidP="002C552F">
            <w:pPr>
              <w:jc w:val="center"/>
              <w:rPr>
                <w:rFonts w:ascii="Arial" w:eastAsia="Times New Roman" w:hAnsi="Arial" w:cs="Arial"/>
                <w:b/>
                <w:bCs/>
                <w:color w:val="000000"/>
                <w:szCs w:val="18"/>
                <w:lang w:val="id-ID"/>
              </w:rPr>
            </w:pPr>
            <w:r w:rsidRPr="00C50DDD">
              <w:rPr>
                <w:rFonts w:ascii="Arial" w:eastAsia="Times New Roman" w:hAnsi="Arial" w:cs="Arial"/>
                <w:b/>
                <w:bCs/>
                <w:color w:val="000000"/>
                <w:szCs w:val="18"/>
                <w:lang w:val="id-ID"/>
              </w:rPr>
              <w:t>-1</w:t>
            </w:r>
          </w:p>
        </w:tc>
        <w:tc>
          <w:tcPr>
            <w:tcW w:w="1227" w:type="pct"/>
            <w:tcBorders>
              <w:top w:val="single" w:sz="4" w:space="0" w:color="auto"/>
              <w:bottom w:val="single" w:sz="4" w:space="0" w:color="auto"/>
            </w:tcBorders>
            <w:shd w:val="clear" w:color="auto" w:fill="auto"/>
            <w:noWrap/>
            <w:vAlign w:val="center"/>
            <w:hideMark/>
          </w:tcPr>
          <w:p w14:paraId="6CD61431" w14:textId="77777777" w:rsidR="002C552F" w:rsidRPr="00C50DDD" w:rsidRDefault="002C552F" w:rsidP="002C552F">
            <w:pPr>
              <w:jc w:val="center"/>
              <w:rPr>
                <w:rFonts w:ascii="Arial" w:eastAsia="Times New Roman" w:hAnsi="Arial" w:cs="Arial"/>
                <w:b/>
                <w:bCs/>
                <w:color w:val="000000"/>
                <w:szCs w:val="18"/>
                <w:lang w:val="id-ID"/>
              </w:rPr>
            </w:pPr>
            <w:r w:rsidRPr="00C50DDD">
              <w:rPr>
                <w:rFonts w:ascii="Arial" w:eastAsia="Times New Roman" w:hAnsi="Arial" w:cs="Arial"/>
                <w:b/>
                <w:bCs/>
                <w:color w:val="000000"/>
                <w:szCs w:val="18"/>
                <w:lang w:val="id-ID"/>
              </w:rPr>
              <w:t>0</w:t>
            </w:r>
          </w:p>
        </w:tc>
        <w:tc>
          <w:tcPr>
            <w:tcW w:w="1216" w:type="pct"/>
            <w:tcBorders>
              <w:top w:val="single" w:sz="4" w:space="0" w:color="auto"/>
              <w:bottom w:val="single" w:sz="4" w:space="0" w:color="auto"/>
            </w:tcBorders>
            <w:shd w:val="clear" w:color="auto" w:fill="auto"/>
            <w:noWrap/>
            <w:vAlign w:val="center"/>
            <w:hideMark/>
          </w:tcPr>
          <w:p w14:paraId="6BD17D5B" w14:textId="77777777" w:rsidR="002C552F" w:rsidRPr="00C50DDD" w:rsidRDefault="002C552F" w:rsidP="002C552F">
            <w:pPr>
              <w:jc w:val="center"/>
              <w:rPr>
                <w:rFonts w:ascii="Arial" w:eastAsia="Times New Roman" w:hAnsi="Arial" w:cs="Arial"/>
                <w:b/>
                <w:bCs/>
                <w:color w:val="000000"/>
                <w:szCs w:val="18"/>
                <w:lang w:val="id-ID"/>
              </w:rPr>
            </w:pPr>
            <w:r w:rsidRPr="00C50DDD">
              <w:rPr>
                <w:rFonts w:ascii="Arial" w:eastAsia="Times New Roman" w:hAnsi="Arial" w:cs="Arial"/>
                <w:b/>
                <w:bCs/>
                <w:color w:val="000000"/>
                <w:szCs w:val="18"/>
                <w:lang w:val="id-ID"/>
              </w:rPr>
              <w:t>1</w:t>
            </w:r>
          </w:p>
        </w:tc>
      </w:tr>
      <w:tr w:rsidR="002C552F" w:rsidRPr="002C552F" w14:paraId="2A672615" w14:textId="77777777" w:rsidTr="002C552F">
        <w:trPr>
          <w:gridAfter w:val="1"/>
          <w:wAfter w:w="10" w:type="pct"/>
          <w:trHeight w:val="290"/>
          <w:jc w:val="center"/>
        </w:trPr>
        <w:tc>
          <w:tcPr>
            <w:tcW w:w="1336" w:type="pct"/>
            <w:tcBorders>
              <w:top w:val="single" w:sz="4" w:space="0" w:color="auto"/>
            </w:tcBorders>
            <w:shd w:val="clear" w:color="auto" w:fill="auto"/>
            <w:noWrap/>
            <w:vAlign w:val="center"/>
            <w:hideMark/>
          </w:tcPr>
          <w:p w14:paraId="78DA5931"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X1</w:t>
            </w:r>
          </w:p>
        </w:tc>
        <w:tc>
          <w:tcPr>
            <w:tcW w:w="1211" w:type="pct"/>
            <w:tcBorders>
              <w:top w:val="single" w:sz="4" w:space="0" w:color="auto"/>
            </w:tcBorders>
            <w:shd w:val="clear" w:color="auto" w:fill="auto"/>
            <w:noWrap/>
            <w:vAlign w:val="center"/>
            <w:hideMark/>
          </w:tcPr>
          <w:p w14:paraId="6B9CA056"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0 </w:t>
            </w:r>
            <w:r w:rsidRPr="002C552F">
              <w:rPr>
                <w:rFonts w:ascii="Arial" w:eastAsia="Times New Roman" w:hAnsi="Arial" w:cs="Arial"/>
                <w:i/>
                <w:iCs/>
                <w:color w:val="000000"/>
                <w:szCs w:val="18"/>
                <w:lang w:val="id-ID"/>
              </w:rPr>
              <w:t>pcs</w:t>
            </w:r>
          </w:p>
        </w:tc>
        <w:tc>
          <w:tcPr>
            <w:tcW w:w="1227" w:type="pct"/>
            <w:tcBorders>
              <w:top w:val="single" w:sz="4" w:space="0" w:color="auto"/>
            </w:tcBorders>
            <w:shd w:val="clear" w:color="auto" w:fill="auto"/>
            <w:noWrap/>
            <w:vAlign w:val="center"/>
            <w:hideMark/>
          </w:tcPr>
          <w:p w14:paraId="72C0070A"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7181 </w:t>
            </w:r>
            <w:r w:rsidRPr="002C552F">
              <w:rPr>
                <w:rFonts w:ascii="Arial" w:eastAsia="Times New Roman" w:hAnsi="Arial" w:cs="Arial"/>
                <w:i/>
                <w:iCs/>
                <w:color w:val="000000"/>
                <w:szCs w:val="18"/>
                <w:lang w:val="id-ID"/>
              </w:rPr>
              <w:t>pcs</w:t>
            </w:r>
          </w:p>
        </w:tc>
        <w:tc>
          <w:tcPr>
            <w:tcW w:w="1216" w:type="pct"/>
            <w:tcBorders>
              <w:top w:val="single" w:sz="4" w:space="0" w:color="auto"/>
            </w:tcBorders>
            <w:shd w:val="clear" w:color="auto" w:fill="auto"/>
            <w:noWrap/>
            <w:vAlign w:val="center"/>
            <w:hideMark/>
          </w:tcPr>
          <w:p w14:paraId="4BDAF7F4"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14361 </w:t>
            </w:r>
            <w:r w:rsidRPr="002C552F">
              <w:rPr>
                <w:rFonts w:ascii="Arial" w:eastAsia="Times New Roman" w:hAnsi="Arial" w:cs="Arial"/>
                <w:i/>
                <w:iCs/>
                <w:color w:val="000000"/>
                <w:szCs w:val="18"/>
                <w:lang w:val="id-ID"/>
              </w:rPr>
              <w:t>pcs</w:t>
            </w:r>
          </w:p>
        </w:tc>
      </w:tr>
      <w:tr w:rsidR="002C552F" w:rsidRPr="002C552F" w14:paraId="562C1321" w14:textId="77777777" w:rsidTr="002C552F">
        <w:trPr>
          <w:gridAfter w:val="1"/>
          <w:wAfter w:w="10" w:type="pct"/>
          <w:trHeight w:val="290"/>
          <w:jc w:val="center"/>
        </w:trPr>
        <w:tc>
          <w:tcPr>
            <w:tcW w:w="1336" w:type="pct"/>
            <w:shd w:val="clear" w:color="auto" w:fill="auto"/>
            <w:noWrap/>
            <w:vAlign w:val="center"/>
            <w:hideMark/>
          </w:tcPr>
          <w:p w14:paraId="522CB052"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X2</w:t>
            </w:r>
          </w:p>
        </w:tc>
        <w:tc>
          <w:tcPr>
            <w:tcW w:w="1211" w:type="pct"/>
            <w:shd w:val="clear" w:color="auto" w:fill="auto"/>
            <w:noWrap/>
            <w:vAlign w:val="center"/>
            <w:hideMark/>
          </w:tcPr>
          <w:p w14:paraId="17751893"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12 </w:t>
            </w:r>
            <w:r w:rsidRPr="002C552F">
              <w:rPr>
                <w:rFonts w:ascii="Arial" w:eastAsia="Times New Roman" w:hAnsi="Arial" w:cs="Arial"/>
                <w:i/>
                <w:iCs/>
                <w:color w:val="000000"/>
                <w:szCs w:val="18"/>
                <w:lang w:val="id-ID"/>
              </w:rPr>
              <w:t>pcs</w:t>
            </w:r>
          </w:p>
        </w:tc>
        <w:tc>
          <w:tcPr>
            <w:tcW w:w="1227" w:type="pct"/>
            <w:shd w:val="clear" w:color="auto" w:fill="auto"/>
            <w:noWrap/>
            <w:vAlign w:val="center"/>
            <w:hideMark/>
          </w:tcPr>
          <w:p w14:paraId="023C90A1"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3275 </w:t>
            </w:r>
            <w:r w:rsidRPr="002C552F">
              <w:rPr>
                <w:rFonts w:ascii="Arial" w:eastAsia="Times New Roman" w:hAnsi="Arial" w:cs="Arial"/>
                <w:i/>
                <w:iCs/>
                <w:color w:val="000000"/>
                <w:szCs w:val="18"/>
                <w:lang w:val="id-ID"/>
              </w:rPr>
              <w:t>pcs</w:t>
            </w:r>
          </w:p>
        </w:tc>
        <w:tc>
          <w:tcPr>
            <w:tcW w:w="1216" w:type="pct"/>
            <w:shd w:val="clear" w:color="auto" w:fill="auto"/>
            <w:noWrap/>
            <w:vAlign w:val="center"/>
            <w:hideMark/>
          </w:tcPr>
          <w:p w14:paraId="68852011"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6537 </w:t>
            </w:r>
            <w:r w:rsidRPr="002C552F">
              <w:rPr>
                <w:rFonts w:ascii="Arial" w:eastAsia="Times New Roman" w:hAnsi="Arial" w:cs="Arial"/>
                <w:i/>
                <w:iCs/>
                <w:color w:val="000000"/>
                <w:szCs w:val="18"/>
                <w:lang w:val="id-ID"/>
              </w:rPr>
              <w:t>pcs</w:t>
            </w:r>
          </w:p>
        </w:tc>
      </w:tr>
      <w:tr w:rsidR="002C552F" w:rsidRPr="002C552F" w14:paraId="7253C360" w14:textId="77777777" w:rsidTr="002C552F">
        <w:trPr>
          <w:gridAfter w:val="1"/>
          <w:wAfter w:w="10" w:type="pct"/>
          <w:trHeight w:val="290"/>
          <w:jc w:val="center"/>
        </w:trPr>
        <w:tc>
          <w:tcPr>
            <w:tcW w:w="1336" w:type="pct"/>
            <w:tcBorders>
              <w:bottom w:val="single" w:sz="4" w:space="0" w:color="auto"/>
            </w:tcBorders>
            <w:shd w:val="clear" w:color="auto" w:fill="auto"/>
            <w:noWrap/>
            <w:vAlign w:val="center"/>
            <w:hideMark/>
          </w:tcPr>
          <w:p w14:paraId="73E6B97E" w14:textId="7777777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X3</w:t>
            </w:r>
          </w:p>
        </w:tc>
        <w:tc>
          <w:tcPr>
            <w:tcW w:w="1211" w:type="pct"/>
            <w:tcBorders>
              <w:bottom w:val="single" w:sz="4" w:space="0" w:color="auto"/>
            </w:tcBorders>
            <w:shd w:val="clear" w:color="auto" w:fill="auto"/>
            <w:noWrap/>
            <w:vAlign w:val="center"/>
            <w:hideMark/>
          </w:tcPr>
          <w:p w14:paraId="7567152D" w14:textId="3B937270"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2 </w:t>
            </w:r>
            <w:r w:rsidR="002C642C">
              <w:rPr>
                <w:rFonts w:ascii="Arial" w:eastAsia="Times New Roman" w:hAnsi="Arial" w:cs="Arial"/>
                <w:color w:val="000000"/>
                <w:szCs w:val="18"/>
                <w:lang w:val="id-ID"/>
              </w:rPr>
              <w:t>days</w:t>
            </w:r>
          </w:p>
        </w:tc>
        <w:tc>
          <w:tcPr>
            <w:tcW w:w="1227" w:type="pct"/>
            <w:tcBorders>
              <w:bottom w:val="single" w:sz="4" w:space="0" w:color="auto"/>
            </w:tcBorders>
            <w:shd w:val="clear" w:color="auto" w:fill="auto"/>
            <w:noWrap/>
            <w:vAlign w:val="center"/>
            <w:hideMark/>
          </w:tcPr>
          <w:p w14:paraId="0EA449AD" w14:textId="3CDB876B"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6 </w:t>
            </w:r>
            <w:r w:rsidR="002C642C">
              <w:rPr>
                <w:rFonts w:ascii="Arial" w:eastAsia="Times New Roman" w:hAnsi="Arial" w:cs="Arial"/>
                <w:color w:val="000000"/>
                <w:szCs w:val="18"/>
                <w:lang w:val="id-ID"/>
              </w:rPr>
              <w:t>days</w:t>
            </w:r>
          </w:p>
        </w:tc>
        <w:tc>
          <w:tcPr>
            <w:tcW w:w="1216" w:type="pct"/>
            <w:tcBorders>
              <w:bottom w:val="single" w:sz="4" w:space="0" w:color="auto"/>
            </w:tcBorders>
            <w:shd w:val="clear" w:color="auto" w:fill="auto"/>
            <w:noWrap/>
            <w:vAlign w:val="center"/>
            <w:hideMark/>
          </w:tcPr>
          <w:p w14:paraId="4FAB1BBB" w14:textId="3E584887" w:rsidR="002C552F" w:rsidRPr="002C552F" w:rsidRDefault="002C552F" w:rsidP="002C552F">
            <w:pPr>
              <w:jc w:val="center"/>
              <w:rPr>
                <w:rFonts w:ascii="Arial" w:eastAsia="Times New Roman" w:hAnsi="Arial" w:cs="Arial"/>
                <w:color w:val="000000"/>
                <w:szCs w:val="18"/>
                <w:lang w:val="id-ID"/>
              </w:rPr>
            </w:pPr>
            <w:r w:rsidRPr="002C552F">
              <w:rPr>
                <w:rFonts w:ascii="Arial" w:eastAsia="Times New Roman" w:hAnsi="Arial" w:cs="Arial"/>
                <w:color w:val="000000"/>
                <w:szCs w:val="18"/>
                <w:lang w:val="id-ID"/>
              </w:rPr>
              <w:t xml:space="preserve">9 </w:t>
            </w:r>
            <w:r w:rsidR="002C642C">
              <w:rPr>
                <w:rFonts w:ascii="Arial" w:eastAsia="Times New Roman" w:hAnsi="Arial" w:cs="Arial"/>
                <w:color w:val="000000"/>
                <w:szCs w:val="18"/>
                <w:lang w:val="id-ID"/>
              </w:rPr>
              <w:t>days</w:t>
            </w:r>
          </w:p>
        </w:tc>
      </w:tr>
    </w:tbl>
    <w:p w14:paraId="155CF5B6" w14:textId="35223B41" w:rsidR="00923003" w:rsidRDefault="002C642C" w:rsidP="002C552F">
      <w:pPr>
        <w:pBdr>
          <w:top w:val="nil"/>
          <w:left w:val="nil"/>
          <w:bottom w:val="nil"/>
          <w:right w:val="nil"/>
          <w:between w:val="nil"/>
        </w:pBdr>
        <w:ind w:firstLine="284"/>
        <w:jc w:val="both"/>
        <w:rPr>
          <w:rFonts w:ascii="Arial" w:hAnsi="Arial" w:cs="Arial"/>
          <w:sz w:val="20"/>
          <w:szCs w:val="20"/>
        </w:rPr>
      </w:pPr>
      <w:r w:rsidRPr="002C642C">
        <w:rPr>
          <w:rFonts w:ascii="Arial" w:hAnsi="Arial" w:cs="Arial"/>
          <w:sz w:val="20"/>
          <w:szCs w:val="20"/>
        </w:rPr>
        <w:t>In this study, researchers conducted 15 experiments where each experiment contained a combination of different levels of each factor. The steps taken in this problem solving stage are</w:t>
      </w:r>
      <w:r w:rsidR="002C552F">
        <w:rPr>
          <w:rFonts w:ascii="Arial" w:hAnsi="Arial" w:cs="Arial"/>
          <w:sz w:val="20"/>
          <w:szCs w:val="20"/>
        </w:rPr>
        <w:t>:</w:t>
      </w:r>
    </w:p>
    <w:p w14:paraId="1E5A5BF0" w14:textId="319009EA" w:rsidR="002C552F" w:rsidRDefault="002C642C" w:rsidP="002C552F">
      <w:pPr>
        <w:pStyle w:val="DaftarParagraf"/>
        <w:numPr>
          <w:ilvl w:val="0"/>
          <w:numId w:val="5"/>
        </w:numPr>
        <w:pBdr>
          <w:top w:val="nil"/>
          <w:left w:val="nil"/>
          <w:bottom w:val="nil"/>
          <w:right w:val="nil"/>
          <w:between w:val="nil"/>
        </w:pBdr>
        <w:ind w:left="567"/>
        <w:jc w:val="both"/>
        <w:rPr>
          <w:rFonts w:ascii="Arial" w:hAnsi="Arial" w:cs="Arial"/>
          <w:sz w:val="20"/>
          <w:szCs w:val="20"/>
        </w:rPr>
      </w:pPr>
      <w:r w:rsidRPr="002C642C">
        <w:rPr>
          <w:rFonts w:ascii="Arial" w:hAnsi="Arial" w:cs="Arial"/>
          <w:sz w:val="20"/>
          <w:szCs w:val="20"/>
        </w:rPr>
        <w:t>Determine the response variable and independent variable</w:t>
      </w:r>
    </w:p>
    <w:p w14:paraId="20CC20B2" w14:textId="4DB56F43" w:rsidR="002C552F" w:rsidRDefault="002C642C" w:rsidP="002C552F">
      <w:pPr>
        <w:pStyle w:val="DaftarParagraf"/>
        <w:numPr>
          <w:ilvl w:val="0"/>
          <w:numId w:val="5"/>
        </w:numPr>
        <w:pBdr>
          <w:top w:val="nil"/>
          <w:left w:val="nil"/>
          <w:bottom w:val="nil"/>
          <w:right w:val="nil"/>
          <w:between w:val="nil"/>
        </w:pBdr>
        <w:ind w:left="567"/>
        <w:jc w:val="both"/>
        <w:rPr>
          <w:rFonts w:ascii="Arial" w:hAnsi="Arial" w:cs="Arial"/>
          <w:sz w:val="20"/>
          <w:szCs w:val="20"/>
        </w:rPr>
      </w:pPr>
      <w:r w:rsidRPr="002C642C">
        <w:rPr>
          <w:rFonts w:ascii="Arial" w:hAnsi="Arial" w:cs="Arial"/>
          <w:sz w:val="20"/>
          <w:szCs w:val="20"/>
        </w:rPr>
        <w:t>Experimental design using Box-Behnken Design</w:t>
      </w:r>
    </w:p>
    <w:p w14:paraId="74E9B658" w14:textId="187D548D" w:rsidR="002C552F" w:rsidRDefault="002C642C" w:rsidP="002C552F">
      <w:pPr>
        <w:pStyle w:val="DaftarParagraf"/>
        <w:numPr>
          <w:ilvl w:val="0"/>
          <w:numId w:val="5"/>
        </w:numPr>
        <w:pBdr>
          <w:top w:val="nil"/>
          <w:left w:val="nil"/>
          <w:bottom w:val="nil"/>
          <w:right w:val="nil"/>
          <w:between w:val="nil"/>
        </w:pBdr>
        <w:ind w:left="567"/>
        <w:jc w:val="both"/>
        <w:rPr>
          <w:rFonts w:ascii="Arial" w:hAnsi="Arial" w:cs="Arial"/>
          <w:sz w:val="20"/>
          <w:szCs w:val="20"/>
        </w:rPr>
      </w:pPr>
      <w:r w:rsidRPr="002C642C">
        <w:rPr>
          <w:rFonts w:ascii="Arial" w:hAnsi="Arial" w:cs="Arial"/>
          <w:sz w:val="20"/>
          <w:szCs w:val="20"/>
        </w:rPr>
        <w:lastRenderedPageBreak/>
        <w:t>Development of mathematical model</w:t>
      </w:r>
    </w:p>
    <w:p w14:paraId="26BECAAE" w14:textId="4EAF6C68" w:rsidR="002C552F" w:rsidRDefault="002C642C" w:rsidP="002C552F">
      <w:pPr>
        <w:pStyle w:val="DaftarParagraf"/>
        <w:numPr>
          <w:ilvl w:val="0"/>
          <w:numId w:val="5"/>
        </w:numPr>
        <w:pBdr>
          <w:top w:val="nil"/>
          <w:left w:val="nil"/>
          <w:bottom w:val="nil"/>
          <w:right w:val="nil"/>
          <w:between w:val="nil"/>
        </w:pBdr>
        <w:ind w:left="567"/>
        <w:jc w:val="both"/>
        <w:rPr>
          <w:rFonts w:ascii="Arial" w:hAnsi="Arial" w:cs="Arial"/>
          <w:sz w:val="20"/>
          <w:szCs w:val="20"/>
        </w:rPr>
      </w:pPr>
      <w:r w:rsidRPr="002C642C">
        <w:rPr>
          <w:rFonts w:ascii="Arial" w:hAnsi="Arial" w:cs="Arial"/>
          <w:sz w:val="20"/>
          <w:szCs w:val="20"/>
        </w:rPr>
        <w:t>Optimal point identification</w:t>
      </w:r>
    </w:p>
    <w:p w14:paraId="2C3B2EB8" w14:textId="75AA873C" w:rsidR="002C552F" w:rsidRPr="002C552F" w:rsidRDefault="002C642C" w:rsidP="002C552F">
      <w:pPr>
        <w:pStyle w:val="DaftarParagraf"/>
        <w:numPr>
          <w:ilvl w:val="0"/>
          <w:numId w:val="5"/>
        </w:numPr>
        <w:pBdr>
          <w:top w:val="nil"/>
          <w:left w:val="nil"/>
          <w:bottom w:val="nil"/>
          <w:right w:val="nil"/>
          <w:between w:val="nil"/>
        </w:pBdr>
        <w:ind w:left="567"/>
        <w:jc w:val="both"/>
        <w:rPr>
          <w:rFonts w:ascii="Arial" w:hAnsi="Arial" w:cs="Arial"/>
          <w:sz w:val="20"/>
          <w:szCs w:val="20"/>
        </w:rPr>
      </w:pPr>
      <w:r w:rsidRPr="002C642C">
        <w:rPr>
          <w:rFonts w:ascii="Arial" w:hAnsi="Arial" w:cs="Arial"/>
          <w:sz w:val="20"/>
          <w:szCs w:val="20"/>
        </w:rPr>
        <w:t>Response surface analysis</w:t>
      </w:r>
    </w:p>
    <w:p w14:paraId="6CC6268F" w14:textId="77777777" w:rsidR="00CF44E9" w:rsidRDefault="00000000">
      <w:pPr>
        <w:pBdr>
          <w:top w:val="nil"/>
          <w:left w:val="nil"/>
          <w:bottom w:val="nil"/>
          <w:right w:val="nil"/>
          <w:between w:val="nil"/>
        </w:pBdr>
        <w:ind w:firstLine="284"/>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8C21DBC" w14:textId="77777777" w:rsidR="00CF44E9" w:rsidRDefault="00000000">
      <w:pPr>
        <w:pStyle w:val="Judul2"/>
      </w:pPr>
      <w:r>
        <w:t>3. Results and Discussion</w:t>
      </w:r>
    </w:p>
    <w:p w14:paraId="5D2E82C1" w14:textId="1B2A71E0" w:rsidR="00CF44E9" w:rsidRDefault="002C642C" w:rsidP="002C552F">
      <w:pPr>
        <w:pBdr>
          <w:top w:val="nil"/>
          <w:left w:val="nil"/>
          <w:bottom w:val="nil"/>
          <w:right w:val="nil"/>
          <w:between w:val="nil"/>
        </w:pBdr>
        <w:ind w:firstLine="284"/>
        <w:jc w:val="both"/>
        <w:rPr>
          <w:rFonts w:ascii="Arial" w:hAnsi="Arial" w:cs="Arial"/>
          <w:sz w:val="20"/>
          <w:szCs w:val="20"/>
        </w:rPr>
      </w:pPr>
      <w:r w:rsidRPr="002C642C">
        <w:rPr>
          <w:rFonts w:ascii="Arial" w:hAnsi="Arial" w:cs="Arial"/>
          <w:sz w:val="20"/>
          <w:szCs w:val="20"/>
        </w:rPr>
        <w:t>In this study, researchers applied the Response Surface experimental design method. Factors that affect warehouse inventory stock are store demand, supplier incoming goods, and delivery lead time. The Response Surface method is applied in optimizing warehouse inventory stock by taking primary data as an indicator of optimization.</w:t>
      </w:r>
    </w:p>
    <w:p w14:paraId="6816BE96" w14:textId="784D164B" w:rsidR="00B37DD8" w:rsidRPr="00115EA1" w:rsidRDefault="002C642C" w:rsidP="00B37DD8">
      <w:pPr>
        <w:ind w:firstLine="284"/>
        <w:jc w:val="both"/>
        <w:rPr>
          <w:rFonts w:ascii="Arial" w:hAnsi="Arial" w:cs="Arial"/>
          <w:sz w:val="20"/>
          <w:szCs w:val="20"/>
        </w:rPr>
      </w:pPr>
      <w:r w:rsidRPr="002C642C">
        <w:rPr>
          <w:rFonts w:ascii="Arial" w:hAnsi="Arial" w:cs="Arial"/>
          <w:sz w:val="20"/>
          <w:szCs w:val="20"/>
        </w:rPr>
        <w:t>The influential factors analyzed in this study on warehouse inventory stock are as follows:</w:t>
      </w:r>
    </w:p>
    <w:p w14:paraId="4B9A6D83" w14:textId="2A58B158" w:rsidR="00B37DD8" w:rsidRPr="00115EA1" w:rsidRDefault="002C642C" w:rsidP="00B37DD8">
      <w:pPr>
        <w:pStyle w:val="DaftarParagraf"/>
        <w:numPr>
          <w:ilvl w:val="0"/>
          <w:numId w:val="7"/>
        </w:numPr>
        <w:ind w:left="284" w:hanging="284"/>
        <w:jc w:val="both"/>
        <w:rPr>
          <w:rFonts w:ascii="Arial" w:hAnsi="Arial" w:cs="Arial"/>
          <w:sz w:val="20"/>
          <w:szCs w:val="20"/>
        </w:rPr>
      </w:pPr>
      <w:r w:rsidRPr="002C642C">
        <w:rPr>
          <w:rFonts w:ascii="Arial" w:hAnsi="Arial" w:cs="Arial"/>
          <w:sz w:val="20"/>
          <w:szCs w:val="20"/>
        </w:rPr>
        <w:t xml:space="preserve">Demand for store goods </w:t>
      </w:r>
      <w:r w:rsidR="00B37DD8" w:rsidRPr="00115EA1">
        <w:rPr>
          <w:rFonts w:ascii="Arial" w:hAnsi="Arial" w:cs="Arial"/>
          <w:sz w:val="20"/>
          <w:szCs w:val="20"/>
        </w:rPr>
        <w:t>(</w:t>
      </w:r>
      <w:r w:rsidR="00B37DD8" w:rsidRPr="00115EA1">
        <w:rPr>
          <w:rFonts w:ascii="Arial" w:hAnsi="Arial" w:cs="Arial"/>
          <w:i/>
          <w:iCs/>
          <w:sz w:val="20"/>
          <w:szCs w:val="20"/>
        </w:rPr>
        <w:t>pcs</w:t>
      </w:r>
      <w:r w:rsidR="00B37DD8" w:rsidRPr="00115EA1">
        <w:rPr>
          <w:rFonts w:ascii="Arial" w:hAnsi="Arial" w:cs="Arial"/>
          <w:sz w:val="20"/>
          <w:szCs w:val="20"/>
        </w:rPr>
        <w:t>)</w:t>
      </w:r>
    </w:p>
    <w:p w14:paraId="7E681F71" w14:textId="354093C3" w:rsidR="00B37DD8" w:rsidRPr="00115EA1" w:rsidRDefault="002C642C" w:rsidP="00B37DD8">
      <w:pPr>
        <w:pStyle w:val="DaftarParagraf"/>
        <w:ind w:left="284"/>
        <w:jc w:val="both"/>
        <w:rPr>
          <w:rFonts w:ascii="Arial" w:hAnsi="Arial" w:cs="Arial"/>
          <w:sz w:val="20"/>
          <w:szCs w:val="20"/>
        </w:rPr>
      </w:pPr>
      <w:r w:rsidRPr="002C642C">
        <w:rPr>
          <w:rFonts w:ascii="Arial" w:hAnsi="Arial" w:cs="Arial"/>
          <w:sz w:val="20"/>
          <w:szCs w:val="20"/>
        </w:rPr>
        <w:t>There are 3 levels used, namely 0 pcs, 7181 pcs, and 14361 pcs.</w:t>
      </w:r>
    </w:p>
    <w:p w14:paraId="7B8B1E9E" w14:textId="09A9024E" w:rsidR="00B37DD8" w:rsidRPr="00115EA1" w:rsidRDefault="002C642C" w:rsidP="00B37DD8">
      <w:pPr>
        <w:pStyle w:val="DaftarParagraf"/>
        <w:numPr>
          <w:ilvl w:val="0"/>
          <w:numId w:val="7"/>
        </w:numPr>
        <w:ind w:left="284" w:hanging="284"/>
        <w:jc w:val="both"/>
        <w:rPr>
          <w:rFonts w:ascii="Arial" w:hAnsi="Arial" w:cs="Arial"/>
          <w:sz w:val="20"/>
          <w:szCs w:val="20"/>
        </w:rPr>
      </w:pPr>
      <w:r w:rsidRPr="002C642C">
        <w:rPr>
          <w:rFonts w:ascii="Arial" w:hAnsi="Arial" w:cs="Arial"/>
          <w:sz w:val="20"/>
          <w:szCs w:val="20"/>
        </w:rPr>
        <w:t>Incoming supplier goods (pcs)</w:t>
      </w:r>
    </w:p>
    <w:p w14:paraId="23229B3F" w14:textId="1A88284C" w:rsidR="00B37DD8" w:rsidRPr="00115EA1" w:rsidRDefault="002C642C" w:rsidP="00B37DD8">
      <w:pPr>
        <w:pStyle w:val="DaftarParagraf"/>
        <w:ind w:left="284"/>
        <w:jc w:val="both"/>
        <w:rPr>
          <w:rFonts w:ascii="Arial" w:hAnsi="Arial" w:cs="Arial"/>
          <w:sz w:val="20"/>
          <w:szCs w:val="20"/>
        </w:rPr>
      </w:pPr>
      <w:r w:rsidRPr="002C642C">
        <w:rPr>
          <w:rFonts w:ascii="Arial" w:hAnsi="Arial" w:cs="Arial"/>
          <w:sz w:val="20"/>
          <w:szCs w:val="20"/>
        </w:rPr>
        <w:t>There are 3 levels used, namely 0 pcs, 3275 pcs, and 6537 pcs.</w:t>
      </w:r>
    </w:p>
    <w:p w14:paraId="01AA7F81" w14:textId="0E229BA4" w:rsidR="00B37DD8" w:rsidRPr="002C642C" w:rsidRDefault="002C642C" w:rsidP="00B37DD8">
      <w:pPr>
        <w:pStyle w:val="DaftarParagraf"/>
        <w:numPr>
          <w:ilvl w:val="0"/>
          <w:numId w:val="7"/>
        </w:numPr>
        <w:ind w:left="284" w:hanging="284"/>
        <w:jc w:val="both"/>
        <w:rPr>
          <w:rFonts w:ascii="Arial" w:hAnsi="Arial" w:cs="Arial"/>
          <w:sz w:val="20"/>
          <w:szCs w:val="20"/>
        </w:rPr>
      </w:pPr>
      <w:r w:rsidRPr="002C642C">
        <w:rPr>
          <w:rFonts w:ascii="Arial" w:hAnsi="Arial" w:cs="Arial"/>
          <w:sz w:val="20"/>
          <w:szCs w:val="20"/>
        </w:rPr>
        <w:t>Delivery lead time (days)</w:t>
      </w:r>
    </w:p>
    <w:p w14:paraId="609C5286" w14:textId="3A93440D" w:rsidR="00B37DD8" w:rsidRPr="00B37DD8" w:rsidRDefault="002C642C" w:rsidP="00B37DD8">
      <w:pPr>
        <w:pBdr>
          <w:top w:val="nil"/>
          <w:left w:val="nil"/>
          <w:bottom w:val="nil"/>
          <w:right w:val="nil"/>
          <w:between w:val="nil"/>
        </w:pBdr>
        <w:ind w:firstLine="284"/>
        <w:jc w:val="both"/>
        <w:rPr>
          <w:rFonts w:ascii="Arial" w:eastAsia="Arial" w:hAnsi="Arial" w:cs="Arial"/>
          <w:color w:val="000000"/>
          <w:sz w:val="20"/>
          <w:szCs w:val="20"/>
        </w:rPr>
      </w:pPr>
      <w:r w:rsidRPr="002C642C">
        <w:rPr>
          <w:rFonts w:ascii="Arial" w:hAnsi="Arial" w:cs="Arial"/>
          <w:sz w:val="20"/>
          <w:szCs w:val="20"/>
        </w:rPr>
        <w:t>There are 3 levels used, namely 2 days, 6 days, and 9 days.</w:t>
      </w:r>
    </w:p>
    <w:p w14:paraId="39D85593" w14:textId="4CDFFAF9" w:rsidR="00B37DD8" w:rsidRDefault="002C642C" w:rsidP="00B37DD8">
      <w:pPr>
        <w:pStyle w:val="DaftarParagraf"/>
        <w:numPr>
          <w:ilvl w:val="0"/>
          <w:numId w:val="6"/>
        </w:numPr>
        <w:pBdr>
          <w:top w:val="nil"/>
          <w:left w:val="nil"/>
          <w:bottom w:val="nil"/>
          <w:right w:val="nil"/>
          <w:between w:val="nil"/>
        </w:pBdr>
        <w:ind w:left="426" w:hanging="426"/>
        <w:jc w:val="both"/>
        <w:rPr>
          <w:rFonts w:ascii="Arial" w:eastAsia="Arial" w:hAnsi="Arial" w:cs="Arial"/>
          <w:b/>
          <w:bCs/>
          <w:color w:val="000000"/>
          <w:sz w:val="20"/>
          <w:szCs w:val="20"/>
        </w:rPr>
      </w:pPr>
      <w:r w:rsidRPr="002C642C">
        <w:rPr>
          <w:rFonts w:ascii="Arial" w:eastAsia="Arial" w:hAnsi="Arial" w:cs="Arial"/>
          <w:b/>
          <w:bCs/>
          <w:color w:val="000000"/>
          <w:sz w:val="20"/>
          <w:szCs w:val="20"/>
        </w:rPr>
        <w:t>Design of Experiments using Box-Behnken Design</w:t>
      </w:r>
    </w:p>
    <w:p w14:paraId="70F00750" w14:textId="57D4FCFA" w:rsidR="00115EA1" w:rsidRPr="00B37DD8" w:rsidRDefault="002C642C" w:rsidP="00115EA1">
      <w:pPr>
        <w:pStyle w:val="DaftarParagraf"/>
        <w:ind w:left="0" w:firstLine="426"/>
        <w:jc w:val="both"/>
        <w:rPr>
          <w:rFonts w:ascii="Arial" w:hAnsi="Arial" w:cs="Arial"/>
          <w:sz w:val="20"/>
          <w:szCs w:val="20"/>
        </w:rPr>
      </w:pPr>
      <w:r w:rsidRPr="002C642C">
        <w:rPr>
          <w:rFonts w:ascii="Arial" w:hAnsi="Arial" w:cs="Arial"/>
          <w:sz w:val="20"/>
          <w:szCs w:val="20"/>
          <w:lang w:val="id-ID"/>
        </w:rPr>
        <w:t>The Box-Behnken Design can be applied through experiments that have at least three factors. In this study, 3 factors and 3 levels were involved with 12 factorial designs plus 3 center points so that in total there were 15 experiments. Experiments using Box-Behnken design are as follows.</w:t>
      </w:r>
    </w:p>
    <w:p w14:paraId="435587F7" w14:textId="07387133" w:rsidR="00115EA1" w:rsidRPr="00115EA1" w:rsidRDefault="00115EA1" w:rsidP="002C642C">
      <w:pPr>
        <w:pStyle w:val="DaftarParagraf"/>
        <w:ind w:left="0"/>
        <w:jc w:val="center"/>
        <w:rPr>
          <w:rFonts w:ascii="Arial" w:hAnsi="Arial" w:cs="Arial"/>
          <w:sz w:val="20"/>
          <w:szCs w:val="20"/>
        </w:rPr>
      </w:pPr>
      <w:r w:rsidRPr="00115EA1">
        <w:rPr>
          <w:rFonts w:ascii="Arial" w:hAnsi="Arial" w:cs="Arial"/>
          <w:sz w:val="20"/>
          <w:szCs w:val="20"/>
        </w:rPr>
        <w:t xml:space="preserve">Table </w:t>
      </w:r>
      <w:r>
        <w:rPr>
          <w:rFonts w:ascii="Arial" w:hAnsi="Arial" w:cs="Arial"/>
          <w:sz w:val="20"/>
          <w:szCs w:val="20"/>
        </w:rPr>
        <w:t>2</w:t>
      </w:r>
      <w:r w:rsidRPr="00115EA1">
        <w:rPr>
          <w:rFonts w:ascii="Arial" w:hAnsi="Arial" w:cs="Arial"/>
          <w:sz w:val="20"/>
          <w:szCs w:val="20"/>
        </w:rPr>
        <w:t xml:space="preserve"> </w:t>
      </w:r>
      <w:r w:rsidR="002C642C">
        <w:rPr>
          <w:rFonts w:ascii="Arial" w:hAnsi="Arial" w:cs="Arial"/>
          <w:sz w:val="20"/>
          <w:szCs w:val="20"/>
        </w:rPr>
        <w:t>Design of Experiment</w:t>
      </w:r>
      <w:r w:rsidR="00B37DD8">
        <w:rPr>
          <w:rFonts w:ascii="Arial" w:hAnsi="Arial" w:cs="Arial"/>
          <w:sz w:val="20"/>
          <w:szCs w:val="20"/>
        </w:rPr>
        <w:t xml:space="preserve"> Box-Behnken Design</w:t>
      </w:r>
    </w:p>
    <w:tbl>
      <w:tblPr>
        <w:tblStyle w:val="TableNormal"/>
        <w:tblW w:w="5000" w:type="pct"/>
        <w:jc w:val="center"/>
        <w:tblInd w:w="0" w:type="dxa"/>
        <w:tblBorders>
          <w:top w:val="single" w:sz="4" w:space="0" w:color="auto"/>
        </w:tblBorders>
        <w:tblLook w:val="04A0" w:firstRow="1" w:lastRow="0" w:firstColumn="1" w:lastColumn="0" w:noHBand="0" w:noVBand="1"/>
      </w:tblPr>
      <w:tblGrid>
        <w:gridCol w:w="1784"/>
        <w:gridCol w:w="1783"/>
        <w:gridCol w:w="1783"/>
        <w:gridCol w:w="1787"/>
        <w:gridCol w:w="1934"/>
      </w:tblGrid>
      <w:tr w:rsidR="00115EA1" w:rsidRPr="00115EA1" w14:paraId="154BD941" w14:textId="77777777" w:rsidTr="00115EA1">
        <w:trPr>
          <w:trHeight w:val="433"/>
          <w:jc w:val="center"/>
        </w:trPr>
        <w:tc>
          <w:tcPr>
            <w:tcW w:w="983" w:type="pct"/>
            <w:tcBorders>
              <w:bottom w:val="single" w:sz="4" w:space="0" w:color="auto"/>
            </w:tcBorders>
            <w:noWrap/>
            <w:vAlign w:val="center"/>
            <w:hideMark/>
          </w:tcPr>
          <w:p w14:paraId="434DEAF8" w14:textId="77777777" w:rsidR="00115EA1" w:rsidRPr="00115EA1" w:rsidRDefault="00115EA1" w:rsidP="00115EA1">
            <w:pPr>
              <w:jc w:val="center"/>
              <w:rPr>
                <w:rFonts w:ascii="Arial" w:eastAsia="Times New Roman" w:hAnsi="Arial" w:cs="Arial"/>
                <w:b/>
                <w:bCs/>
                <w:color w:val="000000"/>
                <w:szCs w:val="18"/>
                <w:lang w:val="id-ID"/>
              </w:rPr>
            </w:pPr>
            <w:bookmarkStart w:id="1" w:name="_Hlk179419879"/>
            <w:r w:rsidRPr="00115EA1">
              <w:rPr>
                <w:rFonts w:ascii="Arial" w:eastAsia="Times New Roman" w:hAnsi="Arial" w:cs="Arial"/>
                <w:b/>
                <w:bCs/>
                <w:color w:val="000000"/>
                <w:szCs w:val="18"/>
                <w:lang w:val="id-ID"/>
              </w:rPr>
              <w:t>No.</w:t>
            </w:r>
          </w:p>
        </w:tc>
        <w:tc>
          <w:tcPr>
            <w:tcW w:w="983" w:type="pct"/>
            <w:tcBorders>
              <w:bottom w:val="single" w:sz="4" w:space="0" w:color="auto"/>
            </w:tcBorders>
            <w:vAlign w:val="center"/>
            <w:hideMark/>
          </w:tcPr>
          <w:p w14:paraId="1F3BF693" w14:textId="3BC69EAF" w:rsidR="00115EA1" w:rsidRPr="002C642C" w:rsidRDefault="002C642C" w:rsidP="00115EA1">
            <w:pPr>
              <w:jc w:val="center"/>
              <w:rPr>
                <w:rFonts w:ascii="Arial" w:eastAsia="Times New Roman" w:hAnsi="Arial" w:cs="Arial"/>
                <w:b/>
                <w:bCs/>
                <w:color w:val="000000"/>
                <w:szCs w:val="18"/>
                <w:lang w:val="id-ID"/>
              </w:rPr>
            </w:pPr>
            <w:r w:rsidRPr="002C642C">
              <w:rPr>
                <w:rFonts w:ascii="Arial" w:hAnsi="Arial" w:cs="Arial"/>
                <w:b/>
                <w:bCs/>
                <w:sz w:val="20"/>
                <w:szCs w:val="20"/>
              </w:rPr>
              <w:t xml:space="preserve">Demand for store goods </w:t>
            </w:r>
            <w:r w:rsidR="00115EA1" w:rsidRPr="002C642C">
              <w:rPr>
                <w:rFonts w:ascii="Arial" w:eastAsia="Times New Roman" w:hAnsi="Arial" w:cs="Arial"/>
                <w:b/>
                <w:bCs/>
                <w:color w:val="000000"/>
                <w:szCs w:val="18"/>
                <w:lang w:val="id-ID"/>
              </w:rPr>
              <w:t>(X1)</w:t>
            </w:r>
          </w:p>
        </w:tc>
        <w:tc>
          <w:tcPr>
            <w:tcW w:w="983" w:type="pct"/>
            <w:tcBorders>
              <w:bottom w:val="single" w:sz="4" w:space="0" w:color="auto"/>
            </w:tcBorders>
            <w:vAlign w:val="center"/>
            <w:hideMark/>
          </w:tcPr>
          <w:p w14:paraId="5A6F2E02" w14:textId="54BB2B17" w:rsidR="00115EA1" w:rsidRPr="002C642C" w:rsidRDefault="002C642C" w:rsidP="00115EA1">
            <w:pPr>
              <w:jc w:val="center"/>
              <w:rPr>
                <w:rFonts w:ascii="Arial" w:eastAsia="Times New Roman" w:hAnsi="Arial" w:cs="Arial"/>
                <w:b/>
                <w:bCs/>
                <w:color w:val="000000"/>
                <w:szCs w:val="18"/>
                <w:lang w:val="id-ID"/>
              </w:rPr>
            </w:pPr>
            <w:r w:rsidRPr="002C642C">
              <w:rPr>
                <w:rFonts w:ascii="Arial" w:hAnsi="Arial" w:cs="Arial"/>
                <w:b/>
                <w:bCs/>
                <w:sz w:val="20"/>
                <w:szCs w:val="20"/>
              </w:rPr>
              <w:t xml:space="preserve">Incoming supplier goods </w:t>
            </w:r>
            <w:r w:rsidR="00115EA1" w:rsidRPr="002C642C">
              <w:rPr>
                <w:rFonts w:ascii="Arial" w:eastAsia="Times New Roman" w:hAnsi="Arial" w:cs="Arial"/>
                <w:b/>
                <w:bCs/>
                <w:color w:val="000000"/>
                <w:szCs w:val="18"/>
                <w:lang w:val="id-ID"/>
              </w:rPr>
              <w:t>(X2)</w:t>
            </w:r>
          </w:p>
        </w:tc>
        <w:tc>
          <w:tcPr>
            <w:tcW w:w="985" w:type="pct"/>
            <w:tcBorders>
              <w:bottom w:val="single" w:sz="4" w:space="0" w:color="auto"/>
            </w:tcBorders>
            <w:vAlign w:val="center"/>
            <w:hideMark/>
          </w:tcPr>
          <w:p w14:paraId="7644DCF0" w14:textId="6A675628" w:rsidR="00115EA1" w:rsidRPr="002C642C" w:rsidRDefault="002C642C" w:rsidP="00115EA1">
            <w:pPr>
              <w:jc w:val="center"/>
              <w:rPr>
                <w:rFonts w:ascii="Arial" w:eastAsia="Times New Roman" w:hAnsi="Arial" w:cs="Arial"/>
                <w:b/>
                <w:bCs/>
                <w:color w:val="000000"/>
                <w:szCs w:val="18"/>
                <w:lang w:val="id-ID"/>
              </w:rPr>
            </w:pPr>
            <w:r w:rsidRPr="002C642C">
              <w:rPr>
                <w:rFonts w:ascii="Arial" w:hAnsi="Arial" w:cs="Arial"/>
                <w:b/>
                <w:bCs/>
                <w:sz w:val="20"/>
                <w:szCs w:val="20"/>
              </w:rPr>
              <w:t xml:space="preserve">Delivery lead time </w:t>
            </w:r>
            <w:r w:rsidR="00115EA1" w:rsidRPr="002C642C">
              <w:rPr>
                <w:rFonts w:ascii="Arial" w:eastAsia="Times New Roman" w:hAnsi="Arial" w:cs="Arial"/>
                <w:b/>
                <w:bCs/>
                <w:color w:val="000000"/>
                <w:szCs w:val="18"/>
                <w:lang w:val="id-ID"/>
              </w:rPr>
              <w:t>(X3)</w:t>
            </w:r>
          </w:p>
        </w:tc>
        <w:tc>
          <w:tcPr>
            <w:tcW w:w="1066" w:type="pct"/>
            <w:tcBorders>
              <w:bottom w:val="single" w:sz="4" w:space="0" w:color="auto"/>
            </w:tcBorders>
            <w:vAlign w:val="center"/>
            <w:hideMark/>
          </w:tcPr>
          <w:p w14:paraId="4ADCD7B3" w14:textId="70CCA544" w:rsidR="00115EA1" w:rsidRPr="00115EA1" w:rsidRDefault="00510CA8" w:rsidP="00115EA1">
            <w:pPr>
              <w:jc w:val="center"/>
              <w:rPr>
                <w:rFonts w:ascii="Arial" w:eastAsia="Times New Roman" w:hAnsi="Arial" w:cs="Arial"/>
                <w:b/>
                <w:bCs/>
                <w:color w:val="000000"/>
                <w:szCs w:val="18"/>
                <w:lang w:val="id-ID"/>
              </w:rPr>
            </w:pPr>
            <w:r>
              <w:rPr>
                <w:rFonts w:ascii="Arial" w:eastAsia="Times New Roman" w:hAnsi="Arial" w:cs="Arial"/>
                <w:b/>
                <w:bCs/>
                <w:color w:val="000000"/>
                <w:szCs w:val="18"/>
                <w:lang w:val="id-ID"/>
              </w:rPr>
              <w:t>Warehouse Stock</w:t>
            </w:r>
          </w:p>
        </w:tc>
      </w:tr>
      <w:tr w:rsidR="00115EA1" w:rsidRPr="00115EA1" w14:paraId="1BC210C3" w14:textId="77777777" w:rsidTr="00115EA1">
        <w:trPr>
          <w:trHeight w:val="290"/>
          <w:jc w:val="center"/>
        </w:trPr>
        <w:tc>
          <w:tcPr>
            <w:tcW w:w="983" w:type="pct"/>
            <w:tcBorders>
              <w:top w:val="single" w:sz="4" w:space="0" w:color="auto"/>
            </w:tcBorders>
            <w:noWrap/>
            <w:vAlign w:val="center"/>
            <w:hideMark/>
          </w:tcPr>
          <w:p w14:paraId="19DA4352"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tcBorders>
              <w:top w:val="single" w:sz="4" w:space="0" w:color="auto"/>
            </w:tcBorders>
            <w:noWrap/>
            <w:vAlign w:val="center"/>
            <w:hideMark/>
          </w:tcPr>
          <w:p w14:paraId="655556C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tcBorders>
              <w:top w:val="single" w:sz="4" w:space="0" w:color="auto"/>
            </w:tcBorders>
            <w:noWrap/>
            <w:vAlign w:val="center"/>
            <w:hideMark/>
          </w:tcPr>
          <w:p w14:paraId="15F041FB"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tcBorders>
              <w:top w:val="single" w:sz="4" w:space="0" w:color="auto"/>
            </w:tcBorders>
            <w:noWrap/>
            <w:vAlign w:val="center"/>
            <w:hideMark/>
          </w:tcPr>
          <w:p w14:paraId="3D1FFA8C"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1066" w:type="pct"/>
            <w:tcBorders>
              <w:top w:val="single" w:sz="4" w:space="0" w:color="auto"/>
            </w:tcBorders>
            <w:noWrap/>
            <w:vAlign w:val="center"/>
            <w:hideMark/>
          </w:tcPr>
          <w:p w14:paraId="0EDBA7D3"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2032</w:t>
            </w:r>
          </w:p>
        </w:tc>
      </w:tr>
      <w:tr w:rsidR="00115EA1" w:rsidRPr="00115EA1" w14:paraId="482348F4" w14:textId="77777777" w:rsidTr="00115EA1">
        <w:trPr>
          <w:trHeight w:val="290"/>
          <w:jc w:val="center"/>
        </w:trPr>
        <w:tc>
          <w:tcPr>
            <w:tcW w:w="983" w:type="pct"/>
            <w:noWrap/>
            <w:vAlign w:val="center"/>
            <w:hideMark/>
          </w:tcPr>
          <w:p w14:paraId="7F09CAC6"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2</w:t>
            </w:r>
          </w:p>
        </w:tc>
        <w:tc>
          <w:tcPr>
            <w:tcW w:w="983" w:type="pct"/>
            <w:noWrap/>
            <w:vAlign w:val="center"/>
            <w:hideMark/>
          </w:tcPr>
          <w:p w14:paraId="35B50824"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noWrap/>
            <w:vAlign w:val="center"/>
            <w:hideMark/>
          </w:tcPr>
          <w:p w14:paraId="7D060A71"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noWrap/>
            <w:vAlign w:val="center"/>
            <w:hideMark/>
          </w:tcPr>
          <w:p w14:paraId="6BCB882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1066" w:type="pct"/>
            <w:noWrap/>
            <w:vAlign w:val="center"/>
            <w:hideMark/>
          </w:tcPr>
          <w:p w14:paraId="7A346C15"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-7524</w:t>
            </w:r>
          </w:p>
        </w:tc>
      </w:tr>
      <w:tr w:rsidR="00115EA1" w:rsidRPr="00115EA1" w14:paraId="2FEAB5AD" w14:textId="77777777" w:rsidTr="00115EA1">
        <w:trPr>
          <w:trHeight w:val="290"/>
          <w:jc w:val="center"/>
        </w:trPr>
        <w:tc>
          <w:tcPr>
            <w:tcW w:w="983" w:type="pct"/>
            <w:noWrap/>
            <w:vAlign w:val="center"/>
            <w:hideMark/>
          </w:tcPr>
          <w:p w14:paraId="0CB2A511"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3</w:t>
            </w:r>
          </w:p>
        </w:tc>
        <w:tc>
          <w:tcPr>
            <w:tcW w:w="983" w:type="pct"/>
            <w:noWrap/>
            <w:vAlign w:val="center"/>
            <w:hideMark/>
          </w:tcPr>
          <w:p w14:paraId="3C732A48"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noWrap/>
            <w:vAlign w:val="center"/>
            <w:hideMark/>
          </w:tcPr>
          <w:p w14:paraId="2929F356"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noWrap/>
            <w:vAlign w:val="center"/>
            <w:hideMark/>
          </w:tcPr>
          <w:p w14:paraId="4968E24A"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1066" w:type="pct"/>
            <w:noWrap/>
            <w:vAlign w:val="center"/>
            <w:hideMark/>
          </w:tcPr>
          <w:p w14:paraId="57BE05A0"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37919,5</w:t>
            </w:r>
          </w:p>
        </w:tc>
      </w:tr>
      <w:tr w:rsidR="00115EA1" w:rsidRPr="00115EA1" w14:paraId="3F2C4DD0" w14:textId="77777777" w:rsidTr="00115EA1">
        <w:trPr>
          <w:trHeight w:val="290"/>
          <w:jc w:val="center"/>
        </w:trPr>
        <w:tc>
          <w:tcPr>
            <w:tcW w:w="983" w:type="pct"/>
            <w:noWrap/>
            <w:vAlign w:val="center"/>
            <w:hideMark/>
          </w:tcPr>
          <w:p w14:paraId="5A486C90"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4</w:t>
            </w:r>
          </w:p>
        </w:tc>
        <w:tc>
          <w:tcPr>
            <w:tcW w:w="983" w:type="pct"/>
            <w:noWrap/>
            <w:vAlign w:val="center"/>
            <w:hideMark/>
          </w:tcPr>
          <w:p w14:paraId="2779AB6D"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noWrap/>
            <w:vAlign w:val="center"/>
            <w:hideMark/>
          </w:tcPr>
          <w:p w14:paraId="01B249A5"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noWrap/>
            <w:vAlign w:val="center"/>
            <w:hideMark/>
          </w:tcPr>
          <w:p w14:paraId="2FBFF8A3"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1066" w:type="pct"/>
            <w:noWrap/>
            <w:vAlign w:val="center"/>
            <w:hideMark/>
          </w:tcPr>
          <w:p w14:paraId="72B259C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28363,5</w:t>
            </w:r>
          </w:p>
        </w:tc>
      </w:tr>
      <w:tr w:rsidR="00115EA1" w:rsidRPr="00115EA1" w14:paraId="6EE6B542" w14:textId="77777777" w:rsidTr="00115EA1">
        <w:trPr>
          <w:trHeight w:val="290"/>
          <w:jc w:val="center"/>
        </w:trPr>
        <w:tc>
          <w:tcPr>
            <w:tcW w:w="983" w:type="pct"/>
            <w:noWrap/>
            <w:vAlign w:val="center"/>
            <w:hideMark/>
          </w:tcPr>
          <w:p w14:paraId="21B208E5"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5</w:t>
            </w:r>
          </w:p>
        </w:tc>
        <w:tc>
          <w:tcPr>
            <w:tcW w:w="983" w:type="pct"/>
            <w:noWrap/>
            <w:vAlign w:val="center"/>
            <w:hideMark/>
          </w:tcPr>
          <w:p w14:paraId="460BF4FC"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noWrap/>
            <w:vAlign w:val="center"/>
            <w:hideMark/>
          </w:tcPr>
          <w:p w14:paraId="53C23F70"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5" w:type="pct"/>
            <w:noWrap/>
            <w:vAlign w:val="center"/>
            <w:hideMark/>
          </w:tcPr>
          <w:p w14:paraId="5E0887F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08563973"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8515</w:t>
            </w:r>
          </w:p>
        </w:tc>
      </w:tr>
      <w:tr w:rsidR="00115EA1" w:rsidRPr="00115EA1" w14:paraId="319A1D06" w14:textId="77777777" w:rsidTr="00115EA1">
        <w:trPr>
          <w:trHeight w:val="290"/>
          <w:jc w:val="center"/>
        </w:trPr>
        <w:tc>
          <w:tcPr>
            <w:tcW w:w="983" w:type="pct"/>
            <w:noWrap/>
            <w:vAlign w:val="center"/>
            <w:hideMark/>
          </w:tcPr>
          <w:p w14:paraId="23C4A5EE"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6</w:t>
            </w:r>
          </w:p>
        </w:tc>
        <w:tc>
          <w:tcPr>
            <w:tcW w:w="983" w:type="pct"/>
            <w:noWrap/>
            <w:vAlign w:val="center"/>
            <w:hideMark/>
          </w:tcPr>
          <w:p w14:paraId="4A1E662A"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noWrap/>
            <w:vAlign w:val="center"/>
            <w:hideMark/>
          </w:tcPr>
          <w:p w14:paraId="0B4236C6"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5" w:type="pct"/>
            <w:noWrap/>
            <w:vAlign w:val="center"/>
            <w:hideMark/>
          </w:tcPr>
          <w:p w14:paraId="063BF16C"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44A96525"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-1041</w:t>
            </w:r>
          </w:p>
        </w:tc>
      </w:tr>
      <w:tr w:rsidR="00115EA1" w:rsidRPr="00115EA1" w14:paraId="237CAE30" w14:textId="77777777" w:rsidTr="00115EA1">
        <w:trPr>
          <w:trHeight w:val="290"/>
          <w:jc w:val="center"/>
        </w:trPr>
        <w:tc>
          <w:tcPr>
            <w:tcW w:w="983" w:type="pct"/>
            <w:noWrap/>
            <w:vAlign w:val="center"/>
            <w:hideMark/>
          </w:tcPr>
          <w:p w14:paraId="00584E31"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7</w:t>
            </w:r>
          </w:p>
        </w:tc>
        <w:tc>
          <w:tcPr>
            <w:tcW w:w="983" w:type="pct"/>
            <w:noWrap/>
            <w:vAlign w:val="center"/>
            <w:hideMark/>
          </w:tcPr>
          <w:p w14:paraId="56BC6D90"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noWrap/>
            <w:vAlign w:val="center"/>
            <w:hideMark/>
          </w:tcPr>
          <w:p w14:paraId="15C41D42"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5" w:type="pct"/>
            <w:noWrap/>
            <w:vAlign w:val="center"/>
            <w:hideMark/>
          </w:tcPr>
          <w:p w14:paraId="1FA33D14"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546AE269"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31436,5</w:t>
            </w:r>
          </w:p>
        </w:tc>
      </w:tr>
      <w:tr w:rsidR="00115EA1" w:rsidRPr="00115EA1" w14:paraId="4533C22C" w14:textId="77777777" w:rsidTr="00115EA1">
        <w:trPr>
          <w:trHeight w:val="290"/>
          <w:jc w:val="center"/>
        </w:trPr>
        <w:tc>
          <w:tcPr>
            <w:tcW w:w="983" w:type="pct"/>
            <w:noWrap/>
            <w:vAlign w:val="center"/>
            <w:hideMark/>
          </w:tcPr>
          <w:p w14:paraId="01332B54"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8</w:t>
            </w:r>
          </w:p>
        </w:tc>
        <w:tc>
          <w:tcPr>
            <w:tcW w:w="983" w:type="pct"/>
            <w:noWrap/>
            <w:vAlign w:val="center"/>
            <w:hideMark/>
          </w:tcPr>
          <w:p w14:paraId="2311D85C"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3" w:type="pct"/>
            <w:noWrap/>
            <w:vAlign w:val="center"/>
            <w:hideMark/>
          </w:tcPr>
          <w:p w14:paraId="7EA606A7"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5" w:type="pct"/>
            <w:noWrap/>
            <w:vAlign w:val="center"/>
            <w:hideMark/>
          </w:tcPr>
          <w:p w14:paraId="425A3A14"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1A72E7C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21880,5</w:t>
            </w:r>
          </w:p>
        </w:tc>
      </w:tr>
      <w:tr w:rsidR="00115EA1" w:rsidRPr="00115EA1" w14:paraId="75B91313" w14:textId="77777777" w:rsidTr="00115EA1">
        <w:trPr>
          <w:trHeight w:val="290"/>
          <w:jc w:val="center"/>
        </w:trPr>
        <w:tc>
          <w:tcPr>
            <w:tcW w:w="983" w:type="pct"/>
            <w:noWrap/>
            <w:vAlign w:val="center"/>
            <w:hideMark/>
          </w:tcPr>
          <w:p w14:paraId="6DACE0E2"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9</w:t>
            </w:r>
          </w:p>
        </w:tc>
        <w:tc>
          <w:tcPr>
            <w:tcW w:w="983" w:type="pct"/>
            <w:noWrap/>
            <w:vAlign w:val="center"/>
            <w:hideMark/>
          </w:tcPr>
          <w:p w14:paraId="1C3C2235"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3" w:type="pct"/>
            <w:noWrap/>
            <w:vAlign w:val="center"/>
            <w:hideMark/>
          </w:tcPr>
          <w:p w14:paraId="49F91881"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noWrap/>
            <w:vAlign w:val="center"/>
            <w:hideMark/>
          </w:tcPr>
          <w:p w14:paraId="742DF11D"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2187E717"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-2788</w:t>
            </w:r>
          </w:p>
        </w:tc>
      </w:tr>
      <w:tr w:rsidR="00115EA1" w:rsidRPr="00115EA1" w14:paraId="6FAD21A0" w14:textId="77777777" w:rsidTr="00115EA1">
        <w:trPr>
          <w:trHeight w:val="290"/>
          <w:jc w:val="center"/>
        </w:trPr>
        <w:tc>
          <w:tcPr>
            <w:tcW w:w="983" w:type="pct"/>
            <w:noWrap/>
            <w:vAlign w:val="center"/>
            <w:hideMark/>
          </w:tcPr>
          <w:p w14:paraId="581DC92B"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10</w:t>
            </w:r>
          </w:p>
        </w:tc>
        <w:tc>
          <w:tcPr>
            <w:tcW w:w="983" w:type="pct"/>
            <w:noWrap/>
            <w:vAlign w:val="center"/>
            <w:hideMark/>
          </w:tcPr>
          <w:p w14:paraId="09BB6DD6"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3" w:type="pct"/>
            <w:noWrap/>
            <w:vAlign w:val="center"/>
            <w:hideMark/>
          </w:tcPr>
          <w:p w14:paraId="76715DD7"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noWrap/>
            <w:vAlign w:val="center"/>
            <w:hideMark/>
          </w:tcPr>
          <w:p w14:paraId="7629FCA9"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43CECD77"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10262</w:t>
            </w:r>
          </w:p>
        </w:tc>
      </w:tr>
      <w:tr w:rsidR="00115EA1" w:rsidRPr="00115EA1" w14:paraId="14AC04B9" w14:textId="77777777" w:rsidTr="00115EA1">
        <w:trPr>
          <w:trHeight w:val="290"/>
          <w:jc w:val="center"/>
        </w:trPr>
        <w:tc>
          <w:tcPr>
            <w:tcW w:w="983" w:type="pct"/>
            <w:noWrap/>
            <w:vAlign w:val="center"/>
            <w:hideMark/>
          </w:tcPr>
          <w:p w14:paraId="5FEFD755"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11</w:t>
            </w:r>
          </w:p>
        </w:tc>
        <w:tc>
          <w:tcPr>
            <w:tcW w:w="983" w:type="pct"/>
            <w:noWrap/>
            <w:vAlign w:val="center"/>
            <w:hideMark/>
          </w:tcPr>
          <w:p w14:paraId="0F24BA6A"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3" w:type="pct"/>
            <w:noWrap/>
            <w:vAlign w:val="center"/>
            <w:hideMark/>
          </w:tcPr>
          <w:p w14:paraId="0F102284"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noWrap/>
            <w:vAlign w:val="center"/>
            <w:hideMark/>
          </w:tcPr>
          <w:p w14:paraId="7908E9A8"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65F8CBB6"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-2704</w:t>
            </w:r>
          </w:p>
        </w:tc>
      </w:tr>
      <w:tr w:rsidR="00115EA1" w:rsidRPr="00115EA1" w14:paraId="37E62C05" w14:textId="77777777" w:rsidTr="00115EA1">
        <w:trPr>
          <w:trHeight w:val="290"/>
          <w:jc w:val="center"/>
        </w:trPr>
        <w:tc>
          <w:tcPr>
            <w:tcW w:w="983" w:type="pct"/>
            <w:noWrap/>
            <w:vAlign w:val="center"/>
            <w:hideMark/>
          </w:tcPr>
          <w:p w14:paraId="263DED7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12</w:t>
            </w:r>
          </w:p>
        </w:tc>
        <w:tc>
          <w:tcPr>
            <w:tcW w:w="983" w:type="pct"/>
            <w:noWrap/>
            <w:vAlign w:val="center"/>
            <w:hideMark/>
          </w:tcPr>
          <w:p w14:paraId="30CCF522"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3" w:type="pct"/>
            <w:noWrap/>
            <w:vAlign w:val="center"/>
            <w:hideMark/>
          </w:tcPr>
          <w:p w14:paraId="41E4E494"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985" w:type="pct"/>
            <w:noWrap/>
            <w:vAlign w:val="center"/>
            <w:hideMark/>
          </w:tcPr>
          <w:p w14:paraId="0521E9B2"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w:t>
            </w:r>
          </w:p>
        </w:tc>
        <w:tc>
          <w:tcPr>
            <w:tcW w:w="1066" w:type="pct"/>
            <w:noWrap/>
            <w:vAlign w:val="center"/>
            <w:hideMark/>
          </w:tcPr>
          <w:p w14:paraId="010F02AC"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56021</w:t>
            </w:r>
          </w:p>
        </w:tc>
      </w:tr>
      <w:tr w:rsidR="00115EA1" w:rsidRPr="00115EA1" w14:paraId="31DD225B" w14:textId="77777777" w:rsidTr="00115EA1">
        <w:trPr>
          <w:trHeight w:val="290"/>
          <w:jc w:val="center"/>
        </w:trPr>
        <w:tc>
          <w:tcPr>
            <w:tcW w:w="983" w:type="pct"/>
            <w:noWrap/>
            <w:vAlign w:val="center"/>
            <w:hideMark/>
          </w:tcPr>
          <w:p w14:paraId="143383C0"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13</w:t>
            </w:r>
          </w:p>
        </w:tc>
        <w:tc>
          <w:tcPr>
            <w:tcW w:w="983" w:type="pct"/>
            <w:noWrap/>
            <w:vAlign w:val="center"/>
            <w:hideMark/>
          </w:tcPr>
          <w:p w14:paraId="17522A14"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3" w:type="pct"/>
            <w:noWrap/>
            <w:vAlign w:val="center"/>
            <w:hideMark/>
          </w:tcPr>
          <w:p w14:paraId="46250620"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5" w:type="pct"/>
            <w:noWrap/>
            <w:vAlign w:val="center"/>
            <w:hideMark/>
          </w:tcPr>
          <w:p w14:paraId="1568D0B2"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1066" w:type="pct"/>
            <w:noWrap/>
            <w:vAlign w:val="center"/>
            <w:hideMark/>
          </w:tcPr>
          <w:p w14:paraId="711AF2A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15197,75</w:t>
            </w:r>
          </w:p>
        </w:tc>
      </w:tr>
      <w:tr w:rsidR="00115EA1" w:rsidRPr="00115EA1" w14:paraId="3F55F3BF" w14:textId="77777777" w:rsidTr="00115EA1">
        <w:trPr>
          <w:trHeight w:val="290"/>
          <w:jc w:val="center"/>
        </w:trPr>
        <w:tc>
          <w:tcPr>
            <w:tcW w:w="983" w:type="pct"/>
            <w:tcBorders>
              <w:bottom w:val="nil"/>
            </w:tcBorders>
            <w:noWrap/>
            <w:vAlign w:val="center"/>
            <w:hideMark/>
          </w:tcPr>
          <w:p w14:paraId="0B7BBD6D"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14</w:t>
            </w:r>
          </w:p>
        </w:tc>
        <w:tc>
          <w:tcPr>
            <w:tcW w:w="983" w:type="pct"/>
            <w:tcBorders>
              <w:bottom w:val="nil"/>
            </w:tcBorders>
            <w:noWrap/>
            <w:vAlign w:val="center"/>
            <w:hideMark/>
          </w:tcPr>
          <w:p w14:paraId="251EB333"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3" w:type="pct"/>
            <w:tcBorders>
              <w:bottom w:val="nil"/>
            </w:tcBorders>
            <w:noWrap/>
            <w:vAlign w:val="center"/>
            <w:hideMark/>
          </w:tcPr>
          <w:p w14:paraId="25CD72A3"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5" w:type="pct"/>
            <w:tcBorders>
              <w:bottom w:val="nil"/>
            </w:tcBorders>
            <w:noWrap/>
            <w:vAlign w:val="center"/>
            <w:hideMark/>
          </w:tcPr>
          <w:p w14:paraId="55B39927"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1066" w:type="pct"/>
            <w:tcBorders>
              <w:bottom w:val="nil"/>
            </w:tcBorders>
            <w:noWrap/>
            <w:vAlign w:val="center"/>
            <w:hideMark/>
          </w:tcPr>
          <w:p w14:paraId="66074103"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15197,75</w:t>
            </w:r>
          </w:p>
        </w:tc>
      </w:tr>
      <w:tr w:rsidR="00115EA1" w:rsidRPr="00115EA1" w14:paraId="558C94B8" w14:textId="77777777" w:rsidTr="00115EA1">
        <w:trPr>
          <w:trHeight w:val="290"/>
          <w:jc w:val="center"/>
        </w:trPr>
        <w:tc>
          <w:tcPr>
            <w:tcW w:w="983" w:type="pct"/>
            <w:tcBorders>
              <w:top w:val="nil"/>
              <w:bottom w:val="single" w:sz="4" w:space="0" w:color="auto"/>
            </w:tcBorders>
            <w:noWrap/>
            <w:vAlign w:val="center"/>
            <w:hideMark/>
          </w:tcPr>
          <w:p w14:paraId="5F74B031"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15</w:t>
            </w:r>
          </w:p>
        </w:tc>
        <w:tc>
          <w:tcPr>
            <w:tcW w:w="983" w:type="pct"/>
            <w:tcBorders>
              <w:top w:val="nil"/>
              <w:bottom w:val="single" w:sz="4" w:space="0" w:color="auto"/>
            </w:tcBorders>
            <w:noWrap/>
            <w:vAlign w:val="center"/>
            <w:hideMark/>
          </w:tcPr>
          <w:p w14:paraId="1A981E6C"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3" w:type="pct"/>
            <w:tcBorders>
              <w:top w:val="nil"/>
              <w:bottom w:val="single" w:sz="4" w:space="0" w:color="auto"/>
            </w:tcBorders>
            <w:noWrap/>
            <w:vAlign w:val="center"/>
            <w:hideMark/>
          </w:tcPr>
          <w:p w14:paraId="58D3C7CF"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985" w:type="pct"/>
            <w:tcBorders>
              <w:top w:val="nil"/>
              <w:bottom w:val="single" w:sz="4" w:space="0" w:color="auto"/>
            </w:tcBorders>
            <w:noWrap/>
            <w:vAlign w:val="center"/>
            <w:hideMark/>
          </w:tcPr>
          <w:p w14:paraId="4FA54157"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0</w:t>
            </w:r>
          </w:p>
        </w:tc>
        <w:tc>
          <w:tcPr>
            <w:tcW w:w="1066" w:type="pct"/>
            <w:tcBorders>
              <w:top w:val="nil"/>
              <w:bottom w:val="single" w:sz="4" w:space="0" w:color="auto"/>
            </w:tcBorders>
            <w:noWrap/>
            <w:vAlign w:val="center"/>
            <w:hideMark/>
          </w:tcPr>
          <w:p w14:paraId="11C88B16" w14:textId="77777777" w:rsidR="00115EA1" w:rsidRPr="00115EA1" w:rsidRDefault="00115EA1" w:rsidP="00115EA1">
            <w:pPr>
              <w:jc w:val="center"/>
              <w:rPr>
                <w:rFonts w:ascii="Arial" w:eastAsia="Times New Roman" w:hAnsi="Arial" w:cs="Arial"/>
                <w:color w:val="000000"/>
                <w:szCs w:val="18"/>
                <w:lang w:val="id-ID"/>
              </w:rPr>
            </w:pPr>
            <w:r w:rsidRPr="00115EA1">
              <w:rPr>
                <w:rFonts w:ascii="Arial" w:eastAsia="Times New Roman" w:hAnsi="Arial" w:cs="Arial"/>
                <w:color w:val="000000"/>
                <w:szCs w:val="18"/>
                <w:lang w:val="id-ID"/>
              </w:rPr>
              <w:t>15197,75</w:t>
            </w:r>
          </w:p>
        </w:tc>
      </w:tr>
      <w:bookmarkEnd w:id="1"/>
    </w:tbl>
    <w:p w14:paraId="3805FD70" w14:textId="77777777" w:rsidR="00115EA1" w:rsidRPr="00B37DD8" w:rsidRDefault="00115EA1" w:rsidP="00B37DD8">
      <w:pPr>
        <w:pBdr>
          <w:top w:val="nil"/>
          <w:left w:val="nil"/>
          <w:bottom w:val="nil"/>
          <w:right w:val="nil"/>
          <w:between w:val="nil"/>
        </w:pBdr>
        <w:jc w:val="both"/>
        <w:rPr>
          <w:rFonts w:ascii="Arial" w:eastAsia="Arial" w:hAnsi="Arial" w:cs="Arial"/>
          <w:color w:val="000000"/>
          <w:sz w:val="20"/>
          <w:szCs w:val="20"/>
        </w:rPr>
      </w:pPr>
    </w:p>
    <w:p w14:paraId="75E8D719" w14:textId="0C563AEC" w:rsidR="00115EA1" w:rsidRDefault="00510CA8" w:rsidP="002C552F">
      <w:pPr>
        <w:pStyle w:val="DaftarParagraf"/>
        <w:numPr>
          <w:ilvl w:val="0"/>
          <w:numId w:val="6"/>
        </w:numPr>
        <w:pBdr>
          <w:top w:val="nil"/>
          <w:left w:val="nil"/>
          <w:bottom w:val="nil"/>
          <w:right w:val="nil"/>
          <w:between w:val="nil"/>
        </w:pBdr>
        <w:ind w:left="426" w:hanging="426"/>
        <w:jc w:val="both"/>
        <w:rPr>
          <w:rFonts w:ascii="Arial" w:eastAsia="Arial" w:hAnsi="Arial" w:cs="Arial"/>
          <w:b/>
          <w:bCs/>
          <w:color w:val="000000"/>
          <w:sz w:val="20"/>
          <w:szCs w:val="20"/>
        </w:rPr>
      </w:pPr>
      <w:r w:rsidRPr="00510CA8">
        <w:rPr>
          <w:rFonts w:ascii="Arial" w:eastAsia="Arial" w:hAnsi="Arial" w:cs="Arial"/>
          <w:b/>
          <w:bCs/>
          <w:color w:val="000000"/>
          <w:sz w:val="20"/>
          <w:szCs w:val="20"/>
        </w:rPr>
        <w:t>Mathematical Model Development</w:t>
      </w:r>
    </w:p>
    <w:p w14:paraId="326192CD" w14:textId="0019B495" w:rsidR="00115EA1" w:rsidRDefault="00510CA8" w:rsidP="00115EA1">
      <w:pPr>
        <w:pStyle w:val="DaftarParagraf"/>
        <w:ind w:left="0" w:firstLine="426"/>
        <w:jc w:val="both"/>
        <w:rPr>
          <w:rFonts w:ascii="Arial" w:eastAsia="Times New Roman" w:hAnsi="Arial" w:cs="Arial"/>
          <w:sz w:val="20"/>
          <w:szCs w:val="20"/>
          <w:lang w:val="id-ID"/>
        </w:rPr>
      </w:pPr>
      <w:r w:rsidRPr="00510CA8">
        <w:rPr>
          <w:rFonts w:ascii="Arial" w:eastAsia="Times New Roman" w:hAnsi="Arial" w:cs="Arial"/>
          <w:sz w:val="20"/>
          <w:szCs w:val="20"/>
          <w:lang w:val="id-ID"/>
        </w:rPr>
        <w:t>Analysis of variance (ANOVA) is a method for decomposing the total variance of data into components that measure various variances. ANOVA is used to test whether the means of more than two samples are significantly different or not. The ANOVA for Response Surface design with three factors and three levels is in the following table.</w:t>
      </w:r>
    </w:p>
    <w:p w14:paraId="70B2DABD" w14:textId="5B38704D" w:rsidR="00B37DD8" w:rsidRDefault="00510CA8" w:rsidP="00510CA8">
      <w:pPr>
        <w:pStyle w:val="DaftarParagraf"/>
        <w:ind w:left="0"/>
        <w:jc w:val="center"/>
        <w:rPr>
          <w:rFonts w:ascii="Arial" w:eastAsia="Times New Roman" w:hAnsi="Arial" w:cs="Arial"/>
          <w:sz w:val="20"/>
          <w:szCs w:val="20"/>
          <w:lang w:val="id-ID"/>
        </w:rPr>
      </w:pPr>
      <w:r w:rsidRPr="00510CA8">
        <w:rPr>
          <w:rFonts w:ascii="Arial" w:eastAsia="Times New Roman" w:hAnsi="Arial" w:cs="Arial"/>
          <w:sz w:val="20"/>
          <w:szCs w:val="20"/>
          <w:lang w:val="id-ID"/>
        </w:rPr>
        <w:t>Table 3 ANOVA of Response Surface Design</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793"/>
        <w:gridCol w:w="1762"/>
        <w:gridCol w:w="1710"/>
        <w:gridCol w:w="2217"/>
      </w:tblGrid>
      <w:tr w:rsidR="00B37DD8" w:rsidRPr="00B37DD8" w14:paraId="6EC48FCE" w14:textId="77777777" w:rsidTr="00510CA8">
        <w:trPr>
          <w:tblHeader/>
          <w:jc w:val="center"/>
        </w:trPr>
        <w:tc>
          <w:tcPr>
            <w:tcW w:w="1445" w:type="dxa"/>
            <w:tcBorders>
              <w:top w:val="single" w:sz="4" w:space="0" w:color="auto"/>
              <w:bottom w:val="single" w:sz="4" w:space="0" w:color="auto"/>
            </w:tcBorders>
            <w:vAlign w:val="center"/>
          </w:tcPr>
          <w:p w14:paraId="3C6B8E1C" w14:textId="425DF823" w:rsidR="00B37DD8" w:rsidRPr="00510CA8" w:rsidRDefault="00106C6F" w:rsidP="00C43F1D">
            <w:pPr>
              <w:jc w:val="center"/>
              <w:rPr>
                <w:rFonts w:ascii="Arial" w:hAnsi="Arial" w:cs="Arial"/>
                <w:b/>
                <w:bCs/>
                <w:szCs w:val="18"/>
                <w:lang w:val="id-ID"/>
              </w:rPr>
            </w:pPr>
            <w:r>
              <w:rPr>
                <w:rFonts w:ascii="Arial" w:hAnsi="Arial" w:cs="Arial"/>
                <w:b/>
                <w:bCs/>
                <w:szCs w:val="18"/>
                <w:lang w:val="id-ID"/>
              </w:rPr>
              <w:t>Source of Variance</w:t>
            </w:r>
          </w:p>
        </w:tc>
        <w:tc>
          <w:tcPr>
            <w:tcW w:w="793" w:type="dxa"/>
            <w:tcBorders>
              <w:top w:val="single" w:sz="4" w:space="0" w:color="auto"/>
              <w:bottom w:val="single" w:sz="4" w:space="0" w:color="auto"/>
            </w:tcBorders>
            <w:vAlign w:val="center"/>
          </w:tcPr>
          <w:p w14:paraId="0537AC81" w14:textId="77777777" w:rsidR="00B37DD8" w:rsidRPr="00510CA8" w:rsidRDefault="00B37DD8" w:rsidP="00C43F1D">
            <w:pPr>
              <w:jc w:val="center"/>
              <w:rPr>
                <w:rFonts w:ascii="Arial" w:hAnsi="Arial" w:cs="Arial"/>
                <w:b/>
                <w:bCs/>
                <w:szCs w:val="18"/>
                <w:lang w:val="id-ID"/>
              </w:rPr>
            </w:pPr>
            <w:r w:rsidRPr="00510CA8">
              <w:rPr>
                <w:rFonts w:ascii="Arial" w:hAnsi="Arial" w:cs="Arial"/>
                <w:b/>
                <w:bCs/>
                <w:szCs w:val="18"/>
                <w:lang w:val="id-ID"/>
              </w:rPr>
              <w:t>db</w:t>
            </w:r>
          </w:p>
        </w:tc>
        <w:tc>
          <w:tcPr>
            <w:tcW w:w="1762" w:type="dxa"/>
            <w:tcBorders>
              <w:top w:val="single" w:sz="4" w:space="0" w:color="auto"/>
              <w:bottom w:val="single" w:sz="4" w:space="0" w:color="auto"/>
            </w:tcBorders>
            <w:vAlign w:val="center"/>
          </w:tcPr>
          <w:p w14:paraId="43E18CA8" w14:textId="0DC25C58" w:rsidR="00B37DD8" w:rsidRPr="00510CA8" w:rsidRDefault="00106C6F" w:rsidP="00C43F1D">
            <w:pPr>
              <w:jc w:val="center"/>
              <w:rPr>
                <w:rFonts w:ascii="Arial" w:hAnsi="Arial" w:cs="Arial"/>
                <w:b/>
                <w:bCs/>
                <w:szCs w:val="18"/>
                <w:lang w:val="id-ID"/>
              </w:rPr>
            </w:pPr>
            <w:r>
              <w:rPr>
                <w:rFonts w:ascii="Arial" w:hAnsi="Arial" w:cs="Arial"/>
                <w:b/>
                <w:bCs/>
                <w:szCs w:val="18"/>
                <w:lang w:val="id-ID"/>
              </w:rPr>
              <w:t>Sum of Squares</w:t>
            </w:r>
          </w:p>
        </w:tc>
        <w:tc>
          <w:tcPr>
            <w:tcW w:w="1710" w:type="dxa"/>
            <w:tcBorders>
              <w:top w:val="single" w:sz="4" w:space="0" w:color="auto"/>
              <w:bottom w:val="single" w:sz="4" w:space="0" w:color="auto"/>
            </w:tcBorders>
            <w:vAlign w:val="center"/>
          </w:tcPr>
          <w:p w14:paraId="3EDDE0EC" w14:textId="7644FEB7" w:rsidR="00B37DD8" w:rsidRPr="00510CA8" w:rsidRDefault="00106C6F" w:rsidP="00C43F1D">
            <w:pPr>
              <w:jc w:val="center"/>
              <w:rPr>
                <w:rFonts w:ascii="Arial" w:hAnsi="Arial" w:cs="Arial"/>
                <w:b/>
                <w:bCs/>
                <w:szCs w:val="18"/>
                <w:lang w:val="id-ID"/>
              </w:rPr>
            </w:pPr>
            <w:r w:rsidRPr="00106C6F">
              <w:rPr>
                <w:rFonts w:ascii="Arial" w:hAnsi="Arial" w:cs="Arial"/>
                <w:b/>
                <w:bCs/>
                <w:szCs w:val="18"/>
                <w:lang w:val="id-ID"/>
              </w:rPr>
              <w:t>Average Sum of Squares</w:t>
            </w:r>
          </w:p>
        </w:tc>
        <w:tc>
          <w:tcPr>
            <w:tcW w:w="2217" w:type="dxa"/>
            <w:tcBorders>
              <w:top w:val="single" w:sz="4" w:space="0" w:color="auto"/>
              <w:bottom w:val="single" w:sz="4" w:space="0" w:color="auto"/>
            </w:tcBorders>
            <w:vAlign w:val="center"/>
          </w:tcPr>
          <w:p w14:paraId="610A9A0B" w14:textId="54D287B8" w:rsidR="00B37DD8" w:rsidRPr="00510CA8" w:rsidRDefault="00B37DD8" w:rsidP="00C43F1D">
            <w:pPr>
              <w:jc w:val="center"/>
              <w:rPr>
                <w:rFonts w:ascii="Arial" w:hAnsi="Arial" w:cs="Arial"/>
                <w:b/>
                <w:bCs/>
                <w:szCs w:val="18"/>
                <w:lang w:val="id-ID"/>
              </w:rPr>
            </w:pPr>
            <w:r w:rsidRPr="00510CA8">
              <w:rPr>
                <w:rFonts w:ascii="Arial" w:hAnsi="Arial" w:cs="Arial"/>
                <w:b/>
                <w:bCs/>
                <w:szCs w:val="18"/>
                <w:lang w:val="id-ID"/>
              </w:rPr>
              <w:t>F</w:t>
            </w:r>
            <w:r w:rsidR="00D30482" w:rsidRPr="00510CA8">
              <w:rPr>
                <w:rFonts w:ascii="Arial" w:hAnsi="Arial" w:cs="Arial"/>
                <w:b/>
                <w:bCs/>
                <w:szCs w:val="18"/>
                <w:lang w:val="id-ID"/>
              </w:rPr>
              <w:t>-</w:t>
            </w:r>
            <w:r w:rsidR="00106C6F">
              <w:rPr>
                <w:rFonts w:ascii="Arial" w:hAnsi="Arial" w:cs="Arial"/>
                <w:b/>
                <w:bCs/>
                <w:szCs w:val="18"/>
                <w:lang w:val="id-ID"/>
              </w:rPr>
              <w:t>count</w:t>
            </w:r>
          </w:p>
        </w:tc>
      </w:tr>
      <w:tr w:rsidR="00B37DD8" w:rsidRPr="00B37DD8" w14:paraId="235ED28A" w14:textId="77777777" w:rsidTr="00B37DD8">
        <w:trPr>
          <w:jc w:val="center"/>
        </w:trPr>
        <w:tc>
          <w:tcPr>
            <w:tcW w:w="1445" w:type="dxa"/>
            <w:tcBorders>
              <w:top w:val="single" w:sz="4" w:space="0" w:color="auto"/>
            </w:tcBorders>
          </w:tcPr>
          <w:p w14:paraId="05CDBCB0" w14:textId="3B4E38EE" w:rsidR="00B37DD8" w:rsidRPr="00B37DD8" w:rsidRDefault="00106C6F" w:rsidP="00C43F1D">
            <w:pPr>
              <w:rPr>
                <w:rFonts w:ascii="Arial" w:hAnsi="Arial" w:cs="Arial"/>
                <w:szCs w:val="18"/>
                <w:lang w:val="id-ID"/>
              </w:rPr>
            </w:pPr>
            <w:r>
              <w:rPr>
                <w:rFonts w:ascii="Arial" w:hAnsi="Arial" w:cs="Arial"/>
                <w:szCs w:val="18"/>
                <w:lang w:val="id-ID"/>
              </w:rPr>
              <w:t>Regression</w:t>
            </w:r>
          </w:p>
        </w:tc>
        <w:tc>
          <w:tcPr>
            <w:tcW w:w="793" w:type="dxa"/>
            <w:tcBorders>
              <w:top w:val="single" w:sz="4" w:space="0" w:color="auto"/>
            </w:tcBorders>
          </w:tcPr>
          <w:p w14:paraId="40CC6050"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9</w:t>
            </w:r>
          </w:p>
        </w:tc>
        <w:tc>
          <w:tcPr>
            <w:tcW w:w="1762" w:type="dxa"/>
            <w:tcBorders>
              <w:top w:val="single" w:sz="4" w:space="0" w:color="auto"/>
            </w:tcBorders>
          </w:tcPr>
          <w:p w14:paraId="7B97B5A0"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4.570.022.935</w:t>
            </w:r>
          </w:p>
        </w:tc>
        <w:tc>
          <w:tcPr>
            <w:tcW w:w="1710" w:type="dxa"/>
            <w:tcBorders>
              <w:top w:val="single" w:sz="4" w:space="0" w:color="auto"/>
            </w:tcBorders>
          </w:tcPr>
          <w:p w14:paraId="061FAFCB"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507.780.326</w:t>
            </w:r>
          </w:p>
        </w:tc>
        <w:tc>
          <w:tcPr>
            <w:tcW w:w="2217" w:type="dxa"/>
            <w:tcBorders>
              <w:top w:val="single" w:sz="4" w:space="0" w:color="auto"/>
            </w:tcBorders>
          </w:tcPr>
          <w:p w14:paraId="08A7AB2F"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176,29</w:t>
            </w:r>
          </w:p>
        </w:tc>
      </w:tr>
      <w:tr w:rsidR="00B37DD8" w:rsidRPr="00B37DD8" w14:paraId="7D6FE44E" w14:textId="77777777" w:rsidTr="00B37DD8">
        <w:trPr>
          <w:jc w:val="center"/>
        </w:trPr>
        <w:tc>
          <w:tcPr>
            <w:tcW w:w="1445" w:type="dxa"/>
          </w:tcPr>
          <w:p w14:paraId="07BFAEE9" w14:textId="1948FDE3" w:rsidR="00B37DD8" w:rsidRPr="00B37DD8" w:rsidRDefault="00B37DD8" w:rsidP="00C43F1D">
            <w:pPr>
              <w:jc w:val="center"/>
              <w:rPr>
                <w:rFonts w:ascii="Arial" w:hAnsi="Arial" w:cs="Arial"/>
                <w:szCs w:val="18"/>
                <w:lang w:val="id-ID"/>
              </w:rPr>
            </w:pPr>
            <w:r w:rsidRPr="00B37DD8">
              <w:rPr>
                <w:rFonts w:ascii="Arial" w:hAnsi="Arial" w:cs="Arial"/>
                <w:szCs w:val="18"/>
                <w:lang w:val="id-ID"/>
              </w:rPr>
              <w:t>Lin</w:t>
            </w:r>
            <w:r w:rsidR="00106C6F">
              <w:rPr>
                <w:rFonts w:ascii="Arial" w:hAnsi="Arial" w:cs="Arial"/>
                <w:szCs w:val="18"/>
                <w:lang w:val="id-ID"/>
              </w:rPr>
              <w:t>ear</w:t>
            </w:r>
          </w:p>
        </w:tc>
        <w:tc>
          <w:tcPr>
            <w:tcW w:w="793" w:type="dxa"/>
          </w:tcPr>
          <w:p w14:paraId="5FA5CBA7"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3</w:t>
            </w:r>
          </w:p>
        </w:tc>
        <w:tc>
          <w:tcPr>
            <w:tcW w:w="1762" w:type="dxa"/>
          </w:tcPr>
          <w:p w14:paraId="7682A98B"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4.023.508.019</w:t>
            </w:r>
          </w:p>
        </w:tc>
        <w:tc>
          <w:tcPr>
            <w:tcW w:w="1710" w:type="dxa"/>
          </w:tcPr>
          <w:p w14:paraId="0DAF3E92"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1.341.169.340</w:t>
            </w:r>
          </w:p>
        </w:tc>
        <w:tc>
          <w:tcPr>
            <w:tcW w:w="2217" w:type="dxa"/>
          </w:tcPr>
          <w:p w14:paraId="1700314C"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465,62</w:t>
            </w:r>
          </w:p>
        </w:tc>
      </w:tr>
      <w:tr w:rsidR="00B37DD8" w:rsidRPr="00B37DD8" w14:paraId="545F463A" w14:textId="77777777" w:rsidTr="00B37DD8">
        <w:trPr>
          <w:jc w:val="center"/>
        </w:trPr>
        <w:tc>
          <w:tcPr>
            <w:tcW w:w="1445" w:type="dxa"/>
          </w:tcPr>
          <w:p w14:paraId="48969147" w14:textId="7CE6C6D5" w:rsidR="00B37DD8" w:rsidRPr="00B37DD8" w:rsidRDefault="00106C6F" w:rsidP="00C43F1D">
            <w:pPr>
              <w:jc w:val="center"/>
              <w:rPr>
                <w:rFonts w:ascii="Arial" w:hAnsi="Arial" w:cs="Arial"/>
                <w:szCs w:val="18"/>
                <w:lang w:val="id-ID"/>
              </w:rPr>
            </w:pPr>
            <w:r>
              <w:rPr>
                <w:rFonts w:ascii="Arial" w:hAnsi="Arial" w:cs="Arial"/>
                <w:szCs w:val="18"/>
                <w:lang w:val="id-ID"/>
              </w:rPr>
              <w:t>Quadratic</w:t>
            </w:r>
          </w:p>
        </w:tc>
        <w:tc>
          <w:tcPr>
            <w:tcW w:w="793" w:type="dxa"/>
          </w:tcPr>
          <w:p w14:paraId="53501DE5"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3</w:t>
            </w:r>
          </w:p>
        </w:tc>
        <w:tc>
          <w:tcPr>
            <w:tcW w:w="1762" w:type="dxa"/>
          </w:tcPr>
          <w:p w14:paraId="4397B082"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10.561.485</w:t>
            </w:r>
          </w:p>
        </w:tc>
        <w:tc>
          <w:tcPr>
            <w:tcW w:w="1710" w:type="dxa"/>
          </w:tcPr>
          <w:p w14:paraId="2D5B4EA8"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3.520.495</w:t>
            </w:r>
          </w:p>
        </w:tc>
        <w:tc>
          <w:tcPr>
            <w:tcW w:w="2217" w:type="dxa"/>
          </w:tcPr>
          <w:p w14:paraId="22E55E4C"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1,22</w:t>
            </w:r>
          </w:p>
        </w:tc>
      </w:tr>
      <w:tr w:rsidR="00B37DD8" w:rsidRPr="00B37DD8" w14:paraId="13A04606" w14:textId="77777777" w:rsidTr="00B37DD8">
        <w:trPr>
          <w:jc w:val="center"/>
        </w:trPr>
        <w:tc>
          <w:tcPr>
            <w:tcW w:w="1445" w:type="dxa"/>
          </w:tcPr>
          <w:p w14:paraId="6615F6E2" w14:textId="17091F33" w:rsidR="00B37DD8" w:rsidRPr="00B37DD8" w:rsidRDefault="00B37DD8" w:rsidP="00C43F1D">
            <w:pPr>
              <w:jc w:val="center"/>
              <w:rPr>
                <w:rFonts w:ascii="Arial" w:hAnsi="Arial" w:cs="Arial"/>
                <w:szCs w:val="18"/>
                <w:lang w:val="id-ID"/>
              </w:rPr>
            </w:pPr>
            <w:r w:rsidRPr="00B37DD8">
              <w:rPr>
                <w:rFonts w:ascii="Arial" w:hAnsi="Arial" w:cs="Arial"/>
                <w:szCs w:val="18"/>
                <w:lang w:val="id-ID"/>
              </w:rPr>
              <w:lastRenderedPageBreak/>
              <w:t>Int</w:t>
            </w:r>
            <w:r w:rsidR="00106C6F">
              <w:rPr>
                <w:rFonts w:ascii="Arial" w:hAnsi="Arial" w:cs="Arial"/>
                <w:szCs w:val="18"/>
                <w:lang w:val="id-ID"/>
              </w:rPr>
              <w:t>eraction</w:t>
            </w:r>
          </w:p>
        </w:tc>
        <w:tc>
          <w:tcPr>
            <w:tcW w:w="793" w:type="dxa"/>
          </w:tcPr>
          <w:p w14:paraId="73AD37CE"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3</w:t>
            </w:r>
          </w:p>
        </w:tc>
        <w:tc>
          <w:tcPr>
            <w:tcW w:w="1762" w:type="dxa"/>
          </w:tcPr>
          <w:p w14:paraId="5742D5C4"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535.953.431</w:t>
            </w:r>
          </w:p>
        </w:tc>
        <w:tc>
          <w:tcPr>
            <w:tcW w:w="1710" w:type="dxa"/>
          </w:tcPr>
          <w:p w14:paraId="3A0FAAD4"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178.651.144</w:t>
            </w:r>
          </w:p>
        </w:tc>
        <w:tc>
          <w:tcPr>
            <w:tcW w:w="2217" w:type="dxa"/>
          </w:tcPr>
          <w:p w14:paraId="06194CB4"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62,02</w:t>
            </w:r>
          </w:p>
        </w:tc>
      </w:tr>
      <w:tr w:rsidR="00B37DD8" w:rsidRPr="00B37DD8" w14:paraId="4FF2DFEE" w14:textId="77777777" w:rsidTr="00B37DD8">
        <w:trPr>
          <w:jc w:val="center"/>
        </w:trPr>
        <w:tc>
          <w:tcPr>
            <w:tcW w:w="1445" w:type="dxa"/>
          </w:tcPr>
          <w:p w14:paraId="06AB033D" w14:textId="77777777" w:rsidR="00B37DD8" w:rsidRPr="00B37DD8" w:rsidRDefault="00B37DD8" w:rsidP="00C43F1D">
            <w:pPr>
              <w:rPr>
                <w:rFonts w:ascii="Arial" w:hAnsi="Arial" w:cs="Arial"/>
                <w:szCs w:val="18"/>
                <w:lang w:val="id-ID"/>
              </w:rPr>
            </w:pPr>
            <w:r w:rsidRPr="00B37DD8">
              <w:rPr>
                <w:rFonts w:ascii="Arial" w:hAnsi="Arial" w:cs="Arial"/>
                <w:szCs w:val="18"/>
                <w:lang w:val="id-ID"/>
              </w:rPr>
              <w:t>Residual</w:t>
            </w:r>
          </w:p>
        </w:tc>
        <w:tc>
          <w:tcPr>
            <w:tcW w:w="793" w:type="dxa"/>
          </w:tcPr>
          <w:p w14:paraId="69A7F155"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5</w:t>
            </w:r>
          </w:p>
        </w:tc>
        <w:tc>
          <w:tcPr>
            <w:tcW w:w="1762" w:type="dxa"/>
          </w:tcPr>
          <w:p w14:paraId="6AE2303B"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14.402.025</w:t>
            </w:r>
          </w:p>
        </w:tc>
        <w:tc>
          <w:tcPr>
            <w:tcW w:w="1710" w:type="dxa"/>
          </w:tcPr>
          <w:p w14:paraId="026125EC"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2.880.405</w:t>
            </w:r>
          </w:p>
        </w:tc>
        <w:tc>
          <w:tcPr>
            <w:tcW w:w="2217" w:type="dxa"/>
          </w:tcPr>
          <w:p w14:paraId="63F88428" w14:textId="77777777" w:rsidR="00B37DD8" w:rsidRPr="00B37DD8" w:rsidRDefault="00B37DD8" w:rsidP="00C43F1D">
            <w:pPr>
              <w:jc w:val="center"/>
              <w:rPr>
                <w:rFonts w:ascii="Arial" w:hAnsi="Arial" w:cs="Arial"/>
                <w:szCs w:val="18"/>
                <w:lang w:val="id-ID"/>
              </w:rPr>
            </w:pPr>
          </w:p>
        </w:tc>
      </w:tr>
      <w:tr w:rsidR="00B37DD8" w:rsidRPr="00B37DD8" w14:paraId="70BB5243" w14:textId="77777777" w:rsidTr="00B37DD8">
        <w:trPr>
          <w:jc w:val="center"/>
        </w:trPr>
        <w:tc>
          <w:tcPr>
            <w:tcW w:w="1445" w:type="dxa"/>
          </w:tcPr>
          <w:p w14:paraId="33857F6F" w14:textId="77777777" w:rsidR="00B37DD8" w:rsidRPr="00B37DD8" w:rsidRDefault="00B37DD8" w:rsidP="00C43F1D">
            <w:pPr>
              <w:jc w:val="center"/>
              <w:rPr>
                <w:rFonts w:ascii="Arial" w:hAnsi="Arial" w:cs="Arial"/>
                <w:i/>
                <w:iCs/>
                <w:szCs w:val="18"/>
                <w:lang w:val="id-ID"/>
              </w:rPr>
            </w:pPr>
            <w:r w:rsidRPr="00B37DD8">
              <w:rPr>
                <w:rFonts w:ascii="Arial" w:hAnsi="Arial" w:cs="Arial"/>
                <w:i/>
                <w:iCs/>
                <w:szCs w:val="18"/>
                <w:lang w:val="id-ID"/>
              </w:rPr>
              <w:t>Lack of Fit</w:t>
            </w:r>
          </w:p>
        </w:tc>
        <w:tc>
          <w:tcPr>
            <w:tcW w:w="793" w:type="dxa"/>
          </w:tcPr>
          <w:p w14:paraId="2376943A"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3</w:t>
            </w:r>
          </w:p>
        </w:tc>
        <w:tc>
          <w:tcPr>
            <w:tcW w:w="1762" w:type="dxa"/>
          </w:tcPr>
          <w:p w14:paraId="172132D0"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14.402.025</w:t>
            </w:r>
          </w:p>
        </w:tc>
        <w:tc>
          <w:tcPr>
            <w:tcW w:w="1710" w:type="dxa"/>
          </w:tcPr>
          <w:p w14:paraId="6FA722D0"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4.800.675</w:t>
            </w:r>
          </w:p>
        </w:tc>
        <w:tc>
          <w:tcPr>
            <w:tcW w:w="2217" w:type="dxa"/>
          </w:tcPr>
          <w:p w14:paraId="79EF69D0"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0</w:t>
            </w:r>
          </w:p>
        </w:tc>
      </w:tr>
      <w:tr w:rsidR="00B37DD8" w:rsidRPr="00B37DD8" w14:paraId="723748BF" w14:textId="77777777" w:rsidTr="00B37DD8">
        <w:trPr>
          <w:jc w:val="center"/>
        </w:trPr>
        <w:tc>
          <w:tcPr>
            <w:tcW w:w="1445" w:type="dxa"/>
            <w:tcBorders>
              <w:bottom w:val="single" w:sz="4" w:space="0" w:color="auto"/>
            </w:tcBorders>
          </w:tcPr>
          <w:p w14:paraId="5D4FBE5D" w14:textId="77777777" w:rsidR="00B37DD8" w:rsidRPr="00B37DD8" w:rsidRDefault="00B37DD8" w:rsidP="00C43F1D">
            <w:pPr>
              <w:jc w:val="center"/>
              <w:rPr>
                <w:rFonts w:ascii="Arial" w:hAnsi="Arial" w:cs="Arial"/>
                <w:i/>
                <w:iCs/>
                <w:szCs w:val="18"/>
                <w:lang w:val="id-ID"/>
              </w:rPr>
            </w:pPr>
            <w:r w:rsidRPr="00B37DD8">
              <w:rPr>
                <w:rFonts w:ascii="Arial" w:hAnsi="Arial" w:cs="Arial"/>
                <w:i/>
                <w:iCs/>
                <w:szCs w:val="18"/>
                <w:lang w:val="id-ID"/>
              </w:rPr>
              <w:t>Pure Error</w:t>
            </w:r>
          </w:p>
        </w:tc>
        <w:tc>
          <w:tcPr>
            <w:tcW w:w="793" w:type="dxa"/>
            <w:tcBorders>
              <w:bottom w:val="single" w:sz="4" w:space="0" w:color="auto"/>
            </w:tcBorders>
          </w:tcPr>
          <w:p w14:paraId="5746D086"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2</w:t>
            </w:r>
          </w:p>
        </w:tc>
        <w:tc>
          <w:tcPr>
            <w:tcW w:w="1762" w:type="dxa"/>
            <w:tcBorders>
              <w:bottom w:val="single" w:sz="4" w:space="0" w:color="auto"/>
            </w:tcBorders>
          </w:tcPr>
          <w:p w14:paraId="52BA7D3E"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0</w:t>
            </w:r>
          </w:p>
        </w:tc>
        <w:tc>
          <w:tcPr>
            <w:tcW w:w="1710" w:type="dxa"/>
            <w:tcBorders>
              <w:bottom w:val="single" w:sz="4" w:space="0" w:color="auto"/>
            </w:tcBorders>
          </w:tcPr>
          <w:p w14:paraId="5763A830"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0</w:t>
            </w:r>
          </w:p>
        </w:tc>
        <w:tc>
          <w:tcPr>
            <w:tcW w:w="2217" w:type="dxa"/>
            <w:tcBorders>
              <w:bottom w:val="single" w:sz="4" w:space="0" w:color="auto"/>
            </w:tcBorders>
          </w:tcPr>
          <w:p w14:paraId="25380C29" w14:textId="77777777" w:rsidR="00B37DD8" w:rsidRPr="00B37DD8" w:rsidRDefault="00B37DD8" w:rsidP="00C43F1D">
            <w:pPr>
              <w:jc w:val="center"/>
              <w:rPr>
                <w:rFonts w:ascii="Arial" w:hAnsi="Arial" w:cs="Arial"/>
                <w:szCs w:val="18"/>
                <w:lang w:val="id-ID"/>
              </w:rPr>
            </w:pPr>
          </w:p>
        </w:tc>
      </w:tr>
      <w:tr w:rsidR="00B37DD8" w:rsidRPr="00B37DD8" w14:paraId="6A6D2E45" w14:textId="77777777" w:rsidTr="00B37DD8">
        <w:trPr>
          <w:jc w:val="center"/>
        </w:trPr>
        <w:tc>
          <w:tcPr>
            <w:tcW w:w="1445" w:type="dxa"/>
            <w:tcBorders>
              <w:top w:val="single" w:sz="4" w:space="0" w:color="auto"/>
              <w:bottom w:val="single" w:sz="4" w:space="0" w:color="auto"/>
            </w:tcBorders>
          </w:tcPr>
          <w:p w14:paraId="4DEECF02"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Total</w:t>
            </w:r>
          </w:p>
        </w:tc>
        <w:tc>
          <w:tcPr>
            <w:tcW w:w="793" w:type="dxa"/>
            <w:tcBorders>
              <w:top w:val="single" w:sz="4" w:space="0" w:color="auto"/>
              <w:bottom w:val="single" w:sz="4" w:space="0" w:color="auto"/>
            </w:tcBorders>
          </w:tcPr>
          <w:p w14:paraId="5D8850DF"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14</w:t>
            </w:r>
          </w:p>
        </w:tc>
        <w:tc>
          <w:tcPr>
            <w:tcW w:w="1762" w:type="dxa"/>
            <w:tcBorders>
              <w:top w:val="single" w:sz="4" w:space="0" w:color="auto"/>
              <w:bottom w:val="single" w:sz="4" w:space="0" w:color="auto"/>
            </w:tcBorders>
          </w:tcPr>
          <w:p w14:paraId="51937059" w14:textId="77777777" w:rsidR="00B37DD8" w:rsidRPr="00B37DD8" w:rsidRDefault="00B37DD8" w:rsidP="00C43F1D">
            <w:pPr>
              <w:jc w:val="center"/>
              <w:rPr>
                <w:rFonts w:ascii="Arial" w:hAnsi="Arial" w:cs="Arial"/>
                <w:szCs w:val="18"/>
                <w:lang w:val="id-ID"/>
              </w:rPr>
            </w:pPr>
            <w:r w:rsidRPr="00B37DD8">
              <w:rPr>
                <w:rFonts w:ascii="Arial" w:hAnsi="Arial" w:cs="Arial"/>
                <w:szCs w:val="18"/>
                <w:lang w:val="id-ID"/>
              </w:rPr>
              <w:t>4.584.424.960</w:t>
            </w:r>
          </w:p>
        </w:tc>
        <w:tc>
          <w:tcPr>
            <w:tcW w:w="1710" w:type="dxa"/>
            <w:tcBorders>
              <w:top w:val="single" w:sz="4" w:space="0" w:color="auto"/>
              <w:bottom w:val="single" w:sz="4" w:space="0" w:color="auto"/>
            </w:tcBorders>
          </w:tcPr>
          <w:p w14:paraId="2049F168" w14:textId="77777777" w:rsidR="00B37DD8" w:rsidRPr="00B37DD8" w:rsidRDefault="00B37DD8" w:rsidP="00C43F1D">
            <w:pPr>
              <w:jc w:val="center"/>
              <w:rPr>
                <w:rFonts w:ascii="Arial" w:hAnsi="Arial" w:cs="Arial"/>
                <w:szCs w:val="18"/>
                <w:lang w:val="id-ID"/>
              </w:rPr>
            </w:pPr>
          </w:p>
        </w:tc>
        <w:tc>
          <w:tcPr>
            <w:tcW w:w="2217" w:type="dxa"/>
            <w:tcBorders>
              <w:top w:val="single" w:sz="4" w:space="0" w:color="auto"/>
              <w:bottom w:val="single" w:sz="4" w:space="0" w:color="auto"/>
            </w:tcBorders>
          </w:tcPr>
          <w:p w14:paraId="4FBEEBE9" w14:textId="77777777" w:rsidR="00B37DD8" w:rsidRPr="00B37DD8" w:rsidRDefault="00B37DD8" w:rsidP="00C43F1D">
            <w:pPr>
              <w:jc w:val="center"/>
              <w:rPr>
                <w:rFonts w:ascii="Arial" w:hAnsi="Arial" w:cs="Arial"/>
                <w:szCs w:val="18"/>
                <w:lang w:val="id-ID"/>
              </w:rPr>
            </w:pPr>
          </w:p>
        </w:tc>
      </w:tr>
    </w:tbl>
    <w:p w14:paraId="3D36308A" w14:textId="0B3CB0DA" w:rsidR="00B37DD8" w:rsidRDefault="00106C6F" w:rsidP="0087432A">
      <w:pPr>
        <w:ind w:firstLine="426"/>
        <w:jc w:val="both"/>
        <w:rPr>
          <w:rFonts w:ascii="Arial" w:eastAsia="Times New Roman" w:hAnsi="Arial" w:cs="Arial"/>
          <w:sz w:val="20"/>
          <w:szCs w:val="20"/>
          <w:lang w:val="id-ID"/>
        </w:rPr>
      </w:pPr>
      <w:r w:rsidRPr="00106C6F">
        <w:rPr>
          <w:rFonts w:ascii="Arial" w:eastAsia="Times New Roman" w:hAnsi="Arial" w:cs="Arial"/>
          <w:sz w:val="20"/>
          <w:szCs w:val="20"/>
          <w:lang w:val="id-ID"/>
        </w:rPr>
        <w:t>Furthermore, in determining the model in the response surface method, first determine each coefficient value for the constant, linear coefficient, quadratic coefficient, and interaction coefficient using multiple linear regression equations.</w:t>
      </w:r>
      <w:r w:rsidR="00B37DD8" w:rsidRPr="00B37DD8">
        <w:rPr>
          <w:rFonts w:ascii="Arial" w:eastAsia="Times New Roman" w:hAnsi="Arial" w:cs="Arial"/>
          <w:sz w:val="20"/>
          <w:szCs w:val="20"/>
          <w:lang w:val="id-ID"/>
        </w:rPr>
        <w:t xml:space="preserve"> </w:t>
      </w:r>
    </w:p>
    <w:p w14:paraId="17B75F27" w14:textId="77777777" w:rsidR="00106C6F" w:rsidRDefault="00106C6F" w:rsidP="0010506C">
      <w:pPr>
        <w:pStyle w:val="DaftarParagraf"/>
        <w:ind w:left="0"/>
        <w:jc w:val="both"/>
        <w:rPr>
          <w:rFonts w:ascii="Arial" w:eastAsia="Times New Roman" w:hAnsi="Arial" w:cs="Arial"/>
          <w:sz w:val="20"/>
          <w:szCs w:val="20"/>
          <w:lang w:val="id-ID"/>
        </w:rPr>
      </w:pPr>
      <w:r w:rsidRPr="00106C6F">
        <w:rPr>
          <w:rFonts w:ascii="Arial" w:eastAsia="Times New Roman" w:hAnsi="Arial" w:cs="Arial"/>
          <w:sz w:val="20"/>
          <w:szCs w:val="20"/>
          <w:lang w:val="id-ID"/>
        </w:rPr>
        <w:t>So that the following model is obtained:</w:t>
      </w:r>
    </w:p>
    <w:p w14:paraId="67579A3B" w14:textId="52656A99" w:rsidR="00115EA1" w:rsidRPr="0087432A" w:rsidRDefault="00B37DD8" w:rsidP="0010506C">
      <w:pPr>
        <w:pStyle w:val="DaftarParagraf"/>
        <w:ind w:left="0"/>
        <w:jc w:val="both"/>
        <w:rPr>
          <w:rFonts w:ascii="Arial" w:eastAsiaTheme="minorEastAsia" w:hAnsi="Arial" w:cs="Arial"/>
          <w:sz w:val="20"/>
          <w:szCs w:val="20"/>
          <w:lang w:val="id-ID"/>
        </w:rPr>
      </w:pPr>
      <m:oMathPara>
        <m:oMath>
          <m:r>
            <w:rPr>
              <w:rFonts w:ascii="Cambria Math" w:eastAsia="Times New Roman" w:hAnsi="Cambria Math" w:cs="Arial"/>
              <w:sz w:val="20"/>
              <w:szCs w:val="20"/>
              <w:lang w:val="id-ID"/>
            </w:rPr>
            <m:t>Y=1531-1,063</m:t>
          </m:r>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1</m:t>
              </m:r>
            </m:sub>
          </m:sSub>
          <m:r>
            <w:rPr>
              <w:rFonts w:ascii="Cambria Math" w:eastAsia="Times New Roman" w:hAnsi="Cambria Math" w:cs="Arial"/>
              <w:sz w:val="20"/>
              <w:szCs w:val="20"/>
              <w:lang w:val="id-ID"/>
            </w:rPr>
            <m:t>-0,875</m:t>
          </m:r>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2</m:t>
              </m:r>
            </m:sub>
          </m:sSub>
          <m:r>
            <w:rPr>
              <w:rFonts w:ascii="Cambria Math" w:eastAsia="Times New Roman" w:hAnsi="Cambria Math" w:cs="Arial"/>
              <w:sz w:val="20"/>
              <w:szCs w:val="20"/>
              <w:lang w:val="id-ID"/>
            </w:rPr>
            <m:t>+852</m:t>
          </m:r>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3</m:t>
              </m:r>
            </m:sub>
          </m:sSub>
          <m:r>
            <w:rPr>
              <w:rFonts w:ascii="Cambria Math" w:eastAsia="Times New Roman" w:hAnsi="Cambria Math" w:cs="Arial"/>
              <w:sz w:val="20"/>
              <w:szCs w:val="20"/>
              <w:lang w:val="id-ID"/>
            </w:rPr>
            <m:t>+0,000081</m:t>
          </m:r>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1</m:t>
              </m:r>
            </m:sub>
          </m:sSub>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2</m:t>
              </m:r>
            </m:sub>
          </m:sSub>
          <m:r>
            <w:rPr>
              <w:rFonts w:ascii="Cambria Math" w:eastAsia="Times New Roman" w:hAnsi="Cambria Math" w:cs="Arial"/>
              <w:sz w:val="20"/>
              <w:szCs w:val="20"/>
              <w:lang w:val="id-ID"/>
            </w:rPr>
            <m:t>+0,0000</m:t>
          </m:r>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1</m:t>
              </m:r>
            </m:sub>
          </m:sSub>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3</m:t>
              </m:r>
            </m:sub>
          </m:sSub>
          <m:r>
            <w:rPr>
              <w:rFonts w:ascii="Cambria Math" w:eastAsia="Times New Roman" w:hAnsi="Cambria Math" w:cs="Arial"/>
              <w:sz w:val="20"/>
              <w:szCs w:val="20"/>
              <w:lang w:val="id-ID"/>
            </w:rPr>
            <m:t>+1,0000</m:t>
          </m:r>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2</m:t>
              </m:r>
            </m:sub>
          </m:sSub>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3</m:t>
              </m:r>
            </m:sub>
          </m:sSub>
          <m:r>
            <w:rPr>
              <w:rFonts w:ascii="Cambria Math" w:eastAsia="Times New Roman" w:hAnsi="Cambria Math" w:cs="Arial"/>
              <w:sz w:val="20"/>
              <w:szCs w:val="20"/>
              <w:lang w:val="id-ID"/>
            </w:rPr>
            <m:t>+0,000018</m:t>
          </m:r>
          <m:sSup>
            <m:sSupPr>
              <m:ctrlPr>
                <w:rPr>
                  <w:rFonts w:ascii="Cambria Math" w:eastAsia="Times New Roman" w:hAnsi="Cambria Math" w:cs="Arial"/>
                  <w:i/>
                  <w:sz w:val="20"/>
                  <w:szCs w:val="20"/>
                  <w:lang w:val="id-ID"/>
                </w:rPr>
              </m:ctrlPr>
            </m:sSupPr>
            <m:e>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1</m:t>
                  </m:r>
                </m:sub>
              </m:sSub>
            </m:e>
            <m:sup>
              <m:r>
                <w:rPr>
                  <w:rFonts w:ascii="Cambria Math" w:eastAsia="Times New Roman" w:hAnsi="Cambria Math" w:cs="Arial"/>
                  <w:sz w:val="20"/>
                  <w:szCs w:val="20"/>
                  <w:lang w:val="id-ID"/>
                </w:rPr>
                <m:t>2</m:t>
              </m:r>
            </m:sup>
          </m:sSup>
          <m:r>
            <w:rPr>
              <w:rFonts w:ascii="Cambria Math" w:eastAsia="Times New Roman" w:hAnsi="Cambria Math" w:cs="Arial"/>
              <w:sz w:val="20"/>
              <w:szCs w:val="20"/>
              <w:lang w:val="id-ID"/>
            </w:rPr>
            <m:t>+0,000089</m:t>
          </m:r>
          <m:sSup>
            <m:sSupPr>
              <m:ctrlPr>
                <w:rPr>
                  <w:rFonts w:ascii="Cambria Math" w:eastAsia="Times New Roman" w:hAnsi="Cambria Math" w:cs="Arial"/>
                  <w:i/>
                  <w:sz w:val="20"/>
                  <w:szCs w:val="20"/>
                  <w:lang w:val="id-ID"/>
                </w:rPr>
              </m:ctrlPr>
            </m:sSupPr>
            <m:e>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2</m:t>
                  </m:r>
                </m:sub>
              </m:sSub>
            </m:e>
            <m:sup>
              <m:r>
                <w:rPr>
                  <w:rFonts w:ascii="Cambria Math" w:eastAsia="Times New Roman" w:hAnsi="Cambria Math" w:cs="Arial"/>
                  <w:sz w:val="20"/>
                  <w:szCs w:val="20"/>
                  <w:lang w:val="id-ID"/>
                </w:rPr>
                <m:t>2</m:t>
              </m:r>
            </m:sup>
          </m:sSup>
          <m:r>
            <w:rPr>
              <w:rFonts w:ascii="Cambria Math" w:eastAsia="Times New Roman" w:hAnsi="Cambria Math" w:cs="Arial"/>
              <w:sz w:val="20"/>
              <w:szCs w:val="20"/>
              <w:lang w:val="id-ID"/>
            </w:rPr>
            <m:t>-77,4</m:t>
          </m:r>
          <m:sSup>
            <m:sSupPr>
              <m:ctrlPr>
                <w:rPr>
                  <w:rFonts w:ascii="Cambria Math" w:eastAsia="Times New Roman" w:hAnsi="Cambria Math" w:cs="Arial"/>
                  <w:i/>
                  <w:sz w:val="20"/>
                  <w:szCs w:val="20"/>
                  <w:lang w:val="id-ID"/>
                </w:rPr>
              </m:ctrlPr>
            </m:sSupPr>
            <m:e>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3</m:t>
                  </m:r>
                </m:sub>
              </m:sSub>
            </m:e>
            <m:sup>
              <m:r>
                <w:rPr>
                  <w:rFonts w:ascii="Cambria Math" w:eastAsia="Times New Roman" w:hAnsi="Cambria Math" w:cs="Arial"/>
                  <w:sz w:val="20"/>
                  <w:szCs w:val="20"/>
                  <w:lang w:val="id-ID"/>
                </w:rPr>
                <m:t>2</m:t>
              </m:r>
            </m:sup>
          </m:sSup>
        </m:oMath>
      </m:oMathPara>
    </w:p>
    <w:p w14:paraId="1A5A0BA6" w14:textId="77777777" w:rsidR="00D30482" w:rsidRDefault="00D30482" w:rsidP="0087432A">
      <w:pPr>
        <w:pStyle w:val="DaftarParagraf"/>
        <w:ind w:left="426"/>
        <w:jc w:val="both"/>
        <w:rPr>
          <w:rFonts w:ascii="Arial" w:hAnsi="Arial" w:cs="Arial"/>
          <w:sz w:val="20"/>
          <w:szCs w:val="20"/>
          <w:lang w:val="id-ID"/>
        </w:rPr>
      </w:pPr>
    </w:p>
    <w:p w14:paraId="0DBE5E86" w14:textId="2B6C2D7C" w:rsidR="0087432A" w:rsidRDefault="00106C6F" w:rsidP="0087432A">
      <w:pPr>
        <w:pStyle w:val="DaftarParagraf"/>
        <w:ind w:left="426"/>
        <w:jc w:val="both"/>
        <w:rPr>
          <w:rFonts w:ascii="Arial" w:hAnsi="Arial" w:cs="Arial"/>
          <w:sz w:val="20"/>
          <w:szCs w:val="20"/>
          <w:lang w:val="id-ID"/>
        </w:rPr>
      </w:pPr>
      <w:r w:rsidRPr="00106C6F">
        <w:rPr>
          <w:rFonts w:ascii="Arial" w:hAnsi="Arial" w:cs="Arial"/>
          <w:sz w:val="20"/>
          <w:szCs w:val="20"/>
          <w:lang w:val="id-ID"/>
        </w:rPr>
        <w:t>The lack of fit test is used to test the suitability of the model.</w:t>
      </w:r>
      <w:r w:rsidR="0087432A">
        <w:rPr>
          <w:rFonts w:ascii="Arial" w:hAnsi="Arial" w:cs="Arial"/>
          <w:sz w:val="20"/>
          <w:szCs w:val="20"/>
          <w:lang w:val="id-ID"/>
        </w:rPr>
        <w:t xml:space="preserve"> </w:t>
      </w:r>
    </w:p>
    <w:p w14:paraId="5350B956" w14:textId="112A73F5" w:rsidR="0087432A" w:rsidRPr="0087432A" w:rsidRDefault="00106C6F" w:rsidP="0087432A">
      <w:pPr>
        <w:pStyle w:val="DaftarParagraf"/>
        <w:ind w:left="426"/>
        <w:jc w:val="both"/>
        <w:rPr>
          <w:rFonts w:ascii="Arial" w:hAnsi="Arial" w:cs="Arial"/>
          <w:sz w:val="20"/>
          <w:szCs w:val="20"/>
          <w:lang w:val="id-ID"/>
        </w:rPr>
      </w:pPr>
      <w:r w:rsidRPr="00106C6F">
        <w:rPr>
          <w:rFonts w:ascii="Arial" w:hAnsi="Arial" w:cs="Arial"/>
          <w:sz w:val="20"/>
          <w:szCs w:val="20"/>
          <w:lang w:val="id-ID"/>
        </w:rPr>
        <w:t>The hypothesis in the lack of fit test is:</w:t>
      </w:r>
    </w:p>
    <w:p w14:paraId="4B3556C8" w14:textId="200AD4D9" w:rsidR="0087432A" w:rsidRDefault="0087432A" w:rsidP="0087432A">
      <w:pPr>
        <w:pStyle w:val="DaftarParagraf"/>
        <w:numPr>
          <w:ilvl w:val="0"/>
          <w:numId w:val="8"/>
        </w:numPr>
        <w:ind w:left="851" w:hanging="425"/>
        <w:jc w:val="both"/>
        <w:rPr>
          <w:rFonts w:ascii="Arial" w:hAnsi="Arial" w:cs="Arial"/>
          <w:sz w:val="20"/>
          <w:szCs w:val="20"/>
          <w:lang w:val="id-ID"/>
        </w:rPr>
      </w:pPr>
      <w:r w:rsidRPr="0087432A">
        <w:rPr>
          <w:rFonts w:ascii="Arial" w:hAnsi="Arial" w:cs="Arial"/>
          <w:sz w:val="20"/>
          <w:szCs w:val="20"/>
          <w:lang w:val="id-ID"/>
        </w:rPr>
        <w:t>H</w:t>
      </w:r>
      <w:r w:rsidRPr="0087432A">
        <w:rPr>
          <w:rFonts w:ascii="Cambria Math" w:hAnsi="Cambria Math" w:cs="Cambria Math"/>
          <w:sz w:val="20"/>
          <w:szCs w:val="20"/>
          <w:lang w:val="id-ID"/>
        </w:rPr>
        <w:t>₀</w:t>
      </w:r>
      <w:r w:rsidRPr="0087432A">
        <w:rPr>
          <w:rFonts w:ascii="Arial" w:hAnsi="Arial" w:cs="Arial"/>
          <w:sz w:val="20"/>
          <w:szCs w:val="20"/>
          <w:lang w:val="id-ID"/>
        </w:rPr>
        <w:t xml:space="preserve"> : </w:t>
      </w:r>
      <w:r w:rsidR="00106C6F" w:rsidRPr="00106C6F">
        <w:rPr>
          <w:rFonts w:ascii="Arial" w:hAnsi="Arial" w:cs="Arial"/>
          <w:sz w:val="20"/>
          <w:szCs w:val="20"/>
          <w:lang w:val="id-ID"/>
        </w:rPr>
        <w:t>there is no lack of fit in the model (model fit)</w:t>
      </w:r>
    </w:p>
    <w:p w14:paraId="049F8A6F" w14:textId="4A522F06" w:rsidR="0087432A" w:rsidRDefault="0087432A" w:rsidP="0087432A">
      <w:pPr>
        <w:pStyle w:val="DaftarParagraf"/>
        <w:numPr>
          <w:ilvl w:val="0"/>
          <w:numId w:val="8"/>
        </w:numPr>
        <w:ind w:left="851" w:hanging="425"/>
        <w:jc w:val="both"/>
        <w:rPr>
          <w:rFonts w:ascii="Arial" w:hAnsi="Arial" w:cs="Arial"/>
          <w:sz w:val="20"/>
          <w:szCs w:val="20"/>
          <w:lang w:val="id-ID"/>
        </w:rPr>
      </w:pPr>
      <w:r w:rsidRPr="0087432A">
        <w:rPr>
          <w:rFonts w:ascii="Arial" w:hAnsi="Arial" w:cs="Arial"/>
          <w:sz w:val="20"/>
          <w:szCs w:val="20"/>
          <w:lang w:val="id-ID"/>
        </w:rPr>
        <w:t>H</w:t>
      </w:r>
      <w:r w:rsidRPr="0087432A">
        <w:rPr>
          <w:rFonts w:ascii="Cambria Math" w:hAnsi="Cambria Math" w:cs="Cambria Math"/>
          <w:sz w:val="20"/>
          <w:szCs w:val="20"/>
          <w:lang w:val="id-ID"/>
        </w:rPr>
        <w:t>₁</w:t>
      </w:r>
      <w:r w:rsidRPr="0087432A">
        <w:rPr>
          <w:rFonts w:ascii="Arial" w:hAnsi="Arial" w:cs="Arial"/>
          <w:sz w:val="20"/>
          <w:szCs w:val="20"/>
          <w:lang w:val="id-ID"/>
        </w:rPr>
        <w:t xml:space="preserve"> : </w:t>
      </w:r>
      <w:r w:rsidR="00106C6F" w:rsidRPr="00106C6F">
        <w:rPr>
          <w:rFonts w:ascii="Arial" w:hAnsi="Arial" w:cs="Arial"/>
          <w:sz w:val="20"/>
          <w:szCs w:val="20"/>
          <w:lang w:val="id-ID"/>
        </w:rPr>
        <w:t>there is a lack of fit in the model (model is not suitable)</w:t>
      </w:r>
    </w:p>
    <w:p w14:paraId="12205FAB" w14:textId="168F4049" w:rsidR="0087432A" w:rsidRDefault="00106C6F" w:rsidP="0087432A">
      <w:pPr>
        <w:ind w:firstLine="425"/>
        <w:jc w:val="both"/>
        <w:rPr>
          <w:rFonts w:ascii="Arial" w:hAnsi="Arial" w:cs="Arial"/>
          <w:sz w:val="20"/>
          <w:szCs w:val="20"/>
          <w:lang w:val="id-ID"/>
        </w:rPr>
      </w:pPr>
      <w:r w:rsidRPr="00106C6F">
        <w:rPr>
          <w:rFonts w:ascii="Arial" w:hAnsi="Arial" w:cs="Arial"/>
          <w:sz w:val="20"/>
          <w:szCs w:val="20"/>
          <w:lang w:val="id-ID"/>
        </w:rPr>
        <w:t>In table 3, the F-count value is 0 then 0 &lt; 9.552, which means that H</w:t>
      </w:r>
      <w:r w:rsidRPr="00106C6F">
        <w:rPr>
          <w:rFonts w:ascii="Cambria Math" w:hAnsi="Cambria Math" w:cs="Cambria Math"/>
          <w:sz w:val="20"/>
          <w:szCs w:val="20"/>
          <w:lang w:val="id-ID"/>
        </w:rPr>
        <w:t>₀</w:t>
      </w:r>
      <w:r w:rsidRPr="00106C6F">
        <w:rPr>
          <w:rFonts w:ascii="Arial" w:hAnsi="Arial" w:cs="Arial"/>
          <w:sz w:val="20"/>
          <w:szCs w:val="20"/>
          <w:lang w:val="id-ID"/>
        </w:rPr>
        <w:t xml:space="preserve"> is accepted, meaning that there is no lack of fit (the model is appropriate) so that the estimation of this model is fulfilled.</w:t>
      </w:r>
    </w:p>
    <w:p w14:paraId="6CBC8595" w14:textId="77777777" w:rsidR="00D30482" w:rsidRDefault="00D30482" w:rsidP="00D30482">
      <w:pPr>
        <w:pStyle w:val="DaftarParagraf"/>
        <w:ind w:left="0" w:firstLine="426"/>
        <w:jc w:val="both"/>
        <w:rPr>
          <w:rFonts w:ascii="Arial" w:hAnsi="Arial" w:cs="Arial"/>
          <w:sz w:val="20"/>
          <w:szCs w:val="20"/>
          <w:lang w:val="id-ID"/>
        </w:rPr>
      </w:pPr>
    </w:p>
    <w:p w14:paraId="265C25E1" w14:textId="314449AA" w:rsidR="0087432A" w:rsidRPr="0087432A" w:rsidRDefault="00106C6F" w:rsidP="00D30482">
      <w:pPr>
        <w:pStyle w:val="DaftarParagraf"/>
        <w:ind w:left="0" w:firstLine="426"/>
        <w:jc w:val="both"/>
        <w:rPr>
          <w:rFonts w:ascii="Arial" w:hAnsi="Arial" w:cs="Arial"/>
          <w:sz w:val="20"/>
          <w:szCs w:val="20"/>
          <w:lang w:val="id-ID"/>
        </w:rPr>
      </w:pPr>
      <w:r w:rsidRPr="00106C6F">
        <w:rPr>
          <w:rFonts w:ascii="Arial" w:hAnsi="Arial" w:cs="Arial"/>
          <w:sz w:val="20"/>
          <w:szCs w:val="20"/>
          <w:lang w:val="id-ID"/>
        </w:rPr>
        <w:t>The simultaneous test aims to determine the influence between the response variable and the selected factor as a whole.</w:t>
      </w:r>
    </w:p>
    <w:p w14:paraId="3825FC49" w14:textId="6F336A54" w:rsidR="0087432A" w:rsidRPr="0087432A" w:rsidRDefault="00106C6F" w:rsidP="00D30482">
      <w:pPr>
        <w:pStyle w:val="DaftarParagraf"/>
        <w:ind w:left="426"/>
        <w:jc w:val="both"/>
        <w:rPr>
          <w:rFonts w:ascii="Arial" w:hAnsi="Arial" w:cs="Arial"/>
          <w:sz w:val="20"/>
          <w:szCs w:val="20"/>
          <w:lang w:val="id-ID"/>
        </w:rPr>
      </w:pPr>
      <w:r w:rsidRPr="00106C6F">
        <w:rPr>
          <w:rFonts w:ascii="Arial" w:hAnsi="Arial" w:cs="Arial"/>
          <w:sz w:val="20"/>
          <w:szCs w:val="20"/>
          <w:lang w:val="id-ID"/>
        </w:rPr>
        <w:t>The hypothesis used in the simultaneous test is:</w:t>
      </w:r>
    </w:p>
    <w:p w14:paraId="7AAF5DC3" w14:textId="642ECD5A" w:rsidR="00D30482" w:rsidRDefault="0087432A" w:rsidP="00D30482">
      <w:pPr>
        <w:pStyle w:val="DaftarParagraf"/>
        <w:numPr>
          <w:ilvl w:val="0"/>
          <w:numId w:val="9"/>
        </w:numPr>
        <w:ind w:left="851" w:hanging="425"/>
        <w:jc w:val="both"/>
        <w:rPr>
          <w:rFonts w:ascii="Arial" w:hAnsi="Arial" w:cs="Arial"/>
          <w:sz w:val="20"/>
          <w:szCs w:val="20"/>
          <w:lang w:val="id-ID"/>
        </w:rPr>
      </w:pPr>
      <w:r w:rsidRPr="0087432A">
        <w:rPr>
          <w:rFonts w:ascii="Arial" w:hAnsi="Arial" w:cs="Arial"/>
          <w:sz w:val="20"/>
          <w:szCs w:val="20"/>
          <w:lang w:val="id-ID"/>
        </w:rPr>
        <w:t>H</w:t>
      </w:r>
      <w:r w:rsidRPr="0087432A">
        <w:rPr>
          <w:rFonts w:ascii="Cambria Math" w:hAnsi="Cambria Math" w:cs="Cambria Math"/>
          <w:sz w:val="20"/>
          <w:szCs w:val="20"/>
          <w:lang w:val="id-ID"/>
        </w:rPr>
        <w:t>₀</w:t>
      </w:r>
      <w:r w:rsidRPr="0087432A">
        <w:rPr>
          <w:rFonts w:ascii="Arial" w:hAnsi="Arial" w:cs="Arial"/>
          <w:sz w:val="20"/>
          <w:szCs w:val="20"/>
          <w:lang w:val="id-ID"/>
        </w:rPr>
        <w:t xml:space="preserve"> = β</w:t>
      </w:r>
      <w:r w:rsidRPr="0087432A">
        <w:rPr>
          <w:rFonts w:ascii="Cambria Math" w:hAnsi="Cambria Math" w:cs="Cambria Math"/>
          <w:sz w:val="20"/>
          <w:szCs w:val="20"/>
          <w:lang w:val="id-ID"/>
        </w:rPr>
        <w:t>₁</w:t>
      </w:r>
      <w:r w:rsidRPr="0087432A">
        <w:rPr>
          <w:rFonts w:ascii="Arial" w:hAnsi="Arial" w:cs="Arial"/>
          <w:sz w:val="20"/>
          <w:szCs w:val="20"/>
          <w:lang w:val="id-ID"/>
        </w:rPr>
        <w:t xml:space="preserve"> = β</w:t>
      </w:r>
      <w:r w:rsidRPr="0087432A">
        <w:rPr>
          <w:rFonts w:ascii="Cambria Math" w:hAnsi="Cambria Math" w:cs="Cambria Math"/>
          <w:sz w:val="20"/>
          <w:szCs w:val="20"/>
          <w:lang w:val="id-ID"/>
        </w:rPr>
        <w:t>₂</w:t>
      </w:r>
      <w:r w:rsidRPr="0087432A">
        <w:rPr>
          <w:rFonts w:ascii="Arial" w:hAnsi="Arial" w:cs="Arial"/>
          <w:sz w:val="20"/>
          <w:szCs w:val="20"/>
          <w:lang w:val="id-ID"/>
        </w:rPr>
        <w:t xml:space="preserve"> = β</w:t>
      </w:r>
      <w:r w:rsidRPr="0087432A">
        <w:rPr>
          <w:rFonts w:ascii="Cambria Math" w:hAnsi="Cambria Math" w:cs="Cambria Math"/>
          <w:sz w:val="20"/>
          <w:szCs w:val="20"/>
          <w:lang w:val="id-ID"/>
        </w:rPr>
        <w:t>₃</w:t>
      </w:r>
      <w:r w:rsidRPr="0087432A">
        <w:rPr>
          <w:rFonts w:ascii="Arial" w:hAnsi="Arial" w:cs="Arial"/>
          <w:sz w:val="20"/>
          <w:szCs w:val="20"/>
          <w:lang w:val="id-ID"/>
        </w:rPr>
        <w:t xml:space="preserve"> = 0, </w:t>
      </w:r>
      <w:r w:rsidR="00106C6F" w:rsidRPr="00106C6F">
        <w:rPr>
          <w:rFonts w:ascii="Arial" w:hAnsi="Arial" w:cs="Arial"/>
          <w:sz w:val="20"/>
          <w:szCs w:val="20"/>
          <w:lang w:val="id-ID"/>
        </w:rPr>
        <w:t>meaning that the independent variables and their interactions have no effect on the response variable.</w:t>
      </w:r>
    </w:p>
    <w:p w14:paraId="496AEEE8" w14:textId="6BFE345E" w:rsidR="0087432A" w:rsidRDefault="0087432A" w:rsidP="00D30482">
      <w:pPr>
        <w:pStyle w:val="DaftarParagraf"/>
        <w:numPr>
          <w:ilvl w:val="0"/>
          <w:numId w:val="9"/>
        </w:numPr>
        <w:ind w:left="851" w:hanging="425"/>
        <w:jc w:val="both"/>
        <w:rPr>
          <w:rFonts w:ascii="Arial" w:hAnsi="Arial" w:cs="Arial"/>
          <w:sz w:val="20"/>
          <w:szCs w:val="20"/>
          <w:lang w:val="id-ID"/>
        </w:rPr>
      </w:pPr>
      <w:r w:rsidRPr="00D30482">
        <w:rPr>
          <w:rFonts w:ascii="Arial" w:hAnsi="Arial" w:cs="Arial"/>
          <w:sz w:val="20"/>
          <w:szCs w:val="20"/>
          <w:lang w:val="id-ID"/>
        </w:rPr>
        <w:t>H</w:t>
      </w:r>
      <w:r w:rsidRPr="00D30482">
        <w:rPr>
          <w:rFonts w:ascii="Cambria Math" w:hAnsi="Cambria Math" w:cs="Cambria Math"/>
          <w:sz w:val="20"/>
          <w:szCs w:val="20"/>
          <w:lang w:val="id-ID"/>
        </w:rPr>
        <w:t>₁</w:t>
      </w:r>
      <w:r w:rsidRPr="00D30482">
        <w:rPr>
          <w:rFonts w:ascii="Arial" w:hAnsi="Arial" w:cs="Arial"/>
          <w:sz w:val="20"/>
          <w:szCs w:val="20"/>
          <w:lang w:val="id-ID"/>
        </w:rPr>
        <w:t xml:space="preserve"> = </w:t>
      </w:r>
      <w:r w:rsidR="00106C6F" w:rsidRPr="00106C6F">
        <w:rPr>
          <w:rFonts w:ascii="Arial" w:hAnsi="Arial" w:cs="Arial"/>
          <w:sz w:val="20"/>
          <w:szCs w:val="20"/>
          <w:lang w:val="id-ID"/>
        </w:rPr>
        <w:t>there is at least one i so that</w:t>
      </w:r>
      <w:r w:rsidRPr="00D30482">
        <w:rPr>
          <w:rFonts w:ascii="Arial" w:hAnsi="Arial" w:cs="Arial"/>
          <w:sz w:val="20"/>
          <w:szCs w:val="20"/>
          <w:lang w:val="id-ID"/>
        </w:rPr>
        <w:t xml:space="preserve"> βi ≠ 0; 1 = 1,2,3, </w:t>
      </w:r>
      <w:r w:rsidR="00106C6F" w:rsidRPr="00106C6F">
        <w:rPr>
          <w:rFonts w:ascii="Arial" w:hAnsi="Arial" w:cs="Arial"/>
          <w:sz w:val="20"/>
          <w:szCs w:val="20"/>
          <w:lang w:val="id-ID"/>
        </w:rPr>
        <w:t>meaning that the independent variables and their interactions affect the response variable.</w:t>
      </w:r>
    </w:p>
    <w:p w14:paraId="7A818866" w14:textId="58F14AB7" w:rsidR="00D30482" w:rsidRDefault="00106C6F" w:rsidP="00D30482">
      <w:pPr>
        <w:pStyle w:val="DaftarParagraf"/>
        <w:ind w:left="0" w:firstLine="426"/>
        <w:jc w:val="both"/>
        <w:rPr>
          <w:rFonts w:ascii="Arial" w:hAnsi="Arial" w:cs="Arial"/>
          <w:sz w:val="20"/>
          <w:szCs w:val="20"/>
          <w:lang w:val="id-ID"/>
        </w:rPr>
      </w:pPr>
      <w:r w:rsidRPr="00106C6F">
        <w:rPr>
          <w:rFonts w:ascii="Arial" w:hAnsi="Arial" w:cs="Arial"/>
          <w:sz w:val="20"/>
          <w:szCs w:val="20"/>
          <w:lang w:val="id-ID"/>
        </w:rPr>
        <w:t>In table 3, the F-count value is 176.29, 176.29&gt; 4.77, which means that H</w:t>
      </w:r>
      <w:r w:rsidRPr="00106C6F">
        <w:rPr>
          <w:rFonts w:ascii="Cambria Math" w:hAnsi="Cambria Math" w:cs="Cambria Math"/>
          <w:sz w:val="20"/>
          <w:szCs w:val="20"/>
          <w:lang w:val="id-ID"/>
        </w:rPr>
        <w:t>₀</w:t>
      </w:r>
      <w:r w:rsidRPr="00106C6F">
        <w:rPr>
          <w:rFonts w:ascii="Arial" w:hAnsi="Arial" w:cs="Arial"/>
          <w:sz w:val="20"/>
          <w:szCs w:val="20"/>
          <w:lang w:val="id-ID"/>
        </w:rPr>
        <w:t xml:space="preserve"> is rejected, meaning that the model can be statistically accepted that store demand for goods, supplier incoming goods, delivery lead time, and their interactions together have a significant effect on the response, namely warehouse stock.</w:t>
      </w:r>
    </w:p>
    <w:p w14:paraId="2F62840B" w14:textId="77777777" w:rsidR="00D30482" w:rsidRDefault="00D30482" w:rsidP="00D30482">
      <w:pPr>
        <w:pStyle w:val="DaftarParagraf"/>
        <w:ind w:left="0" w:firstLine="426"/>
        <w:jc w:val="both"/>
        <w:rPr>
          <w:rFonts w:ascii="Arial" w:hAnsi="Arial" w:cs="Arial"/>
          <w:sz w:val="20"/>
          <w:szCs w:val="20"/>
          <w:lang w:val="id-ID"/>
        </w:rPr>
      </w:pPr>
    </w:p>
    <w:p w14:paraId="28F9E33C" w14:textId="07AF0C4D" w:rsidR="00D30482" w:rsidRPr="00D30482" w:rsidRDefault="00106C6F" w:rsidP="00D30482">
      <w:pPr>
        <w:pStyle w:val="DaftarParagraf"/>
        <w:ind w:left="0" w:firstLine="426"/>
        <w:jc w:val="both"/>
        <w:rPr>
          <w:rFonts w:ascii="Arial" w:hAnsi="Arial" w:cs="Arial"/>
          <w:sz w:val="20"/>
          <w:szCs w:val="20"/>
          <w:lang w:val="id-ID"/>
        </w:rPr>
      </w:pPr>
      <w:r w:rsidRPr="00106C6F">
        <w:rPr>
          <w:rFonts w:ascii="Arial" w:hAnsi="Arial" w:cs="Arial"/>
          <w:sz w:val="20"/>
          <w:szCs w:val="20"/>
          <w:lang w:val="id-ID"/>
        </w:rPr>
        <w:t>Testing the parameter coefficients individually is intended to test the regression of yi on a certain independent parameter Xi, when parameter Xi is considered constant.</w:t>
      </w:r>
    </w:p>
    <w:p w14:paraId="158F49C5" w14:textId="50456E71" w:rsidR="00D30482" w:rsidRPr="00D30482" w:rsidRDefault="00106C6F" w:rsidP="00D30482">
      <w:pPr>
        <w:pStyle w:val="DaftarParagraf"/>
        <w:ind w:left="0" w:firstLine="426"/>
        <w:jc w:val="both"/>
        <w:rPr>
          <w:rFonts w:ascii="Arial" w:hAnsi="Arial" w:cs="Arial"/>
          <w:sz w:val="20"/>
          <w:szCs w:val="20"/>
          <w:lang w:val="id-ID"/>
        </w:rPr>
      </w:pPr>
      <w:r w:rsidRPr="00106C6F">
        <w:rPr>
          <w:rFonts w:ascii="Arial" w:hAnsi="Arial" w:cs="Arial"/>
          <w:sz w:val="20"/>
          <w:szCs w:val="20"/>
          <w:lang w:val="id-ID"/>
        </w:rPr>
        <w:t>The hypothesis used in the individual test is:</w:t>
      </w:r>
    </w:p>
    <w:p w14:paraId="350DC8CC" w14:textId="2E3577BE" w:rsidR="00D30482" w:rsidRPr="00D30482" w:rsidRDefault="00D30482" w:rsidP="00D30482">
      <w:pPr>
        <w:pStyle w:val="DaftarParagraf"/>
        <w:numPr>
          <w:ilvl w:val="0"/>
          <w:numId w:val="10"/>
        </w:numPr>
        <w:ind w:left="851" w:hanging="425"/>
        <w:jc w:val="both"/>
        <w:rPr>
          <w:rFonts w:ascii="Arial" w:hAnsi="Arial" w:cs="Arial"/>
          <w:sz w:val="20"/>
          <w:szCs w:val="20"/>
          <w:lang w:val="id-ID"/>
        </w:rPr>
      </w:pPr>
      <w:r w:rsidRPr="00D30482">
        <w:rPr>
          <w:rFonts w:ascii="Arial" w:hAnsi="Arial" w:cs="Arial"/>
          <w:sz w:val="20"/>
          <w:szCs w:val="20"/>
          <w:lang w:val="id-ID"/>
        </w:rPr>
        <w:t>H</w:t>
      </w:r>
      <w:r w:rsidRPr="00D30482">
        <w:rPr>
          <w:rFonts w:ascii="Cambria Math" w:hAnsi="Cambria Math" w:cs="Cambria Math"/>
          <w:sz w:val="20"/>
          <w:szCs w:val="20"/>
          <w:lang w:val="id-ID"/>
        </w:rPr>
        <w:t>₀</w:t>
      </w:r>
      <w:r w:rsidRPr="00D30482">
        <w:rPr>
          <w:rFonts w:ascii="Arial" w:hAnsi="Arial" w:cs="Arial"/>
          <w:sz w:val="20"/>
          <w:szCs w:val="20"/>
          <w:lang w:val="id-ID"/>
        </w:rPr>
        <w:t xml:space="preserve">: βi = 0, </w:t>
      </w:r>
      <w:r w:rsidR="00106C6F" w:rsidRPr="00106C6F">
        <w:rPr>
          <w:rFonts w:ascii="Arial" w:hAnsi="Arial" w:cs="Arial"/>
          <w:sz w:val="20"/>
          <w:szCs w:val="20"/>
          <w:lang w:val="id-ID"/>
        </w:rPr>
        <w:t>meaning that the factor has no effect on the response</w:t>
      </w:r>
    </w:p>
    <w:p w14:paraId="6CDCFB1B" w14:textId="187DD49B" w:rsidR="00D30482" w:rsidRPr="00D30482" w:rsidRDefault="00D30482" w:rsidP="00D30482">
      <w:pPr>
        <w:pStyle w:val="DaftarParagraf"/>
        <w:numPr>
          <w:ilvl w:val="0"/>
          <w:numId w:val="10"/>
        </w:numPr>
        <w:ind w:left="851" w:hanging="425"/>
        <w:jc w:val="both"/>
        <w:rPr>
          <w:rFonts w:ascii="Arial" w:hAnsi="Arial" w:cs="Arial"/>
          <w:sz w:val="20"/>
          <w:szCs w:val="20"/>
          <w:lang w:val="id-ID"/>
        </w:rPr>
      </w:pPr>
      <w:r w:rsidRPr="00D30482">
        <w:rPr>
          <w:rFonts w:ascii="Arial" w:hAnsi="Arial" w:cs="Arial"/>
          <w:sz w:val="20"/>
          <w:szCs w:val="20"/>
          <w:lang w:val="id-ID"/>
        </w:rPr>
        <w:t>H</w:t>
      </w:r>
      <w:r w:rsidRPr="00D30482">
        <w:rPr>
          <w:rFonts w:ascii="Cambria Math" w:hAnsi="Cambria Math" w:cs="Cambria Math"/>
          <w:sz w:val="20"/>
          <w:szCs w:val="20"/>
          <w:lang w:val="id-ID"/>
        </w:rPr>
        <w:t>₁</w:t>
      </w:r>
      <w:r w:rsidRPr="00D30482">
        <w:rPr>
          <w:rFonts w:ascii="Arial" w:hAnsi="Arial" w:cs="Arial"/>
          <w:sz w:val="20"/>
          <w:szCs w:val="20"/>
          <w:lang w:val="id-ID"/>
        </w:rPr>
        <w:t xml:space="preserve">: βi ≠ 0, </w:t>
      </w:r>
      <w:r w:rsidR="00106C6F" w:rsidRPr="00106C6F">
        <w:rPr>
          <w:rFonts w:ascii="Arial" w:hAnsi="Arial" w:cs="Arial"/>
          <w:sz w:val="20"/>
          <w:szCs w:val="20"/>
          <w:lang w:val="id-ID"/>
        </w:rPr>
        <w:t>meaning that the factor affects the response</w:t>
      </w:r>
    </w:p>
    <w:p w14:paraId="749A3DD1" w14:textId="77777777" w:rsidR="00D30482" w:rsidRPr="00D30482" w:rsidRDefault="00D30482" w:rsidP="00D30482">
      <w:pPr>
        <w:pStyle w:val="DaftarParagraf"/>
        <w:numPr>
          <w:ilvl w:val="0"/>
          <w:numId w:val="10"/>
        </w:numPr>
        <w:ind w:left="851" w:hanging="425"/>
        <w:jc w:val="both"/>
        <w:rPr>
          <w:rFonts w:ascii="Arial" w:hAnsi="Arial" w:cs="Arial"/>
          <w:sz w:val="20"/>
          <w:szCs w:val="20"/>
          <w:lang w:val="id-ID"/>
        </w:rPr>
      </w:pPr>
      <w:r w:rsidRPr="00D30482">
        <w:rPr>
          <w:rFonts w:ascii="Arial" w:hAnsi="Arial" w:cs="Arial"/>
          <w:sz w:val="20"/>
          <w:szCs w:val="20"/>
          <w:lang w:val="id-ID"/>
        </w:rPr>
        <w:t>i = 1,2,3</w:t>
      </w:r>
    </w:p>
    <w:p w14:paraId="00F097BD" w14:textId="143A5DC8" w:rsidR="00D30482" w:rsidRDefault="00106C6F" w:rsidP="00106C6F">
      <w:pPr>
        <w:pStyle w:val="DaftarParagraf"/>
        <w:ind w:left="0"/>
        <w:jc w:val="center"/>
        <w:rPr>
          <w:rFonts w:ascii="Arial" w:hAnsi="Arial" w:cs="Arial"/>
          <w:sz w:val="20"/>
          <w:szCs w:val="20"/>
          <w:lang w:val="id-ID"/>
        </w:rPr>
      </w:pPr>
      <w:r w:rsidRPr="00106C6F">
        <w:rPr>
          <w:rFonts w:ascii="Arial" w:hAnsi="Arial" w:cs="Arial"/>
          <w:sz w:val="20"/>
          <w:szCs w:val="20"/>
          <w:lang w:val="id-ID"/>
        </w:rPr>
        <w:t>Table 4 Individual Test Results</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1265"/>
        <w:gridCol w:w="1265"/>
        <w:gridCol w:w="1133"/>
        <w:gridCol w:w="1098"/>
        <w:gridCol w:w="1954"/>
      </w:tblGrid>
      <w:tr w:rsidR="00D30482" w:rsidRPr="00D30482" w14:paraId="2DF8A952" w14:textId="77777777" w:rsidTr="00C50DDD">
        <w:trPr>
          <w:tblHeader/>
          <w:jc w:val="center"/>
        </w:trPr>
        <w:tc>
          <w:tcPr>
            <w:tcW w:w="1223" w:type="dxa"/>
            <w:tcBorders>
              <w:top w:val="single" w:sz="4" w:space="0" w:color="auto"/>
              <w:bottom w:val="single" w:sz="4" w:space="0" w:color="auto"/>
            </w:tcBorders>
            <w:vAlign w:val="center"/>
          </w:tcPr>
          <w:p w14:paraId="36107979" w14:textId="1B701F54" w:rsidR="00D30482" w:rsidRPr="00D30482" w:rsidRDefault="00106C6F" w:rsidP="00C43F1D">
            <w:pPr>
              <w:pStyle w:val="DaftarParagraf"/>
              <w:ind w:left="0"/>
              <w:jc w:val="center"/>
              <w:rPr>
                <w:rFonts w:ascii="Arial" w:hAnsi="Arial" w:cs="Arial"/>
                <w:b/>
                <w:bCs/>
                <w:szCs w:val="18"/>
                <w:lang w:val="id-ID"/>
              </w:rPr>
            </w:pPr>
            <w:r>
              <w:rPr>
                <w:rFonts w:ascii="Arial" w:hAnsi="Arial" w:cs="Arial"/>
                <w:b/>
                <w:bCs/>
                <w:szCs w:val="18"/>
                <w:lang w:val="id-ID"/>
              </w:rPr>
              <w:t>Variable</w:t>
            </w:r>
          </w:p>
        </w:tc>
        <w:tc>
          <w:tcPr>
            <w:tcW w:w="1265" w:type="dxa"/>
            <w:tcBorders>
              <w:top w:val="single" w:sz="4" w:space="0" w:color="auto"/>
              <w:bottom w:val="single" w:sz="4" w:space="0" w:color="auto"/>
            </w:tcBorders>
            <w:vAlign w:val="center"/>
          </w:tcPr>
          <w:p w14:paraId="3110EBA1" w14:textId="417F3515" w:rsidR="00D30482" w:rsidRPr="00D30482" w:rsidRDefault="00106C6F" w:rsidP="00C43F1D">
            <w:pPr>
              <w:pStyle w:val="DaftarParagraf"/>
              <w:ind w:left="0"/>
              <w:jc w:val="center"/>
              <w:rPr>
                <w:rFonts w:ascii="Arial" w:hAnsi="Arial" w:cs="Arial"/>
                <w:b/>
                <w:bCs/>
                <w:szCs w:val="18"/>
                <w:lang w:val="id-ID"/>
              </w:rPr>
            </w:pPr>
            <w:r>
              <w:rPr>
                <w:rFonts w:ascii="Arial" w:hAnsi="Arial" w:cs="Arial"/>
                <w:b/>
                <w:bCs/>
                <w:szCs w:val="18"/>
                <w:lang w:val="id-ID"/>
              </w:rPr>
              <w:t>Coefficient</w:t>
            </w:r>
            <w:r w:rsidR="00D30482" w:rsidRPr="00D30482">
              <w:rPr>
                <w:rFonts w:ascii="Arial" w:hAnsi="Arial" w:cs="Arial"/>
                <w:b/>
                <w:bCs/>
                <w:szCs w:val="18"/>
                <w:lang w:val="id-ID"/>
              </w:rPr>
              <w:t xml:space="preserve"> (bi)</w:t>
            </w:r>
          </w:p>
        </w:tc>
        <w:tc>
          <w:tcPr>
            <w:tcW w:w="1265" w:type="dxa"/>
            <w:tcBorders>
              <w:top w:val="single" w:sz="4" w:space="0" w:color="auto"/>
              <w:bottom w:val="single" w:sz="4" w:space="0" w:color="auto"/>
            </w:tcBorders>
            <w:vAlign w:val="center"/>
          </w:tcPr>
          <w:p w14:paraId="712C3CB4" w14:textId="1E3185CD" w:rsidR="00D30482" w:rsidRPr="00D30482" w:rsidRDefault="00D30482" w:rsidP="00C43F1D">
            <w:pPr>
              <w:pStyle w:val="DaftarParagraf"/>
              <w:ind w:left="0"/>
              <w:jc w:val="center"/>
              <w:rPr>
                <w:rFonts w:ascii="Arial" w:hAnsi="Arial" w:cs="Arial"/>
                <w:b/>
                <w:bCs/>
                <w:szCs w:val="18"/>
                <w:lang w:val="id-ID"/>
              </w:rPr>
            </w:pPr>
            <w:r w:rsidRPr="00D30482">
              <w:rPr>
                <w:rFonts w:ascii="Arial" w:hAnsi="Arial" w:cs="Arial"/>
                <w:b/>
                <w:bCs/>
                <w:szCs w:val="18"/>
                <w:lang w:val="id-ID"/>
              </w:rPr>
              <w:t xml:space="preserve">Standar Error (Se) </w:t>
            </w:r>
            <w:r w:rsidR="00EE21E0">
              <w:rPr>
                <w:rFonts w:ascii="Arial" w:hAnsi="Arial" w:cs="Arial"/>
                <w:b/>
                <w:bCs/>
                <w:szCs w:val="18"/>
                <w:lang w:val="id-ID"/>
              </w:rPr>
              <w:t>of the coefficient</w:t>
            </w:r>
          </w:p>
        </w:tc>
        <w:tc>
          <w:tcPr>
            <w:tcW w:w="1133" w:type="dxa"/>
            <w:tcBorders>
              <w:top w:val="single" w:sz="4" w:space="0" w:color="auto"/>
              <w:bottom w:val="single" w:sz="4" w:space="0" w:color="auto"/>
            </w:tcBorders>
            <w:vAlign w:val="center"/>
          </w:tcPr>
          <w:p w14:paraId="4921AE97" w14:textId="52F8D851" w:rsidR="00D30482" w:rsidRPr="00D30482" w:rsidRDefault="00D30482" w:rsidP="00C43F1D">
            <w:pPr>
              <w:pStyle w:val="DaftarParagraf"/>
              <w:ind w:left="0"/>
              <w:jc w:val="center"/>
              <w:rPr>
                <w:rFonts w:ascii="Arial" w:hAnsi="Arial" w:cs="Arial"/>
                <w:b/>
                <w:bCs/>
                <w:szCs w:val="18"/>
                <w:lang w:val="id-ID"/>
              </w:rPr>
            </w:pPr>
            <w:r w:rsidRPr="00D30482">
              <w:rPr>
                <w:rFonts w:ascii="Arial" w:hAnsi="Arial" w:cs="Arial"/>
                <w:b/>
                <w:bCs/>
                <w:szCs w:val="18"/>
                <w:lang w:val="id-ID"/>
              </w:rPr>
              <w:t>t</w:t>
            </w:r>
            <w:r>
              <w:rPr>
                <w:rFonts w:ascii="Arial" w:hAnsi="Arial" w:cs="Arial"/>
                <w:b/>
                <w:bCs/>
                <w:szCs w:val="18"/>
                <w:lang w:val="id-ID"/>
              </w:rPr>
              <w:t>-</w:t>
            </w:r>
            <w:r w:rsidR="00EE21E0">
              <w:rPr>
                <w:rFonts w:ascii="Arial" w:hAnsi="Arial" w:cs="Arial"/>
                <w:b/>
                <w:bCs/>
                <w:szCs w:val="18"/>
                <w:lang w:val="id-ID"/>
              </w:rPr>
              <w:t>count</w:t>
            </w:r>
          </w:p>
        </w:tc>
        <w:tc>
          <w:tcPr>
            <w:tcW w:w="1098" w:type="dxa"/>
            <w:tcBorders>
              <w:top w:val="single" w:sz="4" w:space="0" w:color="auto"/>
              <w:bottom w:val="single" w:sz="4" w:space="0" w:color="auto"/>
            </w:tcBorders>
            <w:vAlign w:val="center"/>
          </w:tcPr>
          <w:p w14:paraId="2C33B198" w14:textId="4F264989" w:rsidR="00D30482" w:rsidRPr="00D30482" w:rsidRDefault="00D30482" w:rsidP="00C43F1D">
            <w:pPr>
              <w:pStyle w:val="DaftarParagraf"/>
              <w:ind w:left="0"/>
              <w:jc w:val="center"/>
              <w:rPr>
                <w:rFonts w:ascii="Arial" w:hAnsi="Arial" w:cs="Arial"/>
                <w:b/>
                <w:bCs/>
                <w:szCs w:val="18"/>
                <w:lang w:val="id-ID"/>
              </w:rPr>
            </w:pPr>
            <w:r w:rsidRPr="00D30482">
              <w:rPr>
                <w:rFonts w:ascii="Arial" w:hAnsi="Arial" w:cs="Arial"/>
                <w:b/>
                <w:bCs/>
                <w:szCs w:val="18"/>
                <w:lang w:val="id-ID"/>
              </w:rPr>
              <w:t>t</w:t>
            </w:r>
            <w:r>
              <w:rPr>
                <w:rFonts w:ascii="Arial" w:hAnsi="Arial" w:cs="Arial"/>
                <w:b/>
                <w:bCs/>
                <w:szCs w:val="18"/>
                <w:lang w:val="id-ID"/>
              </w:rPr>
              <w:t>-</w:t>
            </w:r>
            <w:r w:rsidR="00EE21E0">
              <w:rPr>
                <w:rFonts w:ascii="Arial" w:hAnsi="Arial" w:cs="Arial"/>
                <w:b/>
                <w:bCs/>
                <w:szCs w:val="18"/>
                <w:lang w:val="id-ID"/>
              </w:rPr>
              <w:t>table</w:t>
            </w:r>
          </w:p>
        </w:tc>
        <w:tc>
          <w:tcPr>
            <w:tcW w:w="1954" w:type="dxa"/>
            <w:tcBorders>
              <w:top w:val="single" w:sz="4" w:space="0" w:color="auto"/>
              <w:bottom w:val="single" w:sz="4" w:space="0" w:color="auto"/>
            </w:tcBorders>
            <w:vAlign w:val="center"/>
          </w:tcPr>
          <w:p w14:paraId="5630ECC8" w14:textId="7C58532E" w:rsidR="00D30482" w:rsidRPr="00D30482" w:rsidRDefault="00EE21E0" w:rsidP="00C43F1D">
            <w:pPr>
              <w:pStyle w:val="DaftarParagraf"/>
              <w:ind w:left="0"/>
              <w:jc w:val="center"/>
              <w:rPr>
                <w:rFonts w:ascii="Arial" w:hAnsi="Arial" w:cs="Arial"/>
                <w:b/>
                <w:bCs/>
                <w:szCs w:val="18"/>
                <w:lang w:val="id-ID"/>
              </w:rPr>
            </w:pPr>
            <w:r>
              <w:rPr>
                <w:rFonts w:ascii="Arial" w:hAnsi="Arial" w:cs="Arial"/>
                <w:b/>
                <w:bCs/>
                <w:szCs w:val="18"/>
                <w:lang w:val="id-ID"/>
              </w:rPr>
              <w:t>Conclusion</w:t>
            </w:r>
          </w:p>
        </w:tc>
      </w:tr>
      <w:tr w:rsidR="00D30482" w:rsidRPr="00D30482" w14:paraId="5697EB97" w14:textId="77777777" w:rsidTr="00D30482">
        <w:trPr>
          <w:jc w:val="center"/>
        </w:trPr>
        <w:tc>
          <w:tcPr>
            <w:tcW w:w="1223" w:type="dxa"/>
            <w:tcBorders>
              <w:top w:val="single" w:sz="4" w:space="0" w:color="auto"/>
            </w:tcBorders>
            <w:vAlign w:val="center"/>
          </w:tcPr>
          <w:p w14:paraId="37848183" w14:textId="77777777" w:rsidR="00D30482" w:rsidRPr="00D30482" w:rsidRDefault="00000000" w:rsidP="00C43F1D">
            <w:pPr>
              <w:pStyle w:val="DaftarParagraf"/>
              <w:ind w:left="0"/>
              <w:jc w:val="center"/>
              <w:rPr>
                <w:rFonts w:ascii="Arial" w:hAnsi="Arial" w:cs="Arial"/>
                <w:szCs w:val="18"/>
                <w:lang w:val="id-ID"/>
              </w:rPr>
            </w:pPr>
            <m:oMathPara>
              <m:oMath>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1</m:t>
                    </m:r>
                  </m:sub>
                </m:sSub>
              </m:oMath>
            </m:oMathPara>
          </w:p>
        </w:tc>
        <w:tc>
          <w:tcPr>
            <w:tcW w:w="1265" w:type="dxa"/>
            <w:tcBorders>
              <w:top w:val="single" w:sz="4" w:space="0" w:color="auto"/>
            </w:tcBorders>
            <w:vAlign w:val="center"/>
          </w:tcPr>
          <w:p w14:paraId="71694672"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-3829</w:t>
            </w:r>
          </w:p>
        </w:tc>
        <w:tc>
          <w:tcPr>
            <w:tcW w:w="1265" w:type="dxa"/>
            <w:tcBorders>
              <w:top w:val="single" w:sz="4" w:space="0" w:color="auto"/>
            </w:tcBorders>
            <w:vAlign w:val="center"/>
          </w:tcPr>
          <w:p w14:paraId="6EC064AB"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600</w:t>
            </w:r>
          </w:p>
        </w:tc>
        <w:tc>
          <w:tcPr>
            <w:tcW w:w="1133" w:type="dxa"/>
            <w:tcBorders>
              <w:top w:val="single" w:sz="4" w:space="0" w:color="auto"/>
            </w:tcBorders>
            <w:vAlign w:val="center"/>
          </w:tcPr>
          <w:p w14:paraId="65E2EBA1"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-6,38</w:t>
            </w:r>
          </w:p>
        </w:tc>
        <w:tc>
          <w:tcPr>
            <w:tcW w:w="1098" w:type="dxa"/>
            <w:tcBorders>
              <w:top w:val="single" w:sz="4" w:space="0" w:color="auto"/>
            </w:tcBorders>
            <w:vAlign w:val="center"/>
          </w:tcPr>
          <w:p w14:paraId="4D7674E7"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tcBorders>
              <w:top w:val="single" w:sz="4" w:space="0" w:color="auto"/>
            </w:tcBorders>
            <w:vAlign w:val="center"/>
          </w:tcPr>
          <w:p w14:paraId="546F8D98" w14:textId="6773A4FD"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an effect</w:t>
            </w:r>
          </w:p>
        </w:tc>
      </w:tr>
      <w:tr w:rsidR="00D30482" w:rsidRPr="00D30482" w14:paraId="5B83C1A4" w14:textId="77777777" w:rsidTr="00D30482">
        <w:trPr>
          <w:jc w:val="center"/>
        </w:trPr>
        <w:tc>
          <w:tcPr>
            <w:tcW w:w="1223" w:type="dxa"/>
            <w:vAlign w:val="center"/>
          </w:tcPr>
          <w:p w14:paraId="1D35E4DC" w14:textId="77777777" w:rsidR="00D30482" w:rsidRPr="00D30482" w:rsidRDefault="00000000" w:rsidP="00C43F1D">
            <w:pPr>
              <w:pStyle w:val="DaftarParagraf"/>
              <w:ind w:left="0"/>
              <w:jc w:val="center"/>
              <w:rPr>
                <w:rFonts w:ascii="Arial" w:hAnsi="Arial" w:cs="Arial"/>
                <w:szCs w:val="18"/>
                <w:lang w:val="id-ID"/>
              </w:rPr>
            </w:pPr>
            <m:oMathPara>
              <m:oMath>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2</m:t>
                    </m:r>
                  </m:sub>
                </m:sSub>
              </m:oMath>
            </m:oMathPara>
          </w:p>
        </w:tc>
        <w:tc>
          <w:tcPr>
            <w:tcW w:w="1265" w:type="dxa"/>
            <w:vAlign w:val="center"/>
          </w:tcPr>
          <w:p w14:paraId="3799A011"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18892</w:t>
            </w:r>
          </w:p>
        </w:tc>
        <w:tc>
          <w:tcPr>
            <w:tcW w:w="1265" w:type="dxa"/>
            <w:vAlign w:val="center"/>
          </w:tcPr>
          <w:p w14:paraId="1B9E8558"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600</w:t>
            </w:r>
          </w:p>
        </w:tc>
        <w:tc>
          <w:tcPr>
            <w:tcW w:w="1133" w:type="dxa"/>
            <w:vAlign w:val="center"/>
          </w:tcPr>
          <w:p w14:paraId="2B6E3A4A"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31,49</w:t>
            </w:r>
          </w:p>
        </w:tc>
        <w:tc>
          <w:tcPr>
            <w:tcW w:w="1098" w:type="dxa"/>
            <w:vAlign w:val="center"/>
          </w:tcPr>
          <w:p w14:paraId="3EBF0100"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vAlign w:val="center"/>
          </w:tcPr>
          <w:p w14:paraId="409627DB" w14:textId="738992E7"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an effect</w:t>
            </w:r>
          </w:p>
        </w:tc>
      </w:tr>
      <w:tr w:rsidR="00D30482" w:rsidRPr="00D30482" w14:paraId="5BF42212" w14:textId="77777777" w:rsidTr="00D30482">
        <w:trPr>
          <w:jc w:val="center"/>
        </w:trPr>
        <w:tc>
          <w:tcPr>
            <w:tcW w:w="1223" w:type="dxa"/>
            <w:vAlign w:val="center"/>
          </w:tcPr>
          <w:p w14:paraId="68A89C8C" w14:textId="77777777" w:rsidR="00D30482" w:rsidRPr="00D30482" w:rsidRDefault="00000000" w:rsidP="00C43F1D">
            <w:pPr>
              <w:pStyle w:val="DaftarParagraf"/>
              <w:ind w:left="0"/>
              <w:jc w:val="center"/>
              <w:rPr>
                <w:rFonts w:ascii="Arial" w:hAnsi="Arial" w:cs="Arial"/>
                <w:szCs w:val="18"/>
                <w:lang w:val="id-ID"/>
              </w:rPr>
            </w:pPr>
            <m:oMathPara>
              <m:oMath>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3</m:t>
                    </m:r>
                  </m:sub>
                </m:sSub>
              </m:oMath>
            </m:oMathPara>
          </w:p>
        </w:tc>
        <w:tc>
          <w:tcPr>
            <w:tcW w:w="1265" w:type="dxa"/>
            <w:vAlign w:val="center"/>
          </w:tcPr>
          <w:p w14:paraId="278A9D3F"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11467</w:t>
            </w:r>
          </w:p>
        </w:tc>
        <w:tc>
          <w:tcPr>
            <w:tcW w:w="1265" w:type="dxa"/>
            <w:vAlign w:val="center"/>
          </w:tcPr>
          <w:p w14:paraId="0BBF536E"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600</w:t>
            </w:r>
          </w:p>
        </w:tc>
        <w:tc>
          <w:tcPr>
            <w:tcW w:w="1133" w:type="dxa"/>
            <w:vAlign w:val="center"/>
          </w:tcPr>
          <w:p w14:paraId="45F058C2"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19,10</w:t>
            </w:r>
          </w:p>
        </w:tc>
        <w:tc>
          <w:tcPr>
            <w:tcW w:w="1098" w:type="dxa"/>
            <w:vAlign w:val="center"/>
          </w:tcPr>
          <w:p w14:paraId="3089F45A"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vAlign w:val="center"/>
          </w:tcPr>
          <w:p w14:paraId="376FED6C" w14:textId="37B25275"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an effect</w:t>
            </w:r>
          </w:p>
        </w:tc>
      </w:tr>
      <w:tr w:rsidR="00D30482" w:rsidRPr="00D30482" w14:paraId="4FFAE45A" w14:textId="77777777" w:rsidTr="00D30482">
        <w:trPr>
          <w:jc w:val="center"/>
        </w:trPr>
        <w:tc>
          <w:tcPr>
            <w:tcW w:w="1223" w:type="dxa"/>
            <w:vAlign w:val="center"/>
          </w:tcPr>
          <w:p w14:paraId="3FCC0493" w14:textId="77777777" w:rsidR="00D30482" w:rsidRPr="00D30482" w:rsidRDefault="00000000" w:rsidP="00C43F1D">
            <w:pPr>
              <w:pStyle w:val="DaftarParagraf"/>
              <w:ind w:left="0"/>
              <w:jc w:val="center"/>
              <w:rPr>
                <w:rFonts w:ascii="Arial" w:hAnsi="Arial" w:cs="Arial"/>
                <w:szCs w:val="18"/>
                <w:lang w:val="id-ID"/>
              </w:rPr>
            </w:pPr>
            <m:oMathPara>
              <m:oMath>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1</m:t>
                    </m:r>
                  </m:sub>
                </m:sSub>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2</m:t>
                    </m:r>
                  </m:sub>
                </m:sSub>
              </m:oMath>
            </m:oMathPara>
          </w:p>
        </w:tc>
        <w:tc>
          <w:tcPr>
            <w:tcW w:w="1265" w:type="dxa"/>
            <w:vAlign w:val="center"/>
          </w:tcPr>
          <w:p w14:paraId="10D854CC"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949</w:t>
            </w:r>
          </w:p>
        </w:tc>
        <w:tc>
          <w:tcPr>
            <w:tcW w:w="1265" w:type="dxa"/>
            <w:vAlign w:val="center"/>
          </w:tcPr>
          <w:p w14:paraId="5639BDF8"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883</w:t>
            </w:r>
          </w:p>
        </w:tc>
        <w:tc>
          <w:tcPr>
            <w:tcW w:w="1133" w:type="dxa"/>
            <w:vAlign w:val="center"/>
          </w:tcPr>
          <w:p w14:paraId="0039C537"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1,07</w:t>
            </w:r>
          </w:p>
        </w:tc>
        <w:tc>
          <w:tcPr>
            <w:tcW w:w="1098" w:type="dxa"/>
            <w:vAlign w:val="center"/>
          </w:tcPr>
          <w:p w14:paraId="434F7498"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vAlign w:val="center"/>
          </w:tcPr>
          <w:p w14:paraId="5A38CC1A" w14:textId="07B74832"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no effect</w:t>
            </w:r>
          </w:p>
        </w:tc>
      </w:tr>
      <w:tr w:rsidR="00D30482" w:rsidRPr="00D30482" w14:paraId="2664BD5F" w14:textId="77777777" w:rsidTr="00D30482">
        <w:trPr>
          <w:jc w:val="center"/>
        </w:trPr>
        <w:tc>
          <w:tcPr>
            <w:tcW w:w="1223" w:type="dxa"/>
            <w:vAlign w:val="center"/>
          </w:tcPr>
          <w:p w14:paraId="6717218A" w14:textId="77777777" w:rsidR="00D30482" w:rsidRPr="00D30482" w:rsidRDefault="00000000" w:rsidP="00C43F1D">
            <w:pPr>
              <w:pStyle w:val="DaftarParagraf"/>
              <w:ind w:left="0"/>
              <w:jc w:val="center"/>
              <w:rPr>
                <w:rFonts w:ascii="Arial" w:hAnsi="Arial" w:cs="Arial"/>
                <w:szCs w:val="18"/>
                <w:lang w:val="id-ID"/>
              </w:rPr>
            </w:pPr>
            <m:oMathPara>
              <m:oMath>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1</m:t>
                    </m:r>
                  </m:sub>
                </m:sSub>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3</m:t>
                    </m:r>
                  </m:sub>
                </m:sSub>
              </m:oMath>
            </m:oMathPara>
          </w:p>
        </w:tc>
        <w:tc>
          <w:tcPr>
            <w:tcW w:w="1265" w:type="dxa"/>
            <w:vAlign w:val="center"/>
          </w:tcPr>
          <w:p w14:paraId="7D6EAAF5"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949</w:t>
            </w:r>
          </w:p>
        </w:tc>
        <w:tc>
          <w:tcPr>
            <w:tcW w:w="1265" w:type="dxa"/>
            <w:vAlign w:val="center"/>
          </w:tcPr>
          <w:p w14:paraId="19A17490"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883</w:t>
            </w:r>
          </w:p>
        </w:tc>
        <w:tc>
          <w:tcPr>
            <w:tcW w:w="1133" w:type="dxa"/>
            <w:vAlign w:val="center"/>
          </w:tcPr>
          <w:p w14:paraId="62018004"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1,07</w:t>
            </w:r>
          </w:p>
        </w:tc>
        <w:tc>
          <w:tcPr>
            <w:tcW w:w="1098" w:type="dxa"/>
            <w:vAlign w:val="center"/>
          </w:tcPr>
          <w:p w14:paraId="6E991322"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vAlign w:val="center"/>
          </w:tcPr>
          <w:p w14:paraId="017FFEF5" w14:textId="218C595F"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no effect</w:t>
            </w:r>
          </w:p>
        </w:tc>
      </w:tr>
      <w:tr w:rsidR="00D30482" w:rsidRPr="00D30482" w14:paraId="1478900A" w14:textId="77777777" w:rsidTr="00D30482">
        <w:trPr>
          <w:jc w:val="center"/>
        </w:trPr>
        <w:tc>
          <w:tcPr>
            <w:tcW w:w="1223" w:type="dxa"/>
            <w:vAlign w:val="center"/>
          </w:tcPr>
          <w:p w14:paraId="01C19A1E" w14:textId="77777777" w:rsidR="00D30482" w:rsidRPr="00D30482" w:rsidRDefault="00000000" w:rsidP="00C43F1D">
            <w:pPr>
              <w:pStyle w:val="DaftarParagraf"/>
              <w:ind w:left="0"/>
              <w:jc w:val="center"/>
              <w:rPr>
                <w:rFonts w:ascii="Arial" w:hAnsi="Arial" w:cs="Arial"/>
                <w:szCs w:val="18"/>
                <w:lang w:val="id-ID"/>
              </w:rPr>
            </w:pPr>
            <m:oMathPara>
              <m:oMath>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2</m:t>
                    </m:r>
                  </m:sub>
                </m:sSub>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3</m:t>
                    </m:r>
                  </m:sub>
                </m:sSub>
              </m:oMath>
            </m:oMathPara>
          </w:p>
        </w:tc>
        <w:tc>
          <w:tcPr>
            <w:tcW w:w="1265" w:type="dxa"/>
            <w:vAlign w:val="center"/>
          </w:tcPr>
          <w:p w14:paraId="7B421D24"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-949</w:t>
            </w:r>
          </w:p>
        </w:tc>
        <w:tc>
          <w:tcPr>
            <w:tcW w:w="1265" w:type="dxa"/>
            <w:vAlign w:val="center"/>
          </w:tcPr>
          <w:p w14:paraId="3264E508"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883</w:t>
            </w:r>
          </w:p>
        </w:tc>
        <w:tc>
          <w:tcPr>
            <w:tcW w:w="1133" w:type="dxa"/>
            <w:vAlign w:val="center"/>
          </w:tcPr>
          <w:p w14:paraId="63B328EA"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-1,07</w:t>
            </w:r>
          </w:p>
        </w:tc>
        <w:tc>
          <w:tcPr>
            <w:tcW w:w="1098" w:type="dxa"/>
            <w:vAlign w:val="center"/>
          </w:tcPr>
          <w:p w14:paraId="6B357E02"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vAlign w:val="center"/>
          </w:tcPr>
          <w:p w14:paraId="7E300D3B" w14:textId="7C10B632"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no effect</w:t>
            </w:r>
          </w:p>
        </w:tc>
      </w:tr>
      <w:tr w:rsidR="00D30482" w:rsidRPr="00D30482" w14:paraId="58CF5F49" w14:textId="77777777" w:rsidTr="00D30482">
        <w:trPr>
          <w:jc w:val="center"/>
        </w:trPr>
        <w:tc>
          <w:tcPr>
            <w:tcW w:w="1223" w:type="dxa"/>
            <w:vAlign w:val="center"/>
          </w:tcPr>
          <w:p w14:paraId="703A8FFE" w14:textId="77777777" w:rsidR="00D30482" w:rsidRPr="00D30482" w:rsidRDefault="00000000" w:rsidP="00C43F1D">
            <w:pPr>
              <w:pStyle w:val="DaftarParagraf"/>
              <w:ind w:left="0"/>
              <w:jc w:val="center"/>
              <w:rPr>
                <w:rFonts w:ascii="Arial" w:hAnsi="Arial" w:cs="Arial"/>
                <w:szCs w:val="18"/>
                <w:lang w:val="id-ID"/>
              </w:rPr>
            </w:pPr>
            <m:oMathPara>
              <m:oMath>
                <m:sSup>
                  <m:sSupPr>
                    <m:ctrlPr>
                      <w:rPr>
                        <w:rFonts w:ascii="Cambria Math" w:hAnsi="Cambria Math" w:cs="Arial"/>
                        <w:i/>
                        <w:szCs w:val="18"/>
                        <w:lang w:val="id-ID"/>
                      </w:rPr>
                    </m:ctrlPr>
                  </m:sSupPr>
                  <m:e>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1</m:t>
                        </m:r>
                      </m:sub>
                    </m:sSub>
                  </m:e>
                  <m:sup>
                    <m:r>
                      <w:rPr>
                        <w:rFonts w:ascii="Cambria Math" w:hAnsi="Cambria Math" w:cs="Arial"/>
                        <w:szCs w:val="18"/>
                        <w:lang w:val="id-ID"/>
                      </w:rPr>
                      <m:t>2</m:t>
                    </m:r>
                  </m:sup>
                </m:sSup>
              </m:oMath>
            </m:oMathPara>
          </w:p>
        </w:tc>
        <w:tc>
          <w:tcPr>
            <w:tcW w:w="1265" w:type="dxa"/>
            <w:vAlign w:val="center"/>
          </w:tcPr>
          <w:p w14:paraId="11B3049A"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1898</w:t>
            </w:r>
          </w:p>
        </w:tc>
        <w:tc>
          <w:tcPr>
            <w:tcW w:w="1265" w:type="dxa"/>
            <w:vAlign w:val="center"/>
          </w:tcPr>
          <w:p w14:paraId="1BC44F34"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849</w:t>
            </w:r>
          </w:p>
        </w:tc>
        <w:tc>
          <w:tcPr>
            <w:tcW w:w="1133" w:type="dxa"/>
            <w:vAlign w:val="center"/>
          </w:tcPr>
          <w:p w14:paraId="551F4DC3"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2,24</w:t>
            </w:r>
          </w:p>
        </w:tc>
        <w:tc>
          <w:tcPr>
            <w:tcW w:w="1098" w:type="dxa"/>
            <w:vAlign w:val="center"/>
          </w:tcPr>
          <w:p w14:paraId="2CF723CF"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vAlign w:val="center"/>
          </w:tcPr>
          <w:p w14:paraId="20257A3E" w14:textId="3B888148"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an effect</w:t>
            </w:r>
          </w:p>
        </w:tc>
      </w:tr>
      <w:tr w:rsidR="00D30482" w:rsidRPr="00D30482" w14:paraId="6D1F89B7" w14:textId="77777777" w:rsidTr="00D30482">
        <w:trPr>
          <w:jc w:val="center"/>
        </w:trPr>
        <w:tc>
          <w:tcPr>
            <w:tcW w:w="1223" w:type="dxa"/>
            <w:vAlign w:val="center"/>
          </w:tcPr>
          <w:p w14:paraId="2687474B" w14:textId="77777777" w:rsidR="00D30482" w:rsidRPr="00D30482" w:rsidRDefault="00000000" w:rsidP="00C43F1D">
            <w:pPr>
              <w:pStyle w:val="DaftarParagraf"/>
              <w:ind w:left="0"/>
              <w:jc w:val="center"/>
              <w:rPr>
                <w:rFonts w:ascii="Arial" w:hAnsi="Arial" w:cs="Arial"/>
                <w:szCs w:val="18"/>
                <w:lang w:val="id-ID"/>
              </w:rPr>
            </w:pPr>
            <m:oMathPara>
              <m:oMath>
                <m:sSup>
                  <m:sSupPr>
                    <m:ctrlPr>
                      <w:rPr>
                        <w:rFonts w:ascii="Cambria Math" w:hAnsi="Cambria Math" w:cs="Arial"/>
                        <w:i/>
                        <w:szCs w:val="18"/>
                        <w:lang w:val="id-ID"/>
                      </w:rPr>
                    </m:ctrlPr>
                  </m:sSupPr>
                  <m:e>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2</m:t>
                        </m:r>
                      </m:sub>
                    </m:sSub>
                  </m:e>
                  <m:sup>
                    <m:r>
                      <w:rPr>
                        <w:rFonts w:ascii="Cambria Math" w:hAnsi="Cambria Math" w:cs="Arial"/>
                        <w:szCs w:val="18"/>
                        <w:lang w:val="id-ID"/>
                      </w:rPr>
                      <m:t>2</m:t>
                    </m:r>
                  </m:sup>
                </m:sSup>
              </m:oMath>
            </m:oMathPara>
          </w:p>
        </w:tc>
        <w:tc>
          <w:tcPr>
            <w:tcW w:w="1265" w:type="dxa"/>
            <w:vAlign w:val="center"/>
          </w:tcPr>
          <w:p w14:paraId="2EC6BE92"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0</w:t>
            </w:r>
          </w:p>
        </w:tc>
        <w:tc>
          <w:tcPr>
            <w:tcW w:w="1265" w:type="dxa"/>
            <w:vAlign w:val="center"/>
          </w:tcPr>
          <w:p w14:paraId="1989B4F8"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849</w:t>
            </w:r>
          </w:p>
        </w:tc>
        <w:tc>
          <w:tcPr>
            <w:tcW w:w="1133" w:type="dxa"/>
            <w:vAlign w:val="center"/>
          </w:tcPr>
          <w:p w14:paraId="52F03DF9"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0,00</w:t>
            </w:r>
          </w:p>
        </w:tc>
        <w:tc>
          <w:tcPr>
            <w:tcW w:w="1098" w:type="dxa"/>
            <w:vAlign w:val="center"/>
          </w:tcPr>
          <w:p w14:paraId="658655EB"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vAlign w:val="center"/>
          </w:tcPr>
          <w:p w14:paraId="6D9AF7C1" w14:textId="08B8BE1A"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no effect</w:t>
            </w:r>
          </w:p>
        </w:tc>
      </w:tr>
      <w:tr w:rsidR="00D30482" w:rsidRPr="00D30482" w14:paraId="31822FB4" w14:textId="77777777" w:rsidTr="00D30482">
        <w:trPr>
          <w:jc w:val="center"/>
        </w:trPr>
        <w:tc>
          <w:tcPr>
            <w:tcW w:w="1223" w:type="dxa"/>
            <w:tcBorders>
              <w:bottom w:val="single" w:sz="4" w:space="0" w:color="auto"/>
            </w:tcBorders>
            <w:vAlign w:val="center"/>
          </w:tcPr>
          <w:p w14:paraId="6DF3332E" w14:textId="77777777" w:rsidR="00D30482" w:rsidRPr="00D30482" w:rsidRDefault="00000000" w:rsidP="00C43F1D">
            <w:pPr>
              <w:pStyle w:val="DaftarParagraf"/>
              <w:ind w:left="0"/>
              <w:jc w:val="center"/>
              <w:rPr>
                <w:rFonts w:ascii="Arial" w:hAnsi="Arial" w:cs="Arial"/>
                <w:szCs w:val="18"/>
                <w:lang w:val="id-ID"/>
              </w:rPr>
            </w:pPr>
            <m:oMathPara>
              <m:oMath>
                <m:sSup>
                  <m:sSupPr>
                    <m:ctrlPr>
                      <w:rPr>
                        <w:rFonts w:ascii="Cambria Math" w:hAnsi="Cambria Math" w:cs="Arial"/>
                        <w:i/>
                        <w:szCs w:val="18"/>
                        <w:lang w:val="id-ID"/>
                      </w:rPr>
                    </m:ctrlPr>
                  </m:sSupPr>
                  <m:e>
                    <m:sSub>
                      <m:sSubPr>
                        <m:ctrlPr>
                          <w:rPr>
                            <w:rFonts w:ascii="Cambria Math" w:hAnsi="Cambria Math" w:cs="Arial"/>
                            <w:i/>
                            <w:szCs w:val="18"/>
                            <w:lang w:val="id-ID"/>
                          </w:rPr>
                        </m:ctrlPr>
                      </m:sSubPr>
                      <m:e>
                        <m:r>
                          <w:rPr>
                            <w:rFonts w:ascii="Cambria Math" w:hAnsi="Cambria Math" w:cs="Arial"/>
                            <w:szCs w:val="18"/>
                            <w:lang w:val="id-ID"/>
                          </w:rPr>
                          <m:t>X</m:t>
                        </m:r>
                      </m:e>
                      <m:sub>
                        <m:r>
                          <w:rPr>
                            <w:rFonts w:ascii="Cambria Math" w:hAnsi="Cambria Math" w:cs="Arial"/>
                            <w:szCs w:val="18"/>
                            <w:lang w:val="id-ID"/>
                          </w:rPr>
                          <m:t>3</m:t>
                        </m:r>
                      </m:sub>
                    </m:sSub>
                  </m:e>
                  <m:sup>
                    <m:r>
                      <w:rPr>
                        <w:rFonts w:ascii="Cambria Math" w:hAnsi="Cambria Math" w:cs="Arial"/>
                        <w:szCs w:val="18"/>
                        <w:lang w:val="id-ID"/>
                      </w:rPr>
                      <m:t>2</m:t>
                    </m:r>
                  </m:sup>
                </m:sSup>
              </m:oMath>
            </m:oMathPara>
          </w:p>
        </w:tc>
        <w:tc>
          <w:tcPr>
            <w:tcW w:w="1265" w:type="dxa"/>
            <w:tcBorders>
              <w:bottom w:val="single" w:sz="4" w:space="0" w:color="auto"/>
            </w:tcBorders>
            <w:vAlign w:val="center"/>
          </w:tcPr>
          <w:p w14:paraId="25FF55BD"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11419</w:t>
            </w:r>
          </w:p>
        </w:tc>
        <w:tc>
          <w:tcPr>
            <w:tcW w:w="1265" w:type="dxa"/>
            <w:tcBorders>
              <w:bottom w:val="single" w:sz="4" w:space="0" w:color="auto"/>
            </w:tcBorders>
            <w:vAlign w:val="center"/>
          </w:tcPr>
          <w:p w14:paraId="4F88E809"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849</w:t>
            </w:r>
          </w:p>
        </w:tc>
        <w:tc>
          <w:tcPr>
            <w:tcW w:w="1133" w:type="dxa"/>
            <w:tcBorders>
              <w:bottom w:val="single" w:sz="4" w:space="0" w:color="auto"/>
            </w:tcBorders>
            <w:vAlign w:val="center"/>
          </w:tcPr>
          <w:p w14:paraId="523A79D6"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13,46</w:t>
            </w:r>
          </w:p>
        </w:tc>
        <w:tc>
          <w:tcPr>
            <w:tcW w:w="1098" w:type="dxa"/>
            <w:tcBorders>
              <w:bottom w:val="single" w:sz="4" w:space="0" w:color="auto"/>
            </w:tcBorders>
            <w:vAlign w:val="center"/>
          </w:tcPr>
          <w:p w14:paraId="2860D50B" w14:textId="77777777" w:rsidR="00D30482" w:rsidRPr="00D30482" w:rsidRDefault="00D30482" w:rsidP="00C43F1D">
            <w:pPr>
              <w:pStyle w:val="DaftarParagraf"/>
              <w:ind w:left="0"/>
              <w:jc w:val="center"/>
              <w:rPr>
                <w:rFonts w:ascii="Arial" w:hAnsi="Arial" w:cs="Arial"/>
                <w:szCs w:val="18"/>
                <w:lang w:val="id-ID"/>
              </w:rPr>
            </w:pPr>
            <w:r w:rsidRPr="00D30482">
              <w:rPr>
                <w:rFonts w:ascii="Arial" w:hAnsi="Arial" w:cs="Arial"/>
                <w:szCs w:val="18"/>
                <w:lang w:val="id-ID"/>
              </w:rPr>
              <w:t>1,761</w:t>
            </w:r>
          </w:p>
        </w:tc>
        <w:tc>
          <w:tcPr>
            <w:tcW w:w="1954" w:type="dxa"/>
            <w:tcBorders>
              <w:bottom w:val="single" w:sz="4" w:space="0" w:color="auto"/>
            </w:tcBorders>
            <w:vAlign w:val="center"/>
          </w:tcPr>
          <w:p w14:paraId="25D9D9B8" w14:textId="6C959C6F" w:rsidR="00D30482" w:rsidRPr="00D30482" w:rsidRDefault="00EE21E0" w:rsidP="00C43F1D">
            <w:pPr>
              <w:pStyle w:val="DaftarParagraf"/>
              <w:ind w:left="0"/>
              <w:jc w:val="center"/>
              <w:rPr>
                <w:rFonts w:ascii="Arial" w:hAnsi="Arial" w:cs="Arial"/>
                <w:szCs w:val="18"/>
                <w:lang w:val="id-ID"/>
              </w:rPr>
            </w:pPr>
            <w:r>
              <w:rPr>
                <w:rFonts w:ascii="Arial" w:hAnsi="Arial" w:cs="Arial"/>
                <w:szCs w:val="18"/>
                <w:lang w:val="id-ID"/>
              </w:rPr>
              <w:t>Has an effect</w:t>
            </w:r>
          </w:p>
        </w:tc>
      </w:tr>
    </w:tbl>
    <w:p w14:paraId="1EA20BD3" w14:textId="119F892E" w:rsidR="00D30482" w:rsidRDefault="00EE21E0" w:rsidP="00D30482">
      <w:pPr>
        <w:pStyle w:val="DaftarParagraf"/>
        <w:ind w:left="0" w:firstLine="426"/>
        <w:jc w:val="both"/>
        <w:rPr>
          <w:rFonts w:ascii="Arial" w:hAnsi="Arial" w:cs="Arial"/>
          <w:sz w:val="20"/>
          <w:szCs w:val="20"/>
          <w:lang w:val="id-ID"/>
        </w:rPr>
      </w:pPr>
      <w:r w:rsidRPr="00EE21E0">
        <w:rPr>
          <w:rFonts w:ascii="Arial" w:hAnsi="Arial" w:cs="Arial"/>
          <w:sz w:val="20"/>
          <w:szCs w:val="20"/>
          <w:lang w:val="id-ID"/>
        </w:rPr>
        <w:t>The individual test is obtained by looking at the t-count value in table 4. If the |t-count| value &gt; t-table, then the factor has a significant effect on the response. If the |t-count| value ≤ t-table, then the factor has an insignificant effect on the response.</w:t>
      </w:r>
    </w:p>
    <w:p w14:paraId="4B689244" w14:textId="77777777" w:rsidR="00D30482" w:rsidRDefault="00D30482" w:rsidP="00D30482">
      <w:pPr>
        <w:pStyle w:val="DaftarParagraf"/>
        <w:ind w:left="0" w:firstLine="426"/>
        <w:jc w:val="both"/>
        <w:rPr>
          <w:rFonts w:ascii="Arial" w:hAnsi="Arial" w:cs="Arial"/>
          <w:sz w:val="20"/>
          <w:szCs w:val="20"/>
          <w:lang w:val="id-ID"/>
        </w:rPr>
      </w:pPr>
    </w:p>
    <w:p w14:paraId="379B6ABE" w14:textId="2D865E9C" w:rsidR="00D30482" w:rsidRDefault="00EE21E0" w:rsidP="00D30482">
      <w:pPr>
        <w:pStyle w:val="DaftarParagraf"/>
        <w:ind w:left="0" w:firstLine="426"/>
        <w:jc w:val="both"/>
        <w:rPr>
          <w:rFonts w:ascii="Arial" w:hAnsi="Arial" w:cs="Arial"/>
          <w:sz w:val="20"/>
          <w:szCs w:val="20"/>
        </w:rPr>
      </w:pPr>
      <w:r w:rsidRPr="00EE21E0">
        <w:rPr>
          <w:rFonts w:ascii="Arial" w:hAnsi="Arial" w:cs="Arial"/>
          <w:sz w:val="20"/>
          <w:szCs w:val="20"/>
        </w:rPr>
        <w:lastRenderedPageBreak/>
        <w:t>The identical test is a test of the significance of each parameter. This test is used to check the residual variance of the model obtained is equal to its distribution (homoscedasticity).</w:t>
      </w:r>
    </w:p>
    <w:p w14:paraId="1A255267" w14:textId="34DD4261" w:rsidR="00D30482" w:rsidRDefault="00D30482" w:rsidP="00D30482">
      <w:pPr>
        <w:pStyle w:val="DaftarParagraf"/>
        <w:ind w:left="0" w:firstLine="426"/>
        <w:jc w:val="center"/>
        <w:rPr>
          <w:rFonts w:ascii="Arial" w:hAnsi="Arial" w:cs="Arial"/>
          <w:sz w:val="20"/>
          <w:szCs w:val="20"/>
          <w:lang w:val="id-ID"/>
        </w:rPr>
      </w:pPr>
      <w:r w:rsidRPr="00042BDA">
        <w:rPr>
          <w:rFonts w:ascii="Times New Roman" w:hAnsi="Times New Roman" w:cs="Times New Roman"/>
          <w:noProof/>
          <w:sz w:val="24"/>
          <w:szCs w:val="24"/>
        </w:rPr>
        <w:drawing>
          <wp:inline distT="0" distB="0" distL="0" distR="0" wp14:anchorId="27486373" wp14:editId="6849B2C2">
            <wp:extent cx="3235570" cy="2149573"/>
            <wp:effectExtent l="0" t="0" r="3175" b="3175"/>
            <wp:docPr id="46947009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70091" name=""/>
                    <pic:cNvPicPr/>
                  </pic:nvPicPr>
                  <pic:blipFill>
                    <a:blip r:embed="rId15"/>
                    <a:stretch>
                      <a:fillRect/>
                    </a:stretch>
                  </pic:blipFill>
                  <pic:spPr>
                    <a:xfrm>
                      <a:off x="0" y="0"/>
                      <a:ext cx="3335656" cy="2216066"/>
                    </a:xfrm>
                    <a:prstGeom prst="rect">
                      <a:avLst/>
                    </a:prstGeom>
                  </pic:spPr>
                </pic:pic>
              </a:graphicData>
            </a:graphic>
          </wp:inline>
        </w:drawing>
      </w:r>
    </w:p>
    <w:p w14:paraId="4D2C15DF" w14:textId="39CFE5F1" w:rsidR="00D30482" w:rsidRDefault="00D30482" w:rsidP="00D30482">
      <w:pPr>
        <w:pStyle w:val="DaftarParagraf"/>
        <w:ind w:left="0" w:firstLine="426"/>
        <w:jc w:val="center"/>
        <w:rPr>
          <w:rFonts w:ascii="Arial" w:hAnsi="Arial" w:cs="Arial"/>
          <w:sz w:val="20"/>
          <w:szCs w:val="20"/>
          <w:lang w:val="id-ID"/>
        </w:rPr>
      </w:pPr>
      <w:r>
        <w:rPr>
          <w:rFonts w:ascii="Arial" w:hAnsi="Arial" w:cs="Arial"/>
          <w:sz w:val="20"/>
          <w:szCs w:val="20"/>
          <w:lang w:val="id-ID"/>
        </w:rPr>
        <w:t>Fig. 1 Residual Versus Fitted Value</w:t>
      </w:r>
    </w:p>
    <w:p w14:paraId="4BCD8582" w14:textId="4D093A11" w:rsidR="00D30482" w:rsidRPr="00D30482" w:rsidRDefault="00EE21E0" w:rsidP="00D30482">
      <w:pPr>
        <w:pStyle w:val="DaftarParagraf"/>
        <w:ind w:left="0" w:firstLine="426"/>
        <w:jc w:val="both"/>
        <w:rPr>
          <w:rFonts w:ascii="Arial" w:hAnsi="Arial" w:cs="Arial"/>
          <w:sz w:val="20"/>
          <w:szCs w:val="20"/>
        </w:rPr>
      </w:pPr>
      <w:r w:rsidRPr="00EE21E0">
        <w:rPr>
          <w:rFonts w:ascii="Arial" w:hAnsi="Arial" w:cs="Arial"/>
          <w:sz w:val="20"/>
          <w:szCs w:val="20"/>
        </w:rPr>
        <w:t>The identical assumption can be known from the plot between the residuals and Y. If the plot spreads and does not form a certain pattern, it can be said that the residuals are identical. Fig. 1 shows the relationship of the residual plot with the fitted value. The residuals are spread evenly and do not form a specific pattern. This indicates that the assumption of identical residuals is met.</w:t>
      </w:r>
    </w:p>
    <w:p w14:paraId="7CC14BA7" w14:textId="77777777" w:rsidR="00D30482" w:rsidRDefault="00D30482" w:rsidP="00D30482">
      <w:pPr>
        <w:pStyle w:val="DaftarParagraf"/>
        <w:ind w:left="0" w:firstLine="426"/>
        <w:jc w:val="both"/>
        <w:rPr>
          <w:rFonts w:ascii="Arial" w:hAnsi="Arial" w:cs="Arial"/>
          <w:sz w:val="20"/>
          <w:szCs w:val="20"/>
          <w:lang w:val="id-ID"/>
        </w:rPr>
      </w:pPr>
    </w:p>
    <w:p w14:paraId="3EC8BAFB" w14:textId="69727D2B" w:rsidR="00D30482" w:rsidRDefault="00EE21E0" w:rsidP="00D30482">
      <w:pPr>
        <w:pStyle w:val="DaftarParagraf"/>
        <w:ind w:left="0" w:firstLine="426"/>
        <w:jc w:val="both"/>
        <w:rPr>
          <w:rFonts w:ascii="Arial" w:hAnsi="Arial" w:cs="Arial"/>
          <w:sz w:val="20"/>
          <w:szCs w:val="20"/>
        </w:rPr>
      </w:pPr>
      <w:r w:rsidRPr="00EE21E0">
        <w:rPr>
          <w:rFonts w:ascii="Arial" w:hAnsi="Arial" w:cs="Arial"/>
          <w:sz w:val="20"/>
          <w:szCs w:val="20"/>
        </w:rPr>
        <w:t>The normal distribution test is conducted to observe model deviations. The residuals are declared to have followed a normal distribution if on the residual normality plot, the resulting residual points have matched or approached the specified straight line.</w:t>
      </w:r>
    </w:p>
    <w:p w14:paraId="09217FFB" w14:textId="653779BA" w:rsidR="006129CA" w:rsidRDefault="006129CA" w:rsidP="006129CA">
      <w:pPr>
        <w:pStyle w:val="DaftarParagraf"/>
        <w:ind w:left="0" w:firstLine="426"/>
        <w:jc w:val="center"/>
        <w:rPr>
          <w:rFonts w:ascii="Arial" w:hAnsi="Arial" w:cs="Arial"/>
          <w:sz w:val="20"/>
          <w:szCs w:val="20"/>
          <w:lang w:val="id-ID"/>
        </w:rPr>
      </w:pPr>
      <w:r w:rsidRPr="00704D0F">
        <w:rPr>
          <w:rFonts w:ascii="Times New Roman" w:hAnsi="Times New Roman" w:cs="Times New Roman"/>
          <w:noProof/>
          <w:sz w:val="24"/>
          <w:szCs w:val="24"/>
        </w:rPr>
        <w:drawing>
          <wp:inline distT="0" distB="0" distL="0" distR="0" wp14:anchorId="1C45C198" wp14:editId="710B48C0">
            <wp:extent cx="3283927" cy="2197008"/>
            <wp:effectExtent l="0" t="0" r="0" b="0"/>
            <wp:docPr id="20133045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0451" name=""/>
                    <pic:cNvPicPr/>
                  </pic:nvPicPr>
                  <pic:blipFill>
                    <a:blip r:embed="rId16"/>
                    <a:stretch>
                      <a:fillRect/>
                    </a:stretch>
                  </pic:blipFill>
                  <pic:spPr>
                    <a:xfrm>
                      <a:off x="0" y="0"/>
                      <a:ext cx="3386749" cy="2265798"/>
                    </a:xfrm>
                    <a:prstGeom prst="rect">
                      <a:avLst/>
                    </a:prstGeom>
                  </pic:spPr>
                </pic:pic>
              </a:graphicData>
            </a:graphic>
          </wp:inline>
        </w:drawing>
      </w:r>
    </w:p>
    <w:p w14:paraId="76DC86A2" w14:textId="26AC8A82" w:rsidR="006129CA" w:rsidRDefault="006129CA" w:rsidP="006129CA">
      <w:pPr>
        <w:pStyle w:val="DaftarParagraf"/>
        <w:ind w:left="0" w:firstLine="426"/>
        <w:jc w:val="center"/>
        <w:rPr>
          <w:rFonts w:ascii="Arial" w:hAnsi="Arial" w:cs="Arial"/>
          <w:sz w:val="20"/>
          <w:szCs w:val="20"/>
          <w:lang w:val="id-ID"/>
        </w:rPr>
      </w:pPr>
      <w:r>
        <w:rPr>
          <w:rFonts w:ascii="Arial" w:hAnsi="Arial" w:cs="Arial"/>
          <w:sz w:val="20"/>
          <w:szCs w:val="20"/>
          <w:lang w:val="id-ID"/>
        </w:rPr>
        <w:t>Fig. 2 Normal Probability Plot</w:t>
      </w:r>
    </w:p>
    <w:p w14:paraId="698796EF" w14:textId="577E518B" w:rsidR="006129CA" w:rsidRPr="006129CA" w:rsidRDefault="000F61E7" w:rsidP="006129CA">
      <w:pPr>
        <w:pStyle w:val="DaftarParagraf"/>
        <w:ind w:left="426"/>
        <w:jc w:val="both"/>
        <w:rPr>
          <w:rFonts w:ascii="Arial" w:hAnsi="Arial" w:cs="Arial"/>
          <w:sz w:val="20"/>
          <w:szCs w:val="20"/>
        </w:rPr>
      </w:pPr>
      <w:r w:rsidRPr="000F61E7">
        <w:rPr>
          <w:rFonts w:ascii="Arial" w:hAnsi="Arial" w:cs="Arial"/>
          <w:sz w:val="20"/>
          <w:szCs w:val="20"/>
        </w:rPr>
        <w:t>The hypothesis used in the normality test is:</w:t>
      </w:r>
    </w:p>
    <w:p w14:paraId="11B642E4" w14:textId="3C515B31" w:rsidR="006129CA" w:rsidRPr="006129CA" w:rsidRDefault="006129CA" w:rsidP="006129CA">
      <w:pPr>
        <w:ind w:left="567"/>
        <w:jc w:val="both"/>
        <w:rPr>
          <w:rFonts w:ascii="Arial" w:hAnsi="Arial" w:cs="Arial"/>
          <w:sz w:val="20"/>
          <w:szCs w:val="20"/>
          <w:lang w:val="id-ID"/>
        </w:rPr>
      </w:pPr>
      <w:r w:rsidRPr="006129CA">
        <w:rPr>
          <w:rFonts w:ascii="Arial" w:hAnsi="Arial" w:cs="Arial"/>
          <w:sz w:val="20"/>
          <w:szCs w:val="20"/>
          <w:lang w:val="id-ID"/>
        </w:rPr>
        <w:t>H</w:t>
      </w:r>
      <w:r w:rsidRPr="006129CA">
        <w:rPr>
          <w:rFonts w:ascii="Cambria Math" w:hAnsi="Cambria Math" w:cs="Cambria Math"/>
          <w:sz w:val="20"/>
          <w:szCs w:val="20"/>
          <w:lang w:val="id-ID"/>
        </w:rPr>
        <w:t>₀</w:t>
      </w:r>
      <w:r w:rsidRPr="006129CA">
        <w:rPr>
          <w:rFonts w:ascii="Arial" w:hAnsi="Arial" w:cs="Arial"/>
          <w:sz w:val="20"/>
          <w:szCs w:val="20"/>
          <w:lang w:val="id-ID"/>
        </w:rPr>
        <w:t xml:space="preserve"> : </w:t>
      </w:r>
      <w:r w:rsidR="000F61E7" w:rsidRPr="000F61E7">
        <w:rPr>
          <w:rFonts w:ascii="Arial" w:hAnsi="Arial" w:cs="Arial"/>
          <w:sz w:val="20"/>
          <w:szCs w:val="20"/>
          <w:lang w:val="id-ID"/>
        </w:rPr>
        <w:t>residual plot is normally distributed.</w:t>
      </w:r>
    </w:p>
    <w:p w14:paraId="1830E62B" w14:textId="4F3449C5" w:rsidR="006129CA" w:rsidRPr="006129CA" w:rsidRDefault="006129CA" w:rsidP="006129CA">
      <w:pPr>
        <w:pStyle w:val="DaftarParagraf"/>
        <w:ind w:left="567"/>
        <w:jc w:val="both"/>
        <w:rPr>
          <w:rFonts w:ascii="Arial" w:hAnsi="Arial" w:cs="Arial"/>
          <w:sz w:val="20"/>
          <w:szCs w:val="20"/>
        </w:rPr>
      </w:pPr>
      <w:r w:rsidRPr="006129CA">
        <w:rPr>
          <w:rFonts w:ascii="Arial" w:hAnsi="Arial" w:cs="Arial"/>
          <w:sz w:val="20"/>
          <w:szCs w:val="20"/>
          <w:lang w:val="id-ID"/>
        </w:rPr>
        <w:t>H</w:t>
      </w:r>
      <w:r w:rsidRPr="006129CA">
        <w:rPr>
          <w:rFonts w:ascii="Cambria Math" w:hAnsi="Cambria Math" w:cs="Cambria Math"/>
          <w:sz w:val="20"/>
          <w:szCs w:val="20"/>
          <w:lang w:val="id-ID"/>
        </w:rPr>
        <w:t>₁</w:t>
      </w:r>
      <w:r w:rsidRPr="006129CA">
        <w:rPr>
          <w:rFonts w:ascii="Arial" w:hAnsi="Arial" w:cs="Arial"/>
          <w:sz w:val="20"/>
          <w:szCs w:val="20"/>
          <w:lang w:val="id-ID"/>
        </w:rPr>
        <w:t xml:space="preserve"> : </w:t>
      </w:r>
      <w:r w:rsidR="000F61E7" w:rsidRPr="000F61E7">
        <w:rPr>
          <w:rFonts w:ascii="Arial" w:hAnsi="Arial" w:cs="Arial"/>
          <w:sz w:val="20"/>
          <w:szCs w:val="20"/>
          <w:lang w:val="id-ID"/>
        </w:rPr>
        <w:t>residual plot is not normally distributed.</w:t>
      </w:r>
    </w:p>
    <w:p w14:paraId="76C9A43A" w14:textId="1A00EDA2" w:rsidR="006129CA" w:rsidRPr="006129CA" w:rsidRDefault="000F61E7" w:rsidP="006129CA">
      <w:pPr>
        <w:pStyle w:val="DaftarParagraf"/>
        <w:ind w:left="0" w:firstLine="426"/>
        <w:jc w:val="both"/>
        <w:rPr>
          <w:rFonts w:ascii="Arial" w:hAnsi="Arial" w:cs="Arial"/>
          <w:sz w:val="20"/>
          <w:szCs w:val="20"/>
          <w:lang w:val="id-ID"/>
        </w:rPr>
      </w:pPr>
      <w:r w:rsidRPr="000F61E7">
        <w:rPr>
          <w:rFonts w:ascii="Arial" w:hAnsi="Arial" w:cs="Arial"/>
          <w:sz w:val="20"/>
          <w:szCs w:val="20"/>
        </w:rPr>
        <w:t>Fig. 2 shows that the resulting residual points are close to a straight line so that the residual normality test has followed a normal distribution.</w:t>
      </w:r>
    </w:p>
    <w:p w14:paraId="730C8208" w14:textId="44F9EE9F" w:rsidR="006129CA" w:rsidRPr="006129CA" w:rsidRDefault="000F61E7" w:rsidP="006129CA">
      <w:pPr>
        <w:pStyle w:val="DaftarParagraf"/>
        <w:ind w:left="0" w:firstLine="426"/>
        <w:jc w:val="both"/>
        <w:rPr>
          <w:rFonts w:ascii="Arial" w:hAnsi="Arial" w:cs="Arial"/>
          <w:sz w:val="20"/>
          <w:szCs w:val="20"/>
          <w:lang w:val="id-ID"/>
        </w:rPr>
      </w:pPr>
      <w:r w:rsidRPr="000F61E7">
        <w:rPr>
          <w:rFonts w:ascii="Arial" w:hAnsi="Arial" w:cs="Arial"/>
          <w:sz w:val="20"/>
          <w:szCs w:val="20"/>
        </w:rPr>
        <w:t>The significance test through ANOVA testing aims to determine the effect of the various factors tested on stock in the warehouse. In this study, the value of α (significance level) is determined, indicating that the permissible error is 1-confidence level. The confidence level used is 95% so that the value α = 0.05 is obtained. If the test uses a significance level of 0.05, it means that the research results have a chance or level of importance (confidence interval) to be correct 95% and the chance of getting a maximum error of 5% (error tolerance).</w:t>
      </w:r>
    </w:p>
    <w:p w14:paraId="41E56A56" w14:textId="396ADB88" w:rsidR="006129CA" w:rsidRPr="006129CA" w:rsidRDefault="000F61E7" w:rsidP="006129CA">
      <w:pPr>
        <w:pStyle w:val="DaftarParagraf"/>
        <w:ind w:left="0" w:firstLine="426"/>
        <w:jc w:val="both"/>
        <w:rPr>
          <w:rFonts w:ascii="Arial" w:hAnsi="Arial" w:cs="Arial"/>
          <w:sz w:val="20"/>
          <w:szCs w:val="20"/>
          <w:lang w:val="id-ID"/>
        </w:rPr>
      </w:pPr>
      <w:r w:rsidRPr="000F61E7">
        <w:rPr>
          <w:rFonts w:ascii="Arial" w:hAnsi="Arial" w:cs="Arial"/>
          <w:sz w:val="20"/>
          <w:szCs w:val="20"/>
          <w:lang w:val="id-ID"/>
        </w:rPr>
        <w:lastRenderedPageBreak/>
        <w:t>R-squared (R²) or squared R shows the coefficient of determination, ranging from 0 - 1. The smaller the R², the weaker the relationship between the variables, on the other hand, if R² is closer to 1, the stronger the relationship between the dependent variables. The R² value is obtained from:</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5953"/>
        <w:gridCol w:w="986"/>
      </w:tblGrid>
      <w:tr w:rsidR="006129CA" w:rsidRPr="006129CA" w14:paraId="1E622663" w14:textId="77777777" w:rsidTr="006129CA">
        <w:trPr>
          <w:jc w:val="center"/>
        </w:trPr>
        <w:tc>
          <w:tcPr>
            <w:tcW w:w="988" w:type="dxa"/>
          </w:tcPr>
          <w:p w14:paraId="192D41C8" w14:textId="77777777" w:rsidR="006129CA" w:rsidRPr="006129CA" w:rsidRDefault="006129CA" w:rsidP="006129CA">
            <w:pPr>
              <w:pStyle w:val="DaftarParagraf"/>
              <w:ind w:left="0" w:firstLine="426"/>
              <w:jc w:val="both"/>
              <w:rPr>
                <w:rFonts w:ascii="Arial" w:hAnsi="Arial" w:cs="Arial"/>
                <w:sz w:val="20"/>
                <w:szCs w:val="20"/>
                <w:lang w:val="id-ID"/>
              </w:rPr>
            </w:pPr>
          </w:p>
        </w:tc>
        <w:tc>
          <w:tcPr>
            <w:tcW w:w="5953" w:type="dxa"/>
          </w:tcPr>
          <w:p w14:paraId="784155A4" w14:textId="77777777" w:rsidR="006129CA" w:rsidRPr="006129CA" w:rsidRDefault="00000000" w:rsidP="006129CA">
            <w:pPr>
              <w:pStyle w:val="DaftarParagraf"/>
              <w:ind w:left="0" w:firstLine="426"/>
              <w:jc w:val="both"/>
              <w:rPr>
                <w:rFonts w:ascii="Arial" w:hAnsi="Arial" w:cs="Arial"/>
                <w:sz w:val="20"/>
                <w:szCs w:val="20"/>
                <w:lang w:val="id-ID"/>
              </w:rPr>
            </w:pPr>
            <m:oMathPara>
              <m:oMath>
                <m:sSup>
                  <m:sSupPr>
                    <m:ctrlPr>
                      <w:rPr>
                        <w:rFonts w:ascii="Cambria Math" w:hAnsi="Cambria Math" w:cs="Arial"/>
                        <w:i/>
                        <w:sz w:val="20"/>
                        <w:szCs w:val="20"/>
                        <w:lang w:val="id-ID"/>
                      </w:rPr>
                    </m:ctrlPr>
                  </m:sSupPr>
                  <m:e>
                    <m:r>
                      <w:rPr>
                        <w:rFonts w:ascii="Cambria Math" w:hAnsi="Cambria Math" w:cs="Arial"/>
                        <w:sz w:val="20"/>
                        <w:szCs w:val="20"/>
                        <w:lang w:val="id-ID"/>
                      </w:rPr>
                      <m:t>R</m:t>
                    </m:r>
                  </m:e>
                  <m:sup>
                    <m:r>
                      <w:rPr>
                        <w:rFonts w:ascii="Cambria Math" w:hAnsi="Cambria Math" w:cs="Arial"/>
                        <w:sz w:val="20"/>
                        <w:szCs w:val="20"/>
                        <w:lang w:val="id-ID"/>
                      </w:rPr>
                      <m:t>2</m:t>
                    </m:r>
                  </m:sup>
                </m:sSup>
                <m:r>
                  <w:rPr>
                    <w:rFonts w:ascii="Cambria Math" w:hAnsi="Cambria Math" w:cs="Arial"/>
                    <w:sz w:val="20"/>
                    <w:szCs w:val="20"/>
                    <w:lang w:val="id-ID"/>
                  </w:rPr>
                  <m:t>=</m:t>
                </m:r>
                <m:f>
                  <m:fPr>
                    <m:ctrlPr>
                      <w:rPr>
                        <w:rFonts w:ascii="Cambria Math" w:hAnsi="Cambria Math" w:cs="Arial"/>
                        <w:i/>
                        <w:sz w:val="20"/>
                        <w:szCs w:val="20"/>
                        <w:lang w:val="id-ID"/>
                      </w:rPr>
                    </m:ctrlPr>
                  </m:fPr>
                  <m:num>
                    <m:r>
                      <w:rPr>
                        <w:rFonts w:ascii="Cambria Math" w:hAnsi="Cambria Math" w:cs="Arial"/>
                        <w:sz w:val="20"/>
                        <w:szCs w:val="20"/>
                        <w:lang w:val="id-ID"/>
                      </w:rPr>
                      <m:t>JK(regresi)</m:t>
                    </m:r>
                  </m:num>
                  <m:den>
                    <m:r>
                      <w:rPr>
                        <w:rFonts w:ascii="Cambria Math" w:hAnsi="Cambria Math" w:cs="Arial"/>
                        <w:sz w:val="20"/>
                        <w:szCs w:val="20"/>
                        <w:lang w:val="id-ID"/>
                      </w:rPr>
                      <m:t>JKT</m:t>
                    </m:r>
                  </m:den>
                </m:f>
                <m:r>
                  <w:rPr>
                    <w:rFonts w:ascii="Cambria Math" w:hAnsi="Cambria Math" w:cs="Arial"/>
                    <w:sz w:val="20"/>
                    <w:szCs w:val="20"/>
                    <w:lang w:val="id-ID"/>
                  </w:rPr>
                  <m:t>=</m:t>
                </m:r>
                <m:f>
                  <m:fPr>
                    <m:ctrlPr>
                      <w:rPr>
                        <w:rFonts w:ascii="Cambria Math" w:hAnsi="Cambria Math" w:cs="Arial"/>
                        <w:i/>
                        <w:sz w:val="20"/>
                        <w:szCs w:val="20"/>
                        <w:lang w:val="id-ID"/>
                      </w:rPr>
                    </m:ctrlPr>
                  </m:fPr>
                  <m:num>
                    <m:r>
                      <m:rPr>
                        <m:sty m:val="p"/>
                      </m:rPr>
                      <w:rPr>
                        <w:rFonts w:ascii="Cambria Math" w:hAnsi="Cambria Math" w:cs="Arial"/>
                        <w:sz w:val="20"/>
                        <w:szCs w:val="20"/>
                        <w:lang w:val="id-ID"/>
                      </w:rPr>
                      <m:t>4.570.022.935</m:t>
                    </m:r>
                  </m:num>
                  <m:den>
                    <m:r>
                      <m:rPr>
                        <m:sty m:val="p"/>
                      </m:rPr>
                      <w:rPr>
                        <w:rFonts w:ascii="Cambria Math" w:hAnsi="Cambria Math" w:cs="Arial"/>
                        <w:sz w:val="20"/>
                        <w:szCs w:val="20"/>
                        <w:lang w:val="id-ID"/>
                      </w:rPr>
                      <m:t>4.584.424.960</m:t>
                    </m:r>
                  </m:den>
                </m:f>
                <m:r>
                  <w:rPr>
                    <w:rFonts w:ascii="Cambria Math" w:hAnsi="Cambria Math" w:cs="Arial"/>
                    <w:sz w:val="20"/>
                    <w:szCs w:val="20"/>
                    <w:lang w:val="id-ID"/>
                  </w:rPr>
                  <m:t>=0,996858488</m:t>
                </m:r>
              </m:oMath>
            </m:oMathPara>
          </w:p>
        </w:tc>
        <w:tc>
          <w:tcPr>
            <w:tcW w:w="986" w:type="dxa"/>
            <w:vAlign w:val="bottom"/>
          </w:tcPr>
          <w:p w14:paraId="7D7F796C" w14:textId="77777777" w:rsidR="006129CA" w:rsidRPr="006129CA" w:rsidRDefault="006129CA" w:rsidP="006129CA">
            <w:pPr>
              <w:pStyle w:val="DaftarParagraf"/>
              <w:ind w:left="0" w:firstLine="426"/>
              <w:jc w:val="center"/>
              <w:rPr>
                <w:rFonts w:ascii="Arial" w:hAnsi="Arial" w:cs="Arial"/>
                <w:sz w:val="20"/>
                <w:szCs w:val="20"/>
                <w:lang w:val="id-ID"/>
              </w:rPr>
            </w:pPr>
          </w:p>
        </w:tc>
      </w:tr>
    </w:tbl>
    <w:p w14:paraId="16D939E6" w14:textId="6137A3D5" w:rsidR="0087432A" w:rsidRPr="006129CA" w:rsidRDefault="000F61E7" w:rsidP="006129CA">
      <w:pPr>
        <w:pStyle w:val="DaftarParagraf"/>
        <w:ind w:left="0" w:firstLine="426"/>
        <w:jc w:val="both"/>
        <w:rPr>
          <w:rFonts w:ascii="Arial" w:hAnsi="Arial" w:cs="Arial"/>
          <w:sz w:val="20"/>
          <w:szCs w:val="20"/>
          <w:lang w:val="id-ID"/>
        </w:rPr>
      </w:pPr>
      <w:r w:rsidRPr="000F61E7">
        <w:rPr>
          <w:rFonts w:ascii="Arial" w:hAnsi="Arial" w:cs="Arial"/>
          <w:sz w:val="20"/>
          <w:szCs w:val="20"/>
        </w:rPr>
        <w:t>The R² value of 0.996 means that the influence of store goods demand, supplier incoming goods, lead time and stock in the warehouse is 99.6% while 0.4% is influenced by other variables that are not included in the model.</w:t>
      </w:r>
    </w:p>
    <w:p w14:paraId="5D044023" w14:textId="2D400CC0" w:rsidR="00115EA1" w:rsidRDefault="000F61E7" w:rsidP="002C552F">
      <w:pPr>
        <w:pStyle w:val="DaftarParagraf"/>
        <w:numPr>
          <w:ilvl w:val="0"/>
          <w:numId w:val="6"/>
        </w:numPr>
        <w:pBdr>
          <w:top w:val="nil"/>
          <w:left w:val="nil"/>
          <w:bottom w:val="nil"/>
          <w:right w:val="nil"/>
          <w:between w:val="nil"/>
        </w:pBdr>
        <w:ind w:left="426" w:hanging="426"/>
        <w:jc w:val="both"/>
        <w:rPr>
          <w:rFonts w:ascii="Arial" w:eastAsia="Arial" w:hAnsi="Arial" w:cs="Arial"/>
          <w:b/>
          <w:bCs/>
          <w:color w:val="000000"/>
          <w:sz w:val="20"/>
          <w:szCs w:val="20"/>
        </w:rPr>
      </w:pPr>
      <w:r w:rsidRPr="000F61E7">
        <w:rPr>
          <w:rFonts w:ascii="Arial" w:eastAsia="Arial" w:hAnsi="Arial" w:cs="Arial"/>
          <w:b/>
          <w:bCs/>
          <w:color w:val="000000"/>
          <w:sz w:val="20"/>
          <w:szCs w:val="20"/>
        </w:rPr>
        <w:t>Optimal Point Identification</w:t>
      </w:r>
    </w:p>
    <w:p w14:paraId="794F5CDA" w14:textId="167091FA" w:rsidR="0010506C" w:rsidRDefault="000F61E7" w:rsidP="0010506C">
      <w:pPr>
        <w:pStyle w:val="DaftarParagraf"/>
        <w:pBdr>
          <w:top w:val="nil"/>
          <w:left w:val="nil"/>
          <w:bottom w:val="nil"/>
          <w:right w:val="nil"/>
          <w:between w:val="nil"/>
        </w:pBdr>
        <w:ind w:left="0" w:firstLine="426"/>
        <w:jc w:val="both"/>
        <w:rPr>
          <w:rFonts w:ascii="Arial" w:hAnsi="Arial" w:cs="Arial"/>
          <w:sz w:val="20"/>
          <w:szCs w:val="20"/>
          <w:lang w:val="id-ID"/>
        </w:rPr>
      </w:pPr>
      <w:r w:rsidRPr="000F61E7">
        <w:rPr>
          <w:rFonts w:ascii="Arial" w:hAnsi="Arial" w:cs="Arial"/>
          <w:sz w:val="20"/>
          <w:szCs w:val="20"/>
        </w:rPr>
        <w:t>Determining the combination of levels of process variables that can produce an optimal response is done with a matrix approach. The input of the matrix is the experimental results of the treatment given in the box-behnken model design. The coefficient of each regression from the model that has been obtained is converted into a matrix. The formation of the matrix and the determination of the optimum point is sought by means of multiplication and inverse matrix.</w:t>
      </w:r>
    </w:p>
    <w:p w14:paraId="2E667DAB" w14:textId="6B73EA97" w:rsidR="006129CA" w:rsidRPr="006129CA" w:rsidRDefault="000F61E7" w:rsidP="006129CA">
      <w:pPr>
        <w:ind w:firstLine="567"/>
        <w:contextualSpacing/>
        <w:jc w:val="both"/>
        <w:rPr>
          <w:rFonts w:ascii="Arial" w:eastAsiaTheme="minorEastAsia" w:hAnsi="Arial" w:cs="Arial"/>
          <w:sz w:val="20"/>
          <w:szCs w:val="20"/>
          <w:lang w:val="id-ID"/>
        </w:rPr>
      </w:pPr>
      <w:r w:rsidRPr="000F61E7">
        <w:rPr>
          <w:rFonts w:ascii="Arial" w:eastAsiaTheme="minorEastAsia" w:hAnsi="Arial" w:cs="Arial"/>
          <w:sz w:val="20"/>
          <w:szCs w:val="20"/>
          <w:lang w:val="id-ID"/>
        </w:rPr>
        <w:t>The linear coefficient values obtained can be arranged as follows:</w:t>
      </w:r>
    </w:p>
    <w:p w14:paraId="2CEFD5ED" w14:textId="77777777" w:rsidR="006129CA" w:rsidRPr="006129CA" w:rsidRDefault="006129CA" w:rsidP="006129CA">
      <w:pPr>
        <w:ind w:firstLine="567"/>
        <w:contextualSpacing/>
        <w:jc w:val="both"/>
        <w:rPr>
          <w:rFonts w:ascii="Arial" w:eastAsiaTheme="minorEastAsia" w:hAnsi="Arial" w:cs="Arial"/>
          <w:sz w:val="20"/>
          <w:szCs w:val="20"/>
          <w:lang w:val="id-ID"/>
        </w:rPr>
      </w:pPr>
      <m:oMath>
        <m:r>
          <w:rPr>
            <w:rFonts w:ascii="Cambria Math" w:eastAsiaTheme="minorEastAsia" w:hAnsi="Cambria Math" w:cs="Arial"/>
            <w:sz w:val="20"/>
            <w:szCs w:val="20"/>
            <w:lang w:val="id-ID"/>
          </w:rPr>
          <m:t>b=</m:t>
        </m:r>
        <m:d>
          <m:dPr>
            <m:begChr m:val="["/>
            <m:endChr m:val="]"/>
            <m:ctrlPr>
              <w:rPr>
                <w:rFonts w:ascii="Cambria Math" w:eastAsiaTheme="minorEastAsia" w:hAnsi="Cambria Math" w:cs="Arial"/>
                <w:i/>
                <w:sz w:val="20"/>
                <w:szCs w:val="20"/>
                <w:lang w:val="id-ID"/>
              </w:rPr>
            </m:ctrlPr>
          </m:dPr>
          <m:e>
            <m:m>
              <m:mPr>
                <m:mcs>
                  <m:mc>
                    <m:mcPr>
                      <m:count m:val="1"/>
                      <m:mcJc m:val="center"/>
                    </m:mcPr>
                  </m:mc>
                </m:mcs>
                <m:ctrlPr>
                  <w:rPr>
                    <w:rFonts w:ascii="Cambria Math" w:eastAsiaTheme="minorEastAsia" w:hAnsi="Cambria Math" w:cs="Arial"/>
                    <w:i/>
                    <w:sz w:val="20"/>
                    <w:szCs w:val="20"/>
                    <w:lang w:val="id-ID"/>
                  </w:rPr>
                </m:ctrlPr>
              </m:mPr>
              <m:mr>
                <m:e>
                  <m:sSub>
                    <m:sSubPr>
                      <m:ctrlPr>
                        <w:rPr>
                          <w:rFonts w:ascii="Cambria Math" w:eastAsiaTheme="minorEastAsia" w:hAnsi="Cambria Math" w:cs="Arial"/>
                          <w:i/>
                          <w:sz w:val="20"/>
                          <w:szCs w:val="20"/>
                          <w:lang w:val="id-ID"/>
                        </w:rPr>
                      </m:ctrlPr>
                    </m:sSubPr>
                    <m:e>
                      <m:r>
                        <w:rPr>
                          <w:rFonts w:ascii="Cambria Math" w:eastAsiaTheme="minorEastAsia" w:hAnsi="Cambria Math" w:cs="Arial"/>
                          <w:sz w:val="20"/>
                          <w:szCs w:val="20"/>
                          <w:lang w:val="id-ID"/>
                        </w:rPr>
                        <m:t>b</m:t>
                      </m:r>
                    </m:e>
                    <m:sub>
                      <m:r>
                        <w:rPr>
                          <w:rFonts w:ascii="Cambria Math" w:eastAsiaTheme="minorEastAsia" w:hAnsi="Cambria Math" w:cs="Arial"/>
                          <w:sz w:val="20"/>
                          <w:szCs w:val="20"/>
                          <w:lang w:val="id-ID"/>
                        </w:rPr>
                        <m:t>1</m:t>
                      </m:r>
                    </m:sub>
                  </m:sSub>
                </m:e>
              </m:mr>
              <m:mr>
                <m:e>
                  <m:sSub>
                    <m:sSubPr>
                      <m:ctrlPr>
                        <w:rPr>
                          <w:rFonts w:ascii="Cambria Math" w:eastAsiaTheme="minorEastAsia" w:hAnsi="Cambria Math" w:cs="Arial"/>
                          <w:i/>
                          <w:sz w:val="20"/>
                          <w:szCs w:val="20"/>
                          <w:lang w:val="id-ID"/>
                        </w:rPr>
                      </m:ctrlPr>
                    </m:sSubPr>
                    <m:e>
                      <m:r>
                        <w:rPr>
                          <w:rFonts w:ascii="Cambria Math" w:eastAsiaTheme="minorEastAsia" w:hAnsi="Cambria Math" w:cs="Arial"/>
                          <w:sz w:val="20"/>
                          <w:szCs w:val="20"/>
                          <w:lang w:val="id-ID"/>
                        </w:rPr>
                        <m:t>b</m:t>
                      </m:r>
                    </m:e>
                    <m:sub>
                      <m:r>
                        <w:rPr>
                          <w:rFonts w:ascii="Cambria Math" w:eastAsiaTheme="minorEastAsia" w:hAnsi="Cambria Math" w:cs="Arial"/>
                          <w:sz w:val="20"/>
                          <w:szCs w:val="20"/>
                          <w:lang w:val="id-ID"/>
                        </w:rPr>
                        <m:t>2</m:t>
                      </m:r>
                    </m:sub>
                  </m:sSub>
                </m:e>
              </m:mr>
              <m:mr>
                <m:e>
                  <m:sSub>
                    <m:sSubPr>
                      <m:ctrlPr>
                        <w:rPr>
                          <w:rFonts w:ascii="Cambria Math" w:eastAsiaTheme="minorEastAsia" w:hAnsi="Cambria Math" w:cs="Arial"/>
                          <w:i/>
                          <w:sz w:val="20"/>
                          <w:szCs w:val="20"/>
                          <w:lang w:val="id-ID"/>
                        </w:rPr>
                      </m:ctrlPr>
                    </m:sSubPr>
                    <m:e>
                      <m:r>
                        <w:rPr>
                          <w:rFonts w:ascii="Cambria Math" w:eastAsiaTheme="minorEastAsia" w:hAnsi="Cambria Math" w:cs="Arial"/>
                          <w:sz w:val="20"/>
                          <w:szCs w:val="20"/>
                          <w:lang w:val="id-ID"/>
                        </w:rPr>
                        <m:t>b</m:t>
                      </m:r>
                    </m:e>
                    <m:sub>
                      <m:r>
                        <w:rPr>
                          <w:rFonts w:ascii="Cambria Math" w:eastAsiaTheme="minorEastAsia" w:hAnsi="Cambria Math" w:cs="Arial"/>
                          <w:sz w:val="20"/>
                          <w:szCs w:val="20"/>
                          <w:lang w:val="id-ID"/>
                        </w:rPr>
                        <m:t>3</m:t>
                      </m:r>
                    </m:sub>
                  </m:sSub>
                </m:e>
              </m:mr>
            </m:m>
          </m:e>
        </m:d>
      </m:oMath>
      <w:r w:rsidRPr="006129CA">
        <w:rPr>
          <w:rFonts w:ascii="Arial" w:eastAsiaTheme="minorEastAsia" w:hAnsi="Arial" w:cs="Arial"/>
          <w:sz w:val="20"/>
          <w:szCs w:val="20"/>
          <w:lang w:val="id-ID"/>
        </w:rPr>
        <w:t xml:space="preserve"> </w:t>
      </w:r>
    </w:p>
    <w:p w14:paraId="07EE9F8C" w14:textId="77777777" w:rsidR="006129CA" w:rsidRPr="006129CA" w:rsidRDefault="006129CA" w:rsidP="006129CA">
      <w:pPr>
        <w:ind w:firstLine="567"/>
        <w:contextualSpacing/>
        <w:jc w:val="both"/>
        <w:rPr>
          <w:rFonts w:ascii="Arial" w:eastAsiaTheme="minorEastAsia" w:hAnsi="Arial" w:cs="Arial"/>
          <w:sz w:val="20"/>
          <w:szCs w:val="20"/>
          <w:lang w:val="id-ID"/>
        </w:rPr>
      </w:pPr>
      <m:oMath>
        <m:r>
          <w:rPr>
            <w:rFonts w:ascii="Cambria Math" w:eastAsiaTheme="minorEastAsia" w:hAnsi="Cambria Math" w:cs="Arial"/>
            <w:sz w:val="20"/>
            <w:szCs w:val="20"/>
            <w:lang w:val="id-ID"/>
          </w:rPr>
          <m:t>b=</m:t>
        </m:r>
        <m:d>
          <m:dPr>
            <m:begChr m:val="["/>
            <m:endChr m:val="]"/>
            <m:ctrlPr>
              <w:rPr>
                <w:rFonts w:ascii="Cambria Math" w:eastAsiaTheme="minorEastAsia" w:hAnsi="Cambria Math" w:cs="Arial"/>
                <w:i/>
                <w:sz w:val="20"/>
                <w:szCs w:val="20"/>
                <w:lang w:val="id-ID"/>
              </w:rPr>
            </m:ctrlPr>
          </m:dPr>
          <m:e>
            <m:m>
              <m:mPr>
                <m:mcs>
                  <m:mc>
                    <m:mcPr>
                      <m:count m:val="1"/>
                      <m:mcJc m:val="center"/>
                    </m:mcPr>
                  </m:mc>
                </m:mcs>
                <m:ctrlPr>
                  <w:rPr>
                    <w:rFonts w:ascii="Cambria Math" w:eastAsiaTheme="minorEastAsia" w:hAnsi="Cambria Math" w:cs="Arial"/>
                    <w:i/>
                    <w:sz w:val="20"/>
                    <w:szCs w:val="20"/>
                    <w:lang w:val="id-ID"/>
                  </w:rPr>
                </m:ctrlPr>
              </m:mPr>
              <m:mr>
                <m:e>
                  <m:r>
                    <w:rPr>
                      <w:rFonts w:ascii="Cambria Math" w:eastAsia="Times New Roman" w:hAnsi="Cambria Math" w:cs="Arial"/>
                      <w:sz w:val="20"/>
                      <w:szCs w:val="20"/>
                      <w:lang w:val="id-ID"/>
                    </w:rPr>
                    <m:t>-1,063</m:t>
                  </m:r>
                </m:e>
              </m:mr>
              <m:mr>
                <m:e>
                  <m:r>
                    <w:rPr>
                      <w:rFonts w:ascii="Cambria Math" w:eastAsia="Times New Roman" w:hAnsi="Cambria Math" w:cs="Arial"/>
                      <w:sz w:val="20"/>
                      <w:szCs w:val="20"/>
                      <w:lang w:val="id-ID"/>
                    </w:rPr>
                    <m:t>-0,875</m:t>
                  </m:r>
                </m:e>
              </m:mr>
              <m:mr>
                <m:e>
                  <m:r>
                    <w:rPr>
                      <w:rFonts w:ascii="Cambria Math" w:eastAsia="Times New Roman" w:hAnsi="Cambria Math" w:cs="Arial"/>
                      <w:sz w:val="20"/>
                      <w:szCs w:val="20"/>
                      <w:lang w:val="id-ID"/>
                    </w:rPr>
                    <m:t>852</m:t>
                  </m:r>
                </m:e>
              </m:mr>
            </m:m>
          </m:e>
        </m:d>
      </m:oMath>
      <w:r w:rsidRPr="006129CA">
        <w:rPr>
          <w:rFonts w:ascii="Arial" w:eastAsiaTheme="minorEastAsia" w:hAnsi="Arial" w:cs="Arial"/>
          <w:sz w:val="20"/>
          <w:szCs w:val="20"/>
          <w:lang w:val="id-ID"/>
        </w:rPr>
        <w:t xml:space="preserve"> </w:t>
      </w:r>
    </w:p>
    <w:p w14:paraId="686B650B" w14:textId="74E234C0" w:rsidR="006129CA" w:rsidRPr="006129CA" w:rsidRDefault="000F61E7" w:rsidP="006129CA">
      <w:pPr>
        <w:ind w:firstLine="567"/>
        <w:contextualSpacing/>
        <w:jc w:val="both"/>
        <w:rPr>
          <w:rFonts w:ascii="Arial" w:eastAsiaTheme="minorEastAsia" w:hAnsi="Arial" w:cs="Arial"/>
          <w:sz w:val="20"/>
          <w:szCs w:val="20"/>
          <w:lang w:val="id-ID"/>
        </w:rPr>
      </w:pPr>
      <w:r w:rsidRPr="000F61E7">
        <w:rPr>
          <w:rFonts w:ascii="Arial" w:eastAsiaTheme="minorEastAsia" w:hAnsi="Arial" w:cs="Arial"/>
          <w:sz w:val="20"/>
          <w:szCs w:val="20"/>
          <w:lang w:val="id-ID"/>
        </w:rPr>
        <w:t>The optimal response value can be obtained using the formula:</w:t>
      </w:r>
    </w:p>
    <w:p w14:paraId="7B10571F" w14:textId="77777777" w:rsidR="006129CA" w:rsidRPr="006129CA" w:rsidRDefault="006129CA" w:rsidP="006129CA">
      <w:pPr>
        <w:ind w:firstLine="567"/>
        <w:contextualSpacing/>
        <w:jc w:val="both"/>
        <w:rPr>
          <w:rFonts w:ascii="Arial" w:eastAsiaTheme="minorEastAsia" w:hAnsi="Arial" w:cs="Arial"/>
          <w:sz w:val="20"/>
          <w:szCs w:val="20"/>
          <w:lang w:val="id-ID"/>
        </w:rPr>
      </w:pPr>
      <m:oMathPara>
        <m:oMath>
          <m:r>
            <w:rPr>
              <w:rFonts w:ascii="Cambria Math" w:eastAsiaTheme="minorEastAsia" w:hAnsi="Cambria Math" w:cs="Arial"/>
              <w:sz w:val="20"/>
              <w:szCs w:val="20"/>
              <w:lang w:val="id-ID"/>
            </w:rPr>
            <m:t>Y=</m:t>
          </m:r>
          <m:sSub>
            <m:sSubPr>
              <m:ctrlPr>
                <w:rPr>
                  <w:rFonts w:ascii="Cambria Math" w:eastAsiaTheme="minorEastAsia" w:hAnsi="Cambria Math" w:cs="Arial"/>
                  <w:i/>
                  <w:sz w:val="20"/>
                  <w:szCs w:val="20"/>
                  <w:lang w:val="id-ID"/>
                </w:rPr>
              </m:ctrlPr>
            </m:sSubPr>
            <m:e>
              <m:r>
                <w:rPr>
                  <w:rFonts w:ascii="Cambria Math" w:eastAsiaTheme="minorEastAsia" w:hAnsi="Cambria Math" w:cs="Arial"/>
                  <w:sz w:val="20"/>
                  <w:szCs w:val="20"/>
                  <w:lang w:val="id-ID"/>
                </w:rPr>
                <m:t>b</m:t>
              </m:r>
            </m:e>
            <m:sub>
              <m:r>
                <w:rPr>
                  <w:rFonts w:ascii="Cambria Math" w:eastAsiaTheme="minorEastAsia" w:hAnsi="Cambria Math" w:cs="Arial"/>
                  <w:sz w:val="20"/>
                  <w:szCs w:val="20"/>
                  <w:lang w:val="id-ID"/>
                </w:rPr>
                <m:t>0</m:t>
              </m:r>
            </m:sub>
          </m:sSub>
          <m:r>
            <w:rPr>
              <w:rFonts w:ascii="Cambria Math" w:eastAsiaTheme="minorEastAsia" w:hAnsi="Cambria Math" w:cs="Arial"/>
              <w:sz w:val="20"/>
              <w:szCs w:val="20"/>
              <w:lang w:val="id-ID"/>
            </w:rPr>
            <m:t>+</m:t>
          </m:r>
          <m:f>
            <m:fPr>
              <m:ctrlPr>
                <w:rPr>
                  <w:rFonts w:ascii="Cambria Math" w:eastAsiaTheme="minorEastAsia" w:hAnsi="Cambria Math" w:cs="Arial"/>
                  <w:i/>
                  <w:sz w:val="20"/>
                  <w:szCs w:val="20"/>
                  <w:lang w:val="id-ID"/>
                </w:rPr>
              </m:ctrlPr>
            </m:fPr>
            <m:num>
              <m:r>
                <w:rPr>
                  <w:rFonts w:ascii="Cambria Math" w:eastAsiaTheme="minorEastAsia" w:hAnsi="Cambria Math" w:cs="Arial"/>
                  <w:sz w:val="20"/>
                  <w:szCs w:val="20"/>
                  <w:lang w:val="id-ID"/>
                </w:rPr>
                <m:t>1</m:t>
              </m:r>
            </m:num>
            <m:den>
              <m:r>
                <w:rPr>
                  <w:rFonts w:ascii="Cambria Math" w:eastAsiaTheme="minorEastAsia" w:hAnsi="Cambria Math" w:cs="Arial"/>
                  <w:sz w:val="20"/>
                  <w:szCs w:val="20"/>
                  <w:lang w:val="id-ID"/>
                </w:rPr>
                <m:t>2</m:t>
              </m:r>
            </m:den>
          </m:f>
          <m:sSup>
            <m:sSupPr>
              <m:ctrlPr>
                <w:rPr>
                  <w:rFonts w:ascii="Cambria Math" w:eastAsiaTheme="minorEastAsia" w:hAnsi="Cambria Math" w:cs="Arial"/>
                  <w:i/>
                  <w:sz w:val="20"/>
                  <w:szCs w:val="20"/>
                  <w:lang w:val="id-ID"/>
                </w:rPr>
              </m:ctrlPr>
            </m:sSupPr>
            <m:e>
              <m:d>
                <m:dPr>
                  <m:begChr m:val="["/>
                  <m:endChr m:val="]"/>
                  <m:ctrlPr>
                    <w:rPr>
                      <w:rFonts w:ascii="Cambria Math" w:eastAsiaTheme="minorEastAsia" w:hAnsi="Cambria Math" w:cs="Arial"/>
                      <w:i/>
                      <w:sz w:val="20"/>
                      <w:szCs w:val="20"/>
                      <w:lang w:val="id-ID"/>
                    </w:rPr>
                  </m:ctrlPr>
                </m:dPr>
                <m:e>
                  <m:m>
                    <m:mPr>
                      <m:mcs>
                        <m:mc>
                          <m:mcPr>
                            <m:count m:val="1"/>
                            <m:mcJc m:val="center"/>
                          </m:mcPr>
                        </m:mc>
                      </m:mcs>
                      <m:ctrlPr>
                        <w:rPr>
                          <w:rFonts w:ascii="Cambria Math" w:eastAsiaTheme="minorEastAsia" w:hAnsi="Cambria Math" w:cs="Arial"/>
                          <w:i/>
                          <w:sz w:val="20"/>
                          <w:szCs w:val="20"/>
                          <w:lang w:val="id-ID"/>
                        </w:rPr>
                      </m:ctrlPr>
                    </m:mPr>
                    <m:mr>
                      <m:e>
                        <m:sSub>
                          <m:sSubPr>
                            <m:ctrlPr>
                              <w:rPr>
                                <w:rFonts w:ascii="Cambria Math" w:eastAsiaTheme="minorEastAsia" w:hAnsi="Cambria Math" w:cs="Arial"/>
                                <w:i/>
                                <w:sz w:val="20"/>
                                <w:szCs w:val="20"/>
                                <w:lang w:val="id-ID"/>
                              </w:rPr>
                            </m:ctrlPr>
                          </m:sSubPr>
                          <m:e>
                            <m:r>
                              <w:rPr>
                                <w:rFonts w:ascii="Cambria Math" w:eastAsiaTheme="minorEastAsia" w:hAnsi="Cambria Math" w:cs="Arial"/>
                                <w:sz w:val="20"/>
                                <w:szCs w:val="20"/>
                                <w:lang w:val="id-ID"/>
                              </w:rPr>
                              <m:t>X</m:t>
                            </m:r>
                          </m:e>
                          <m:sub>
                            <m:r>
                              <w:rPr>
                                <w:rFonts w:ascii="Cambria Math" w:eastAsiaTheme="minorEastAsia" w:hAnsi="Cambria Math" w:cs="Arial"/>
                                <w:sz w:val="20"/>
                                <w:szCs w:val="20"/>
                                <w:lang w:val="id-ID"/>
                              </w:rPr>
                              <m:t>1</m:t>
                            </m:r>
                          </m:sub>
                        </m:sSub>
                      </m:e>
                    </m:mr>
                    <m:mr>
                      <m:e>
                        <m:sSub>
                          <m:sSubPr>
                            <m:ctrlPr>
                              <w:rPr>
                                <w:rFonts w:ascii="Cambria Math" w:eastAsiaTheme="minorEastAsia" w:hAnsi="Cambria Math" w:cs="Arial"/>
                                <w:i/>
                                <w:sz w:val="20"/>
                                <w:szCs w:val="20"/>
                                <w:lang w:val="id-ID"/>
                              </w:rPr>
                            </m:ctrlPr>
                          </m:sSubPr>
                          <m:e>
                            <m:r>
                              <w:rPr>
                                <w:rFonts w:ascii="Cambria Math" w:eastAsiaTheme="minorEastAsia" w:hAnsi="Cambria Math" w:cs="Arial"/>
                                <w:sz w:val="20"/>
                                <w:szCs w:val="20"/>
                                <w:lang w:val="id-ID"/>
                              </w:rPr>
                              <m:t>X</m:t>
                            </m:r>
                          </m:e>
                          <m:sub>
                            <m:r>
                              <w:rPr>
                                <w:rFonts w:ascii="Cambria Math" w:eastAsiaTheme="minorEastAsia" w:hAnsi="Cambria Math" w:cs="Arial"/>
                                <w:sz w:val="20"/>
                                <w:szCs w:val="20"/>
                                <w:lang w:val="id-ID"/>
                              </w:rPr>
                              <m:t>2</m:t>
                            </m:r>
                          </m:sub>
                        </m:sSub>
                      </m:e>
                    </m:mr>
                    <m:mr>
                      <m:e>
                        <m:sSub>
                          <m:sSubPr>
                            <m:ctrlPr>
                              <w:rPr>
                                <w:rFonts w:ascii="Cambria Math" w:eastAsiaTheme="minorEastAsia" w:hAnsi="Cambria Math" w:cs="Arial"/>
                                <w:i/>
                                <w:sz w:val="20"/>
                                <w:szCs w:val="20"/>
                                <w:lang w:val="id-ID"/>
                              </w:rPr>
                            </m:ctrlPr>
                          </m:sSubPr>
                          <m:e>
                            <m:r>
                              <w:rPr>
                                <w:rFonts w:ascii="Cambria Math" w:eastAsiaTheme="minorEastAsia" w:hAnsi="Cambria Math" w:cs="Arial"/>
                                <w:sz w:val="20"/>
                                <w:szCs w:val="20"/>
                                <w:lang w:val="id-ID"/>
                              </w:rPr>
                              <m:t>X</m:t>
                            </m:r>
                          </m:e>
                          <m:sub>
                            <m:r>
                              <w:rPr>
                                <w:rFonts w:ascii="Cambria Math" w:eastAsiaTheme="minorEastAsia" w:hAnsi="Cambria Math" w:cs="Arial"/>
                                <w:sz w:val="20"/>
                                <w:szCs w:val="20"/>
                                <w:lang w:val="id-ID"/>
                              </w:rPr>
                              <m:t>3</m:t>
                            </m:r>
                          </m:sub>
                        </m:sSub>
                      </m:e>
                    </m:mr>
                  </m:m>
                </m:e>
              </m:d>
            </m:e>
            <m:sup>
              <m:r>
                <w:rPr>
                  <w:rFonts w:ascii="Cambria Math" w:eastAsiaTheme="minorEastAsia" w:hAnsi="Cambria Math" w:cs="Arial"/>
                  <w:sz w:val="20"/>
                  <w:szCs w:val="20"/>
                  <w:lang w:val="id-ID"/>
                </w:rPr>
                <m:t>t</m:t>
              </m:r>
            </m:sup>
          </m:sSup>
          <m:r>
            <w:rPr>
              <w:rFonts w:ascii="Cambria Math" w:eastAsiaTheme="minorEastAsia" w:hAnsi="Cambria Math" w:cs="Arial"/>
              <w:sz w:val="20"/>
              <w:szCs w:val="20"/>
              <w:lang w:val="id-ID"/>
            </w:rPr>
            <m:t>b</m:t>
          </m:r>
        </m:oMath>
      </m:oMathPara>
    </w:p>
    <w:p w14:paraId="3CEB3154" w14:textId="77777777" w:rsidR="006129CA" w:rsidRPr="006129CA" w:rsidRDefault="006129CA" w:rsidP="006129CA">
      <w:pPr>
        <w:ind w:firstLine="567"/>
        <w:contextualSpacing/>
        <w:jc w:val="both"/>
        <w:rPr>
          <w:rFonts w:ascii="Arial" w:eastAsiaTheme="minorEastAsia" w:hAnsi="Arial" w:cs="Arial"/>
          <w:sz w:val="20"/>
          <w:szCs w:val="20"/>
          <w:lang w:val="id-ID"/>
        </w:rPr>
      </w:pPr>
      <m:oMathPara>
        <m:oMath>
          <m:r>
            <w:rPr>
              <w:rFonts w:ascii="Cambria Math" w:eastAsiaTheme="minorEastAsia" w:hAnsi="Cambria Math" w:cs="Arial"/>
              <w:sz w:val="20"/>
              <w:szCs w:val="20"/>
              <w:lang w:val="id-ID"/>
            </w:rPr>
            <m:t>Y=1531+</m:t>
          </m:r>
          <m:f>
            <m:fPr>
              <m:ctrlPr>
                <w:rPr>
                  <w:rFonts w:ascii="Cambria Math" w:eastAsiaTheme="minorEastAsia" w:hAnsi="Cambria Math" w:cs="Arial"/>
                  <w:i/>
                  <w:sz w:val="20"/>
                  <w:szCs w:val="20"/>
                  <w:lang w:val="id-ID"/>
                </w:rPr>
              </m:ctrlPr>
            </m:fPr>
            <m:num>
              <m:r>
                <w:rPr>
                  <w:rFonts w:ascii="Cambria Math" w:eastAsiaTheme="minorEastAsia" w:hAnsi="Cambria Math" w:cs="Arial"/>
                  <w:sz w:val="20"/>
                  <w:szCs w:val="20"/>
                  <w:lang w:val="id-ID"/>
                </w:rPr>
                <m:t>1</m:t>
              </m:r>
            </m:num>
            <m:den>
              <m:r>
                <w:rPr>
                  <w:rFonts w:ascii="Cambria Math" w:eastAsiaTheme="minorEastAsia" w:hAnsi="Cambria Math" w:cs="Arial"/>
                  <w:sz w:val="20"/>
                  <w:szCs w:val="20"/>
                  <w:lang w:val="id-ID"/>
                </w:rPr>
                <m:t>2</m:t>
              </m:r>
            </m:den>
          </m:f>
          <m:d>
            <m:dPr>
              <m:begChr m:val="["/>
              <m:endChr m:val="]"/>
              <m:ctrlPr>
                <w:rPr>
                  <w:rFonts w:ascii="Cambria Math" w:eastAsiaTheme="minorEastAsia" w:hAnsi="Cambria Math" w:cs="Arial"/>
                  <w:i/>
                  <w:sz w:val="20"/>
                  <w:szCs w:val="20"/>
                  <w:lang w:val="id-ID"/>
                </w:rPr>
              </m:ctrlPr>
            </m:dPr>
            <m:e>
              <m:m>
                <m:mPr>
                  <m:mcs>
                    <m:mc>
                      <m:mcPr>
                        <m:count m:val="3"/>
                        <m:mcJc m:val="center"/>
                      </m:mcPr>
                    </m:mc>
                  </m:mcs>
                  <m:ctrlPr>
                    <w:rPr>
                      <w:rFonts w:ascii="Cambria Math" w:eastAsiaTheme="minorEastAsia" w:hAnsi="Cambria Math" w:cs="Arial"/>
                      <w:i/>
                      <w:sz w:val="20"/>
                      <w:szCs w:val="20"/>
                      <w:lang w:val="id-ID"/>
                    </w:rPr>
                  </m:ctrlPr>
                </m:mPr>
                <m:mr>
                  <m:e>
                    <m:r>
                      <w:rPr>
                        <w:rFonts w:ascii="Cambria Math" w:eastAsiaTheme="minorEastAsia" w:hAnsi="Cambria Math" w:cs="Arial"/>
                        <w:sz w:val="20"/>
                        <w:szCs w:val="20"/>
                        <w:lang w:val="id-ID"/>
                      </w:rPr>
                      <m:t>(-31974,67)</m:t>
                    </m:r>
                  </m:e>
                  <m:e>
                    <m:r>
                      <w:rPr>
                        <w:rFonts w:ascii="Cambria Math" w:eastAsiaTheme="minorEastAsia" w:hAnsi="Cambria Math" w:cs="Arial"/>
                        <w:sz w:val="20"/>
                        <w:szCs w:val="20"/>
                        <w:lang w:val="id-ID"/>
                      </w:rPr>
                      <m:t>1087,51</m:t>
                    </m:r>
                  </m:e>
                  <m:e>
                    <m:r>
                      <w:rPr>
                        <w:rFonts w:ascii="Cambria Math" w:eastAsiaTheme="minorEastAsia" w:hAnsi="Cambria Math" w:cs="Arial"/>
                        <w:sz w:val="20"/>
                        <w:szCs w:val="20"/>
                        <w:lang w:val="id-ID"/>
                      </w:rPr>
                      <m:t>1,52</m:t>
                    </m:r>
                  </m:e>
                </m:mr>
              </m:m>
            </m:e>
          </m:d>
          <m:d>
            <m:dPr>
              <m:begChr m:val="["/>
              <m:endChr m:val="]"/>
              <m:ctrlPr>
                <w:rPr>
                  <w:rFonts w:ascii="Cambria Math" w:eastAsiaTheme="minorEastAsia" w:hAnsi="Cambria Math" w:cs="Arial"/>
                  <w:i/>
                  <w:sz w:val="20"/>
                  <w:szCs w:val="20"/>
                  <w:lang w:val="id-ID"/>
                </w:rPr>
              </m:ctrlPr>
            </m:dPr>
            <m:e>
              <m:m>
                <m:mPr>
                  <m:mcs>
                    <m:mc>
                      <m:mcPr>
                        <m:count m:val="1"/>
                        <m:mcJc m:val="center"/>
                      </m:mcPr>
                    </m:mc>
                  </m:mcs>
                  <m:ctrlPr>
                    <w:rPr>
                      <w:rFonts w:ascii="Cambria Math" w:eastAsiaTheme="minorEastAsia" w:hAnsi="Cambria Math" w:cs="Arial"/>
                      <w:i/>
                      <w:sz w:val="20"/>
                      <w:szCs w:val="20"/>
                      <w:lang w:val="id-ID"/>
                    </w:rPr>
                  </m:ctrlPr>
                </m:mPr>
                <m:mr>
                  <m:e>
                    <m:r>
                      <w:rPr>
                        <w:rFonts w:ascii="Cambria Math" w:eastAsia="Times New Roman" w:hAnsi="Cambria Math" w:cs="Arial"/>
                        <w:sz w:val="20"/>
                        <w:szCs w:val="20"/>
                        <w:lang w:val="id-ID"/>
                      </w:rPr>
                      <m:t>-1,063</m:t>
                    </m:r>
                  </m:e>
                </m:mr>
                <m:mr>
                  <m:e>
                    <m:r>
                      <w:rPr>
                        <w:rFonts w:ascii="Cambria Math" w:eastAsia="Times New Roman" w:hAnsi="Cambria Math" w:cs="Arial"/>
                        <w:sz w:val="20"/>
                        <w:szCs w:val="20"/>
                        <w:lang w:val="id-ID"/>
                      </w:rPr>
                      <m:t>-0,875</m:t>
                    </m:r>
                  </m:e>
                </m:mr>
                <m:mr>
                  <m:e>
                    <m:r>
                      <w:rPr>
                        <w:rFonts w:ascii="Cambria Math" w:eastAsia="Times New Roman" w:hAnsi="Cambria Math" w:cs="Arial"/>
                        <w:sz w:val="20"/>
                        <w:szCs w:val="20"/>
                        <w:lang w:val="id-ID"/>
                      </w:rPr>
                      <m:t>852</m:t>
                    </m:r>
                  </m:e>
                </m:mr>
              </m:m>
            </m:e>
          </m:d>
          <m:r>
            <w:rPr>
              <w:rFonts w:ascii="Cambria Math" w:eastAsiaTheme="minorEastAsia" w:hAnsi="Cambria Math" w:cs="Arial"/>
              <w:sz w:val="20"/>
              <w:szCs w:val="20"/>
              <w:lang w:val="id-ID"/>
            </w:rPr>
            <m:t>=18697,27</m:t>
          </m:r>
        </m:oMath>
      </m:oMathPara>
    </w:p>
    <w:p w14:paraId="12D395A5" w14:textId="3C461818" w:rsidR="006129CA" w:rsidRPr="006129CA" w:rsidRDefault="000F61E7" w:rsidP="006129CA">
      <w:pPr>
        <w:pStyle w:val="DaftarParagraf"/>
        <w:pBdr>
          <w:top w:val="nil"/>
          <w:left w:val="nil"/>
          <w:bottom w:val="nil"/>
          <w:right w:val="nil"/>
          <w:between w:val="nil"/>
        </w:pBdr>
        <w:ind w:left="0" w:firstLine="426"/>
        <w:jc w:val="both"/>
        <w:rPr>
          <w:rFonts w:ascii="Arial" w:eastAsia="Arial" w:hAnsi="Arial" w:cs="Arial"/>
          <w:color w:val="000000"/>
          <w:sz w:val="20"/>
          <w:szCs w:val="20"/>
        </w:rPr>
      </w:pPr>
      <w:r w:rsidRPr="000F61E7">
        <w:rPr>
          <w:rFonts w:ascii="Arial" w:eastAsiaTheme="minorEastAsia" w:hAnsi="Arial" w:cs="Arial"/>
          <w:sz w:val="20"/>
          <w:szCs w:val="20"/>
          <w:lang w:val="id-ID"/>
        </w:rPr>
        <w:t>Thus a response value of 18697.27 is obtained</w:t>
      </w:r>
      <w:r w:rsidR="006129CA" w:rsidRPr="006129CA">
        <w:rPr>
          <w:rFonts w:ascii="Arial" w:eastAsiaTheme="minorEastAsia" w:hAnsi="Arial" w:cs="Arial"/>
          <w:sz w:val="20"/>
          <w:szCs w:val="20"/>
          <w:lang w:val="id-ID"/>
        </w:rPr>
        <w:t>.</w:t>
      </w:r>
    </w:p>
    <w:p w14:paraId="42C2C3E1" w14:textId="736143BA" w:rsidR="00115EA1" w:rsidRDefault="000F61E7" w:rsidP="002C552F">
      <w:pPr>
        <w:pStyle w:val="DaftarParagraf"/>
        <w:numPr>
          <w:ilvl w:val="0"/>
          <w:numId w:val="6"/>
        </w:numPr>
        <w:pBdr>
          <w:top w:val="nil"/>
          <w:left w:val="nil"/>
          <w:bottom w:val="nil"/>
          <w:right w:val="nil"/>
          <w:between w:val="nil"/>
        </w:pBdr>
        <w:ind w:left="426" w:hanging="426"/>
        <w:jc w:val="both"/>
        <w:rPr>
          <w:rFonts w:ascii="Arial" w:eastAsia="Arial" w:hAnsi="Arial" w:cs="Arial"/>
          <w:b/>
          <w:bCs/>
          <w:color w:val="000000"/>
          <w:sz w:val="20"/>
          <w:szCs w:val="20"/>
        </w:rPr>
      </w:pPr>
      <w:r w:rsidRPr="000F61E7">
        <w:rPr>
          <w:rFonts w:ascii="Arial" w:eastAsia="Arial" w:hAnsi="Arial" w:cs="Arial"/>
          <w:b/>
          <w:bCs/>
          <w:color w:val="000000"/>
          <w:sz w:val="20"/>
          <w:szCs w:val="20"/>
        </w:rPr>
        <w:t>Response Surface Analysis</w:t>
      </w:r>
    </w:p>
    <w:p w14:paraId="3A1C3A5B" w14:textId="0F53C7B4" w:rsidR="0010506C" w:rsidRDefault="000F61E7" w:rsidP="0010506C">
      <w:pPr>
        <w:pStyle w:val="DaftarParagraf"/>
        <w:pBdr>
          <w:top w:val="nil"/>
          <w:left w:val="nil"/>
          <w:bottom w:val="nil"/>
          <w:right w:val="nil"/>
          <w:between w:val="nil"/>
        </w:pBdr>
        <w:ind w:left="0" w:firstLine="425"/>
        <w:jc w:val="both"/>
        <w:rPr>
          <w:rFonts w:ascii="Arial" w:hAnsi="Arial" w:cs="Arial"/>
          <w:sz w:val="20"/>
          <w:szCs w:val="20"/>
        </w:rPr>
      </w:pPr>
      <w:r w:rsidRPr="000F61E7">
        <w:rPr>
          <w:rFonts w:ascii="Arial" w:hAnsi="Arial" w:cs="Arial"/>
          <w:sz w:val="20"/>
          <w:szCs w:val="20"/>
        </w:rPr>
        <w:t>One method to visualize the response surface model is to create a contour plot of the warehouse stock, which is affected by three factors: store demand, supplier incoming goods, and delivery lead time. To display the contour plot results, the response can only be visualized in three dimensions, so the two factors that have the most influence on the response will be selected.</w:t>
      </w:r>
    </w:p>
    <w:p w14:paraId="5ADAC77D" w14:textId="201365DB" w:rsidR="0010506C" w:rsidRDefault="0010506C" w:rsidP="00C50DDD">
      <w:pPr>
        <w:pStyle w:val="DaftarParagraf"/>
        <w:pBdr>
          <w:top w:val="nil"/>
          <w:left w:val="nil"/>
          <w:bottom w:val="nil"/>
          <w:right w:val="nil"/>
          <w:between w:val="nil"/>
        </w:pBdr>
        <w:ind w:left="0"/>
        <w:jc w:val="center"/>
        <w:rPr>
          <w:rFonts w:ascii="Arial" w:eastAsia="Arial" w:hAnsi="Arial" w:cs="Arial"/>
          <w:color w:val="000000"/>
          <w:sz w:val="20"/>
          <w:szCs w:val="20"/>
        </w:rPr>
      </w:pPr>
      <w:r w:rsidRPr="001275B9">
        <w:rPr>
          <w:rFonts w:ascii="Times New Roman" w:hAnsi="Times New Roman" w:cs="Times New Roman"/>
          <w:noProof/>
          <w:sz w:val="24"/>
          <w:szCs w:val="24"/>
        </w:rPr>
        <w:drawing>
          <wp:inline distT="0" distB="0" distL="0" distR="0" wp14:anchorId="23373BF5" wp14:editId="60B9CF6F">
            <wp:extent cx="4354870" cy="2878373"/>
            <wp:effectExtent l="0" t="0" r="7620" b="0"/>
            <wp:docPr id="201160377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03772" name=""/>
                    <pic:cNvPicPr/>
                  </pic:nvPicPr>
                  <pic:blipFill>
                    <a:blip r:embed="rId17"/>
                    <a:stretch>
                      <a:fillRect/>
                    </a:stretch>
                  </pic:blipFill>
                  <pic:spPr>
                    <a:xfrm>
                      <a:off x="0" y="0"/>
                      <a:ext cx="4399206" cy="2907677"/>
                    </a:xfrm>
                    <a:prstGeom prst="rect">
                      <a:avLst/>
                    </a:prstGeom>
                  </pic:spPr>
                </pic:pic>
              </a:graphicData>
            </a:graphic>
          </wp:inline>
        </w:drawing>
      </w:r>
    </w:p>
    <w:p w14:paraId="2C022852" w14:textId="566D5E0C" w:rsidR="0010506C" w:rsidRDefault="0010506C" w:rsidP="0010506C">
      <w:pPr>
        <w:pStyle w:val="DaftarParagraf"/>
        <w:pBdr>
          <w:top w:val="nil"/>
          <w:left w:val="nil"/>
          <w:bottom w:val="nil"/>
          <w:right w:val="nil"/>
          <w:between w:val="nil"/>
        </w:pBdr>
        <w:ind w:left="0" w:firstLine="425"/>
        <w:jc w:val="center"/>
        <w:rPr>
          <w:rFonts w:ascii="Arial" w:eastAsia="Arial" w:hAnsi="Arial" w:cs="Arial"/>
          <w:color w:val="000000"/>
          <w:sz w:val="20"/>
          <w:szCs w:val="20"/>
        </w:rPr>
      </w:pPr>
      <w:r>
        <w:rPr>
          <w:rFonts w:ascii="Arial" w:eastAsia="Arial" w:hAnsi="Arial" w:cs="Arial"/>
          <w:color w:val="000000"/>
          <w:sz w:val="20"/>
          <w:szCs w:val="20"/>
        </w:rPr>
        <w:t xml:space="preserve">Fig. </w:t>
      </w:r>
      <w:r w:rsidR="006129CA">
        <w:rPr>
          <w:rFonts w:ascii="Arial" w:eastAsia="Arial" w:hAnsi="Arial" w:cs="Arial"/>
          <w:color w:val="000000"/>
          <w:sz w:val="20"/>
          <w:szCs w:val="20"/>
        </w:rPr>
        <w:t>3</w:t>
      </w:r>
      <w:r>
        <w:rPr>
          <w:rFonts w:ascii="Arial" w:eastAsia="Arial" w:hAnsi="Arial" w:cs="Arial"/>
          <w:color w:val="000000"/>
          <w:sz w:val="20"/>
          <w:szCs w:val="20"/>
        </w:rPr>
        <w:t xml:space="preserve"> Contour Plots of Stok Warehouse</w:t>
      </w:r>
    </w:p>
    <w:p w14:paraId="2A55DF31" w14:textId="7659F829" w:rsidR="0010506C" w:rsidRPr="0010506C" w:rsidRDefault="000F61E7" w:rsidP="0010506C">
      <w:pPr>
        <w:pStyle w:val="DaftarParagraf"/>
        <w:ind w:left="0" w:firstLine="426"/>
        <w:jc w:val="both"/>
        <w:rPr>
          <w:rFonts w:ascii="Arial" w:hAnsi="Arial" w:cs="Arial"/>
          <w:sz w:val="20"/>
          <w:szCs w:val="20"/>
        </w:rPr>
      </w:pPr>
      <w:r w:rsidRPr="000F61E7">
        <w:rPr>
          <w:rFonts w:ascii="Arial" w:hAnsi="Arial" w:cs="Arial"/>
          <w:sz w:val="20"/>
          <w:szCs w:val="20"/>
        </w:rPr>
        <w:lastRenderedPageBreak/>
        <w:t>Fig. 3 shows a contour plot consisting of several colors with each variation showing the range of the magnitude of the resulting response. The maximum condition for the plot above is in dark green with a warehouse stock value above 50,000 pcs. This range will outline the location of the optimum point of the variable.</w:t>
      </w:r>
    </w:p>
    <w:p w14:paraId="3B601552" w14:textId="77777777" w:rsidR="0010506C" w:rsidRDefault="0010506C" w:rsidP="00C50DDD">
      <w:pPr>
        <w:pStyle w:val="DaftarParagraf"/>
        <w:ind w:left="0"/>
        <w:jc w:val="center"/>
        <w:rPr>
          <w:rFonts w:ascii="Times New Roman" w:hAnsi="Times New Roman" w:cs="Times New Roman"/>
          <w:sz w:val="24"/>
          <w:szCs w:val="24"/>
        </w:rPr>
      </w:pPr>
      <w:r w:rsidRPr="001275B9">
        <w:rPr>
          <w:rFonts w:ascii="Times New Roman" w:hAnsi="Times New Roman" w:cs="Times New Roman"/>
          <w:noProof/>
          <w:sz w:val="24"/>
          <w:szCs w:val="24"/>
        </w:rPr>
        <w:drawing>
          <wp:inline distT="0" distB="0" distL="0" distR="0" wp14:anchorId="58BF6E1F" wp14:editId="28F8D85F">
            <wp:extent cx="4385246" cy="2933812"/>
            <wp:effectExtent l="0" t="0" r="0" b="0"/>
            <wp:docPr id="213263062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30629" name=""/>
                    <pic:cNvPicPr/>
                  </pic:nvPicPr>
                  <pic:blipFill>
                    <a:blip r:embed="rId18"/>
                    <a:stretch>
                      <a:fillRect/>
                    </a:stretch>
                  </pic:blipFill>
                  <pic:spPr>
                    <a:xfrm>
                      <a:off x="0" y="0"/>
                      <a:ext cx="4419683" cy="2956851"/>
                    </a:xfrm>
                    <a:prstGeom prst="rect">
                      <a:avLst/>
                    </a:prstGeom>
                  </pic:spPr>
                </pic:pic>
              </a:graphicData>
            </a:graphic>
          </wp:inline>
        </w:drawing>
      </w:r>
    </w:p>
    <w:p w14:paraId="701EBF4E" w14:textId="01F3F03B" w:rsidR="0010506C" w:rsidRPr="0010506C" w:rsidRDefault="0010506C" w:rsidP="0010506C">
      <w:pPr>
        <w:pStyle w:val="DaftarParagraf"/>
        <w:ind w:left="426"/>
        <w:jc w:val="center"/>
        <w:rPr>
          <w:rFonts w:ascii="Arial" w:hAnsi="Arial" w:cs="Arial"/>
          <w:i/>
          <w:iCs/>
          <w:sz w:val="20"/>
          <w:szCs w:val="20"/>
        </w:rPr>
      </w:pPr>
      <w:r>
        <w:rPr>
          <w:rFonts w:ascii="Arial" w:hAnsi="Arial" w:cs="Arial"/>
          <w:sz w:val="20"/>
          <w:szCs w:val="20"/>
        </w:rPr>
        <w:t xml:space="preserve">Fig. </w:t>
      </w:r>
      <w:r w:rsidR="006129CA">
        <w:rPr>
          <w:rFonts w:ascii="Arial" w:hAnsi="Arial" w:cs="Arial"/>
          <w:sz w:val="20"/>
          <w:szCs w:val="20"/>
        </w:rPr>
        <w:t>4</w:t>
      </w:r>
      <w:r w:rsidRPr="0010506C">
        <w:rPr>
          <w:rFonts w:ascii="Arial" w:hAnsi="Arial" w:cs="Arial"/>
          <w:sz w:val="20"/>
          <w:szCs w:val="20"/>
        </w:rPr>
        <w:t xml:space="preserve"> </w:t>
      </w:r>
      <w:r w:rsidRPr="0010506C">
        <w:rPr>
          <w:rFonts w:ascii="Arial" w:hAnsi="Arial" w:cs="Arial"/>
          <w:i/>
          <w:iCs/>
          <w:sz w:val="20"/>
          <w:szCs w:val="20"/>
        </w:rPr>
        <w:t>Surface Plot</w:t>
      </w:r>
      <w:r>
        <w:rPr>
          <w:rFonts w:ascii="Arial" w:hAnsi="Arial" w:cs="Arial"/>
          <w:i/>
          <w:iCs/>
          <w:sz w:val="20"/>
          <w:szCs w:val="20"/>
        </w:rPr>
        <w:t xml:space="preserve"> of Stok Warehouse</w:t>
      </w:r>
    </w:p>
    <w:p w14:paraId="03A0AECE" w14:textId="1610438D" w:rsidR="0010506C" w:rsidRPr="0010506C" w:rsidRDefault="000F61E7" w:rsidP="0010506C">
      <w:pPr>
        <w:pStyle w:val="DaftarParagraf"/>
        <w:pBdr>
          <w:top w:val="nil"/>
          <w:left w:val="nil"/>
          <w:bottom w:val="nil"/>
          <w:right w:val="nil"/>
          <w:between w:val="nil"/>
        </w:pBdr>
        <w:ind w:left="0" w:firstLine="425"/>
        <w:jc w:val="both"/>
        <w:rPr>
          <w:rFonts w:ascii="Arial" w:eastAsia="Arial" w:hAnsi="Arial" w:cs="Arial"/>
          <w:color w:val="000000"/>
          <w:sz w:val="20"/>
          <w:szCs w:val="20"/>
        </w:rPr>
      </w:pPr>
      <w:r w:rsidRPr="000F61E7">
        <w:rPr>
          <w:rFonts w:ascii="Arial" w:hAnsi="Arial" w:cs="Arial"/>
          <w:sz w:val="20"/>
          <w:szCs w:val="20"/>
        </w:rPr>
        <w:t>After obtaining the optimum conditions of each factor, the determination of the optimum conditions can be proven by the shape of the 3-dimensional curve that forms the optimum peak as shown in Fig. 4.</w:t>
      </w:r>
    </w:p>
    <w:p w14:paraId="6E7B3FD7" w14:textId="77777777" w:rsidR="00CF44E9" w:rsidRDefault="00CF44E9" w:rsidP="0010506C">
      <w:pPr>
        <w:pBdr>
          <w:top w:val="nil"/>
          <w:left w:val="nil"/>
          <w:bottom w:val="nil"/>
          <w:right w:val="nil"/>
          <w:between w:val="nil"/>
        </w:pBdr>
        <w:rPr>
          <w:rFonts w:ascii="Arial" w:eastAsia="Arial" w:hAnsi="Arial" w:cs="Arial"/>
          <w:color w:val="000000"/>
          <w:szCs w:val="18"/>
        </w:rPr>
      </w:pPr>
    </w:p>
    <w:p w14:paraId="094D13E5" w14:textId="77777777" w:rsidR="00CF44E9" w:rsidRDefault="00000000">
      <w:pPr>
        <w:pStyle w:val="Judul2"/>
      </w:pPr>
      <w:r>
        <w:t>4. Conclusion</w:t>
      </w:r>
    </w:p>
    <w:p w14:paraId="0CD06A11" w14:textId="57E2DD94" w:rsidR="006129CA" w:rsidRPr="006129CA" w:rsidRDefault="000F61E7" w:rsidP="006129CA">
      <w:pPr>
        <w:ind w:firstLine="284"/>
        <w:jc w:val="both"/>
        <w:rPr>
          <w:rFonts w:ascii="Arial" w:hAnsi="Arial" w:cs="Arial"/>
          <w:sz w:val="20"/>
          <w:szCs w:val="20"/>
        </w:rPr>
      </w:pPr>
      <w:r w:rsidRPr="000F61E7">
        <w:rPr>
          <w:rFonts w:ascii="Arial" w:hAnsi="Arial" w:cs="Arial"/>
          <w:sz w:val="20"/>
          <w:szCs w:val="20"/>
        </w:rPr>
        <w:t>From the research that has been done regarding the optimization of stock of goods in the warehouse of PT XYZ using the Response Surface Methodology experimental design, it is concluded that the factors that influence the optimization of stock of goods in the warehouse are:</w:t>
      </w:r>
    </w:p>
    <w:p w14:paraId="3281CE3E" w14:textId="6A8CB235" w:rsidR="006129CA" w:rsidRPr="006129CA" w:rsidRDefault="006129CA" w:rsidP="006129CA">
      <w:pPr>
        <w:pStyle w:val="DaftarParagraf"/>
        <w:numPr>
          <w:ilvl w:val="0"/>
          <w:numId w:val="12"/>
        </w:numPr>
        <w:ind w:left="709" w:hanging="425"/>
        <w:jc w:val="both"/>
        <w:rPr>
          <w:rFonts w:ascii="Arial" w:eastAsiaTheme="minorHAnsi" w:hAnsi="Arial" w:cs="Arial"/>
          <w:kern w:val="2"/>
          <w:sz w:val="20"/>
          <w:szCs w:val="20"/>
          <w:lang w:val="en-US" w:eastAsia="en-US"/>
          <w14:ligatures w14:val="standardContextual"/>
        </w:rPr>
      </w:pPr>
      <w:r w:rsidRPr="006129CA">
        <w:rPr>
          <w:rFonts w:ascii="Arial" w:hAnsi="Arial" w:cs="Arial"/>
          <w:sz w:val="20"/>
          <w:szCs w:val="20"/>
          <w:lang w:val="id-ID"/>
        </w:rPr>
        <w:t>Fa</w:t>
      </w:r>
      <w:r w:rsidR="00A35068">
        <w:rPr>
          <w:rFonts w:ascii="Arial" w:hAnsi="Arial" w:cs="Arial"/>
          <w:sz w:val="20"/>
          <w:szCs w:val="20"/>
          <w:lang w:val="id-ID"/>
        </w:rPr>
        <w:t>c</w:t>
      </w:r>
      <w:r w:rsidRPr="006129CA">
        <w:rPr>
          <w:rFonts w:ascii="Arial" w:hAnsi="Arial" w:cs="Arial"/>
          <w:sz w:val="20"/>
          <w:szCs w:val="20"/>
          <w:lang w:val="id-ID"/>
        </w:rPr>
        <w:t xml:space="preserve">tor </w:t>
      </w:r>
      <m:oMath>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1</m:t>
            </m:r>
          </m:sub>
        </m:sSub>
      </m:oMath>
      <w:r w:rsidRPr="006129CA">
        <w:rPr>
          <w:rFonts w:ascii="Arial" w:eastAsiaTheme="minorEastAsia" w:hAnsi="Arial" w:cs="Arial"/>
          <w:sz w:val="20"/>
          <w:szCs w:val="20"/>
          <w:lang w:val="id-ID"/>
        </w:rPr>
        <w:t xml:space="preserve">, </w:t>
      </w:r>
      <w:r w:rsidR="00A35068" w:rsidRPr="00A35068">
        <w:rPr>
          <w:rFonts w:ascii="Arial" w:eastAsiaTheme="minorEastAsia" w:hAnsi="Arial" w:cs="Arial"/>
          <w:sz w:val="20"/>
          <w:szCs w:val="20"/>
          <w:lang w:val="id-ID"/>
        </w:rPr>
        <w:t>which is the demand factor for store goods.</w:t>
      </w:r>
    </w:p>
    <w:p w14:paraId="38D1DF9D" w14:textId="63226C05" w:rsidR="006129CA" w:rsidRPr="006129CA" w:rsidRDefault="006129CA" w:rsidP="006129CA">
      <w:pPr>
        <w:pStyle w:val="DaftarParagraf"/>
        <w:numPr>
          <w:ilvl w:val="0"/>
          <w:numId w:val="12"/>
        </w:numPr>
        <w:ind w:left="709" w:hanging="425"/>
        <w:jc w:val="both"/>
        <w:rPr>
          <w:rFonts w:ascii="Arial" w:eastAsiaTheme="minorHAnsi" w:hAnsi="Arial" w:cs="Arial"/>
          <w:kern w:val="2"/>
          <w:sz w:val="20"/>
          <w:szCs w:val="20"/>
          <w:lang w:val="en-US" w:eastAsia="en-US"/>
          <w14:ligatures w14:val="standardContextual"/>
        </w:rPr>
      </w:pPr>
      <w:r w:rsidRPr="006129CA">
        <w:rPr>
          <w:rFonts w:ascii="Arial" w:hAnsi="Arial" w:cs="Arial"/>
          <w:sz w:val="20"/>
          <w:szCs w:val="20"/>
          <w:lang w:val="id-ID"/>
        </w:rPr>
        <w:t>Fa</w:t>
      </w:r>
      <w:r w:rsidR="00A35068">
        <w:rPr>
          <w:rFonts w:ascii="Arial" w:hAnsi="Arial" w:cs="Arial"/>
          <w:sz w:val="20"/>
          <w:szCs w:val="20"/>
          <w:lang w:val="id-ID"/>
        </w:rPr>
        <w:t>c</w:t>
      </w:r>
      <w:r w:rsidRPr="006129CA">
        <w:rPr>
          <w:rFonts w:ascii="Arial" w:hAnsi="Arial" w:cs="Arial"/>
          <w:sz w:val="20"/>
          <w:szCs w:val="20"/>
          <w:lang w:val="id-ID"/>
        </w:rPr>
        <w:t xml:space="preserve">tor </w:t>
      </w:r>
      <m:oMath>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2</m:t>
            </m:r>
          </m:sub>
        </m:sSub>
      </m:oMath>
      <w:r w:rsidRPr="006129CA">
        <w:rPr>
          <w:rFonts w:ascii="Arial" w:eastAsiaTheme="minorEastAsia" w:hAnsi="Arial" w:cs="Arial"/>
          <w:sz w:val="20"/>
          <w:szCs w:val="20"/>
          <w:lang w:val="id-ID"/>
        </w:rPr>
        <w:t xml:space="preserve">, </w:t>
      </w:r>
      <w:r w:rsidR="00A35068" w:rsidRPr="00A35068">
        <w:rPr>
          <w:rFonts w:ascii="Arial" w:eastAsiaTheme="minorEastAsia" w:hAnsi="Arial" w:cs="Arial"/>
          <w:sz w:val="20"/>
          <w:szCs w:val="20"/>
          <w:lang w:val="id-ID"/>
        </w:rPr>
        <w:t>which is the supplier's incoming goods factor.</w:t>
      </w:r>
    </w:p>
    <w:p w14:paraId="667C61A0" w14:textId="08AEF736" w:rsidR="006129CA" w:rsidRPr="006129CA" w:rsidRDefault="006129CA" w:rsidP="006129CA">
      <w:pPr>
        <w:pStyle w:val="DaftarParagraf"/>
        <w:numPr>
          <w:ilvl w:val="0"/>
          <w:numId w:val="12"/>
        </w:numPr>
        <w:ind w:left="709" w:hanging="425"/>
        <w:jc w:val="both"/>
        <w:rPr>
          <w:rFonts w:ascii="Arial" w:eastAsiaTheme="minorHAnsi" w:hAnsi="Arial" w:cs="Arial"/>
          <w:kern w:val="2"/>
          <w:sz w:val="20"/>
          <w:szCs w:val="20"/>
          <w:lang w:val="en-US" w:eastAsia="en-US"/>
          <w14:ligatures w14:val="standardContextual"/>
        </w:rPr>
      </w:pPr>
      <w:r w:rsidRPr="006129CA">
        <w:rPr>
          <w:rFonts w:ascii="Arial" w:hAnsi="Arial" w:cs="Arial"/>
          <w:sz w:val="20"/>
          <w:szCs w:val="20"/>
          <w:lang w:val="id-ID"/>
        </w:rPr>
        <w:t xml:space="preserve">Faktor </w:t>
      </w:r>
      <m:oMath>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3</m:t>
            </m:r>
          </m:sub>
        </m:sSub>
      </m:oMath>
      <w:r w:rsidRPr="006129CA">
        <w:rPr>
          <w:rFonts w:ascii="Arial" w:eastAsiaTheme="minorEastAsia" w:hAnsi="Arial" w:cs="Arial"/>
          <w:sz w:val="20"/>
          <w:szCs w:val="20"/>
          <w:lang w:val="id-ID"/>
        </w:rPr>
        <w:t xml:space="preserve">, </w:t>
      </w:r>
      <w:r w:rsidR="00A35068" w:rsidRPr="00A35068">
        <w:rPr>
          <w:rFonts w:ascii="Arial" w:eastAsiaTheme="minorEastAsia" w:hAnsi="Arial" w:cs="Arial"/>
          <w:sz w:val="20"/>
          <w:szCs w:val="20"/>
          <w:lang w:val="id-ID"/>
        </w:rPr>
        <w:t>which is the delivery lead time factor.</w:t>
      </w:r>
    </w:p>
    <w:p w14:paraId="4CBA1DED" w14:textId="049FA57E" w:rsidR="006129CA" w:rsidRPr="006129CA" w:rsidRDefault="00A35068" w:rsidP="006129CA">
      <w:pPr>
        <w:pStyle w:val="DaftarParagraf"/>
        <w:numPr>
          <w:ilvl w:val="0"/>
          <w:numId w:val="12"/>
        </w:numPr>
        <w:ind w:left="709" w:hanging="425"/>
        <w:jc w:val="both"/>
        <w:rPr>
          <w:rFonts w:ascii="Arial" w:eastAsiaTheme="minorHAnsi" w:hAnsi="Arial" w:cs="Arial"/>
          <w:kern w:val="2"/>
          <w:sz w:val="20"/>
          <w:szCs w:val="20"/>
          <w:lang w:val="en-US" w:eastAsia="en-US"/>
          <w14:ligatures w14:val="standardContextual"/>
        </w:rPr>
      </w:pPr>
      <w:r>
        <w:rPr>
          <w:rFonts w:ascii="Arial" w:hAnsi="Arial" w:cs="Arial"/>
          <w:sz w:val="20"/>
          <w:szCs w:val="20"/>
        </w:rPr>
        <w:t>Quadratic factor</w:t>
      </w:r>
      <w:r w:rsidR="006129CA" w:rsidRPr="006129CA">
        <w:rPr>
          <w:rFonts w:ascii="Arial" w:hAnsi="Arial" w:cs="Arial"/>
          <w:sz w:val="20"/>
          <w:szCs w:val="20"/>
        </w:rPr>
        <w:t xml:space="preserve"> </w:t>
      </w:r>
      <m:oMath>
        <m:sSup>
          <m:sSupPr>
            <m:ctrlPr>
              <w:rPr>
                <w:rFonts w:ascii="Cambria Math" w:eastAsia="Times New Roman" w:hAnsi="Cambria Math" w:cs="Arial"/>
                <w:i/>
                <w:sz w:val="20"/>
                <w:szCs w:val="20"/>
                <w:lang w:val="id-ID"/>
              </w:rPr>
            </m:ctrlPr>
          </m:sSupPr>
          <m:e>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1</m:t>
                </m:r>
              </m:sub>
            </m:sSub>
          </m:e>
          <m:sup>
            <m:r>
              <w:rPr>
                <w:rFonts w:ascii="Cambria Math" w:eastAsia="Times New Roman" w:hAnsi="Cambria Math" w:cs="Arial"/>
                <w:sz w:val="20"/>
                <w:szCs w:val="20"/>
                <w:lang w:val="id-ID"/>
              </w:rPr>
              <m:t>2</m:t>
            </m:r>
          </m:sup>
        </m:sSup>
      </m:oMath>
      <w:r w:rsidR="006129CA" w:rsidRPr="006129CA">
        <w:rPr>
          <w:rFonts w:ascii="Arial" w:eastAsiaTheme="minorEastAsia" w:hAnsi="Arial" w:cs="Arial"/>
          <w:sz w:val="20"/>
          <w:szCs w:val="20"/>
          <w:lang w:val="id-ID"/>
        </w:rPr>
        <w:t xml:space="preserve">, </w:t>
      </w:r>
      <w:r w:rsidRPr="00A35068">
        <w:rPr>
          <w:rFonts w:ascii="Arial" w:eastAsiaTheme="minorEastAsia" w:hAnsi="Arial" w:cs="Arial"/>
          <w:sz w:val="20"/>
          <w:szCs w:val="20"/>
          <w:lang w:val="id-ID"/>
        </w:rPr>
        <w:t>which is the quadratic factor of demand for store goods.</w:t>
      </w:r>
    </w:p>
    <w:p w14:paraId="1B1AEF08" w14:textId="57063589" w:rsidR="006129CA" w:rsidRPr="006129CA" w:rsidRDefault="00A35068" w:rsidP="006129CA">
      <w:pPr>
        <w:pStyle w:val="DaftarParagraf"/>
        <w:numPr>
          <w:ilvl w:val="0"/>
          <w:numId w:val="12"/>
        </w:numPr>
        <w:ind w:left="709" w:hanging="425"/>
        <w:jc w:val="both"/>
        <w:rPr>
          <w:rFonts w:ascii="Arial" w:hAnsi="Arial" w:cs="Arial"/>
          <w:sz w:val="20"/>
          <w:szCs w:val="20"/>
        </w:rPr>
      </w:pPr>
      <w:r>
        <w:rPr>
          <w:rFonts w:ascii="Arial" w:hAnsi="Arial" w:cs="Arial"/>
          <w:sz w:val="20"/>
          <w:szCs w:val="20"/>
        </w:rPr>
        <w:t>Quadratic factor</w:t>
      </w:r>
      <w:r w:rsidR="006129CA" w:rsidRPr="006129CA">
        <w:rPr>
          <w:rFonts w:ascii="Arial" w:hAnsi="Arial" w:cs="Arial"/>
          <w:sz w:val="20"/>
          <w:szCs w:val="20"/>
        </w:rPr>
        <w:t xml:space="preserve"> </w:t>
      </w:r>
      <m:oMath>
        <m:sSup>
          <m:sSupPr>
            <m:ctrlPr>
              <w:rPr>
                <w:rFonts w:ascii="Cambria Math" w:eastAsia="Times New Roman" w:hAnsi="Cambria Math" w:cs="Arial"/>
                <w:i/>
                <w:sz w:val="20"/>
                <w:szCs w:val="20"/>
                <w:lang w:val="id-ID"/>
              </w:rPr>
            </m:ctrlPr>
          </m:sSupPr>
          <m:e>
            <m:sSub>
              <m:sSubPr>
                <m:ctrlPr>
                  <w:rPr>
                    <w:rFonts w:ascii="Cambria Math" w:eastAsia="Times New Roman" w:hAnsi="Cambria Math" w:cs="Arial"/>
                    <w:i/>
                    <w:sz w:val="20"/>
                    <w:szCs w:val="20"/>
                    <w:lang w:val="id-ID"/>
                  </w:rPr>
                </m:ctrlPr>
              </m:sSubPr>
              <m:e>
                <m:r>
                  <w:rPr>
                    <w:rFonts w:ascii="Cambria Math" w:eastAsia="Times New Roman" w:hAnsi="Cambria Math" w:cs="Arial"/>
                    <w:sz w:val="20"/>
                    <w:szCs w:val="20"/>
                    <w:lang w:val="id-ID"/>
                  </w:rPr>
                  <m:t>X</m:t>
                </m:r>
              </m:e>
              <m:sub>
                <m:r>
                  <w:rPr>
                    <w:rFonts w:ascii="Cambria Math" w:eastAsia="Times New Roman" w:hAnsi="Cambria Math" w:cs="Arial"/>
                    <w:sz w:val="20"/>
                    <w:szCs w:val="20"/>
                    <w:lang w:val="id-ID"/>
                  </w:rPr>
                  <m:t>3</m:t>
                </m:r>
              </m:sub>
            </m:sSub>
          </m:e>
          <m:sup>
            <m:r>
              <w:rPr>
                <w:rFonts w:ascii="Cambria Math" w:eastAsia="Times New Roman" w:hAnsi="Cambria Math" w:cs="Arial"/>
                <w:sz w:val="20"/>
                <w:szCs w:val="20"/>
                <w:lang w:val="id-ID"/>
              </w:rPr>
              <m:t>2</m:t>
            </m:r>
          </m:sup>
        </m:sSup>
      </m:oMath>
      <w:r w:rsidR="006129CA" w:rsidRPr="006129CA">
        <w:rPr>
          <w:rFonts w:ascii="Arial" w:eastAsiaTheme="minorEastAsia" w:hAnsi="Arial" w:cs="Arial"/>
          <w:sz w:val="20"/>
          <w:szCs w:val="20"/>
          <w:lang w:val="id-ID"/>
        </w:rPr>
        <w:t xml:space="preserve">, </w:t>
      </w:r>
      <w:r w:rsidRPr="00A35068">
        <w:rPr>
          <w:rFonts w:ascii="Arial" w:eastAsiaTheme="minorEastAsia" w:hAnsi="Arial" w:cs="Arial"/>
          <w:sz w:val="20"/>
          <w:szCs w:val="20"/>
          <w:lang w:val="id-ID"/>
        </w:rPr>
        <w:t>which is the quadratic factor of delivery lead time.</w:t>
      </w:r>
    </w:p>
    <w:p w14:paraId="7350C8E4" w14:textId="240D9462" w:rsidR="006129CA" w:rsidRPr="006129CA" w:rsidRDefault="00A35068" w:rsidP="006129CA">
      <w:pPr>
        <w:ind w:firstLine="284"/>
        <w:jc w:val="both"/>
        <w:rPr>
          <w:rFonts w:ascii="Arial" w:hAnsi="Arial" w:cs="Arial"/>
          <w:sz w:val="20"/>
          <w:szCs w:val="20"/>
          <w:lang w:val="en-US"/>
        </w:rPr>
      </w:pPr>
      <w:r w:rsidRPr="00A35068">
        <w:rPr>
          <w:rFonts w:ascii="Arial" w:hAnsi="Arial" w:cs="Arial"/>
          <w:sz w:val="20"/>
          <w:szCs w:val="20"/>
        </w:rPr>
        <w:t>The significance test through ANOVA testing aims to determine the effect of the various factors tested on stock in the warehouse. R-squared (R²) or R-squared shows the magnitude of the influence of factors on optimizing the stock of goods in the warehouse. Based on the results of the research that has been carried out, a value (R²) of 0.996 is obtained, which means that the demand for store goods, supplier incoming goods, and delivery lead time has an influence of 99.6% on optimizing stock in the warehouse, while the rest is influenced by other variables.</w:t>
      </w:r>
    </w:p>
    <w:p w14:paraId="666DE339" w14:textId="238767E7" w:rsidR="00CF44E9" w:rsidRDefault="00A35068">
      <w:pPr>
        <w:pBdr>
          <w:top w:val="nil"/>
          <w:left w:val="nil"/>
          <w:bottom w:val="nil"/>
          <w:right w:val="nil"/>
          <w:between w:val="nil"/>
        </w:pBdr>
        <w:ind w:firstLine="284"/>
        <w:jc w:val="both"/>
        <w:rPr>
          <w:rFonts w:ascii="Arial" w:eastAsia="Arial" w:hAnsi="Arial" w:cs="Arial"/>
          <w:color w:val="000000"/>
          <w:sz w:val="20"/>
          <w:szCs w:val="20"/>
        </w:rPr>
      </w:pPr>
      <w:r w:rsidRPr="00A35068">
        <w:rPr>
          <w:rFonts w:ascii="Arial" w:hAnsi="Arial" w:cs="Arial"/>
          <w:sz w:val="20"/>
          <w:szCs w:val="20"/>
        </w:rPr>
        <w:t>Based on the results of research that aims to optimize the stock of goods in the warehouse using the Response Surface Methodology (RSM) method, it is able to evaluate and model the complex relationship between several variables that affect inventory. It is recommended that this research consider key variables other than demand for goods from stores, incoming goods from suppliers, and delivery lead time, which can play a more significant role in stock management or with more varied levels to obtain more optimal results. By using RSM, it can identify the optimal combination of these variables to minimize stock shortages or overstock. This research is expected to help improve warehouse operational efficiency and reduce logistics costs.</w:t>
      </w:r>
    </w:p>
    <w:p w14:paraId="20B30057" w14:textId="4CF605D3" w:rsidR="00CF44E9" w:rsidRDefault="00CF44E9">
      <w:pPr>
        <w:pStyle w:val="Judul2"/>
      </w:pPr>
      <w:hyperlink r:id="rId19">
        <w:r>
          <w:t>Acknowledgments</w:t>
        </w:r>
      </w:hyperlink>
    </w:p>
    <w:p w14:paraId="0E20BC09" w14:textId="22C17EB5" w:rsidR="00CF44E9" w:rsidRPr="003101FD" w:rsidRDefault="00FD7702">
      <w:pPr>
        <w:pBdr>
          <w:top w:val="nil"/>
          <w:left w:val="nil"/>
          <w:bottom w:val="nil"/>
          <w:right w:val="nil"/>
          <w:between w:val="nil"/>
        </w:pBdr>
        <w:ind w:firstLine="284"/>
        <w:jc w:val="both"/>
        <w:rPr>
          <w:rFonts w:ascii="Arial" w:eastAsia="Arial" w:hAnsi="Arial" w:cs="Arial"/>
          <w:color w:val="000000"/>
          <w:sz w:val="20"/>
          <w:szCs w:val="20"/>
        </w:rPr>
      </w:pPr>
      <w:r w:rsidRPr="00FD7702">
        <w:rPr>
          <w:rFonts w:ascii="Arial" w:hAnsi="Arial" w:cs="Arial"/>
          <w:sz w:val="20"/>
          <w:szCs w:val="20"/>
        </w:rPr>
        <w:t>Praise my Gratitude to Allah SWT who has bestowed His Grace and Guidance so that I can complete this research article with the title “Optimizing the Inventory Fulfillment Level of Store Goods from PT. XYZ Warehouse with the Application of Response Surface Methodology”. In the preparation of this article there are many obstacles faced, but thanks to His will so that the author managed to complete the writing of this article. Therefore, with full humility the author would like to thank the parties concerned.</w:t>
      </w:r>
    </w:p>
    <w:p w14:paraId="18DA621D" w14:textId="77777777" w:rsidR="00CF44E9" w:rsidRDefault="00CF44E9">
      <w:pPr>
        <w:pBdr>
          <w:top w:val="nil"/>
          <w:left w:val="nil"/>
          <w:bottom w:val="nil"/>
          <w:right w:val="nil"/>
          <w:between w:val="nil"/>
        </w:pBdr>
        <w:ind w:firstLine="284"/>
        <w:jc w:val="both"/>
        <w:rPr>
          <w:rFonts w:ascii="Arial" w:eastAsia="Arial" w:hAnsi="Arial" w:cs="Arial"/>
          <w:color w:val="000000"/>
          <w:sz w:val="20"/>
          <w:szCs w:val="20"/>
        </w:rPr>
      </w:pPr>
    </w:p>
    <w:p w14:paraId="0CF2B8E5" w14:textId="191C5B23" w:rsidR="00CF44E9" w:rsidRDefault="00000000">
      <w:pPr>
        <w:pStyle w:val="Judul2"/>
      </w:pPr>
      <w:r>
        <w:t>Reference</w:t>
      </w:r>
      <w:r w:rsidR="00C50DDD">
        <w:t>s</w:t>
      </w:r>
    </w:p>
    <w:p w14:paraId="066220D7" w14:textId="2F997B1E" w:rsidR="00CF44E9" w:rsidRDefault="00CF44E9">
      <w:pPr>
        <w:pBdr>
          <w:top w:val="nil"/>
          <w:left w:val="nil"/>
          <w:bottom w:val="nil"/>
          <w:right w:val="nil"/>
          <w:between w:val="nil"/>
        </w:pBdr>
        <w:ind w:firstLine="284"/>
        <w:jc w:val="both"/>
        <w:rPr>
          <w:rFonts w:ascii="Arial" w:eastAsia="Arial" w:hAnsi="Arial" w:cs="Arial"/>
          <w:color w:val="000000"/>
          <w:sz w:val="20"/>
          <w:szCs w:val="20"/>
        </w:rPr>
      </w:pPr>
    </w:p>
    <w:p w14:paraId="623782E0" w14:textId="73B33E8C"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eastAsia="Arial" w:hAnsi="Arial" w:cs="Arial"/>
          <w:sz w:val="20"/>
          <w:szCs w:val="20"/>
        </w:rPr>
        <w:fldChar w:fldCharType="begin" w:fldLock="1"/>
      </w:r>
      <w:r w:rsidRPr="00FD7702">
        <w:rPr>
          <w:rFonts w:ascii="Arial" w:eastAsia="Arial" w:hAnsi="Arial" w:cs="Arial"/>
          <w:sz w:val="20"/>
          <w:szCs w:val="20"/>
        </w:rPr>
        <w:instrText xml:space="preserve">ADDIN Mendeley Bibliography CSL_BIBLIOGRAPHY </w:instrText>
      </w:r>
      <w:r w:rsidRPr="00FD7702">
        <w:rPr>
          <w:rFonts w:ascii="Arial" w:eastAsia="Arial" w:hAnsi="Arial" w:cs="Arial"/>
          <w:sz w:val="20"/>
          <w:szCs w:val="20"/>
        </w:rPr>
        <w:fldChar w:fldCharType="separate"/>
      </w:r>
      <w:r w:rsidRPr="00FD7702">
        <w:rPr>
          <w:rFonts w:ascii="Arial" w:hAnsi="Arial" w:cs="Arial"/>
          <w:noProof/>
          <w:sz w:val="20"/>
          <w:szCs w:val="20"/>
        </w:rPr>
        <w:t xml:space="preserve">Aresti. (2021). Analisis Manajemen Pergudangan pada PT. Beurata Subur Persada. </w:t>
      </w:r>
      <w:r w:rsidRPr="00FD7702">
        <w:rPr>
          <w:rFonts w:ascii="Arial" w:hAnsi="Arial" w:cs="Arial"/>
          <w:i/>
          <w:iCs/>
          <w:noProof/>
          <w:sz w:val="20"/>
          <w:szCs w:val="20"/>
        </w:rPr>
        <w:t>Juremi: Jurnal Riset Ekonomi</w:t>
      </w:r>
      <w:r w:rsidRPr="00FD7702">
        <w:rPr>
          <w:rFonts w:ascii="Arial" w:hAnsi="Arial" w:cs="Arial"/>
          <w:noProof/>
          <w:sz w:val="20"/>
          <w:szCs w:val="20"/>
        </w:rPr>
        <w:t xml:space="preserve">, </w:t>
      </w:r>
      <w:r w:rsidRPr="00FD7702">
        <w:rPr>
          <w:rFonts w:ascii="Arial" w:hAnsi="Arial" w:cs="Arial"/>
          <w:i/>
          <w:iCs/>
          <w:noProof/>
          <w:sz w:val="20"/>
          <w:szCs w:val="20"/>
        </w:rPr>
        <w:t>1</w:t>
      </w:r>
      <w:r w:rsidRPr="00FD7702">
        <w:rPr>
          <w:rFonts w:ascii="Arial" w:hAnsi="Arial" w:cs="Arial"/>
          <w:noProof/>
          <w:sz w:val="20"/>
          <w:szCs w:val="20"/>
        </w:rPr>
        <w:t>, 241–246.</w:t>
      </w:r>
    </w:p>
    <w:p w14:paraId="06A4AEE2" w14:textId="3E737BAB"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Aryanny, E., &amp; Jati, R. K. (2021). Analisa Pengendalian Persediaan Daun Kayu Putih yang Optimal dengan Metode Continous Review System. </w:t>
      </w:r>
      <w:r w:rsidRPr="00FD7702">
        <w:rPr>
          <w:rFonts w:ascii="Arial" w:hAnsi="Arial" w:cs="Arial"/>
          <w:i/>
          <w:iCs/>
          <w:noProof/>
          <w:sz w:val="20"/>
          <w:szCs w:val="20"/>
        </w:rPr>
        <w:t>Tekmapro: Journal of Industrial Engineering and Management</w:t>
      </w:r>
      <w:r w:rsidRPr="00FD7702">
        <w:rPr>
          <w:rFonts w:ascii="Arial" w:hAnsi="Arial" w:cs="Arial"/>
          <w:noProof/>
          <w:sz w:val="20"/>
          <w:szCs w:val="20"/>
        </w:rPr>
        <w:t xml:space="preserve">, </w:t>
      </w:r>
      <w:r w:rsidRPr="00FD7702">
        <w:rPr>
          <w:rFonts w:ascii="Arial" w:hAnsi="Arial" w:cs="Arial"/>
          <w:i/>
          <w:iCs/>
          <w:noProof/>
          <w:sz w:val="20"/>
          <w:szCs w:val="20"/>
        </w:rPr>
        <w:t>16</w:t>
      </w:r>
      <w:r w:rsidRPr="00FD7702">
        <w:rPr>
          <w:rFonts w:ascii="Arial" w:hAnsi="Arial" w:cs="Arial"/>
          <w:noProof/>
          <w:sz w:val="20"/>
          <w:szCs w:val="20"/>
        </w:rPr>
        <w:t xml:space="preserve">(01), 106–117. </w:t>
      </w:r>
    </w:p>
    <w:p w14:paraId="76D5CFF7"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Ernita, T., Ervil, R., Meidy, R., Studi, P., Industri, T., Tinggi, S., &amp; Industri, T. (2021). Perencanaan Persediaan Bahan Baku dengan Metode Material Requirement Planning ( MRP ) pada Proses Produksi Bak Mobil Truk di CV . Lursa Abadi Kota. </w:t>
      </w:r>
      <w:r w:rsidRPr="00FD7702">
        <w:rPr>
          <w:rFonts w:ascii="Arial" w:hAnsi="Arial" w:cs="Arial"/>
          <w:i/>
          <w:iCs/>
          <w:noProof/>
          <w:sz w:val="20"/>
          <w:szCs w:val="20"/>
        </w:rPr>
        <w:t>Jurnal Sains DanTeknologi</w:t>
      </w:r>
      <w:r w:rsidRPr="00FD7702">
        <w:rPr>
          <w:rFonts w:ascii="Arial" w:hAnsi="Arial" w:cs="Arial"/>
          <w:noProof/>
          <w:sz w:val="20"/>
          <w:szCs w:val="20"/>
        </w:rPr>
        <w:t xml:space="preserve">, </w:t>
      </w:r>
      <w:r w:rsidRPr="00FD7702">
        <w:rPr>
          <w:rFonts w:ascii="Arial" w:hAnsi="Arial" w:cs="Arial"/>
          <w:i/>
          <w:iCs/>
          <w:noProof/>
          <w:sz w:val="20"/>
          <w:szCs w:val="20"/>
        </w:rPr>
        <w:t>21</w:t>
      </w:r>
      <w:r w:rsidRPr="00FD7702">
        <w:rPr>
          <w:rFonts w:ascii="Arial" w:hAnsi="Arial" w:cs="Arial"/>
          <w:noProof/>
          <w:sz w:val="20"/>
          <w:szCs w:val="20"/>
        </w:rPr>
        <w:t>(1), 40–49.</w:t>
      </w:r>
    </w:p>
    <w:p w14:paraId="03983BF5"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Hadiyat, M. A., Sopha, B. M., &amp; Wibowo, B. S. (2022). Response Surface Methodology Using Observational Data: A Systematic Literature Review. </w:t>
      </w:r>
      <w:r w:rsidRPr="00FD7702">
        <w:rPr>
          <w:rFonts w:ascii="Arial" w:hAnsi="Arial" w:cs="Arial"/>
          <w:i/>
          <w:iCs/>
          <w:noProof/>
          <w:sz w:val="20"/>
          <w:szCs w:val="20"/>
        </w:rPr>
        <w:t>Applied Sciences (Switzerland)</w:t>
      </w:r>
      <w:r w:rsidRPr="00FD7702">
        <w:rPr>
          <w:rFonts w:ascii="Arial" w:hAnsi="Arial" w:cs="Arial"/>
          <w:noProof/>
          <w:sz w:val="20"/>
          <w:szCs w:val="20"/>
        </w:rPr>
        <w:t xml:space="preserve">, </w:t>
      </w:r>
      <w:r w:rsidRPr="00FD7702">
        <w:rPr>
          <w:rFonts w:ascii="Arial" w:hAnsi="Arial" w:cs="Arial"/>
          <w:i/>
          <w:iCs/>
          <w:noProof/>
          <w:sz w:val="20"/>
          <w:szCs w:val="20"/>
        </w:rPr>
        <w:t>12</w:t>
      </w:r>
      <w:r w:rsidRPr="00FD7702">
        <w:rPr>
          <w:rFonts w:ascii="Arial" w:hAnsi="Arial" w:cs="Arial"/>
          <w:noProof/>
          <w:sz w:val="20"/>
          <w:szCs w:val="20"/>
        </w:rPr>
        <w:t>(20). https://doi.org/10.3390/app122010663</w:t>
      </w:r>
    </w:p>
    <w:p w14:paraId="0240D7FC"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Kumar, R., &amp; Reji, M. (2023). Response surface methodology (RSM): An overview to analyze multivariate data. </w:t>
      </w:r>
      <w:r w:rsidRPr="00FD7702">
        <w:rPr>
          <w:rFonts w:ascii="Arial" w:hAnsi="Arial" w:cs="Arial"/>
          <w:i/>
          <w:iCs/>
          <w:noProof/>
          <w:sz w:val="20"/>
          <w:szCs w:val="20"/>
        </w:rPr>
        <w:t>Indian Journal of Microbiology Research</w:t>
      </w:r>
      <w:r w:rsidRPr="00FD7702">
        <w:rPr>
          <w:rFonts w:ascii="Arial" w:hAnsi="Arial" w:cs="Arial"/>
          <w:noProof/>
          <w:sz w:val="20"/>
          <w:szCs w:val="20"/>
        </w:rPr>
        <w:t xml:space="preserve">, </w:t>
      </w:r>
      <w:r w:rsidRPr="00FD7702">
        <w:rPr>
          <w:rFonts w:ascii="Arial" w:hAnsi="Arial" w:cs="Arial"/>
          <w:i/>
          <w:iCs/>
          <w:noProof/>
          <w:sz w:val="20"/>
          <w:szCs w:val="20"/>
        </w:rPr>
        <w:t>9</w:t>
      </w:r>
      <w:r w:rsidRPr="00FD7702">
        <w:rPr>
          <w:rFonts w:ascii="Arial" w:hAnsi="Arial" w:cs="Arial"/>
          <w:noProof/>
          <w:sz w:val="20"/>
          <w:szCs w:val="20"/>
        </w:rPr>
        <w:t>(4), 241–248. https://doi.org/10.18231/j.ijmr.2022.042</w:t>
      </w:r>
    </w:p>
    <w:p w14:paraId="0CAA97F2"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Lamidi, S., Olaleye, N., Bankole, Y., Obalola, A., Aribike, E., &amp; Adigun, I. (2023). Applications of Response Surface Methodology (RSM) in Product Design, Development, and Process Optimization. </w:t>
      </w:r>
      <w:r w:rsidRPr="00FD7702">
        <w:rPr>
          <w:rFonts w:ascii="Arial" w:hAnsi="Arial" w:cs="Arial"/>
          <w:i/>
          <w:iCs/>
          <w:noProof/>
          <w:sz w:val="20"/>
          <w:szCs w:val="20"/>
        </w:rPr>
        <w:t>Response Surface Methodology - Research Advances and Applications</w:t>
      </w:r>
      <w:r w:rsidRPr="00FD7702">
        <w:rPr>
          <w:rFonts w:ascii="Arial" w:hAnsi="Arial" w:cs="Arial"/>
          <w:noProof/>
          <w:sz w:val="20"/>
          <w:szCs w:val="20"/>
        </w:rPr>
        <w:t xml:space="preserve">, </w:t>
      </w:r>
      <w:r w:rsidRPr="00FD7702">
        <w:rPr>
          <w:rFonts w:ascii="Arial" w:hAnsi="Arial" w:cs="Arial"/>
          <w:i/>
          <w:iCs/>
          <w:noProof/>
          <w:sz w:val="20"/>
          <w:szCs w:val="20"/>
        </w:rPr>
        <w:t>December 2023</w:t>
      </w:r>
      <w:r w:rsidRPr="00FD7702">
        <w:rPr>
          <w:rFonts w:ascii="Arial" w:hAnsi="Arial" w:cs="Arial"/>
          <w:noProof/>
          <w:sz w:val="20"/>
          <w:szCs w:val="20"/>
        </w:rPr>
        <w:t>. https://doi.org/10.5772/intechopen.106763</w:t>
      </w:r>
    </w:p>
    <w:p w14:paraId="0793D7A4"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Monica, S., &amp; Setiawan, P. Y. (2019). Analisis Material Requirement Planning Produk Body Scrub Powder pada CV . Denara Duta Mandiri. </w:t>
      </w:r>
      <w:r w:rsidRPr="00FD7702">
        <w:rPr>
          <w:rFonts w:ascii="Arial" w:hAnsi="Arial" w:cs="Arial"/>
          <w:i/>
          <w:iCs/>
          <w:noProof/>
          <w:sz w:val="20"/>
          <w:szCs w:val="20"/>
        </w:rPr>
        <w:t>Jurnal Manajemen</w:t>
      </w:r>
      <w:r w:rsidRPr="00FD7702">
        <w:rPr>
          <w:rFonts w:ascii="Arial" w:hAnsi="Arial" w:cs="Arial"/>
          <w:noProof/>
          <w:sz w:val="20"/>
          <w:szCs w:val="20"/>
        </w:rPr>
        <w:t xml:space="preserve">, </w:t>
      </w:r>
      <w:r w:rsidRPr="00FD7702">
        <w:rPr>
          <w:rFonts w:ascii="Arial" w:hAnsi="Arial" w:cs="Arial"/>
          <w:i/>
          <w:iCs/>
          <w:noProof/>
          <w:sz w:val="20"/>
          <w:szCs w:val="20"/>
        </w:rPr>
        <w:t>8</w:t>
      </w:r>
      <w:r w:rsidRPr="00FD7702">
        <w:rPr>
          <w:rFonts w:ascii="Arial" w:hAnsi="Arial" w:cs="Arial"/>
          <w:noProof/>
          <w:sz w:val="20"/>
          <w:szCs w:val="20"/>
        </w:rPr>
        <w:t>(5), 2944–2972.</w:t>
      </w:r>
    </w:p>
    <w:p w14:paraId="4DC465F1"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Naomi, A. C., &amp; Fauziah, L. (2023). Tingkat Efektivitas Dalam Proses Penyimpanan Barang Di Gudang. </w:t>
      </w:r>
      <w:r w:rsidRPr="00FD7702">
        <w:rPr>
          <w:rFonts w:ascii="Arial" w:hAnsi="Arial" w:cs="Arial"/>
          <w:i/>
          <w:iCs/>
          <w:noProof/>
          <w:sz w:val="20"/>
          <w:szCs w:val="20"/>
        </w:rPr>
        <w:t>Jurnal Bisnis, Logistik Dan Supply Chain (BLOGCHAIN)</w:t>
      </w:r>
      <w:r w:rsidRPr="00FD7702">
        <w:rPr>
          <w:rFonts w:ascii="Arial" w:hAnsi="Arial" w:cs="Arial"/>
          <w:noProof/>
          <w:sz w:val="20"/>
          <w:szCs w:val="20"/>
        </w:rPr>
        <w:t xml:space="preserve">, </w:t>
      </w:r>
      <w:r w:rsidRPr="00FD7702">
        <w:rPr>
          <w:rFonts w:ascii="Arial" w:hAnsi="Arial" w:cs="Arial"/>
          <w:i/>
          <w:iCs/>
          <w:noProof/>
          <w:sz w:val="20"/>
          <w:szCs w:val="20"/>
        </w:rPr>
        <w:t>3</w:t>
      </w:r>
      <w:r w:rsidRPr="00FD7702">
        <w:rPr>
          <w:rFonts w:ascii="Arial" w:hAnsi="Arial" w:cs="Arial"/>
          <w:noProof/>
          <w:sz w:val="20"/>
          <w:szCs w:val="20"/>
        </w:rPr>
        <w:t>(2), 74–78. https://doi.org/10.55122/blogchain.v3i2.919</w:t>
      </w:r>
    </w:p>
    <w:p w14:paraId="0287A20E"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Nurwahyuningsih, Arifin, N., Sari, R. D., &amp; Fauzi, V. N. (2021). Barang Dagang Berbasis Web Bagi Bisnis Retail. </w:t>
      </w:r>
      <w:r w:rsidRPr="00FD7702">
        <w:rPr>
          <w:rFonts w:ascii="Arial" w:hAnsi="Arial" w:cs="Arial"/>
          <w:i/>
          <w:iCs/>
          <w:noProof/>
          <w:sz w:val="20"/>
          <w:szCs w:val="20"/>
        </w:rPr>
        <w:t>NARATIF(Jurnal Ilmiah Nasional Riset Aplikasi Dan Teknik Informatika)</w:t>
      </w:r>
      <w:r w:rsidRPr="00FD7702">
        <w:rPr>
          <w:rFonts w:ascii="Arial" w:hAnsi="Arial" w:cs="Arial"/>
          <w:noProof/>
          <w:sz w:val="20"/>
          <w:szCs w:val="20"/>
        </w:rPr>
        <w:t xml:space="preserve">, </w:t>
      </w:r>
      <w:r w:rsidRPr="00FD7702">
        <w:rPr>
          <w:rFonts w:ascii="Arial" w:hAnsi="Arial" w:cs="Arial"/>
          <w:i/>
          <w:iCs/>
          <w:noProof/>
          <w:sz w:val="20"/>
          <w:szCs w:val="20"/>
        </w:rPr>
        <w:t>03</w:t>
      </w:r>
      <w:r w:rsidRPr="00FD7702">
        <w:rPr>
          <w:rFonts w:ascii="Arial" w:hAnsi="Arial" w:cs="Arial"/>
          <w:noProof/>
          <w:sz w:val="20"/>
          <w:szCs w:val="20"/>
        </w:rPr>
        <w:t>(02), 36–40.</w:t>
      </w:r>
    </w:p>
    <w:p w14:paraId="286094F5"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Putri, D. K., &amp; Dinuka, V. K. (2022). Pengendalian Internal Persediaan Pada PT. Triniti Perkasa Internasionala. </w:t>
      </w:r>
      <w:r w:rsidRPr="00FD7702">
        <w:rPr>
          <w:rFonts w:ascii="Arial" w:hAnsi="Arial" w:cs="Arial"/>
          <w:i/>
          <w:iCs/>
          <w:noProof/>
          <w:sz w:val="20"/>
          <w:szCs w:val="20"/>
        </w:rPr>
        <w:t>Relawan Jurnal Indonesia</w:t>
      </w:r>
      <w:r w:rsidRPr="00FD7702">
        <w:rPr>
          <w:rFonts w:ascii="Arial" w:hAnsi="Arial" w:cs="Arial"/>
          <w:noProof/>
          <w:sz w:val="20"/>
          <w:szCs w:val="20"/>
        </w:rPr>
        <w:t xml:space="preserve">, </w:t>
      </w:r>
      <w:r w:rsidRPr="00FD7702">
        <w:rPr>
          <w:rFonts w:ascii="Arial" w:hAnsi="Arial" w:cs="Arial"/>
          <w:i/>
          <w:iCs/>
          <w:noProof/>
          <w:sz w:val="20"/>
          <w:szCs w:val="20"/>
        </w:rPr>
        <w:t>13</w:t>
      </w:r>
      <w:r w:rsidRPr="00FD7702">
        <w:rPr>
          <w:rFonts w:ascii="Arial" w:hAnsi="Arial" w:cs="Arial"/>
          <w:noProof/>
          <w:sz w:val="20"/>
          <w:szCs w:val="20"/>
        </w:rPr>
        <w:t>(1), 920. https://jurnal.polban.ac.id/ojs-3.1.2/proceeding/article/view/4351</w:t>
      </w:r>
    </w:p>
    <w:p w14:paraId="1C3F3261"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Rifda, Z. (2023). Analisis Efektivitas Penyimpanan Barang di Gudang pada PT. ZYR. </w:t>
      </w:r>
      <w:r w:rsidRPr="00FD7702">
        <w:rPr>
          <w:rFonts w:ascii="Arial" w:hAnsi="Arial" w:cs="Arial"/>
          <w:i/>
          <w:iCs/>
          <w:noProof/>
          <w:sz w:val="20"/>
          <w:szCs w:val="20"/>
        </w:rPr>
        <w:t>Jurnal Bisnis, Logistik Dan Supply Chain (BLOGCHAIN)</w:t>
      </w:r>
      <w:r w:rsidRPr="00FD7702">
        <w:rPr>
          <w:rFonts w:ascii="Arial" w:hAnsi="Arial" w:cs="Arial"/>
          <w:noProof/>
          <w:sz w:val="20"/>
          <w:szCs w:val="20"/>
        </w:rPr>
        <w:t xml:space="preserve">, </w:t>
      </w:r>
      <w:r w:rsidRPr="00FD7702">
        <w:rPr>
          <w:rFonts w:ascii="Arial" w:hAnsi="Arial" w:cs="Arial"/>
          <w:i/>
          <w:iCs/>
          <w:noProof/>
          <w:sz w:val="20"/>
          <w:szCs w:val="20"/>
        </w:rPr>
        <w:t>3</w:t>
      </w:r>
      <w:r w:rsidRPr="00FD7702">
        <w:rPr>
          <w:rFonts w:ascii="Arial" w:hAnsi="Arial" w:cs="Arial"/>
          <w:noProof/>
          <w:sz w:val="20"/>
          <w:szCs w:val="20"/>
        </w:rPr>
        <w:t>(2), 83–86.</w:t>
      </w:r>
    </w:p>
    <w:p w14:paraId="3F7C86A2"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Suri, I., Aprilia, D., &amp; Renaldi, A. (2022). Method of Response Surface untuk Optimalisasi Keuntungan Produksi A Home Industry Kripik Pisang. </w:t>
      </w:r>
      <w:r w:rsidRPr="00FD7702">
        <w:rPr>
          <w:rFonts w:ascii="Arial" w:hAnsi="Arial" w:cs="Arial"/>
          <w:i/>
          <w:iCs/>
          <w:noProof/>
          <w:sz w:val="20"/>
          <w:szCs w:val="20"/>
        </w:rPr>
        <w:t>Journal of Innovation Research and Knowledge</w:t>
      </w:r>
      <w:r w:rsidRPr="00FD7702">
        <w:rPr>
          <w:rFonts w:ascii="Arial" w:hAnsi="Arial" w:cs="Arial"/>
          <w:noProof/>
          <w:sz w:val="20"/>
          <w:szCs w:val="20"/>
        </w:rPr>
        <w:t xml:space="preserve">, </w:t>
      </w:r>
      <w:r w:rsidRPr="00FD7702">
        <w:rPr>
          <w:rFonts w:ascii="Arial" w:hAnsi="Arial" w:cs="Arial"/>
          <w:i/>
          <w:iCs/>
          <w:noProof/>
          <w:sz w:val="20"/>
          <w:szCs w:val="20"/>
        </w:rPr>
        <w:t>2</w:t>
      </w:r>
      <w:r w:rsidRPr="00FD7702">
        <w:rPr>
          <w:rFonts w:ascii="Arial" w:hAnsi="Arial" w:cs="Arial"/>
          <w:noProof/>
          <w:sz w:val="20"/>
          <w:szCs w:val="20"/>
        </w:rPr>
        <w:t>(1), 7–14.</w:t>
      </w:r>
    </w:p>
    <w:p w14:paraId="2745D510"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Susanti, A. F. O., &amp; Hermansyah, M. (2023). Analisis Pengendalian Persediaan Bahan Baku Tapioca Menggunakan Pendekatan Economic Order Quantity (Eoq). </w:t>
      </w:r>
      <w:r w:rsidRPr="00FD7702">
        <w:rPr>
          <w:rFonts w:ascii="Arial" w:hAnsi="Arial" w:cs="Arial"/>
          <w:i/>
          <w:iCs/>
          <w:noProof/>
          <w:sz w:val="20"/>
          <w:szCs w:val="20"/>
        </w:rPr>
        <w:t>Journal of Scientech Research and Development</w:t>
      </w:r>
      <w:r w:rsidRPr="00FD7702">
        <w:rPr>
          <w:rFonts w:ascii="Arial" w:hAnsi="Arial" w:cs="Arial"/>
          <w:noProof/>
          <w:sz w:val="20"/>
          <w:szCs w:val="20"/>
        </w:rPr>
        <w:t xml:space="preserve">, </w:t>
      </w:r>
      <w:r w:rsidRPr="00FD7702">
        <w:rPr>
          <w:rFonts w:ascii="Arial" w:hAnsi="Arial" w:cs="Arial"/>
          <w:i/>
          <w:iCs/>
          <w:noProof/>
          <w:sz w:val="20"/>
          <w:szCs w:val="20"/>
        </w:rPr>
        <w:t>5</w:t>
      </w:r>
      <w:r w:rsidRPr="00FD7702">
        <w:rPr>
          <w:rFonts w:ascii="Arial" w:hAnsi="Arial" w:cs="Arial"/>
          <w:noProof/>
          <w:sz w:val="20"/>
          <w:szCs w:val="20"/>
        </w:rPr>
        <w:t>(2), 42–52. https://doi.org/10.56670/jsrd.v5i2.157</w:t>
      </w:r>
    </w:p>
    <w:p w14:paraId="3D0B82FB" w14:textId="77777777" w:rsidR="0036180C" w:rsidRPr="00FD7702" w:rsidRDefault="0036180C" w:rsidP="0036180C">
      <w:pPr>
        <w:widowControl w:val="0"/>
        <w:autoSpaceDE w:val="0"/>
        <w:autoSpaceDN w:val="0"/>
        <w:adjustRightInd w:val="0"/>
        <w:ind w:left="480" w:hanging="480"/>
        <w:jc w:val="both"/>
        <w:rPr>
          <w:rFonts w:ascii="Arial" w:hAnsi="Arial" w:cs="Arial"/>
          <w:noProof/>
          <w:sz w:val="20"/>
          <w:szCs w:val="20"/>
        </w:rPr>
      </w:pPr>
      <w:r w:rsidRPr="00FD7702">
        <w:rPr>
          <w:rFonts w:ascii="Arial" w:hAnsi="Arial" w:cs="Arial"/>
          <w:noProof/>
          <w:sz w:val="20"/>
          <w:szCs w:val="20"/>
        </w:rPr>
        <w:t xml:space="preserve">Wang, C. N., Dang, T. T., &amp; Nguyen, N. A. T. (2020). A computational model for determining levels of factors in inventory management using response surface methodology. </w:t>
      </w:r>
      <w:r w:rsidRPr="00FD7702">
        <w:rPr>
          <w:rFonts w:ascii="Arial" w:hAnsi="Arial" w:cs="Arial"/>
          <w:i/>
          <w:iCs/>
          <w:noProof/>
          <w:sz w:val="20"/>
          <w:szCs w:val="20"/>
        </w:rPr>
        <w:t>Mathematics</w:t>
      </w:r>
      <w:r w:rsidRPr="00FD7702">
        <w:rPr>
          <w:rFonts w:ascii="Arial" w:hAnsi="Arial" w:cs="Arial"/>
          <w:noProof/>
          <w:sz w:val="20"/>
          <w:szCs w:val="20"/>
        </w:rPr>
        <w:t xml:space="preserve">, </w:t>
      </w:r>
      <w:r w:rsidRPr="00FD7702">
        <w:rPr>
          <w:rFonts w:ascii="Arial" w:hAnsi="Arial" w:cs="Arial"/>
          <w:i/>
          <w:iCs/>
          <w:noProof/>
          <w:sz w:val="20"/>
          <w:szCs w:val="20"/>
        </w:rPr>
        <w:t>8</w:t>
      </w:r>
      <w:r w:rsidRPr="00FD7702">
        <w:rPr>
          <w:rFonts w:ascii="Arial" w:hAnsi="Arial" w:cs="Arial"/>
          <w:noProof/>
          <w:sz w:val="20"/>
          <w:szCs w:val="20"/>
        </w:rPr>
        <w:t>(8). https://doi.org/10.3390/MATH8081210</w:t>
      </w:r>
    </w:p>
    <w:p w14:paraId="7DACAB8D" w14:textId="77777777" w:rsidR="0036180C" w:rsidRPr="00FD7702" w:rsidRDefault="0036180C" w:rsidP="0036180C">
      <w:pPr>
        <w:widowControl w:val="0"/>
        <w:autoSpaceDE w:val="0"/>
        <w:autoSpaceDN w:val="0"/>
        <w:adjustRightInd w:val="0"/>
        <w:ind w:left="480" w:hanging="480"/>
        <w:rPr>
          <w:rFonts w:ascii="Arial" w:hAnsi="Arial" w:cs="Arial"/>
          <w:noProof/>
          <w:sz w:val="20"/>
          <w:szCs w:val="20"/>
        </w:rPr>
      </w:pPr>
      <w:r w:rsidRPr="00FD7702">
        <w:rPr>
          <w:rFonts w:ascii="Arial" w:hAnsi="Arial" w:cs="Arial"/>
          <w:noProof/>
          <w:sz w:val="20"/>
          <w:szCs w:val="20"/>
        </w:rPr>
        <w:t xml:space="preserve">Waters, D. (2016). </w:t>
      </w:r>
      <w:r w:rsidRPr="00FD7702">
        <w:rPr>
          <w:rFonts w:ascii="Arial" w:hAnsi="Arial" w:cs="Arial"/>
          <w:i/>
          <w:iCs/>
          <w:noProof/>
          <w:sz w:val="20"/>
          <w:szCs w:val="20"/>
        </w:rPr>
        <w:t>Inventory Control &amp; Management 2nd Edition</w:t>
      </w:r>
      <w:r w:rsidRPr="00FD7702">
        <w:rPr>
          <w:rFonts w:ascii="Arial" w:hAnsi="Arial" w:cs="Arial"/>
          <w:noProof/>
          <w:sz w:val="20"/>
          <w:szCs w:val="20"/>
        </w:rPr>
        <w:t>.</w:t>
      </w:r>
    </w:p>
    <w:p w14:paraId="7D929611" w14:textId="740B61C8" w:rsidR="00CF44E9" w:rsidRDefault="0036180C">
      <w:pPr>
        <w:rPr>
          <w:rFonts w:ascii="Arial" w:eastAsia="Arial" w:hAnsi="Arial" w:cs="Arial"/>
        </w:rPr>
      </w:pPr>
      <w:r w:rsidRPr="00FD7702">
        <w:rPr>
          <w:rFonts w:ascii="Arial" w:eastAsia="Arial" w:hAnsi="Arial" w:cs="Arial"/>
          <w:sz w:val="20"/>
          <w:szCs w:val="20"/>
        </w:rPr>
        <w:fldChar w:fldCharType="end"/>
      </w:r>
    </w:p>
    <w:sectPr w:rsidR="00CF44E9">
      <w:headerReference w:type="even" r:id="rId20"/>
      <w:headerReference w:type="default" r:id="rId21"/>
      <w:footerReference w:type="even" r:id="rId22"/>
      <w:footerReference w:type="default" r:id="rId23"/>
      <w:headerReference w:type="first" r:id="rId24"/>
      <w:footerReference w:type="first" r:id="rId25"/>
      <w:pgSz w:w="11907" w:h="16839"/>
      <w:pgMar w:top="1701" w:right="1418" w:bottom="1418" w:left="1418" w:header="680"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10088" w14:textId="77777777" w:rsidR="007230B6" w:rsidRDefault="007230B6">
      <w:r>
        <w:separator/>
      </w:r>
    </w:p>
  </w:endnote>
  <w:endnote w:type="continuationSeparator" w:id="0">
    <w:p w14:paraId="429CA65E" w14:textId="77777777" w:rsidR="007230B6" w:rsidRDefault="0072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embedRegular r:id="rId1" w:fontKey="{23D0B708-7438-4D37-9F6C-2A616F1E4282}"/>
    <w:embedBold r:id="rId2" w:fontKey="{31B1E41D-61C3-4FC8-895E-3AA01D2465CF}"/>
    <w:embedItalic r:id="rId3" w:fontKey="{C3999A27-3A33-4DAF-9F34-2E78089FEE20}"/>
    <w:embedBoldItalic r:id="rId4" w:fontKey="{595D6CCD-8543-4F8E-A7F3-05C6C1319944}"/>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embedBold r:id="rId5" w:fontKey="{365C36A9-350B-4016-9E93-7B0F29C47D30}"/>
  </w:font>
  <w:font w:name="Calibri">
    <w:panose1 w:val="020F0502020204030204"/>
    <w:charset w:val="00"/>
    <w:family w:val="swiss"/>
    <w:pitch w:val="variable"/>
    <w:sig w:usb0="E4002EFF" w:usb1="C200247B" w:usb2="00000009" w:usb3="00000000" w:csb0="000001FF" w:csb1="00000000"/>
    <w:embedRegular r:id="rId6" w:fontKey="{60BF7D67-130F-4C6F-9978-C708C36120AC}"/>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EE9B8768-B459-484E-9830-5C48C139404C}"/>
  </w:font>
  <w:font w:name="Ebrima">
    <w:panose1 w:val="02000000000000000000"/>
    <w:charset w:val="00"/>
    <w:family w:val="auto"/>
    <w:pitch w:val="variable"/>
    <w:sig w:usb0="A000005F" w:usb1="02000041" w:usb2="00000800" w:usb3="00000000" w:csb0="00000093" w:csb1="00000000"/>
    <w:embedRegular r:id="rId8" w:fontKey="{3B2FEF1A-6022-4F9C-83F7-83BC7C57A912}"/>
  </w:font>
  <w:font w:name="Junicode">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embedRegular r:id="rId9" w:fontKey="{21282B04-4F32-491C-8248-EC250A30C609}"/>
    <w:embedBold r:id="rId10" w:fontKey="{28720E09-A374-434D-AEFC-628F867AE940}"/>
    <w:embedItalic r:id="rId11" w:fontKey="{7A4E5FE1-04B0-44A1-8A71-509A634F5748}"/>
  </w:font>
  <w:font w:name="New York">
    <w:panose1 w:val="02040503060506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12" w:fontKey="{CA36CB6F-F96E-4D8C-AFE8-446DE9C50948}"/>
    <w:embedItalic r:id="rId13" w:fontKey="{ACB95416-CAC4-4C62-86DD-9A57472EAD7F}"/>
  </w:font>
  <w:font w:name="Commic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4" w:fontKey="{DE06484C-C0A2-4BCD-A2E0-04C29B94B0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ACA21" w14:textId="77777777" w:rsidR="00CF44E9" w:rsidRDefault="00CF44E9">
    <w:pPr>
      <w:pBdr>
        <w:top w:val="nil"/>
        <w:left w:val="nil"/>
        <w:bottom w:val="nil"/>
        <w:right w:val="nil"/>
        <w:between w:val="nil"/>
      </w:pBdr>
      <w:tabs>
        <w:tab w:val="center" w:pos="4680"/>
        <w:tab w:val="right" w:pos="9360"/>
      </w:tabs>
      <w:rPr>
        <w:color w:val="000000"/>
        <w:sz w:val="22"/>
      </w:rPr>
    </w:pPr>
  </w:p>
  <w:p w14:paraId="6A394FD8" w14:textId="77777777" w:rsidR="00CF44E9" w:rsidRDefault="00CF44E9">
    <w:pPr>
      <w:pBdr>
        <w:top w:val="nil"/>
        <w:left w:val="nil"/>
        <w:bottom w:val="nil"/>
        <w:right w:val="nil"/>
        <w:between w:val="nil"/>
      </w:pBdr>
      <w:tabs>
        <w:tab w:val="center" w:pos="4680"/>
        <w:tab w:val="right" w:pos="9360"/>
      </w:tabs>
      <w:jc w:val="both"/>
      <w:rPr>
        <w:color w:val="000000"/>
        <w:sz w:val="36"/>
        <w:szCs w:val="36"/>
      </w:rPr>
    </w:pPr>
  </w:p>
  <w:tbl>
    <w:tblPr>
      <w:tblStyle w:val="a6"/>
      <w:tblW w:w="9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CF44E9" w14:paraId="599AD6B0" w14:textId="77777777">
      <w:tc>
        <w:tcPr>
          <w:tcW w:w="9061" w:type="dxa"/>
          <w:tcBorders>
            <w:top w:val="single" w:sz="4" w:space="0" w:color="9BBB59"/>
            <w:left w:val="single" w:sz="4" w:space="0" w:color="9BBB59"/>
            <w:bottom w:val="single" w:sz="4" w:space="0" w:color="9BBB59"/>
            <w:right w:val="single" w:sz="4" w:space="0" w:color="9BBB59"/>
          </w:tcBorders>
        </w:tcPr>
        <w:p w14:paraId="33B8F4F9" w14:textId="77777777" w:rsidR="00CF44E9" w:rsidRDefault="00000000">
          <w:pPr>
            <w:pBdr>
              <w:top w:val="nil"/>
              <w:left w:val="nil"/>
              <w:bottom w:val="nil"/>
              <w:right w:val="nil"/>
              <w:between w:val="nil"/>
            </w:pBdr>
            <w:tabs>
              <w:tab w:val="center" w:pos="4680"/>
              <w:tab w:val="right" w:pos="9360"/>
            </w:tabs>
            <w:jc w:val="both"/>
            <w:rPr>
              <w:rFonts w:eastAsia="Century Schoolbook" w:cs="Century Schoolbook"/>
              <w:color w:val="000000"/>
              <w:sz w:val="16"/>
              <w:szCs w:val="16"/>
            </w:rPr>
          </w:pPr>
          <w:r>
            <w:rPr>
              <w:rFonts w:ascii="Century Schoolbook" w:eastAsia="Century Schoolbook" w:hAnsi="Century Schoolbook" w:cs="Century Schoolbook"/>
              <w:color w:val="000000"/>
              <w:sz w:val="16"/>
              <w:szCs w:val="16"/>
            </w:rPr>
            <w:t>Please cite this article as: Please cite this article as: Bombang, S. (2024). The implementation of FMEA for analyzing the risk of natural disaster logistic activities (case study: CSER project childfund international). </w:t>
          </w:r>
          <w:r>
            <w:rPr>
              <w:rFonts w:ascii="Century Schoolbook" w:eastAsia="Century Schoolbook" w:hAnsi="Century Schoolbook" w:cs="Century Schoolbook"/>
              <w:i/>
              <w:color w:val="000000"/>
              <w:sz w:val="16"/>
              <w:szCs w:val="16"/>
            </w:rPr>
            <w:t>Operations Excellence: Journal of Applied Industrial Engineering</w:t>
          </w:r>
          <w:r>
            <w:rPr>
              <w:rFonts w:ascii="Century Schoolbook" w:eastAsia="Century Schoolbook" w:hAnsi="Century Schoolbook" w:cs="Century Schoolbook"/>
              <w:color w:val="000000"/>
              <w:sz w:val="16"/>
              <w:szCs w:val="16"/>
            </w:rPr>
            <w:t>, 15(3), 306-313. doi:</w:t>
          </w:r>
          <w:hyperlink r:id="rId1">
            <w:r w:rsidR="00CF44E9">
              <w:rPr>
                <w:rFonts w:ascii="Century Schoolbook" w:eastAsia="Century Schoolbook" w:hAnsi="Century Schoolbook" w:cs="Century Schoolbook"/>
                <w:color w:val="0563C1"/>
                <w:sz w:val="16"/>
                <w:szCs w:val="16"/>
                <w:u w:val="single"/>
              </w:rPr>
              <w:t>http://dx.doi.org/10.22441/oe.2023.v15.i3.096</w:t>
            </w:r>
          </w:hyperlink>
        </w:p>
      </w:tc>
    </w:tr>
  </w:tbl>
  <w:p w14:paraId="242AFCCC" w14:textId="77777777" w:rsidR="00CF44E9" w:rsidRDefault="00CF44E9">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5B9CC" w14:textId="77777777" w:rsidR="00CF44E9" w:rsidRDefault="00CF44E9">
    <w:pPr>
      <w:pBdr>
        <w:top w:val="nil"/>
        <w:left w:val="nil"/>
        <w:bottom w:val="nil"/>
        <w:right w:val="nil"/>
        <w:between w:val="nil"/>
      </w:pBdr>
      <w:tabs>
        <w:tab w:val="center" w:pos="4680"/>
        <w:tab w:val="right" w:pos="9360"/>
      </w:tabs>
      <w:rPr>
        <w:color w:val="000000"/>
        <w:sz w:val="22"/>
      </w:rPr>
    </w:pPr>
  </w:p>
  <w:p w14:paraId="06958813" w14:textId="77777777" w:rsidR="00CF44E9" w:rsidRDefault="00CF44E9">
    <w:pPr>
      <w:pBdr>
        <w:top w:val="nil"/>
        <w:left w:val="nil"/>
        <w:bottom w:val="nil"/>
        <w:right w:val="nil"/>
        <w:between w:val="nil"/>
      </w:pBdr>
      <w:tabs>
        <w:tab w:val="center" w:pos="4680"/>
        <w:tab w:val="right" w:pos="9360"/>
      </w:tabs>
      <w:rPr>
        <w:color w:val="000000"/>
        <w:sz w:val="38"/>
        <w:szCs w:val="38"/>
      </w:rPr>
    </w:pPr>
  </w:p>
  <w:tbl>
    <w:tblPr>
      <w:tblStyle w:val="a7"/>
      <w:tblW w:w="9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CF44E9" w14:paraId="4A1EFEF7" w14:textId="77777777">
      <w:tc>
        <w:tcPr>
          <w:tcW w:w="9061" w:type="dxa"/>
          <w:tcBorders>
            <w:top w:val="single" w:sz="4" w:space="0" w:color="9BBB59"/>
            <w:left w:val="single" w:sz="4" w:space="0" w:color="9BBB59"/>
            <w:bottom w:val="single" w:sz="4" w:space="0" w:color="9BBB59"/>
            <w:right w:val="single" w:sz="4" w:space="0" w:color="9BBB59"/>
          </w:tcBorders>
        </w:tcPr>
        <w:p w14:paraId="319206E3" w14:textId="77777777" w:rsidR="00CF44E9" w:rsidRDefault="00000000">
          <w:pPr>
            <w:pBdr>
              <w:top w:val="nil"/>
              <w:left w:val="nil"/>
              <w:bottom w:val="nil"/>
              <w:right w:val="nil"/>
              <w:between w:val="nil"/>
            </w:pBdr>
            <w:tabs>
              <w:tab w:val="center" w:pos="4680"/>
              <w:tab w:val="right" w:pos="9360"/>
            </w:tabs>
            <w:jc w:val="both"/>
            <w:rPr>
              <w:rFonts w:eastAsia="Century Schoolbook" w:cs="Century Schoolbook"/>
              <w:color w:val="000000"/>
              <w:sz w:val="16"/>
              <w:szCs w:val="16"/>
            </w:rPr>
          </w:pPr>
          <w:r>
            <w:rPr>
              <w:rFonts w:ascii="Century Schoolbook" w:eastAsia="Century Schoolbook" w:hAnsi="Century Schoolbook" w:cs="Century Schoolbook"/>
              <w:color w:val="000000"/>
              <w:sz w:val="16"/>
              <w:szCs w:val="16"/>
            </w:rPr>
            <w:t>Please cite this article as: Please cite this article as: Bombang, S. (2024). The implementation of FMEA for analyzing the risk of natural disaster logistic activities (case study: CSER project childfund international). </w:t>
          </w:r>
          <w:r>
            <w:rPr>
              <w:rFonts w:ascii="Century Schoolbook" w:eastAsia="Century Schoolbook" w:hAnsi="Century Schoolbook" w:cs="Century Schoolbook"/>
              <w:i/>
              <w:color w:val="000000"/>
              <w:sz w:val="16"/>
              <w:szCs w:val="16"/>
            </w:rPr>
            <w:t>Operations Excellence: Journal of Applied Industrial Engineering</w:t>
          </w:r>
          <w:r>
            <w:rPr>
              <w:rFonts w:ascii="Century Schoolbook" w:eastAsia="Century Schoolbook" w:hAnsi="Century Schoolbook" w:cs="Century Schoolbook"/>
              <w:color w:val="000000"/>
              <w:sz w:val="16"/>
              <w:szCs w:val="16"/>
            </w:rPr>
            <w:t>, 15(3), 306-313. doi:</w:t>
          </w:r>
          <w:hyperlink r:id="rId1">
            <w:r w:rsidR="00CF44E9">
              <w:rPr>
                <w:rFonts w:ascii="Century Schoolbook" w:eastAsia="Century Schoolbook" w:hAnsi="Century Schoolbook" w:cs="Century Schoolbook"/>
                <w:color w:val="0563C1"/>
                <w:sz w:val="16"/>
                <w:szCs w:val="16"/>
                <w:u w:val="single"/>
              </w:rPr>
              <w:t>http://dx.doi.org/10.22441/oe.2023.v15.i3.096</w:t>
            </w:r>
          </w:hyperlink>
        </w:p>
      </w:tc>
    </w:tr>
  </w:tbl>
  <w:p w14:paraId="22283508" w14:textId="77777777" w:rsidR="00CF44E9" w:rsidRDefault="00CF44E9">
    <w:pPr>
      <w:pBdr>
        <w:top w:val="nil"/>
        <w:left w:val="nil"/>
        <w:bottom w:val="nil"/>
        <w:right w:val="nil"/>
        <w:between w:val="nil"/>
      </w:pBdr>
      <w:tabs>
        <w:tab w:val="center" w:pos="4680"/>
        <w:tab w:val="right" w:pos="9360"/>
      </w:tabs>
      <w:rPr>
        <w:color w:val="00000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DF01A" w14:textId="77777777" w:rsidR="00CF44E9" w:rsidRDefault="00CF44E9">
    <w:pPr>
      <w:pBdr>
        <w:top w:val="nil"/>
        <w:left w:val="nil"/>
        <w:bottom w:val="nil"/>
        <w:right w:val="nil"/>
        <w:between w:val="nil"/>
      </w:pBdr>
      <w:tabs>
        <w:tab w:val="center" w:pos="4680"/>
        <w:tab w:val="right" w:pos="9360"/>
      </w:tabs>
      <w:rPr>
        <w:color w:val="000000"/>
        <w:sz w:val="22"/>
      </w:rPr>
    </w:pPr>
  </w:p>
  <w:p w14:paraId="20A0FE29" w14:textId="77777777" w:rsidR="00CF44E9" w:rsidRDefault="00CF44E9">
    <w:pPr>
      <w:pBdr>
        <w:top w:val="nil"/>
        <w:left w:val="nil"/>
        <w:bottom w:val="nil"/>
        <w:right w:val="nil"/>
        <w:between w:val="nil"/>
      </w:pBdr>
      <w:tabs>
        <w:tab w:val="center" w:pos="4680"/>
        <w:tab w:val="right" w:pos="9360"/>
      </w:tabs>
      <w:rPr>
        <w:color w:val="000000"/>
        <w:sz w:val="2"/>
        <w:szCs w:val="2"/>
      </w:rPr>
    </w:pPr>
  </w:p>
  <w:tbl>
    <w:tblPr>
      <w:tblStyle w:val="a8"/>
      <w:tblW w:w="9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CF44E9" w14:paraId="3AEADD6C" w14:textId="77777777">
      <w:tc>
        <w:tcPr>
          <w:tcW w:w="9061" w:type="dxa"/>
          <w:tcBorders>
            <w:top w:val="single" w:sz="4" w:space="0" w:color="9BBB59"/>
            <w:left w:val="single" w:sz="4" w:space="0" w:color="9BBB59"/>
            <w:bottom w:val="single" w:sz="4" w:space="0" w:color="9BBB59"/>
            <w:right w:val="single" w:sz="4" w:space="0" w:color="9BBB59"/>
          </w:tcBorders>
        </w:tcPr>
        <w:p w14:paraId="5B432B8E" w14:textId="77777777" w:rsidR="00CF44E9" w:rsidRDefault="00000000">
          <w:pPr>
            <w:pBdr>
              <w:top w:val="nil"/>
              <w:left w:val="nil"/>
              <w:bottom w:val="nil"/>
              <w:right w:val="nil"/>
              <w:between w:val="nil"/>
            </w:pBdr>
            <w:tabs>
              <w:tab w:val="center" w:pos="4680"/>
              <w:tab w:val="right" w:pos="9360"/>
            </w:tabs>
            <w:jc w:val="both"/>
            <w:rPr>
              <w:rFonts w:eastAsia="Century Schoolbook" w:cs="Century Schoolbook"/>
              <w:color w:val="000000"/>
              <w:sz w:val="16"/>
              <w:szCs w:val="16"/>
            </w:rPr>
          </w:pPr>
          <w:r>
            <w:rPr>
              <w:rFonts w:ascii="Century Schoolbook" w:eastAsia="Century Schoolbook" w:hAnsi="Century Schoolbook" w:cs="Century Schoolbook"/>
              <w:color w:val="000000"/>
              <w:sz w:val="16"/>
              <w:szCs w:val="16"/>
            </w:rPr>
            <w:t>Please cite this article as: Please cite this article as: Bombang, S. (2024). The implementation of FMEA for analyzing the risk of natural disaster logistic activities (case study: CSER project childfund international). </w:t>
          </w:r>
          <w:r>
            <w:rPr>
              <w:rFonts w:ascii="Century Schoolbook" w:eastAsia="Century Schoolbook" w:hAnsi="Century Schoolbook" w:cs="Century Schoolbook"/>
              <w:i/>
              <w:color w:val="000000"/>
              <w:sz w:val="16"/>
              <w:szCs w:val="16"/>
            </w:rPr>
            <w:t>Operations Excellence: Journal of Applied Industrial Engineering</w:t>
          </w:r>
          <w:r>
            <w:rPr>
              <w:rFonts w:ascii="Century Schoolbook" w:eastAsia="Century Schoolbook" w:hAnsi="Century Schoolbook" w:cs="Century Schoolbook"/>
              <w:color w:val="000000"/>
              <w:sz w:val="16"/>
              <w:szCs w:val="16"/>
            </w:rPr>
            <w:t>, 15(3), 306-313. doi:</w:t>
          </w:r>
          <w:hyperlink r:id="rId1">
            <w:r w:rsidR="00CF44E9">
              <w:rPr>
                <w:rFonts w:ascii="Century Schoolbook" w:eastAsia="Century Schoolbook" w:hAnsi="Century Schoolbook" w:cs="Century Schoolbook"/>
                <w:color w:val="0563C1"/>
                <w:sz w:val="16"/>
                <w:szCs w:val="16"/>
                <w:u w:val="single"/>
              </w:rPr>
              <w:t>http://dx.doi.org/10.22441/oe.2023.v15.i3.096</w:t>
            </w:r>
          </w:hyperlink>
        </w:p>
      </w:tc>
    </w:tr>
  </w:tbl>
  <w:p w14:paraId="5F3D5538" w14:textId="77777777" w:rsidR="00CF44E9" w:rsidRDefault="00CF44E9">
    <w:pPr>
      <w:pBdr>
        <w:top w:val="nil"/>
        <w:left w:val="nil"/>
        <w:bottom w:val="nil"/>
        <w:right w:val="nil"/>
        <w:between w:val="nil"/>
      </w:pBdr>
      <w:tabs>
        <w:tab w:val="center" w:pos="4680"/>
        <w:tab w:val="right" w:pos="9360"/>
      </w:tabs>
      <w:jc w:val="both"/>
      <w:rPr>
        <w:color w:val="00000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5E6E7" w14:textId="77777777" w:rsidR="007230B6" w:rsidRDefault="007230B6">
      <w:r>
        <w:separator/>
      </w:r>
    </w:p>
  </w:footnote>
  <w:footnote w:type="continuationSeparator" w:id="0">
    <w:p w14:paraId="32ABCBCC" w14:textId="77777777" w:rsidR="007230B6" w:rsidRDefault="00723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5C326" w14:textId="77777777" w:rsidR="00CF44E9" w:rsidRDefault="00CF44E9">
    <w:pPr>
      <w:widowControl w:val="0"/>
      <w:pBdr>
        <w:top w:val="nil"/>
        <w:left w:val="nil"/>
        <w:bottom w:val="nil"/>
        <w:right w:val="nil"/>
        <w:between w:val="nil"/>
      </w:pBdr>
      <w:spacing w:line="276" w:lineRule="auto"/>
      <w:rPr>
        <w:rFonts w:ascii="Arial" w:eastAsia="Arial" w:hAnsi="Arial" w:cs="Arial"/>
      </w:rPr>
    </w:pPr>
  </w:p>
  <w:tbl>
    <w:tblPr>
      <w:tblStyle w:val="a3"/>
      <w:tblW w:w="918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30"/>
      <w:gridCol w:w="4650"/>
    </w:tblGrid>
    <w:tr w:rsidR="00CF44E9" w14:paraId="393E5045" w14:textId="77777777">
      <w:tc>
        <w:tcPr>
          <w:tcW w:w="4530" w:type="dxa"/>
        </w:tcPr>
        <w:p w14:paraId="4B3C5F75" w14:textId="77777777" w:rsidR="00CF44E9" w:rsidRDefault="00000000">
          <w:pPr>
            <w:pBdr>
              <w:top w:val="nil"/>
              <w:left w:val="nil"/>
              <w:bottom w:val="nil"/>
              <w:right w:val="nil"/>
              <w:between w:val="nil"/>
            </w:pBdr>
            <w:tabs>
              <w:tab w:val="center" w:pos="4680"/>
              <w:tab w:val="right" w:pos="9360"/>
            </w:tabs>
            <w:ind w:right="45"/>
            <w:rPr>
              <w:rFonts w:eastAsia="Century Schoolbook" w:cs="Century Schoolbook"/>
              <w:color w:val="000000"/>
              <w:szCs w:val="18"/>
            </w:rPr>
          </w:pPr>
          <w:r>
            <w:rPr>
              <w:rFonts w:ascii="Century Schoolbook" w:eastAsia="Century Schoolbook" w:hAnsi="Century Schoolbook" w:cs="Century Schoolbook"/>
              <w:color w:val="000000"/>
              <w:szCs w:val="18"/>
            </w:rPr>
            <w:t>ISSN-p: 2085-1431</w:t>
          </w:r>
        </w:p>
        <w:p w14:paraId="6626FB1C" w14:textId="77777777" w:rsidR="00CF44E9" w:rsidRDefault="00000000">
          <w:pPr>
            <w:pBdr>
              <w:top w:val="nil"/>
              <w:left w:val="nil"/>
              <w:bottom w:val="nil"/>
              <w:right w:val="nil"/>
              <w:between w:val="nil"/>
            </w:pBdr>
            <w:tabs>
              <w:tab w:val="center" w:pos="4680"/>
              <w:tab w:val="right" w:pos="9360"/>
            </w:tabs>
            <w:ind w:right="45"/>
            <w:rPr>
              <w:rFonts w:ascii="Calibri" w:eastAsia="Calibri" w:hAnsi="Calibri" w:cs="Calibri"/>
              <w:color w:val="000000"/>
              <w:sz w:val="22"/>
            </w:rPr>
          </w:pPr>
          <w:r>
            <w:rPr>
              <w:rFonts w:ascii="Century Schoolbook" w:eastAsia="Century Schoolbook" w:hAnsi="Century Schoolbook" w:cs="Century Schoolbook"/>
              <w:color w:val="000000"/>
              <w:szCs w:val="18"/>
            </w:rPr>
            <w:t>ISSN-e: 2654-5799</w:t>
          </w:r>
        </w:p>
      </w:tc>
      <w:tc>
        <w:tcPr>
          <w:tcW w:w="4650" w:type="dxa"/>
        </w:tcPr>
        <w:p w14:paraId="007C3D0A" w14:textId="77777777" w:rsidR="00CF44E9" w:rsidRDefault="00000000">
          <w:pPr>
            <w:pBdr>
              <w:top w:val="nil"/>
              <w:left w:val="nil"/>
              <w:bottom w:val="nil"/>
              <w:right w:val="nil"/>
              <w:between w:val="nil"/>
            </w:pBdr>
            <w:tabs>
              <w:tab w:val="center" w:pos="4680"/>
              <w:tab w:val="right" w:pos="9360"/>
            </w:tabs>
            <w:jc w:val="right"/>
            <w:rPr>
              <w:rFonts w:eastAsia="Century Schoolbook" w:cs="Century Schoolbook"/>
              <w:color w:val="000000"/>
              <w:sz w:val="20"/>
              <w:szCs w:val="20"/>
            </w:rPr>
          </w:pPr>
          <w:r>
            <w:rPr>
              <w:rFonts w:ascii="Commic sans" w:eastAsia="Commic sans" w:hAnsi="Commic sans" w:cs="Commic sans"/>
              <w:color w:val="000000"/>
              <w:sz w:val="20"/>
              <w:szCs w:val="20"/>
            </w:rPr>
            <w:t>Operations Excellence: Journal of Applied Industrial Engineering, 2024, 16(1): xx-xx</w:t>
          </w:r>
        </w:p>
      </w:tc>
    </w:tr>
    <w:tr w:rsidR="00CF44E9" w14:paraId="600D3452" w14:textId="77777777">
      <w:tc>
        <w:tcPr>
          <w:tcW w:w="4530" w:type="dxa"/>
        </w:tcPr>
        <w:p w14:paraId="269A4448" w14:textId="77777777" w:rsidR="00CF44E9" w:rsidRDefault="00000000">
          <w:pPr>
            <w:pBdr>
              <w:top w:val="nil"/>
              <w:left w:val="nil"/>
              <w:bottom w:val="nil"/>
              <w:right w:val="nil"/>
              <w:between w:val="nil"/>
            </w:pBdr>
            <w:tabs>
              <w:tab w:val="center" w:pos="4680"/>
              <w:tab w:val="right" w:pos="9360"/>
            </w:tabs>
            <w:ind w:right="45"/>
            <w:rPr>
              <w:rFonts w:eastAsia="Century Schoolbook" w:cs="Century Schoolbook"/>
              <w:b/>
              <w:color w:val="000000"/>
              <w:szCs w:val="18"/>
            </w:rPr>
          </w:pPr>
          <w:r>
            <w:rPr>
              <w:b/>
              <w:color w:val="000000"/>
              <w:szCs w:val="18"/>
            </w:rPr>
            <w:fldChar w:fldCharType="begin"/>
          </w:r>
          <w:r>
            <w:rPr>
              <w:rFonts w:ascii="Century Schoolbook" w:eastAsia="Century Schoolbook" w:hAnsi="Century Schoolbook" w:cs="Century Schoolbook"/>
              <w:b/>
              <w:color w:val="000000"/>
              <w:szCs w:val="18"/>
            </w:rPr>
            <w:instrText>PAGE</w:instrText>
          </w:r>
          <w:r>
            <w:rPr>
              <w:b/>
              <w:color w:val="000000"/>
              <w:szCs w:val="18"/>
            </w:rPr>
            <w:fldChar w:fldCharType="separate"/>
          </w:r>
          <w:r w:rsidR="007C1FAE">
            <w:rPr>
              <w:rFonts w:eastAsia="Century Schoolbook" w:cs="Century Schoolbook"/>
              <w:b/>
              <w:noProof/>
              <w:color w:val="000000"/>
              <w:szCs w:val="18"/>
            </w:rPr>
            <w:t>2</w:t>
          </w:r>
          <w:r>
            <w:rPr>
              <w:b/>
              <w:color w:val="000000"/>
              <w:szCs w:val="18"/>
            </w:rPr>
            <w:fldChar w:fldCharType="end"/>
          </w:r>
        </w:p>
      </w:tc>
      <w:tc>
        <w:tcPr>
          <w:tcW w:w="4650" w:type="dxa"/>
        </w:tcPr>
        <w:p w14:paraId="073A3B9A" w14:textId="77777777" w:rsidR="00CF44E9" w:rsidRDefault="00CF44E9">
          <w:pPr>
            <w:pBdr>
              <w:top w:val="nil"/>
              <w:left w:val="nil"/>
              <w:bottom w:val="nil"/>
              <w:right w:val="nil"/>
              <w:between w:val="nil"/>
            </w:pBdr>
            <w:tabs>
              <w:tab w:val="center" w:pos="4680"/>
              <w:tab w:val="right" w:pos="9360"/>
            </w:tabs>
            <w:rPr>
              <w:rFonts w:eastAsia="Century Schoolbook" w:cs="Century Schoolbook"/>
              <w:color w:val="000000"/>
              <w:sz w:val="20"/>
              <w:szCs w:val="20"/>
            </w:rPr>
          </w:pPr>
        </w:p>
      </w:tc>
    </w:tr>
  </w:tbl>
  <w:p w14:paraId="759D2286" w14:textId="77777777" w:rsidR="00CF44E9" w:rsidRDefault="00CF44E9">
    <w:pPr>
      <w:pBdr>
        <w:top w:val="single" w:sz="4" w:space="1" w:color="000000"/>
        <w:left w:val="nil"/>
        <w:bottom w:val="nil"/>
        <w:right w:val="nil"/>
        <w:between w:val="nil"/>
      </w:pBdr>
      <w:tabs>
        <w:tab w:val="center" w:pos="4680"/>
        <w:tab w:val="right" w:pos="9360"/>
      </w:tabs>
      <w:jc w:val="right"/>
      <w:rPr>
        <w:rFonts w:ascii="Calibri" w:eastAsia="Calibri" w:hAnsi="Calibri" w:cs="Calibri"/>
        <w:color w:val="000000"/>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EE61C" w14:textId="77777777" w:rsidR="00CF44E9" w:rsidRDefault="00CF44E9">
    <w:pPr>
      <w:widowControl w:val="0"/>
      <w:pBdr>
        <w:top w:val="nil"/>
        <w:left w:val="nil"/>
        <w:bottom w:val="nil"/>
        <w:right w:val="nil"/>
        <w:between w:val="nil"/>
      </w:pBdr>
      <w:spacing w:line="276" w:lineRule="auto"/>
      <w:rPr>
        <w:rFonts w:ascii="Calibri" w:eastAsia="Calibri" w:hAnsi="Calibri" w:cs="Calibri"/>
        <w:color w:val="000000"/>
        <w:sz w:val="22"/>
      </w:rPr>
    </w:pPr>
  </w:p>
  <w:tbl>
    <w:tblPr>
      <w:tblStyle w:val="a4"/>
      <w:tblW w:w="921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tblGrid>
    <w:tr w:rsidR="00CF44E9" w14:paraId="21BAE5CA" w14:textId="77777777">
      <w:tc>
        <w:tcPr>
          <w:tcW w:w="4962" w:type="dxa"/>
        </w:tcPr>
        <w:p w14:paraId="45EE8269" w14:textId="77777777" w:rsidR="00CF44E9" w:rsidRDefault="00000000">
          <w:r>
            <w:rPr>
              <w:rFonts w:ascii="Commic sans" w:eastAsia="Commic sans" w:hAnsi="Commic sans" w:cs="Commic sans"/>
              <w:sz w:val="20"/>
              <w:szCs w:val="20"/>
            </w:rPr>
            <w:t>Operations Excellence: Journal of Applied Industrial Engineering, 2024, 16(1): xx-xx</w:t>
          </w:r>
        </w:p>
      </w:tc>
      <w:tc>
        <w:tcPr>
          <w:tcW w:w="4252" w:type="dxa"/>
        </w:tcPr>
        <w:p w14:paraId="6A0DBF7F" w14:textId="77777777" w:rsidR="00CF44E9" w:rsidRDefault="00000000">
          <w:pPr>
            <w:pBdr>
              <w:top w:val="nil"/>
              <w:left w:val="nil"/>
              <w:bottom w:val="nil"/>
              <w:right w:val="nil"/>
              <w:between w:val="nil"/>
            </w:pBdr>
            <w:tabs>
              <w:tab w:val="center" w:pos="4680"/>
              <w:tab w:val="right" w:pos="9360"/>
            </w:tabs>
            <w:ind w:right="45"/>
            <w:jc w:val="right"/>
            <w:rPr>
              <w:rFonts w:eastAsia="Century Schoolbook" w:cs="Century Schoolbook"/>
              <w:color w:val="000000"/>
              <w:szCs w:val="18"/>
            </w:rPr>
          </w:pPr>
          <w:r>
            <w:rPr>
              <w:rFonts w:ascii="Century Schoolbook" w:eastAsia="Century Schoolbook" w:hAnsi="Century Schoolbook" w:cs="Century Schoolbook"/>
              <w:color w:val="000000"/>
              <w:szCs w:val="18"/>
            </w:rPr>
            <w:t>ISSN-p: 2085-1431</w:t>
          </w:r>
        </w:p>
        <w:p w14:paraId="2C7864AC" w14:textId="77777777" w:rsidR="00CF44E9" w:rsidRDefault="00000000">
          <w:pPr>
            <w:pBdr>
              <w:top w:val="nil"/>
              <w:left w:val="nil"/>
              <w:bottom w:val="nil"/>
              <w:right w:val="nil"/>
              <w:between w:val="nil"/>
            </w:pBdr>
            <w:tabs>
              <w:tab w:val="center" w:pos="4680"/>
              <w:tab w:val="right" w:pos="9360"/>
            </w:tabs>
            <w:jc w:val="right"/>
            <w:rPr>
              <w:rFonts w:eastAsia="Century Schoolbook" w:cs="Century Schoolbook"/>
              <w:color w:val="000000"/>
              <w:sz w:val="20"/>
              <w:szCs w:val="20"/>
            </w:rPr>
          </w:pPr>
          <w:r>
            <w:rPr>
              <w:rFonts w:ascii="Century Schoolbook" w:eastAsia="Century Schoolbook" w:hAnsi="Century Schoolbook" w:cs="Century Schoolbook"/>
              <w:color w:val="000000"/>
              <w:szCs w:val="18"/>
            </w:rPr>
            <w:t>ISSN-e: 2654-5799</w:t>
          </w:r>
        </w:p>
      </w:tc>
    </w:tr>
    <w:tr w:rsidR="00CF44E9" w14:paraId="524911E2" w14:textId="77777777">
      <w:tc>
        <w:tcPr>
          <w:tcW w:w="4962" w:type="dxa"/>
        </w:tcPr>
        <w:p w14:paraId="1A0E3EEB" w14:textId="77777777" w:rsidR="00CF44E9" w:rsidRDefault="00CF44E9"/>
      </w:tc>
      <w:tc>
        <w:tcPr>
          <w:tcW w:w="4252" w:type="dxa"/>
        </w:tcPr>
        <w:p w14:paraId="2F906A41" w14:textId="0E17DEAB" w:rsidR="00CF44E9" w:rsidRDefault="00000000">
          <w:pPr>
            <w:pBdr>
              <w:top w:val="nil"/>
              <w:left w:val="nil"/>
              <w:bottom w:val="nil"/>
              <w:right w:val="nil"/>
              <w:between w:val="nil"/>
            </w:pBdr>
            <w:tabs>
              <w:tab w:val="center" w:pos="4680"/>
              <w:tab w:val="right" w:pos="9360"/>
            </w:tabs>
            <w:jc w:val="right"/>
            <w:rPr>
              <w:rFonts w:eastAsia="Century Schoolbook" w:cs="Century Schoolbook"/>
              <w:b/>
              <w:color w:val="000000"/>
              <w:sz w:val="20"/>
              <w:szCs w:val="20"/>
            </w:rPr>
          </w:pPr>
          <w:r>
            <w:rPr>
              <w:b/>
              <w:color w:val="000000"/>
              <w:sz w:val="20"/>
              <w:szCs w:val="20"/>
            </w:rPr>
            <w:fldChar w:fldCharType="begin"/>
          </w:r>
          <w:r>
            <w:rPr>
              <w:rFonts w:ascii="Century Schoolbook" w:eastAsia="Century Schoolbook" w:hAnsi="Century Schoolbook" w:cs="Century Schoolbook"/>
              <w:b/>
              <w:color w:val="000000"/>
              <w:sz w:val="20"/>
              <w:szCs w:val="20"/>
            </w:rPr>
            <w:instrText>PAGE</w:instrText>
          </w:r>
          <w:r>
            <w:rPr>
              <w:b/>
              <w:color w:val="000000"/>
              <w:sz w:val="20"/>
              <w:szCs w:val="20"/>
            </w:rPr>
            <w:fldChar w:fldCharType="separate"/>
          </w:r>
          <w:r w:rsidR="007C1FAE">
            <w:rPr>
              <w:rFonts w:eastAsia="Century Schoolbook" w:cs="Century Schoolbook"/>
              <w:b/>
              <w:noProof/>
              <w:color w:val="000000"/>
              <w:sz w:val="20"/>
              <w:szCs w:val="20"/>
            </w:rPr>
            <w:t>3</w:t>
          </w:r>
          <w:r>
            <w:rPr>
              <w:b/>
              <w:color w:val="000000"/>
              <w:sz w:val="20"/>
              <w:szCs w:val="20"/>
            </w:rPr>
            <w:fldChar w:fldCharType="end"/>
          </w:r>
        </w:p>
      </w:tc>
    </w:tr>
  </w:tbl>
  <w:p w14:paraId="583FF5E0" w14:textId="77777777" w:rsidR="00CF44E9" w:rsidRDefault="00CF44E9">
    <w:pPr>
      <w:pBdr>
        <w:top w:val="single" w:sz="4" w:space="1" w:color="000000"/>
        <w:left w:val="nil"/>
        <w:bottom w:val="nil"/>
        <w:right w:val="nil"/>
        <w:between w:val="nil"/>
      </w:pBdr>
      <w:tabs>
        <w:tab w:val="center" w:pos="4680"/>
        <w:tab w:val="right" w:pos="9360"/>
      </w:tabs>
      <w:jc w:val="right"/>
      <w:rPr>
        <w:rFonts w:ascii="Calibri" w:eastAsia="Calibri" w:hAnsi="Calibri" w:cs="Calibri"/>
        <w:color w:val="000000"/>
        <w:sz w:val="22"/>
      </w:rPr>
    </w:pPr>
  </w:p>
  <w:p w14:paraId="28C865FF" w14:textId="77777777" w:rsidR="00CF44E9" w:rsidRDefault="00CF44E9">
    <w:pPr>
      <w:pBdr>
        <w:top w:val="nil"/>
        <w:left w:val="nil"/>
        <w:bottom w:val="nil"/>
        <w:right w:val="nil"/>
        <w:between w:val="nil"/>
      </w:pBdr>
      <w:tabs>
        <w:tab w:val="center" w:pos="4680"/>
        <w:tab w:val="right" w:pos="9360"/>
      </w:tabs>
      <w:rPr>
        <w:rFonts w:ascii="Calibri" w:eastAsia="Calibri" w:hAnsi="Calibri" w:cs="Calibri"/>
        <w:color w:val="000000"/>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FA509" w14:textId="77777777" w:rsidR="00CF44E9" w:rsidRDefault="00CF44E9">
    <w:pPr>
      <w:widowControl w:val="0"/>
      <w:pBdr>
        <w:top w:val="nil"/>
        <w:left w:val="nil"/>
        <w:bottom w:val="nil"/>
        <w:right w:val="nil"/>
        <w:between w:val="nil"/>
      </w:pBdr>
      <w:spacing w:line="276" w:lineRule="auto"/>
      <w:rPr>
        <w:rFonts w:ascii="Calibri" w:eastAsia="Calibri" w:hAnsi="Calibri" w:cs="Calibri"/>
        <w:color w:val="000000"/>
        <w:sz w:val="22"/>
      </w:rPr>
    </w:pPr>
  </w:p>
  <w:tbl>
    <w:tblPr>
      <w:tblStyle w:val="a5"/>
      <w:tblW w:w="918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219"/>
      <w:gridCol w:w="4961"/>
    </w:tblGrid>
    <w:tr w:rsidR="00CF44E9" w14:paraId="7DFAA5E5" w14:textId="77777777">
      <w:tc>
        <w:tcPr>
          <w:tcW w:w="4219" w:type="dxa"/>
        </w:tcPr>
        <w:p w14:paraId="068AFCDA" w14:textId="77777777" w:rsidR="00CF44E9" w:rsidRDefault="00000000">
          <w:pPr>
            <w:pBdr>
              <w:top w:val="nil"/>
              <w:left w:val="nil"/>
              <w:bottom w:val="nil"/>
              <w:right w:val="nil"/>
              <w:between w:val="nil"/>
            </w:pBdr>
            <w:tabs>
              <w:tab w:val="center" w:pos="4680"/>
              <w:tab w:val="right" w:pos="9360"/>
            </w:tabs>
            <w:rPr>
              <w:rFonts w:eastAsia="Century Schoolbook" w:cs="Century Schoolbook"/>
              <w:color w:val="000000"/>
              <w:szCs w:val="18"/>
            </w:rPr>
          </w:pPr>
          <w:r>
            <w:rPr>
              <w:rFonts w:ascii="Commic sans" w:eastAsia="Commic sans" w:hAnsi="Commic sans" w:cs="Commic sans"/>
              <w:color w:val="000000"/>
              <w:sz w:val="20"/>
              <w:szCs w:val="20"/>
            </w:rPr>
            <w:t>Operations Excellence: Journal of Applied Industrial Engineering, 2024, 16(1): xx-xx</w:t>
          </w:r>
        </w:p>
      </w:tc>
      <w:tc>
        <w:tcPr>
          <w:tcW w:w="4961" w:type="dxa"/>
        </w:tcPr>
        <w:p w14:paraId="1D12DB9D" w14:textId="77777777" w:rsidR="00CF44E9" w:rsidRDefault="00000000">
          <w:pPr>
            <w:pBdr>
              <w:top w:val="nil"/>
              <w:left w:val="nil"/>
              <w:bottom w:val="nil"/>
              <w:right w:val="nil"/>
              <w:between w:val="nil"/>
            </w:pBdr>
            <w:tabs>
              <w:tab w:val="center" w:pos="4680"/>
              <w:tab w:val="right" w:pos="9360"/>
            </w:tabs>
            <w:ind w:right="45"/>
            <w:jc w:val="right"/>
            <w:rPr>
              <w:rFonts w:eastAsia="Century Schoolbook" w:cs="Century Schoolbook"/>
              <w:color w:val="000000"/>
              <w:szCs w:val="18"/>
            </w:rPr>
          </w:pPr>
          <w:r>
            <w:rPr>
              <w:rFonts w:ascii="Century Schoolbook" w:eastAsia="Century Schoolbook" w:hAnsi="Century Schoolbook" w:cs="Century Schoolbook"/>
              <w:color w:val="000000"/>
              <w:szCs w:val="18"/>
            </w:rPr>
            <w:t>ISSN-p: 2085-1431</w:t>
          </w:r>
        </w:p>
        <w:p w14:paraId="777FD426" w14:textId="77777777" w:rsidR="00CF44E9" w:rsidRDefault="00000000">
          <w:pPr>
            <w:pBdr>
              <w:top w:val="nil"/>
              <w:left w:val="nil"/>
              <w:bottom w:val="nil"/>
              <w:right w:val="nil"/>
              <w:between w:val="nil"/>
            </w:pBdr>
            <w:tabs>
              <w:tab w:val="center" w:pos="4680"/>
              <w:tab w:val="right" w:pos="9360"/>
            </w:tabs>
            <w:jc w:val="right"/>
            <w:rPr>
              <w:rFonts w:eastAsia="Century Schoolbook" w:cs="Century Schoolbook"/>
              <w:color w:val="000000"/>
              <w:szCs w:val="18"/>
            </w:rPr>
          </w:pPr>
          <w:r>
            <w:rPr>
              <w:rFonts w:ascii="Century Schoolbook" w:eastAsia="Century Schoolbook" w:hAnsi="Century Schoolbook" w:cs="Century Schoolbook"/>
              <w:color w:val="000000"/>
              <w:szCs w:val="18"/>
            </w:rPr>
            <w:t>ISSN-e: 2654-5799</w:t>
          </w:r>
        </w:p>
      </w:tc>
    </w:tr>
    <w:tr w:rsidR="00CF44E9" w14:paraId="00D5DDEB" w14:textId="77777777">
      <w:tc>
        <w:tcPr>
          <w:tcW w:w="4219" w:type="dxa"/>
          <w:tcBorders>
            <w:bottom w:val="single" w:sz="4" w:space="0" w:color="000000"/>
          </w:tcBorders>
        </w:tcPr>
        <w:p w14:paraId="13BB3835" w14:textId="77777777" w:rsidR="00CF44E9" w:rsidRDefault="00CF44E9">
          <w:pPr>
            <w:pBdr>
              <w:top w:val="nil"/>
              <w:left w:val="nil"/>
              <w:bottom w:val="nil"/>
              <w:right w:val="nil"/>
              <w:between w:val="nil"/>
            </w:pBdr>
            <w:tabs>
              <w:tab w:val="center" w:pos="4680"/>
              <w:tab w:val="right" w:pos="9360"/>
            </w:tabs>
            <w:ind w:right="45"/>
            <w:rPr>
              <w:rFonts w:eastAsia="Century Schoolbook" w:cs="Century Schoolbook"/>
              <w:color w:val="000000"/>
              <w:sz w:val="20"/>
              <w:szCs w:val="20"/>
            </w:rPr>
          </w:pPr>
        </w:p>
      </w:tc>
      <w:tc>
        <w:tcPr>
          <w:tcW w:w="4961" w:type="dxa"/>
          <w:tcBorders>
            <w:bottom w:val="single" w:sz="4" w:space="0" w:color="000000"/>
          </w:tcBorders>
        </w:tcPr>
        <w:p w14:paraId="10680008" w14:textId="77777777" w:rsidR="00CF44E9" w:rsidRDefault="00000000">
          <w:pPr>
            <w:pBdr>
              <w:top w:val="nil"/>
              <w:left w:val="nil"/>
              <w:bottom w:val="nil"/>
              <w:right w:val="nil"/>
              <w:between w:val="nil"/>
            </w:pBdr>
            <w:tabs>
              <w:tab w:val="center" w:pos="4680"/>
              <w:tab w:val="right" w:pos="9360"/>
            </w:tabs>
            <w:jc w:val="right"/>
            <w:rPr>
              <w:rFonts w:eastAsia="Century Schoolbook" w:cs="Century Schoolbook"/>
              <w:b/>
              <w:color w:val="000000"/>
              <w:szCs w:val="18"/>
            </w:rPr>
          </w:pPr>
          <w:r>
            <w:rPr>
              <w:b/>
              <w:color w:val="000000"/>
              <w:szCs w:val="18"/>
            </w:rPr>
            <w:fldChar w:fldCharType="begin"/>
          </w:r>
          <w:r>
            <w:rPr>
              <w:rFonts w:ascii="Century Schoolbook" w:eastAsia="Century Schoolbook" w:hAnsi="Century Schoolbook" w:cs="Century Schoolbook"/>
              <w:b/>
              <w:color w:val="000000"/>
              <w:szCs w:val="18"/>
            </w:rPr>
            <w:instrText>PAGE</w:instrText>
          </w:r>
          <w:r>
            <w:rPr>
              <w:b/>
              <w:color w:val="000000"/>
              <w:szCs w:val="18"/>
            </w:rPr>
            <w:fldChar w:fldCharType="separate"/>
          </w:r>
          <w:r w:rsidR="007C1FAE">
            <w:rPr>
              <w:rFonts w:eastAsia="Century Schoolbook" w:cs="Century Schoolbook"/>
              <w:b/>
              <w:noProof/>
              <w:color w:val="000000"/>
              <w:szCs w:val="18"/>
            </w:rPr>
            <w:t>1</w:t>
          </w:r>
          <w:r>
            <w:rPr>
              <w:b/>
              <w:color w:val="000000"/>
              <w:szCs w:val="18"/>
            </w:rPr>
            <w:fldChar w:fldCharType="end"/>
          </w:r>
        </w:p>
      </w:tc>
    </w:tr>
  </w:tbl>
  <w:p w14:paraId="27AF3DE4" w14:textId="77777777" w:rsidR="00CF44E9" w:rsidRDefault="00CF44E9">
    <w:pPr>
      <w:pBdr>
        <w:top w:val="nil"/>
        <w:left w:val="nil"/>
        <w:bottom w:val="nil"/>
        <w:right w:val="nil"/>
        <w:between w:val="nil"/>
      </w:pBdr>
      <w:tabs>
        <w:tab w:val="center" w:pos="4680"/>
        <w:tab w:val="right" w:pos="9360"/>
      </w:tabs>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0EB0"/>
    <w:multiLevelType w:val="hybridMultilevel"/>
    <w:tmpl w:val="DBAA936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15:restartNumberingAfterBreak="0">
    <w:nsid w:val="23BE58DE"/>
    <w:multiLevelType w:val="hybridMultilevel"/>
    <w:tmpl w:val="3452BE7A"/>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2" w15:restartNumberingAfterBreak="0">
    <w:nsid w:val="3C827A3A"/>
    <w:multiLevelType w:val="hybridMultilevel"/>
    <w:tmpl w:val="BFEA29E6"/>
    <w:lvl w:ilvl="0" w:tplc="FFFFFFFF">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461568B2"/>
    <w:multiLevelType w:val="hybridMultilevel"/>
    <w:tmpl w:val="A5567CE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4CAC33AA"/>
    <w:multiLevelType w:val="multilevel"/>
    <w:tmpl w:val="63D2E89E"/>
    <w:lvl w:ilvl="0">
      <w:start w:val="1"/>
      <w:numFmt w:val="decimal"/>
      <w:pStyle w:val="references"/>
      <w:lvlText w:val="%1."/>
      <w:lvlJc w:val="left"/>
      <w:pPr>
        <w:tabs>
          <w:tab w:val="num" w:pos="720"/>
        </w:tabs>
        <w:ind w:left="720" w:hanging="720"/>
      </w:pPr>
    </w:lvl>
    <w:lvl w:ilvl="1">
      <w:start w:val="1"/>
      <w:numFmt w:val="decimal"/>
      <w:pStyle w:val="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C2C57DE"/>
    <w:multiLevelType w:val="hybridMultilevel"/>
    <w:tmpl w:val="47060D9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66A33519"/>
    <w:multiLevelType w:val="hybridMultilevel"/>
    <w:tmpl w:val="97F65552"/>
    <w:lvl w:ilvl="0" w:tplc="0421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6DCC0A0E"/>
    <w:multiLevelType w:val="multilevel"/>
    <w:tmpl w:val="DA6AA4D0"/>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730E2BD8"/>
    <w:multiLevelType w:val="hybridMultilevel"/>
    <w:tmpl w:val="77BA8758"/>
    <w:lvl w:ilvl="0" w:tplc="0E1E1640">
      <w:start w:val="1"/>
      <w:numFmt w:val="decimal"/>
      <w:lvlText w:val="3.%1"/>
      <w:lvlJc w:val="left"/>
      <w:pPr>
        <w:ind w:left="1004" w:hanging="360"/>
      </w:pPr>
      <w:rPr>
        <w:rFonts w:hint="default"/>
        <w:b/>
        <w:i w:val="0"/>
        <w:sz w:val="24"/>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77140642"/>
    <w:multiLevelType w:val="multilevel"/>
    <w:tmpl w:val="88F0CA18"/>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DDE108E"/>
    <w:multiLevelType w:val="hybridMultilevel"/>
    <w:tmpl w:val="148EDCF4"/>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num w:numId="1" w16cid:durableId="1560826280">
    <w:abstractNumId w:val="9"/>
  </w:num>
  <w:num w:numId="2" w16cid:durableId="1964388174">
    <w:abstractNumId w:val="7"/>
  </w:num>
  <w:num w:numId="3" w16cid:durableId="956331252">
    <w:abstractNumId w:val="4"/>
  </w:num>
  <w:num w:numId="4" w16cid:durableId="361442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1456369">
    <w:abstractNumId w:val="3"/>
  </w:num>
  <w:num w:numId="6" w16cid:durableId="413745786">
    <w:abstractNumId w:val="8"/>
  </w:num>
  <w:num w:numId="7" w16cid:durableId="1295335901">
    <w:abstractNumId w:val="6"/>
  </w:num>
  <w:num w:numId="8" w16cid:durableId="1220674997">
    <w:abstractNumId w:val="1"/>
  </w:num>
  <w:num w:numId="9" w16cid:durableId="654601836">
    <w:abstractNumId w:val="0"/>
  </w:num>
  <w:num w:numId="10" w16cid:durableId="1294019639">
    <w:abstractNumId w:val="10"/>
  </w:num>
  <w:num w:numId="11" w16cid:durableId="660306750">
    <w:abstractNumId w:val="5"/>
  </w:num>
  <w:num w:numId="12" w16cid:durableId="1703555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E9"/>
    <w:rsid w:val="000D715B"/>
    <w:rsid w:val="000F61E7"/>
    <w:rsid w:val="0010506C"/>
    <w:rsid w:val="00106C6F"/>
    <w:rsid w:val="00115EA1"/>
    <w:rsid w:val="0013545B"/>
    <w:rsid w:val="001A4767"/>
    <w:rsid w:val="001C79F7"/>
    <w:rsid w:val="0020565D"/>
    <w:rsid w:val="00291BF8"/>
    <w:rsid w:val="002C552F"/>
    <w:rsid w:val="002C642C"/>
    <w:rsid w:val="003101FD"/>
    <w:rsid w:val="0036180C"/>
    <w:rsid w:val="00391E4E"/>
    <w:rsid w:val="004A6878"/>
    <w:rsid w:val="00510CA8"/>
    <w:rsid w:val="006129CA"/>
    <w:rsid w:val="006450A7"/>
    <w:rsid w:val="00693E9D"/>
    <w:rsid w:val="007230B6"/>
    <w:rsid w:val="00740288"/>
    <w:rsid w:val="007A18D0"/>
    <w:rsid w:val="007B14CF"/>
    <w:rsid w:val="007C1FAE"/>
    <w:rsid w:val="0087432A"/>
    <w:rsid w:val="00923003"/>
    <w:rsid w:val="00A35068"/>
    <w:rsid w:val="00B37DD8"/>
    <w:rsid w:val="00C115EC"/>
    <w:rsid w:val="00C50DDD"/>
    <w:rsid w:val="00CF194C"/>
    <w:rsid w:val="00CF44E9"/>
    <w:rsid w:val="00D30482"/>
    <w:rsid w:val="00DB4630"/>
    <w:rsid w:val="00E5295D"/>
    <w:rsid w:val="00E6360C"/>
    <w:rsid w:val="00EE21E0"/>
    <w:rsid w:val="00F07421"/>
    <w:rsid w:val="00F329A8"/>
    <w:rsid w:val="00F40FE4"/>
    <w:rsid w:val="00FA6548"/>
    <w:rsid w:val="00FD77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D4AB5"/>
  <w15:docId w15:val="{BBDF3887-CE82-4801-91B3-5E90D8574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Schoolbook" w:eastAsia="Century Schoolbook" w:hAnsi="Century Schoolbook" w:cs="Century Schoolbook"/>
        <w:sz w:val="18"/>
        <w:szCs w:val="18"/>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ffiliation"/>
    <w:qFormat/>
    <w:rsid w:val="00B37DD8"/>
    <w:rPr>
      <w:szCs w:val="22"/>
    </w:rPr>
  </w:style>
  <w:style w:type="paragraph" w:styleId="Judul1">
    <w:name w:val="heading 1"/>
    <w:aliases w:val="Title_paper"/>
    <w:next w:val="Normal"/>
    <w:link w:val="Judul1KAR"/>
    <w:uiPriority w:val="9"/>
    <w:qFormat/>
    <w:rsid w:val="00DA034B"/>
    <w:pPr>
      <w:keepNext/>
      <w:outlineLvl w:val="0"/>
    </w:pPr>
    <w:rPr>
      <w:rFonts w:eastAsia="Times New Roman"/>
      <w:b/>
      <w:bCs/>
      <w:kern w:val="32"/>
      <w:sz w:val="28"/>
      <w:szCs w:val="28"/>
    </w:rPr>
  </w:style>
  <w:style w:type="paragraph" w:styleId="Judul2">
    <w:name w:val="heading 2"/>
    <w:aliases w:val="Section_Paper"/>
    <w:basedOn w:val="Normal"/>
    <w:next w:val="Normal"/>
    <w:link w:val="Judul2KAR"/>
    <w:uiPriority w:val="9"/>
    <w:unhideWhenUsed/>
    <w:qFormat/>
    <w:rsid w:val="00794E41"/>
    <w:pPr>
      <w:keepNext/>
      <w:spacing w:before="120" w:after="60"/>
      <w:jc w:val="both"/>
      <w:outlineLvl w:val="1"/>
    </w:pPr>
    <w:rPr>
      <w:rFonts w:ascii="Arial" w:eastAsia="Times New Roman" w:hAnsi="Arial" w:cs="Arial"/>
      <w:b/>
      <w:bCs/>
      <w:iCs/>
      <w:sz w:val="22"/>
      <w:szCs w:val="28"/>
      <w:lang w:val="id-ID"/>
    </w:rPr>
  </w:style>
  <w:style w:type="paragraph" w:styleId="Judul3">
    <w:name w:val="heading 3"/>
    <w:aliases w:val="Sub-section"/>
    <w:next w:val="Normal"/>
    <w:link w:val="Judul3KAR"/>
    <w:uiPriority w:val="9"/>
    <w:unhideWhenUsed/>
    <w:qFormat/>
    <w:rsid w:val="008B3486"/>
    <w:pPr>
      <w:keepNext/>
      <w:keepLines/>
      <w:spacing w:before="120"/>
      <w:outlineLvl w:val="2"/>
    </w:pPr>
    <w:rPr>
      <w:rFonts w:eastAsiaTheme="majorEastAsia" w:cstheme="majorBidi"/>
      <w:b/>
      <w:sz w:val="22"/>
      <w:szCs w:val="24"/>
    </w:rPr>
  </w:style>
  <w:style w:type="paragraph" w:styleId="Judul4">
    <w:name w:val="heading 4"/>
    <w:aliases w:val="Sub-sub_Section"/>
    <w:next w:val="Normal"/>
    <w:link w:val="Judul4KAR"/>
    <w:uiPriority w:val="9"/>
    <w:unhideWhenUsed/>
    <w:qFormat/>
    <w:rsid w:val="00794E41"/>
    <w:pPr>
      <w:keepNext/>
      <w:keepLines/>
      <w:spacing w:before="40"/>
      <w:outlineLvl w:val="3"/>
    </w:pPr>
    <w:rPr>
      <w:rFonts w:ascii="Arial" w:eastAsiaTheme="majorEastAsia" w:hAnsi="Arial" w:cs="Arial"/>
      <w:b/>
      <w:i/>
      <w:iCs/>
    </w:rPr>
  </w:style>
  <w:style w:type="paragraph" w:styleId="Judul5">
    <w:name w:val="heading 5"/>
    <w:basedOn w:val="Normal"/>
    <w:next w:val="Normal"/>
    <w:uiPriority w:val="9"/>
    <w:semiHidden/>
    <w:unhideWhenUsed/>
    <w:qFormat/>
    <w:pPr>
      <w:keepNext/>
      <w:keepLines/>
      <w:spacing w:before="220" w:after="40"/>
      <w:outlineLvl w:val="4"/>
    </w:pPr>
    <w:rPr>
      <w:b/>
      <w:sz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next w:val="Normal"/>
    <w:link w:val="JudulKAR"/>
    <w:uiPriority w:val="10"/>
    <w:qFormat/>
    <w:rsid w:val="00924488"/>
    <w:pPr>
      <w:outlineLvl w:val="0"/>
    </w:pPr>
    <w:rPr>
      <w:rFonts w:ascii="Bahnschrift" w:eastAsia="Times New Roman" w:hAnsi="Bahnschrift" w:cs="Arial"/>
      <w:b/>
      <w:kern w:val="28"/>
      <w:sz w:val="28"/>
      <w:szCs w:val="28"/>
    </w:rPr>
  </w:style>
  <w:style w:type="paragraph" w:styleId="Header">
    <w:name w:val="header"/>
    <w:basedOn w:val="Normal"/>
    <w:link w:val="HeaderKAR"/>
    <w:uiPriority w:val="99"/>
    <w:unhideWhenUsed/>
    <w:rsid w:val="007329B4"/>
    <w:pPr>
      <w:tabs>
        <w:tab w:val="center" w:pos="4680"/>
        <w:tab w:val="right" w:pos="9360"/>
      </w:tabs>
    </w:pPr>
    <w:rPr>
      <w:rFonts w:ascii="Calibri" w:hAnsi="Calibri"/>
      <w:sz w:val="22"/>
    </w:rPr>
  </w:style>
  <w:style w:type="character" w:customStyle="1" w:styleId="HeaderKAR">
    <w:name w:val="Header KAR"/>
    <w:link w:val="Header"/>
    <w:uiPriority w:val="99"/>
    <w:rsid w:val="007329B4"/>
    <w:rPr>
      <w:sz w:val="22"/>
      <w:szCs w:val="22"/>
    </w:rPr>
  </w:style>
  <w:style w:type="paragraph" w:styleId="Footer">
    <w:name w:val="footer"/>
    <w:basedOn w:val="Normal"/>
    <w:link w:val="FooterKAR"/>
    <w:uiPriority w:val="99"/>
    <w:unhideWhenUsed/>
    <w:rsid w:val="007329B4"/>
    <w:pPr>
      <w:tabs>
        <w:tab w:val="center" w:pos="4680"/>
        <w:tab w:val="right" w:pos="9360"/>
      </w:tabs>
    </w:pPr>
    <w:rPr>
      <w:rFonts w:ascii="Calibri" w:hAnsi="Calibri"/>
      <w:sz w:val="22"/>
    </w:rPr>
  </w:style>
  <w:style w:type="character" w:customStyle="1" w:styleId="FooterKAR">
    <w:name w:val="Footer KAR"/>
    <w:link w:val="Footer"/>
    <w:uiPriority w:val="99"/>
    <w:rsid w:val="007329B4"/>
    <w:rPr>
      <w:sz w:val="22"/>
      <w:szCs w:val="22"/>
    </w:rPr>
  </w:style>
  <w:style w:type="table" w:styleId="KisiTabel">
    <w:name w:val="Table Grid"/>
    <w:basedOn w:val="TabelNormal"/>
    <w:uiPriority w:val="39"/>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aliases w:val="Title_paper KAR"/>
    <w:link w:val="Judul1"/>
    <w:uiPriority w:val="9"/>
    <w:rsid w:val="00DA034B"/>
    <w:rPr>
      <w:rFonts w:ascii="Century Schoolbook" w:eastAsia="Times New Roman" w:hAnsi="Century Schoolbook"/>
      <w:b/>
      <w:bCs/>
      <w:kern w:val="32"/>
      <w:sz w:val="28"/>
      <w:szCs w:val="28"/>
    </w:rPr>
  </w:style>
  <w:style w:type="paragraph" w:styleId="Subjudul">
    <w:name w:val="Subtitle"/>
    <w:basedOn w:val="Normal"/>
    <w:next w:val="Normal"/>
    <w:link w:val="SubjudulKAR"/>
    <w:uiPriority w:val="11"/>
    <w:qFormat/>
    <w:pPr>
      <w:pBdr>
        <w:top w:val="nil"/>
        <w:left w:val="nil"/>
        <w:bottom w:val="nil"/>
        <w:right w:val="nil"/>
        <w:between w:val="nil"/>
      </w:pBdr>
      <w:jc w:val="both"/>
    </w:pPr>
    <w:rPr>
      <w:rFonts w:ascii="Times New Roman" w:eastAsia="Times New Roman" w:hAnsi="Times New Roman" w:cs="Times New Roman"/>
      <w:i/>
      <w:color w:val="000000"/>
      <w:sz w:val="20"/>
      <w:szCs w:val="20"/>
    </w:rPr>
  </w:style>
  <w:style w:type="character" w:customStyle="1" w:styleId="SubjudulKAR">
    <w:name w:val="Subjudul KAR"/>
    <w:link w:val="Subjudul"/>
    <w:uiPriority w:val="11"/>
    <w:rsid w:val="000C4F48"/>
    <w:rPr>
      <w:rFonts w:ascii="Times New Roman" w:eastAsia="Times New Roman" w:hAnsi="Times New Roman"/>
      <w:i/>
      <w:szCs w:val="24"/>
      <w:lang w:bidi="ar-SA"/>
    </w:rPr>
  </w:style>
  <w:style w:type="character" w:customStyle="1" w:styleId="Judul2KAR">
    <w:name w:val="Judul 2 KAR"/>
    <w:aliases w:val="Section_Paper KAR"/>
    <w:link w:val="Judul2"/>
    <w:uiPriority w:val="9"/>
    <w:rsid w:val="00794E41"/>
    <w:rPr>
      <w:rFonts w:ascii="Arial" w:eastAsia="Times New Roman" w:hAnsi="Arial" w:cs="Arial"/>
      <w:b/>
      <w:bCs/>
      <w:iCs/>
      <w:sz w:val="22"/>
      <w:szCs w:val="28"/>
      <w:lang w:val="id-ID"/>
    </w:rPr>
  </w:style>
  <w:style w:type="character" w:customStyle="1" w:styleId="JudulKAR">
    <w:name w:val="Judul KAR"/>
    <w:link w:val="Judul"/>
    <w:uiPriority w:val="10"/>
    <w:rsid w:val="00924488"/>
    <w:rPr>
      <w:rFonts w:ascii="Bahnschrift" w:eastAsia="Times New Roman" w:hAnsi="Bahnschrift" w:cs="Arial"/>
      <w:b/>
      <w:kern w:val="28"/>
      <w:sz w:val="28"/>
      <w:szCs w:val="28"/>
    </w:rPr>
  </w:style>
  <w:style w:type="character" w:styleId="Penekanan">
    <w:name w:val="Emphasis"/>
    <w:uiPriority w:val="20"/>
    <w:qFormat/>
    <w:rsid w:val="006C13CE"/>
    <w:rPr>
      <w:i/>
      <w:iCs/>
    </w:rPr>
  </w:style>
  <w:style w:type="paragraph" w:customStyle="1" w:styleId="Author">
    <w:name w:val="Author"/>
    <w:next w:val="Normal"/>
    <w:autoRedefine/>
    <w:qFormat/>
    <w:rsid w:val="00030E64"/>
    <w:rPr>
      <w:rFonts w:ascii="Arial" w:hAnsi="Arial" w:cs="Arial"/>
      <w:b/>
      <w:iCs/>
    </w:rPr>
  </w:style>
  <w:style w:type="paragraph" w:styleId="Keterangan">
    <w:name w:val="caption"/>
    <w:next w:val="Normal"/>
    <w:uiPriority w:val="35"/>
    <w:unhideWhenUsed/>
    <w:qFormat/>
    <w:rsid w:val="00E35557"/>
    <w:pPr>
      <w:jc w:val="center"/>
    </w:pPr>
    <w:rPr>
      <w:rFonts w:ascii="Times New Roman" w:hAnsi="Times New Roman"/>
      <w:bCs/>
    </w:rPr>
  </w:style>
  <w:style w:type="character" w:customStyle="1" w:styleId="Judul3KAR">
    <w:name w:val="Judul 3 KAR"/>
    <w:aliases w:val="Sub-section KAR"/>
    <w:link w:val="Judul3"/>
    <w:uiPriority w:val="9"/>
    <w:rsid w:val="008B3486"/>
    <w:rPr>
      <w:rFonts w:ascii="Century Schoolbook" w:eastAsiaTheme="majorEastAsia" w:hAnsi="Century Schoolbook" w:cstheme="majorBidi"/>
      <w:b/>
      <w:sz w:val="22"/>
      <w:szCs w:val="24"/>
      <w:lang w:val="en-ID"/>
    </w:rPr>
  </w:style>
  <w:style w:type="character" w:styleId="Kuat">
    <w:name w:val="Strong"/>
    <w:rsid w:val="005369E9"/>
    <w:rPr>
      <w:rFonts w:cs="Times New Roman"/>
      <w:b/>
      <w:bCs/>
    </w:rPr>
  </w:style>
  <w:style w:type="paragraph" w:customStyle="1" w:styleId="references">
    <w:name w:val="references"/>
    <w:rsid w:val="005369E9"/>
    <w:pPr>
      <w:numPr>
        <w:numId w:val="3"/>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SudahDiformat">
    <w:name w:val="HTML Preformatted"/>
    <w:basedOn w:val="Normal"/>
    <w:link w:val="HTMLSudahDiformatK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SudahDiformatKAR">
    <w:name w:val="HTML Sudah Diformat KAR"/>
    <w:link w:val="HTMLSudahDiformat"/>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fi">
    <w:name w:val="Bibliography"/>
    <w:basedOn w:val="Normal"/>
    <w:next w:val="Normal"/>
    <w:uiPriority w:val="37"/>
    <w:unhideWhenUsed/>
    <w:rsid w:val="00CF521D"/>
  </w:style>
  <w:style w:type="paragraph" w:styleId="TeksBalon">
    <w:name w:val="Balloon Text"/>
    <w:basedOn w:val="Normal"/>
    <w:link w:val="TeksBalonKAR"/>
    <w:uiPriority w:val="99"/>
    <w:semiHidden/>
    <w:unhideWhenUsed/>
    <w:rsid w:val="00D90F6F"/>
    <w:rPr>
      <w:rFonts w:cs="Tahoma"/>
      <w:sz w:val="16"/>
      <w:szCs w:val="16"/>
    </w:rPr>
  </w:style>
  <w:style w:type="character" w:customStyle="1" w:styleId="TeksBalonKAR">
    <w:name w:val="Teks Balon KAR"/>
    <w:basedOn w:val="FontParagrafDefault"/>
    <w:link w:val="TeksBalon"/>
    <w:uiPriority w:val="99"/>
    <w:semiHidden/>
    <w:rsid w:val="00D90F6F"/>
    <w:rPr>
      <w:rFonts w:ascii="Tahoma" w:hAnsi="Tahoma" w:cs="Tahoma"/>
      <w:sz w:val="16"/>
      <w:szCs w:val="16"/>
    </w:rPr>
  </w:style>
  <w:style w:type="character" w:customStyle="1" w:styleId="Judul4KAR">
    <w:name w:val="Judul 4 KAR"/>
    <w:aliases w:val="Sub-sub_Section KAR"/>
    <w:basedOn w:val="FontParagrafDefault"/>
    <w:link w:val="Judul4"/>
    <w:uiPriority w:val="9"/>
    <w:rsid w:val="00794E41"/>
    <w:rPr>
      <w:rFonts w:ascii="Arial" w:eastAsiaTheme="majorEastAsia" w:hAnsi="Arial" w:cs="Arial"/>
      <w:b/>
      <w:i/>
      <w:iCs/>
      <w:lang w:val="en-ID"/>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KutipanyangSering">
    <w:name w:val="Intense Quote"/>
    <w:basedOn w:val="Normal"/>
    <w:next w:val="Normal"/>
    <w:link w:val="KutipanyangSeringKAR"/>
    <w:uiPriority w:val="30"/>
    <w:rsid w:val="0013425F"/>
    <w:pPr>
      <w:pBdr>
        <w:bottom w:val="single" w:sz="4" w:space="4" w:color="4F81BD"/>
      </w:pBdr>
      <w:spacing w:before="200" w:after="280"/>
      <w:ind w:left="936" w:right="936"/>
    </w:pPr>
    <w:rPr>
      <w:b/>
      <w:bCs/>
      <w:i/>
      <w:iCs/>
      <w:color w:val="4F81BD"/>
    </w:rPr>
  </w:style>
  <w:style w:type="character" w:customStyle="1" w:styleId="KutipanyangSeringKAR">
    <w:name w:val="Kutipan yang Sering KAR"/>
    <w:basedOn w:val="FontParagrafDefault"/>
    <w:link w:val="KutipanyangSering"/>
    <w:uiPriority w:val="30"/>
    <w:rsid w:val="0013425F"/>
    <w:rPr>
      <w:rFonts w:ascii="Times New Roman" w:hAnsi="Times New Roman"/>
      <w:b/>
      <w:bCs/>
      <w:i/>
      <w:iCs/>
      <w:color w:val="4F81BD"/>
      <w:sz w:val="18"/>
      <w:szCs w:val="22"/>
    </w:rPr>
  </w:style>
  <w:style w:type="character" w:styleId="ReferensiRumit">
    <w:name w:val="Subtle Reference"/>
    <w:basedOn w:val="FontParagrafDefault"/>
    <w:uiPriority w:val="31"/>
    <w:rsid w:val="0013425F"/>
    <w:rPr>
      <w:smallCaps/>
      <w:color w:val="C0504D"/>
      <w:u w:val="single"/>
    </w:rPr>
  </w:style>
  <w:style w:type="paragraph" w:customStyle="1" w:styleId="Content">
    <w:name w:val="Content"/>
    <w:basedOn w:val="DaftarParagraf"/>
    <w:link w:val="ContentChar"/>
    <w:autoRedefine/>
    <w:qFormat/>
    <w:rsid w:val="003B6A1E"/>
    <w:pPr>
      <w:ind w:left="0" w:firstLine="284"/>
      <w:jc w:val="both"/>
    </w:pPr>
    <w:rPr>
      <w:rFonts w:ascii="Arial" w:hAnsi="Arial" w:cs="Arial"/>
      <w:sz w:val="20"/>
      <w:szCs w:val="20"/>
    </w:rPr>
  </w:style>
  <w:style w:type="character" w:customStyle="1" w:styleId="ContentChar">
    <w:name w:val="Content Char"/>
    <w:basedOn w:val="FontParagrafDefault"/>
    <w:link w:val="Content"/>
    <w:rsid w:val="003B6A1E"/>
    <w:rPr>
      <w:rFonts w:ascii="Arial" w:hAnsi="Arial" w:cs="Arial"/>
      <w:lang w:val="en-ID"/>
    </w:rPr>
  </w:style>
  <w:style w:type="paragraph" w:styleId="DaftarParagraf">
    <w:name w:val="List Paragraph"/>
    <w:basedOn w:val="Normal"/>
    <w:uiPriority w:val="1"/>
    <w:qFormat/>
    <w:rsid w:val="0013425F"/>
    <w:pPr>
      <w:ind w:left="720"/>
      <w:contextualSpacing/>
    </w:pPr>
  </w:style>
  <w:style w:type="character" w:styleId="Tempatpenampungteks">
    <w:name w:val="Placeholder Text"/>
    <w:basedOn w:val="FontParagrafDefaul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lang w:val="en"/>
    </w:rPr>
  </w:style>
  <w:style w:type="paragraph" w:customStyle="1" w:styleId="Articlehistory">
    <w:name w:val="Articlehistory"/>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rPr>
  </w:style>
  <w:style w:type="paragraph" w:customStyle="1" w:styleId="History-Article">
    <w:name w:val="History-Article"/>
    <w:basedOn w:val="AbstractText"/>
    <w:autoRedefine/>
    <w:qFormat/>
    <w:rsid w:val="00AA39A5"/>
    <w:pPr>
      <w:framePr w:hSpace="187" w:wrap="around" w:vAnchor="text" w:hAnchor="text" w:y="1"/>
      <w:spacing w:after="0"/>
      <w:suppressOverlap/>
      <w:jc w:val="left"/>
    </w:pPr>
    <w:rPr>
      <w:rFonts w:ascii="Century Schoolbook" w:hAnsi="Century Schoolbook"/>
      <w:sz w:val="14"/>
      <w:szCs w:val="14"/>
    </w:rPr>
  </w:style>
  <w:style w:type="paragraph" w:customStyle="1" w:styleId="Abstract-Content">
    <w:name w:val="Abstract-Content"/>
    <w:next w:val="Normal"/>
    <w:autoRedefine/>
    <w:qFormat/>
    <w:rsid w:val="00AA39A5"/>
    <w:pPr>
      <w:framePr w:hSpace="187" w:wrap="around" w:vAnchor="text" w:hAnchor="text" w:y="1"/>
      <w:suppressOverlap/>
      <w:jc w:val="both"/>
    </w:pPr>
    <w:rPr>
      <w:rFonts w:eastAsia="Times New Roman"/>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HiperlinkyangDiikuti">
    <w:name w:val="FollowedHyperlink"/>
    <w:basedOn w:val="FontParagrafDefault"/>
    <w:uiPriority w:val="99"/>
    <w:semiHidden/>
    <w:unhideWhenUsed/>
    <w:rsid w:val="004A16D8"/>
    <w:rPr>
      <w:color w:val="800080" w:themeColor="followedHyperlink"/>
      <w:u w:val="single"/>
    </w:rPr>
  </w:style>
  <w:style w:type="character" w:styleId="ReferensiKomentar">
    <w:name w:val="annotation reference"/>
    <w:basedOn w:val="FontParagrafDefault"/>
    <w:uiPriority w:val="99"/>
    <w:semiHidden/>
    <w:unhideWhenUsed/>
    <w:rsid w:val="00503332"/>
    <w:rPr>
      <w:sz w:val="16"/>
      <w:szCs w:val="16"/>
    </w:rPr>
  </w:style>
  <w:style w:type="paragraph" w:styleId="TeksKomentar">
    <w:name w:val="annotation text"/>
    <w:basedOn w:val="Normal"/>
    <w:link w:val="TeksKomentarKAR"/>
    <w:uiPriority w:val="99"/>
    <w:semiHidden/>
    <w:unhideWhenUsed/>
    <w:rsid w:val="00503332"/>
    <w:rPr>
      <w:sz w:val="20"/>
      <w:szCs w:val="20"/>
    </w:rPr>
  </w:style>
  <w:style w:type="character" w:customStyle="1" w:styleId="TeksKomentarKAR">
    <w:name w:val="Teks Komentar KAR"/>
    <w:basedOn w:val="FontParagrafDefault"/>
    <w:link w:val="TeksKomentar"/>
    <w:uiPriority w:val="99"/>
    <w:semiHidden/>
    <w:rsid w:val="00503332"/>
    <w:rPr>
      <w:rFonts w:ascii="Century Schoolbook" w:hAnsi="Century Schoolbook"/>
    </w:rPr>
  </w:style>
  <w:style w:type="character" w:customStyle="1" w:styleId="SebutanYangBelumTerselesaikan1">
    <w:name w:val="Sebutan Yang Belum Terselesaikan1"/>
    <w:basedOn w:val="FontParagrafDefault"/>
    <w:uiPriority w:val="99"/>
    <w:semiHidden/>
    <w:unhideWhenUsed/>
    <w:rsid w:val="004C5214"/>
    <w:rPr>
      <w:color w:val="605E5C"/>
      <w:shd w:val="clear" w:color="auto" w:fill="E1DFDD"/>
    </w:rPr>
  </w:style>
  <w:style w:type="character" w:customStyle="1" w:styleId="text-highlight">
    <w:name w:val="text-highlight"/>
    <w:basedOn w:val="FontParagrafDefault"/>
    <w:rsid w:val="00EB00C4"/>
  </w:style>
  <w:style w:type="paragraph" w:customStyle="1" w:styleId="Paragraphfirst">
    <w:name w:val="Paragraph_first"/>
    <w:basedOn w:val="Normal"/>
    <w:next w:val="Normal"/>
    <w:qFormat/>
    <w:rsid w:val="00800B80"/>
    <w:pPr>
      <w:tabs>
        <w:tab w:val="left" w:pos="340"/>
      </w:tabs>
      <w:suppressAutoHyphens/>
      <w:jc w:val="both"/>
    </w:pPr>
    <w:rPr>
      <w:rFonts w:ascii="Times" w:eastAsia="Times New Roman" w:hAnsi="Times" w:cs="New York"/>
      <w:sz w:val="20"/>
      <w:szCs w:val="20"/>
      <w:lang w:val="en-GB" w:eastAsia="ar-SA"/>
    </w:rPr>
  </w:style>
  <w:style w:type="paragraph" w:customStyle="1" w:styleId="Section">
    <w:name w:val="Section"/>
    <w:basedOn w:val="Judul1"/>
    <w:next w:val="Paragraphfirst"/>
    <w:qFormat/>
    <w:rsid w:val="00216D1A"/>
    <w:pPr>
      <w:keepNext w:val="0"/>
      <w:tabs>
        <w:tab w:val="num" w:pos="720"/>
      </w:tabs>
      <w:suppressAutoHyphens/>
      <w:spacing w:before="340" w:after="170"/>
      <w:ind w:left="720" w:hanging="720"/>
      <w:jc w:val="both"/>
    </w:pPr>
    <w:rPr>
      <w:rFonts w:ascii="Arial" w:hAnsi="Arial" w:cs="Arial"/>
      <w:bCs w:val="0"/>
      <w:kern w:val="0"/>
      <w:sz w:val="24"/>
      <w:szCs w:val="24"/>
      <w:lang w:val="en-GB" w:eastAsia="ar-SA"/>
    </w:rPr>
  </w:style>
  <w:style w:type="paragraph" w:customStyle="1" w:styleId="Subsection">
    <w:name w:val="Subsection"/>
    <w:basedOn w:val="Judul2"/>
    <w:next w:val="Paragraphfirst"/>
    <w:qFormat/>
    <w:rsid w:val="00216D1A"/>
    <w:pPr>
      <w:numPr>
        <w:ilvl w:val="1"/>
        <w:numId w:val="4"/>
      </w:numPr>
      <w:tabs>
        <w:tab w:val="left" w:pos="340"/>
      </w:tabs>
      <w:suppressAutoHyphens/>
      <w:spacing w:before="340" w:after="170"/>
    </w:pPr>
    <w:rPr>
      <w:sz w:val="20"/>
      <w:lang w:val="en-GB" w:eastAsia="ar-SA"/>
    </w:rPr>
  </w:style>
  <w:style w:type="paragraph" w:customStyle="1" w:styleId="Subsubsection">
    <w:name w:val="Subsubsection"/>
    <w:basedOn w:val="Judul3"/>
    <w:next w:val="Paragraphfirst"/>
    <w:qFormat/>
    <w:rsid w:val="00216D1A"/>
    <w:pPr>
      <w:keepLines w:val="0"/>
      <w:numPr>
        <w:ilvl w:val="2"/>
        <w:numId w:val="4"/>
      </w:numPr>
      <w:suppressAutoHyphens/>
      <w:spacing w:before="340" w:after="170"/>
    </w:pPr>
    <w:rPr>
      <w:rFonts w:ascii="Arial" w:eastAsia="Times New Roman" w:hAnsi="Arial" w:cs="Times New Roman"/>
      <w:b w:val="0"/>
      <w:bCs/>
      <w:i/>
      <w:sz w:val="20"/>
      <w:szCs w:val="26"/>
      <w:lang w:val="fr-FR" w:eastAsia="ar-SA"/>
    </w:rPr>
  </w:style>
  <w:style w:type="paragraph" w:styleId="NormalWeb">
    <w:name w:val="Normal (Web)"/>
    <w:basedOn w:val="Normal"/>
    <w:uiPriority w:val="99"/>
    <w:unhideWhenUsed/>
    <w:rsid w:val="003955AB"/>
    <w:pPr>
      <w:spacing w:before="100" w:beforeAutospacing="1" w:after="100" w:afterAutospacing="1"/>
    </w:pPr>
    <w:rPr>
      <w:rFonts w:ascii="Times New Roman" w:eastAsia="Times New Roman" w:hAnsi="Times New Roman"/>
      <w:sz w:val="24"/>
      <w:szCs w:val="24"/>
    </w:rPr>
  </w:style>
  <w:style w:type="paragraph" w:customStyle="1" w:styleId="Paragraph">
    <w:name w:val="Paragraph"/>
    <w:basedOn w:val="Normal"/>
    <w:qFormat/>
    <w:rsid w:val="00794E41"/>
    <w:pPr>
      <w:tabs>
        <w:tab w:val="left" w:pos="340"/>
      </w:tabs>
      <w:suppressAutoHyphens/>
      <w:ind w:firstLine="284"/>
      <w:jc w:val="both"/>
    </w:pPr>
    <w:rPr>
      <w:rFonts w:ascii="Times" w:eastAsia="Times New Roman" w:hAnsi="Times" w:cs="New York"/>
      <w:sz w:val="20"/>
      <w:szCs w:val="20"/>
      <w:lang w:val="en-GB" w:eastAsia="ar-SA"/>
    </w:rPr>
  </w:style>
  <w:style w:type="paragraph" w:customStyle="1" w:styleId="Acknowledgement">
    <w:name w:val="Acknowledgement"/>
    <w:basedOn w:val="Normal"/>
    <w:rsid w:val="0082453F"/>
    <w:pPr>
      <w:suppressAutoHyphens/>
      <w:jc w:val="both"/>
    </w:pPr>
    <w:rPr>
      <w:rFonts w:ascii="Times" w:eastAsia="Times New Roman" w:hAnsi="Times"/>
      <w:szCs w:val="20"/>
      <w:lang w:val="fr-FR" w:eastAsia="ar-SA"/>
    </w:rPr>
  </w:style>
  <w:style w:type="character" w:customStyle="1" w:styleId="Fontsubsubsection">
    <w:name w:val="Font subsubsection"/>
    <w:rsid w:val="001442A1"/>
    <w:rPr>
      <w:rFonts w:ascii="Times" w:hAnsi="Times"/>
      <w:i/>
      <w:iCs/>
      <w:sz w:val="18"/>
    </w:rPr>
  </w:style>
  <w:style w:type="paragraph" w:customStyle="1" w:styleId="Tablecontent">
    <w:name w:val="Table content"/>
    <w:basedOn w:val="Normal"/>
    <w:rsid w:val="001442A1"/>
    <w:pPr>
      <w:suppressAutoHyphens/>
      <w:jc w:val="center"/>
    </w:pPr>
    <w:rPr>
      <w:rFonts w:ascii="Times" w:eastAsia="Times New Roman" w:hAnsi="Times"/>
      <w:szCs w:val="20"/>
      <w:lang w:val="fr-FR" w:eastAsia="ar-SA"/>
    </w:rPr>
  </w:style>
  <w:style w:type="paragraph" w:customStyle="1" w:styleId="TableCaption">
    <w:name w:val="Table Caption"/>
    <w:basedOn w:val="Normal"/>
    <w:qFormat/>
    <w:rsid w:val="001442A1"/>
    <w:pPr>
      <w:suppressAutoHyphens/>
      <w:spacing w:before="120" w:after="120"/>
      <w:jc w:val="center"/>
    </w:pPr>
    <w:rPr>
      <w:rFonts w:ascii="Times" w:eastAsia="Times New Roman" w:hAnsi="Times" w:cs="New York"/>
      <w:iCs/>
      <w:szCs w:val="16"/>
      <w:lang w:val="en-GB" w:eastAsia="ar-SA"/>
    </w:rPr>
  </w:style>
  <w:style w:type="character" w:customStyle="1" w:styleId="Tablenumbering">
    <w:name w:val="Table numbering"/>
    <w:rsid w:val="001442A1"/>
    <w:rPr>
      <w:rFonts w:ascii="Times" w:hAnsi="Times"/>
      <w:b/>
      <w:bCs/>
      <w:sz w:val="18"/>
    </w:rPr>
  </w:style>
  <w:style w:type="table" w:customStyle="1" w:styleId="a">
    <w:basedOn w:val="TabelNormal"/>
    <w:tblPr>
      <w:tblStyleRowBandSize w:val="1"/>
      <w:tblStyleColBandSize w:val="1"/>
      <w:tblCellMar>
        <w:left w:w="0" w:type="dxa"/>
        <w:right w:w="0" w:type="dxa"/>
      </w:tblCellMar>
    </w:tblPr>
  </w:style>
  <w:style w:type="table" w:customStyle="1" w:styleId="a0">
    <w:basedOn w:val="TabelNormal"/>
    <w:rPr>
      <w:rFonts w:ascii="Times New Roman" w:eastAsia="Times New Roman" w:hAnsi="Times New Roman" w:cs="Times New Roman"/>
    </w:rPr>
    <w:tblPr>
      <w:tblStyleRowBandSize w:val="1"/>
      <w:tblStyleColBandSize w:val="1"/>
    </w:tblPr>
  </w:style>
  <w:style w:type="table" w:customStyle="1" w:styleId="a1">
    <w:basedOn w:val="TabelNormal"/>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left w:w="115" w:type="dxa"/>
        <w:right w:w="115" w:type="dxa"/>
      </w:tblCellMar>
    </w:tblPr>
  </w:style>
  <w:style w:type="table" w:customStyle="1" w:styleId="a3">
    <w:basedOn w:val="TabelNormal"/>
    <w:rPr>
      <w:rFonts w:ascii="Times New Roman" w:eastAsia="Times New Roman" w:hAnsi="Times New Roman" w:cs="Times New Roman"/>
    </w:rPr>
    <w:tblPr>
      <w:tblStyleRowBandSize w:val="1"/>
      <w:tblStyleColBandSize w:val="1"/>
    </w:tblPr>
  </w:style>
  <w:style w:type="table" w:customStyle="1" w:styleId="a4">
    <w:basedOn w:val="TabelNormal"/>
    <w:rPr>
      <w:rFonts w:ascii="Times New Roman" w:eastAsia="Times New Roman" w:hAnsi="Times New Roman" w:cs="Times New Roman"/>
    </w:rPr>
    <w:tblPr>
      <w:tblStyleRowBandSize w:val="1"/>
      <w:tblStyleColBandSize w:val="1"/>
    </w:tblPr>
  </w:style>
  <w:style w:type="table" w:customStyle="1" w:styleId="a5">
    <w:basedOn w:val="TabelNormal"/>
    <w:rPr>
      <w:rFonts w:ascii="Times New Roman" w:eastAsia="Times New Roman" w:hAnsi="Times New Roman" w:cs="Times New Roman"/>
    </w:rPr>
    <w:tblPr>
      <w:tblStyleRowBandSize w:val="1"/>
      <w:tblStyleColBandSize w:val="1"/>
    </w:tblPr>
  </w:style>
  <w:style w:type="table" w:customStyle="1" w:styleId="a6">
    <w:basedOn w:val="TabelNormal"/>
    <w:rPr>
      <w:rFonts w:ascii="Times New Roman" w:eastAsia="Times New Roman" w:hAnsi="Times New Roman" w:cs="Times New Roman"/>
    </w:rPr>
    <w:tblPr>
      <w:tblStyleRowBandSize w:val="1"/>
      <w:tblStyleColBandSize w:val="1"/>
    </w:tblPr>
  </w:style>
  <w:style w:type="table" w:customStyle="1" w:styleId="a7">
    <w:basedOn w:val="TabelNormal"/>
    <w:rPr>
      <w:rFonts w:ascii="Times New Roman" w:eastAsia="Times New Roman" w:hAnsi="Times New Roman" w:cs="Times New Roman"/>
    </w:rPr>
    <w:tblPr>
      <w:tblStyleRowBandSize w:val="1"/>
      <w:tblStyleColBandSize w:val="1"/>
    </w:tblPr>
  </w:style>
  <w:style w:type="table" w:customStyle="1" w:styleId="a8">
    <w:basedOn w:val="TabelNormal"/>
    <w:rPr>
      <w:rFonts w:ascii="Times New Roman" w:eastAsia="Times New Roman" w:hAnsi="Times New Roman" w:cs="Times New Roman"/>
    </w:rPr>
    <w:tblPr>
      <w:tblStyleRowBandSize w:val="1"/>
      <w:tblStyleColBandSize w:val="1"/>
    </w:tblPr>
  </w:style>
  <w:style w:type="character" w:styleId="SebutanYangBelumTerselesaikan">
    <w:name w:val="Unresolved Mention"/>
    <w:basedOn w:val="FontParagrafDefault"/>
    <w:uiPriority w:val="99"/>
    <w:semiHidden/>
    <w:unhideWhenUsed/>
    <w:rsid w:val="007C1FAE"/>
    <w:rPr>
      <w:color w:val="605E5C"/>
      <w:shd w:val="clear" w:color="auto" w:fill="E1DFDD"/>
    </w:rPr>
  </w:style>
  <w:style w:type="table" w:styleId="TabelDaftar1Terang">
    <w:name w:val="List Table 1 Light"/>
    <w:basedOn w:val="TabelNormal"/>
    <w:uiPriority w:val="46"/>
    <w:rsid w:val="0092300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Daftar6Berwarna">
    <w:name w:val="List Table 6 Colorful"/>
    <w:basedOn w:val="TableNormal"/>
    <w:uiPriority w:val="51"/>
    <w:rsid w:val="00923003"/>
    <w:pPr>
      <w:jc w:val="center"/>
    </w:pPr>
    <w:rPr>
      <w:color w:val="000000" w:themeColor="text1"/>
    </w:rPr>
    <w:tblPr>
      <w:tblStyleRowBandSize w:val="1"/>
      <w:tblStyleColBandSize w:val="1"/>
      <w:tblBorders>
        <w:top w:val="single" w:sz="4" w:space="0" w:color="FFFFFF" w:themeColor="background1"/>
        <w:bottom w:val="single" w:sz="4" w:space="0" w:color="FFFFFF" w:themeColor="background1"/>
      </w:tblBorders>
    </w:tblPr>
    <w:tcPr>
      <w:shd w:val="clear" w:color="auto" w:fill="auto"/>
      <w:vAlign w:val="center"/>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ref-n-write.com/trial/research-paper-example-writing-acknowledgements-appendix-sections-academic-phrasebank-vocabulary/" TargetMode="External"/><Relationship Id="rId4" Type="http://schemas.openxmlformats.org/officeDocument/2006/relationships/styles" Target="styles.xml"/><Relationship Id="rId9" Type="http://schemas.openxmlformats.org/officeDocument/2006/relationships/hyperlink" Target="mailto:anggarnisdwi@gmail.com" TargetMode="External"/><Relationship Id="rId14" Type="http://schemas.openxmlformats.org/officeDocument/2006/relationships/hyperlink" Target="https://doi.org/10.22219/oe.2024.v"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frs90NA6q/C5UUiHkXusnPY5Zg==">CgMxLjAyCGguZ2pkZ3hzOAByITF6dG03VlFYQnJVYW0td2U4MWg5bzFsNVBUUy1XRU5jbw==</go:docsCustomData>
</go:gDocsCustomXmlDataStorage>
</file>

<file path=customXml/itemProps1.xml><?xml version="1.0" encoding="utf-8"?>
<ds:datastoreItem xmlns:ds="http://schemas.openxmlformats.org/officeDocument/2006/customXml" ds:itemID="{E2EEEED4-DDFC-49AE-9535-51F7C84560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8</Pages>
  <Words>8756</Words>
  <Characters>49910</Characters>
  <Application>Microsoft Office Word</Application>
  <DocSecurity>0</DocSecurity>
  <Lines>415</Lines>
  <Paragraphs>117</Paragraphs>
  <ScaleCrop>false</ScaleCrop>
  <Company/>
  <LinksUpToDate>false</LinksUpToDate>
  <CharactersWithSpaces>58549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62812</dc:creator>
  <cp:lastModifiedBy>Anggarnis Dwi</cp:lastModifiedBy>
  <cp:revision>9</cp:revision>
  <dcterms:created xsi:type="dcterms:W3CDTF">2024-05-16T04:17:00Z</dcterms:created>
  <dcterms:modified xsi:type="dcterms:W3CDTF">2024-10-14T12:49:00Z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1cf8967c-37ad-3cb0-9100-1fc18c3386c4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