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ABD84" w14:textId="6FA0CB02" w:rsidR="0050683E" w:rsidRDefault="00E45C01">
      <w:pPr>
        <w:pStyle w:val="Title"/>
        <w:ind w:left="1" w:hanging="3"/>
        <w:rPr>
          <w:rFonts w:ascii="Bahnschrift" w:eastAsia="Bahnschrift" w:hAnsi="Bahnschrift" w:cs="Bahnschrift"/>
          <w:b w:val="0"/>
          <w:color w:val="0070C0"/>
        </w:rPr>
      </w:pPr>
      <w:bookmarkStart w:id="0" w:name="_Hlk123127701"/>
      <w:r w:rsidRPr="00E45C01">
        <w:rPr>
          <w:rFonts w:ascii="Bahnschrift" w:eastAsia="Bahnschrift" w:hAnsi="Bahnschrift" w:cs="Bahnschrift"/>
        </w:rPr>
        <w:t>Business Conceptual Design of Photovoltaic Installation for Billboard Lighting</w:t>
      </w:r>
      <w:bookmarkEnd w:id="0"/>
    </w:p>
    <w:p w14:paraId="22386AC5" w14:textId="452001B4" w:rsidR="0038023C" w:rsidRDefault="0038023C">
      <w:pPr>
        <w:pBdr>
          <w:top w:val="nil"/>
          <w:left w:val="nil"/>
          <w:bottom w:val="single" w:sz="4" w:space="1" w:color="000000"/>
          <w:right w:val="nil"/>
          <w:between w:val="nil"/>
        </w:pBdr>
        <w:spacing w:after="0" w:line="240" w:lineRule="auto"/>
        <w:ind w:left="0" w:hanging="2"/>
        <w:jc w:val="center"/>
        <w:rPr>
          <w:rFonts w:ascii="Arial" w:eastAsia="Times New Roman" w:hAnsi="Arial" w:cs="Arial"/>
          <w:b/>
          <w:color w:val="000000"/>
        </w:rPr>
      </w:pPr>
      <w:bookmarkStart w:id="1" w:name="_Hlk123127738"/>
      <w:r w:rsidRPr="0038023C">
        <w:rPr>
          <w:rFonts w:ascii="Arial" w:eastAsia="Arial" w:hAnsi="Arial" w:cs="Arial"/>
          <w:b/>
          <w:color w:val="000000"/>
          <w:szCs w:val="20"/>
        </w:rPr>
        <w:t xml:space="preserve">Erico </w:t>
      </w:r>
      <w:proofErr w:type="spellStart"/>
      <w:r w:rsidRPr="0038023C">
        <w:rPr>
          <w:rFonts w:ascii="Arial" w:eastAsia="Arial" w:hAnsi="Arial" w:cs="Arial"/>
          <w:b/>
          <w:color w:val="000000"/>
          <w:szCs w:val="20"/>
        </w:rPr>
        <w:t>Sofyan</w:t>
      </w:r>
      <w:proofErr w:type="spellEnd"/>
      <w:r w:rsidRPr="0038023C">
        <w:rPr>
          <w:rFonts w:ascii="Arial" w:eastAsia="Arial" w:hAnsi="Arial" w:cs="Arial"/>
          <w:b/>
          <w:color w:val="000000"/>
          <w:szCs w:val="20"/>
        </w:rPr>
        <w:t xml:space="preserve"> Chrissandhi</w:t>
      </w:r>
      <w:bookmarkEnd w:id="1"/>
      <w:r w:rsidRPr="0038023C">
        <w:rPr>
          <w:rFonts w:ascii="Arial" w:eastAsia="Arial" w:hAnsi="Arial" w:cs="Arial"/>
          <w:b/>
          <w:color w:val="000000"/>
          <w:szCs w:val="20"/>
        </w:rPr>
        <w:t xml:space="preserve">, </w:t>
      </w:r>
      <w:bookmarkStart w:id="2" w:name="_Hlk123127756"/>
      <w:r w:rsidRPr="0038023C">
        <w:rPr>
          <w:rFonts w:ascii="Arial" w:eastAsia="Arial" w:hAnsi="Arial" w:cs="Arial"/>
          <w:b/>
          <w:color w:val="000000"/>
          <w:szCs w:val="20"/>
        </w:rPr>
        <w:t xml:space="preserve">Christa Dian </w:t>
      </w:r>
      <w:proofErr w:type="spellStart"/>
      <w:r w:rsidRPr="0038023C">
        <w:rPr>
          <w:rFonts w:ascii="Arial" w:eastAsia="Arial" w:hAnsi="Arial" w:cs="Arial"/>
          <w:b/>
          <w:color w:val="000000"/>
          <w:szCs w:val="20"/>
        </w:rPr>
        <w:t>Pratiwi</w:t>
      </w:r>
      <w:bookmarkEnd w:id="2"/>
      <w:proofErr w:type="spellEnd"/>
      <w:r w:rsidRPr="0038023C">
        <w:rPr>
          <w:rFonts w:ascii="Arial" w:eastAsia="Arial" w:hAnsi="Arial" w:cs="Arial"/>
          <w:b/>
          <w:color w:val="000000"/>
          <w:szCs w:val="20"/>
        </w:rPr>
        <w:t xml:space="preserve">, dan </w:t>
      </w:r>
      <w:bookmarkStart w:id="3" w:name="_Hlk123127806"/>
      <w:proofErr w:type="spellStart"/>
      <w:r w:rsidRPr="0038023C">
        <w:rPr>
          <w:rFonts w:ascii="Arial" w:eastAsia="Arial" w:hAnsi="Arial" w:cs="Arial"/>
          <w:b/>
          <w:color w:val="000000"/>
          <w:szCs w:val="20"/>
        </w:rPr>
        <w:t>Tiwik</w:t>
      </w:r>
      <w:proofErr w:type="spellEnd"/>
      <w:r w:rsidRPr="0038023C">
        <w:rPr>
          <w:rFonts w:ascii="Arial" w:eastAsia="Arial" w:hAnsi="Arial" w:cs="Arial"/>
          <w:b/>
          <w:color w:val="000000"/>
          <w:szCs w:val="20"/>
        </w:rPr>
        <w:t xml:space="preserve"> Tri </w:t>
      </w:r>
      <w:proofErr w:type="spellStart"/>
      <w:r w:rsidRPr="0038023C">
        <w:rPr>
          <w:rFonts w:ascii="Arial" w:eastAsia="Arial" w:hAnsi="Arial" w:cs="Arial"/>
          <w:b/>
          <w:color w:val="000000"/>
          <w:szCs w:val="20"/>
        </w:rPr>
        <w:t>Hastuti</w:t>
      </w:r>
      <w:bookmarkEnd w:id="3"/>
      <w:proofErr w:type="spellEnd"/>
      <w:r w:rsidR="001C0628">
        <w:rPr>
          <w:rFonts w:ascii="Times New Roman" w:eastAsia="Times New Roman" w:hAnsi="Times New Roman" w:cs="Times New Roman"/>
          <w:b/>
          <w:color w:val="000000"/>
        </w:rPr>
        <w:t xml:space="preserve">, </w:t>
      </w:r>
      <w:r w:rsidR="001C0628" w:rsidRPr="001C0628">
        <w:rPr>
          <w:rFonts w:ascii="Arial" w:eastAsia="Times New Roman" w:hAnsi="Arial" w:cs="Arial"/>
          <w:b/>
          <w:color w:val="000000"/>
        </w:rPr>
        <w:t xml:space="preserve">Muhammad </w:t>
      </w:r>
      <w:proofErr w:type="spellStart"/>
      <w:r w:rsidR="001C0628" w:rsidRPr="001C0628">
        <w:rPr>
          <w:rFonts w:ascii="Arial" w:eastAsia="Times New Roman" w:hAnsi="Arial" w:cs="Arial"/>
          <w:b/>
          <w:color w:val="000000"/>
        </w:rPr>
        <w:t>Hisjam</w:t>
      </w:r>
      <w:proofErr w:type="spellEnd"/>
      <w:r w:rsidR="001C0628" w:rsidRPr="001C0628">
        <w:rPr>
          <w:rFonts w:ascii="Arial" w:eastAsia="Times New Roman" w:hAnsi="Arial" w:cs="Arial"/>
          <w:b/>
          <w:color w:val="000000"/>
        </w:rPr>
        <w:t xml:space="preserve">, </w:t>
      </w:r>
      <w:proofErr w:type="spellStart"/>
      <w:r w:rsidR="001C0628" w:rsidRPr="001C0628">
        <w:rPr>
          <w:rFonts w:ascii="Arial" w:eastAsia="Times New Roman" w:hAnsi="Arial" w:cs="Arial"/>
          <w:b/>
          <w:color w:val="000000"/>
        </w:rPr>
        <w:t>Wahyudi</w:t>
      </w:r>
      <w:proofErr w:type="spellEnd"/>
      <w:r w:rsidR="001C0628" w:rsidRPr="001C0628">
        <w:rPr>
          <w:rFonts w:ascii="Arial" w:eastAsia="Times New Roman" w:hAnsi="Arial" w:cs="Arial"/>
          <w:b/>
          <w:color w:val="000000"/>
        </w:rPr>
        <w:t xml:space="preserve"> </w:t>
      </w:r>
      <w:proofErr w:type="spellStart"/>
      <w:r w:rsidR="001C0628" w:rsidRPr="001C0628">
        <w:rPr>
          <w:rFonts w:ascii="Arial" w:eastAsia="Times New Roman" w:hAnsi="Arial" w:cs="Arial"/>
          <w:b/>
          <w:color w:val="000000"/>
        </w:rPr>
        <w:t>Sutopo</w:t>
      </w:r>
      <w:proofErr w:type="spellEnd"/>
    </w:p>
    <w:p w14:paraId="1BD09672" w14:textId="77777777" w:rsidR="001C0628" w:rsidRPr="001C0628" w:rsidRDefault="001C0628">
      <w:pPr>
        <w:pBdr>
          <w:top w:val="nil"/>
          <w:left w:val="nil"/>
          <w:bottom w:val="single" w:sz="4" w:space="1" w:color="000000"/>
          <w:right w:val="nil"/>
          <w:between w:val="nil"/>
        </w:pBdr>
        <w:spacing w:after="0" w:line="240" w:lineRule="auto"/>
        <w:ind w:left="0" w:hanging="2"/>
        <w:jc w:val="center"/>
        <w:rPr>
          <w:rFonts w:ascii="Arial" w:eastAsia="Arial" w:hAnsi="Arial" w:cs="Arial"/>
          <w:b/>
          <w:color w:val="000000"/>
          <w:szCs w:val="20"/>
        </w:rPr>
      </w:pPr>
    </w:p>
    <w:p w14:paraId="40F89ED8" w14:textId="6663F84C" w:rsidR="001C0628" w:rsidRDefault="00346395" w:rsidP="001C0628">
      <w:pPr>
        <w:pBdr>
          <w:top w:val="nil"/>
          <w:left w:val="nil"/>
          <w:bottom w:val="single" w:sz="4" w:space="1" w:color="000000"/>
          <w:right w:val="nil"/>
          <w:between w:val="nil"/>
        </w:pBdr>
        <w:spacing w:after="0" w:line="240" w:lineRule="auto"/>
        <w:ind w:left="0" w:hanging="2"/>
        <w:jc w:val="center"/>
        <w:rPr>
          <w:rFonts w:ascii="Arial" w:eastAsia="Arial" w:hAnsi="Arial" w:cs="Arial"/>
          <w:color w:val="000000"/>
          <w:sz w:val="18"/>
          <w:szCs w:val="18"/>
        </w:rPr>
      </w:pPr>
      <w:r>
        <w:rPr>
          <w:rFonts w:ascii="Arial" w:eastAsia="Arial" w:hAnsi="Arial" w:cs="Arial"/>
          <w:color w:val="000000"/>
          <w:sz w:val="18"/>
          <w:szCs w:val="18"/>
        </w:rPr>
        <w:t>Industrial Engineering Master’s Degree Program</w:t>
      </w:r>
      <w:r w:rsidR="001C0628">
        <w:rPr>
          <w:rFonts w:ascii="Arial" w:eastAsia="Arial" w:hAnsi="Arial" w:cs="Arial"/>
          <w:color w:val="000000"/>
          <w:sz w:val="18"/>
          <w:szCs w:val="18"/>
        </w:rPr>
        <w:t>, Fa</w:t>
      </w:r>
      <w:r>
        <w:rPr>
          <w:rFonts w:ascii="Arial" w:eastAsia="Arial" w:hAnsi="Arial" w:cs="Arial"/>
          <w:color w:val="000000"/>
          <w:sz w:val="18"/>
          <w:szCs w:val="18"/>
        </w:rPr>
        <w:t>culty of Engineering</w:t>
      </w:r>
      <w:r w:rsidR="001C0628">
        <w:rPr>
          <w:rFonts w:ascii="Arial" w:eastAsia="Arial" w:hAnsi="Arial" w:cs="Arial"/>
          <w:color w:val="000000"/>
          <w:sz w:val="18"/>
          <w:szCs w:val="18"/>
        </w:rPr>
        <w:t xml:space="preserve">, </w:t>
      </w:r>
      <w:proofErr w:type="spellStart"/>
      <w:r w:rsidR="001C0628">
        <w:rPr>
          <w:rFonts w:ascii="Arial" w:eastAsia="Arial" w:hAnsi="Arial" w:cs="Arial"/>
          <w:color w:val="000000"/>
          <w:sz w:val="18"/>
          <w:szCs w:val="18"/>
        </w:rPr>
        <w:t>Universitas</w:t>
      </w:r>
      <w:proofErr w:type="spellEnd"/>
      <w:r w:rsidR="001C0628">
        <w:rPr>
          <w:rFonts w:ascii="Arial" w:eastAsia="Arial" w:hAnsi="Arial" w:cs="Arial"/>
          <w:color w:val="000000"/>
          <w:sz w:val="18"/>
          <w:szCs w:val="18"/>
        </w:rPr>
        <w:t xml:space="preserve"> </w:t>
      </w:r>
      <w:proofErr w:type="spellStart"/>
      <w:r w:rsidR="001C0628">
        <w:rPr>
          <w:rFonts w:ascii="Arial" w:eastAsia="Arial" w:hAnsi="Arial" w:cs="Arial"/>
          <w:color w:val="000000"/>
          <w:sz w:val="18"/>
          <w:szCs w:val="18"/>
        </w:rPr>
        <w:t>Sebelas</w:t>
      </w:r>
      <w:proofErr w:type="spellEnd"/>
      <w:r w:rsidR="001C0628">
        <w:rPr>
          <w:rFonts w:ascii="Arial" w:eastAsia="Arial" w:hAnsi="Arial" w:cs="Arial"/>
          <w:color w:val="000000"/>
          <w:sz w:val="18"/>
          <w:szCs w:val="18"/>
        </w:rPr>
        <w:t xml:space="preserve"> </w:t>
      </w:r>
      <w:proofErr w:type="spellStart"/>
      <w:r w:rsidR="001C0628">
        <w:rPr>
          <w:rFonts w:ascii="Arial" w:eastAsia="Arial" w:hAnsi="Arial" w:cs="Arial"/>
          <w:color w:val="000000"/>
          <w:sz w:val="18"/>
          <w:szCs w:val="18"/>
        </w:rPr>
        <w:t>Maret</w:t>
      </w:r>
      <w:proofErr w:type="spellEnd"/>
      <w:r w:rsidR="001C0628">
        <w:rPr>
          <w:rFonts w:ascii="Arial" w:eastAsia="Arial" w:hAnsi="Arial" w:cs="Arial"/>
          <w:color w:val="000000"/>
          <w:sz w:val="18"/>
          <w:szCs w:val="18"/>
        </w:rPr>
        <w:t>, Surakarta</w:t>
      </w:r>
    </w:p>
    <w:p w14:paraId="3CB7C4AC" w14:textId="6E90CD68" w:rsidR="0050683E" w:rsidRDefault="00514B20">
      <w:pPr>
        <w:pBdr>
          <w:top w:val="nil"/>
          <w:left w:val="nil"/>
          <w:bottom w:val="single" w:sz="4" w:space="1" w:color="000000"/>
          <w:right w:val="nil"/>
          <w:between w:val="nil"/>
        </w:pBdr>
        <w:spacing w:after="0" w:line="240" w:lineRule="auto"/>
        <w:ind w:left="0" w:hanging="2"/>
        <w:jc w:val="center"/>
        <w:rPr>
          <w:rFonts w:ascii="Arial" w:eastAsia="Arial" w:hAnsi="Arial" w:cs="Arial"/>
          <w:color w:val="000000"/>
          <w:sz w:val="18"/>
          <w:szCs w:val="18"/>
        </w:rPr>
      </w:pPr>
      <w:r>
        <w:rPr>
          <w:rFonts w:ascii="Arial" w:eastAsia="Arial" w:hAnsi="Arial" w:cs="Arial"/>
          <w:color w:val="000000"/>
          <w:sz w:val="18"/>
          <w:szCs w:val="18"/>
        </w:rPr>
        <w:t xml:space="preserve">Corresponding author: </w:t>
      </w:r>
      <w:hyperlink r:id="rId9" w:history="1">
        <w:r w:rsidR="00AF758D" w:rsidRPr="000A660A">
          <w:rPr>
            <w:rStyle w:val="Hyperlink"/>
          </w:rPr>
          <w:t>wahyudisutopo@staff.uns.ac.id</w:t>
        </w:r>
      </w:hyperlink>
      <w:r w:rsidR="00AF758D">
        <w:t xml:space="preserve"> </w:t>
      </w:r>
    </w:p>
    <w:p w14:paraId="7100E089" w14:textId="77777777" w:rsidR="0050683E" w:rsidRDefault="0050683E">
      <w:pPr>
        <w:pBdr>
          <w:top w:val="nil"/>
          <w:left w:val="nil"/>
          <w:bottom w:val="single" w:sz="4" w:space="1" w:color="000000"/>
          <w:right w:val="nil"/>
          <w:between w:val="nil"/>
        </w:pBdr>
        <w:spacing w:after="0" w:line="240" w:lineRule="auto"/>
        <w:ind w:left="0" w:hanging="2"/>
        <w:jc w:val="center"/>
        <w:rPr>
          <w:rFonts w:ascii="Arial" w:eastAsia="Arial" w:hAnsi="Arial" w:cs="Arial"/>
          <w:color w:val="000000"/>
          <w:sz w:val="18"/>
          <w:szCs w:val="18"/>
        </w:rPr>
      </w:pPr>
    </w:p>
    <w:p w14:paraId="49B2D0BE" w14:textId="6D1976EC" w:rsidR="0050683E" w:rsidRDefault="00514B20">
      <w:pPr>
        <w:pBdr>
          <w:top w:val="nil"/>
          <w:left w:val="nil"/>
          <w:bottom w:val="single" w:sz="4" w:space="1" w:color="000000"/>
          <w:right w:val="nil"/>
          <w:between w:val="nil"/>
        </w:pBdr>
        <w:spacing w:after="0" w:line="240" w:lineRule="auto"/>
        <w:ind w:left="0" w:hanging="2"/>
        <w:jc w:val="center"/>
        <w:rPr>
          <w:rFonts w:ascii="Arial" w:eastAsia="Arial" w:hAnsi="Arial" w:cs="Arial"/>
          <w:color w:val="000000"/>
          <w:sz w:val="18"/>
          <w:szCs w:val="18"/>
        </w:rPr>
      </w:pPr>
      <w:r>
        <w:rPr>
          <w:rFonts w:ascii="Arial" w:eastAsia="Arial" w:hAnsi="Arial" w:cs="Arial"/>
          <w:color w:val="000000"/>
          <w:sz w:val="18"/>
          <w:szCs w:val="18"/>
        </w:rPr>
        <w:t xml:space="preserve">History: Accepted </w:t>
      </w:r>
      <w:proofErr w:type="spellStart"/>
      <w:r>
        <w:rPr>
          <w:rFonts w:ascii="Arial" w:eastAsia="Arial" w:hAnsi="Arial" w:cs="Arial"/>
          <w:color w:val="000000"/>
          <w:sz w:val="18"/>
          <w:szCs w:val="18"/>
        </w:rPr>
        <w:t>xx</w:t>
      </w:r>
      <w:r>
        <w:rPr>
          <w:rFonts w:ascii="Arial" w:eastAsia="Arial" w:hAnsi="Arial" w:cs="Arial"/>
          <w:color w:val="000000"/>
          <w:sz w:val="18"/>
          <w:szCs w:val="18"/>
          <w:vertAlign w:val="superscript"/>
        </w:rPr>
        <w:t>th</w:t>
      </w:r>
      <w:proofErr w:type="spellEnd"/>
      <w:r>
        <w:rPr>
          <w:rFonts w:ascii="Arial" w:eastAsia="Arial" w:hAnsi="Arial" w:cs="Arial"/>
          <w:color w:val="000000"/>
          <w:sz w:val="18"/>
          <w:szCs w:val="18"/>
        </w:rPr>
        <w:t xml:space="preserve"> month, 20xx; Revision </w:t>
      </w:r>
      <w:proofErr w:type="spellStart"/>
      <w:r>
        <w:rPr>
          <w:rFonts w:ascii="Arial" w:eastAsia="Arial" w:hAnsi="Arial" w:cs="Arial"/>
          <w:color w:val="000000"/>
          <w:sz w:val="18"/>
          <w:szCs w:val="18"/>
        </w:rPr>
        <w:t>xx</w:t>
      </w:r>
      <w:r>
        <w:rPr>
          <w:rFonts w:ascii="Arial" w:eastAsia="Arial" w:hAnsi="Arial" w:cs="Arial"/>
          <w:color w:val="000000"/>
          <w:sz w:val="18"/>
          <w:szCs w:val="18"/>
          <w:vertAlign w:val="superscript"/>
        </w:rPr>
        <w:t>th</w:t>
      </w:r>
      <w:proofErr w:type="spellEnd"/>
      <w:r>
        <w:rPr>
          <w:rFonts w:ascii="Arial" w:eastAsia="Arial" w:hAnsi="Arial" w:cs="Arial"/>
          <w:color w:val="000000"/>
          <w:sz w:val="18"/>
          <w:szCs w:val="18"/>
        </w:rPr>
        <w:t xml:space="preserve"> month, 20xx, Accepted</w:t>
      </w:r>
      <w:r w:rsidR="002715E3">
        <w:rPr>
          <w:rFonts w:ascii="Arial" w:eastAsia="Arial" w:hAnsi="Arial" w:cs="Arial"/>
          <w:color w:val="000000"/>
          <w:sz w:val="18"/>
          <w:szCs w:val="18"/>
        </w:rPr>
        <w:t xml:space="preserve"> </w:t>
      </w:r>
      <w:proofErr w:type="spellStart"/>
      <w:r>
        <w:rPr>
          <w:rFonts w:ascii="Arial" w:eastAsia="Arial" w:hAnsi="Arial" w:cs="Arial"/>
          <w:color w:val="000000"/>
          <w:sz w:val="18"/>
          <w:szCs w:val="18"/>
        </w:rPr>
        <w:t>xx</w:t>
      </w:r>
      <w:r>
        <w:rPr>
          <w:rFonts w:ascii="Arial" w:eastAsia="Arial" w:hAnsi="Arial" w:cs="Arial"/>
          <w:color w:val="000000"/>
          <w:sz w:val="18"/>
          <w:szCs w:val="18"/>
          <w:vertAlign w:val="superscript"/>
        </w:rPr>
        <w:t>th</w:t>
      </w:r>
      <w:proofErr w:type="spellEnd"/>
      <w:r>
        <w:rPr>
          <w:rFonts w:ascii="Arial" w:eastAsia="Arial" w:hAnsi="Arial" w:cs="Arial"/>
          <w:color w:val="000000"/>
          <w:sz w:val="18"/>
          <w:szCs w:val="18"/>
        </w:rPr>
        <w:t xml:space="preserve"> month, 20xx</w:t>
      </w:r>
    </w:p>
    <w:p w14:paraId="6BFEF54B" w14:textId="77777777" w:rsidR="0050683E" w:rsidRDefault="0050683E">
      <w:pPr>
        <w:pBdr>
          <w:top w:val="nil"/>
          <w:left w:val="nil"/>
          <w:bottom w:val="single" w:sz="4" w:space="1" w:color="000000"/>
          <w:right w:val="nil"/>
          <w:between w:val="nil"/>
        </w:pBdr>
        <w:spacing w:after="120" w:line="240" w:lineRule="auto"/>
        <w:ind w:left="0" w:hanging="2"/>
        <w:jc w:val="center"/>
        <w:rPr>
          <w:rFonts w:ascii="Arial" w:eastAsia="Arial" w:hAnsi="Arial" w:cs="Arial"/>
          <w:color w:val="000000"/>
          <w:sz w:val="18"/>
          <w:szCs w:val="18"/>
        </w:rPr>
      </w:pPr>
    </w:p>
    <w:p w14:paraId="16E063CD" w14:textId="15AC742B" w:rsidR="0050683E" w:rsidRDefault="00514B20">
      <w:pPr>
        <w:pBdr>
          <w:top w:val="nil"/>
          <w:left w:val="nil"/>
          <w:bottom w:val="nil"/>
          <w:right w:val="nil"/>
          <w:between w:val="nil"/>
        </w:pBdr>
        <w:spacing w:before="120" w:after="120" w:line="240" w:lineRule="auto"/>
        <w:ind w:left="0" w:hanging="2"/>
        <w:rPr>
          <w:rFonts w:ascii="Arial" w:eastAsia="Arial" w:hAnsi="Arial" w:cs="Arial"/>
          <w:b/>
          <w:color w:val="000000"/>
          <w:szCs w:val="20"/>
        </w:rPr>
      </w:pPr>
      <w:r>
        <w:rPr>
          <w:rFonts w:ascii="Arial" w:eastAsia="Arial" w:hAnsi="Arial" w:cs="Arial"/>
          <w:b/>
          <w:i/>
          <w:color w:val="000000"/>
          <w:szCs w:val="20"/>
        </w:rPr>
        <w:t xml:space="preserve">Abstract. </w:t>
      </w:r>
      <w:proofErr w:type="spellStart"/>
      <w:r w:rsidR="001C0628" w:rsidRPr="001C0628">
        <w:rPr>
          <w:rFonts w:ascii="Arial" w:eastAsia="Arial" w:hAnsi="Arial" w:cs="Arial"/>
          <w:bCs/>
          <w:i/>
          <w:color w:val="000000"/>
          <w:szCs w:val="20"/>
          <w:lang w:val="es-ES"/>
        </w:rPr>
        <w:t>The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usage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of</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advertising</w:t>
      </w:r>
      <w:proofErr w:type="spellEnd"/>
      <w:r w:rsidR="001C0628" w:rsidRPr="001C0628">
        <w:rPr>
          <w:rFonts w:ascii="Arial" w:eastAsia="Arial" w:hAnsi="Arial" w:cs="Arial"/>
          <w:bCs/>
          <w:i/>
          <w:color w:val="000000"/>
          <w:szCs w:val="20"/>
          <w:lang w:val="es-ES"/>
        </w:rPr>
        <w:t xml:space="preserve"> as a </w:t>
      </w:r>
      <w:proofErr w:type="spellStart"/>
      <w:r w:rsidR="001C0628" w:rsidRPr="001C0628">
        <w:rPr>
          <w:rFonts w:ascii="Arial" w:eastAsia="Arial" w:hAnsi="Arial" w:cs="Arial"/>
          <w:bCs/>
          <w:i/>
          <w:color w:val="000000"/>
          <w:szCs w:val="20"/>
          <w:lang w:val="es-ES"/>
        </w:rPr>
        <w:t>medium</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for</w:t>
      </w:r>
      <w:proofErr w:type="spellEnd"/>
      <w:r w:rsidR="001C0628" w:rsidRPr="001C0628">
        <w:rPr>
          <w:rFonts w:ascii="Arial" w:eastAsia="Arial" w:hAnsi="Arial" w:cs="Arial"/>
          <w:bCs/>
          <w:i/>
          <w:color w:val="000000"/>
          <w:szCs w:val="20"/>
          <w:lang w:val="es-ES"/>
        </w:rPr>
        <w:t xml:space="preserve"> marketing </w:t>
      </w:r>
      <w:proofErr w:type="spellStart"/>
      <w:r w:rsidR="001C0628" w:rsidRPr="001C0628">
        <w:rPr>
          <w:rFonts w:ascii="Arial" w:eastAsia="Arial" w:hAnsi="Arial" w:cs="Arial"/>
          <w:bCs/>
          <w:i/>
          <w:color w:val="000000"/>
          <w:szCs w:val="20"/>
          <w:lang w:val="es-ES"/>
        </w:rPr>
        <w:t>products</w:t>
      </w:r>
      <w:proofErr w:type="spellEnd"/>
      <w:r w:rsidR="001C0628" w:rsidRPr="001C0628">
        <w:rPr>
          <w:rFonts w:ascii="Arial" w:eastAsia="Arial" w:hAnsi="Arial" w:cs="Arial"/>
          <w:bCs/>
          <w:i/>
          <w:color w:val="000000"/>
          <w:szCs w:val="20"/>
          <w:lang w:val="es-ES"/>
        </w:rPr>
        <w:t>/</w:t>
      </w:r>
      <w:proofErr w:type="spellStart"/>
      <w:r w:rsidR="001C0628" w:rsidRPr="001C0628">
        <w:rPr>
          <w:rFonts w:ascii="Arial" w:eastAsia="Arial" w:hAnsi="Arial" w:cs="Arial"/>
          <w:bCs/>
          <w:i/>
          <w:color w:val="000000"/>
          <w:szCs w:val="20"/>
          <w:lang w:val="es-ES"/>
        </w:rPr>
        <w:t>services</w:t>
      </w:r>
      <w:proofErr w:type="spellEnd"/>
      <w:r w:rsidR="006221AC">
        <w:rPr>
          <w:rFonts w:ascii="Arial" w:eastAsia="Arial" w:hAnsi="Arial" w:cs="Arial"/>
          <w:bCs/>
          <w:i/>
          <w:color w:val="000000"/>
          <w:szCs w:val="20"/>
          <w:lang w:val="es-ES"/>
        </w:rPr>
        <w:t xml:space="preserve"> </w:t>
      </w:r>
      <w:proofErr w:type="spellStart"/>
      <w:r w:rsidR="00FC4B90">
        <w:rPr>
          <w:rFonts w:ascii="Arial" w:eastAsia="Arial" w:hAnsi="Arial" w:cs="Arial"/>
          <w:bCs/>
          <w:i/>
          <w:color w:val="000000"/>
          <w:szCs w:val="20"/>
          <w:lang w:val="es-ES"/>
        </w:rPr>
        <w:t>is</w:t>
      </w:r>
      <w:proofErr w:type="spellEnd"/>
      <w:r w:rsidR="00FC4B90">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used</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by</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various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businesses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to</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increase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profits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The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advertising</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medium</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m</w:t>
      </w:r>
      <w:r w:rsidR="00FC4B90">
        <w:rPr>
          <w:rFonts w:ascii="Arial" w:eastAsia="Arial" w:hAnsi="Arial" w:cs="Arial"/>
          <w:bCs/>
          <w:i/>
          <w:color w:val="000000"/>
          <w:szCs w:val="20"/>
          <w:lang w:val="es-ES"/>
        </w:rPr>
        <w:t>ain</w:t>
      </w:r>
      <w:r w:rsidR="001C0628" w:rsidRPr="001C0628">
        <w:rPr>
          <w:rFonts w:ascii="Arial" w:eastAsia="Arial" w:hAnsi="Arial" w:cs="Arial"/>
          <w:bCs/>
          <w:i/>
          <w:color w:val="000000"/>
          <w:szCs w:val="20"/>
          <w:lang w:val="es-ES"/>
        </w:rPr>
        <w:t>ly</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used</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is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billboards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which</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still</w:t>
      </w:r>
      <w:proofErr w:type="spellEnd"/>
      <w:r w:rsidR="001C0628" w:rsidRPr="001C0628">
        <w:rPr>
          <w:rFonts w:ascii="Arial" w:eastAsia="Arial" w:hAnsi="Arial" w:cs="Arial"/>
          <w:bCs/>
          <w:i/>
          <w:color w:val="000000"/>
          <w:szCs w:val="20"/>
          <w:lang w:val="es-ES"/>
        </w:rPr>
        <w:t xml:space="preserve"> use </w:t>
      </w:r>
      <w:proofErr w:type="spellStart"/>
      <w:r w:rsidR="001C0628" w:rsidRPr="001C0628">
        <w:rPr>
          <w:rFonts w:ascii="Arial" w:eastAsia="Arial" w:hAnsi="Arial" w:cs="Arial"/>
          <w:bCs/>
          <w:i/>
          <w:color w:val="000000"/>
          <w:szCs w:val="20"/>
          <w:lang w:val="es-ES"/>
        </w:rPr>
        <w:t>fossil</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energy</w:t>
      </w:r>
      <w:proofErr w:type="spellEnd"/>
      <w:r w:rsidR="001C0628" w:rsidRPr="001C0628">
        <w:rPr>
          <w:rFonts w:ascii="Arial" w:eastAsia="Arial" w:hAnsi="Arial" w:cs="Arial"/>
          <w:bCs/>
          <w:i/>
          <w:color w:val="000000"/>
          <w:szCs w:val="20"/>
          <w:lang w:val="es-ES"/>
        </w:rPr>
        <w:t xml:space="preserve"> as </w:t>
      </w:r>
      <w:proofErr w:type="spellStart"/>
      <w:r w:rsidR="001C0628" w:rsidRPr="001C0628">
        <w:rPr>
          <w:rFonts w:ascii="Arial" w:eastAsia="Arial" w:hAnsi="Arial" w:cs="Arial"/>
          <w:bCs/>
          <w:i/>
          <w:color w:val="000000"/>
          <w:szCs w:val="20"/>
          <w:lang w:val="es-ES"/>
        </w:rPr>
        <w:t>an</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energy</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source</w:t>
      </w:r>
      <w:proofErr w:type="spellEnd"/>
      <w:r w:rsidR="001C0628" w:rsidRPr="001C0628">
        <w:rPr>
          <w:rFonts w:ascii="Arial" w:eastAsia="Arial" w:hAnsi="Arial" w:cs="Arial"/>
          <w:bCs/>
          <w:i/>
          <w:color w:val="000000"/>
          <w:szCs w:val="20"/>
          <w:lang w:val="es-ES"/>
        </w:rPr>
        <w:t xml:space="preserve">. </w:t>
      </w:r>
      <w:proofErr w:type="spellStart"/>
      <w:r w:rsidR="00FC4B90">
        <w:rPr>
          <w:rFonts w:ascii="Arial" w:eastAsia="Arial" w:hAnsi="Arial" w:cs="Arial"/>
          <w:bCs/>
          <w:i/>
          <w:color w:val="000000"/>
          <w:szCs w:val="20"/>
          <w:lang w:val="es-ES"/>
        </w:rPr>
        <w:t>The</w:t>
      </w:r>
      <w:proofErr w:type="spellEnd"/>
      <w:r w:rsidR="00FC4B90">
        <w:rPr>
          <w:rFonts w:ascii="Arial" w:eastAsia="Arial" w:hAnsi="Arial" w:cs="Arial"/>
          <w:bCs/>
          <w:i/>
          <w:color w:val="000000"/>
          <w:szCs w:val="20"/>
          <w:lang w:val="es-ES"/>
        </w:rPr>
        <w:t xml:space="preserve"> </w:t>
      </w:r>
      <w:proofErr w:type="spellStart"/>
      <w:r w:rsidR="00FC4B90">
        <w:rPr>
          <w:rFonts w:ascii="Arial" w:eastAsia="Arial" w:hAnsi="Arial" w:cs="Arial"/>
          <w:bCs/>
          <w:i/>
          <w:color w:val="000000"/>
          <w:szCs w:val="20"/>
          <w:lang w:val="es-ES"/>
        </w:rPr>
        <w:t>Indonesian</w:t>
      </w:r>
      <w:proofErr w:type="spellEnd"/>
      <w:r w:rsidR="00FC4B90">
        <w:rPr>
          <w:rFonts w:ascii="Arial" w:eastAsia="Arial" w:hAnsi="Arial" w:cs="Arial"/>
          <w:bCs/>
          <w:i/>
          <w:color w:val="000000"/>
          <w:szCs w:val="20"/>
          <w:lang w:val="es-ES"/>
        </w:rPr>
        <w:t xml:space="preserve"> </w:t>
      </w:r>
      <w:proofErr w:type="spellStart"/>
      <w:r w:rsidR="00FC4B90">
        <w:rPr>
          <w:rFonts w:ascii="Arial" w:eastAsia="Arial" w:hAnsi="Arial" w:cs="Arial"/>
          <w:bCs/>
          <w:i/>
          <w:color w:val="000000"/>
          <w:szCs w:val="20"/>
          <w:lang w:val="es-ES"/>
        </w:rPr>
        <w:t>government's</w:t>
      </w:r>
      <w:proofErr w:type="spellEnd"/>
      <w:r w:rsidR="00FC4B90">
        <w:rPr>
          <w:rFonts w:ascii="Arial" w:eastAsia="Arial" w:hAnsi="Arial" w:cs="Arial"/>
          <w:bCs/>
          <w:i/>
          <w:color w:val="000000"/>
          <w:szCs w:val="20"/>
          <w:lang w:val="es-ES"/>
        </w:rPr>
        <w:t xml:space="preserve"> 2060 Net Zero </w:t>
      </w:r>
      <w:proofErr w:type="spellStart"/>
      <w:r w:rsidR="00FC4B90">
        <w:rPr>
          <w:rFonts w:ascii="Arial" w:eastAsia="Arial" w:hAnsi="Arial" w:cs="Arial"/>
          <w:bCs/>
          <w:i/>
          <w:color w:val="000000"/>
          <w:szCs w:val="20"/>
          <w:lang w:val="es-ES"/>
        </w:rPr>
        <w:t>Emission</w:t>
      </w:r>
      <w:proofErr w:type="spellEnd"/>
      <w:r w:rsidR="00FC4B90">
        <w:rPr>
          <w:rFonts w:ascii="Arial" w:eastAsia="Arial" w:hAnsi="Arial" w:cs="Arial"/>
          <w:bCs/>
          <w:i/>
          <w:color w:val="000000"/>
          <w:szCs w:val="20"/>
          <w:lang w:val="es-ES"/>
        </w:rPr>
        <w:t xml:space="preserve"> </w:t>
      </w:r>
      <w:proofErr w:type="spellStart"/>
      <w:r w:rsidR="00FC4B90">
        <w:rPr>
          <w:rFonts w:ascii="Arial" w:eastAsia="Arial" w:hAnsi="Arial" w:cs="Arial"/>
          <w:bCs/>
          <w:i/>
          <w:color w:val="000000"/>
          <w:szCs w:val="20"/>
          <w:lang w:val="es-ES"/>
        </w:rPr>
        <w:t>Program</w:t>
      </w:r>
      <w:proofErr w:type="spellEnd"/>
      <w:r w:rsidR="00FC4B90">
        <w:rPr>
          <w:rFonts w:ascii="Arial" w:eastAsia="Arial" w:hAnsi="Arial" w:cs="Arial"/>
          <w:bCs/>
          <w:i/>
          <w:color w:val="000000"/>
          <w:szCs w:val="20"/>
          <w:lang w:val="es-ES"/>
        </w:rPr>
        <w:t xml:space="preserve"> </w:t>
      </w:r>
      <w:proofErr w:type="spellStart"/>
      <w:r w:rsidR="00FC4B90">
        <w:rPr>
          <w:rFonts w:ascii="Arial" w:eastAsia="Arial" w:hAnsi="Arial" w:cs="Arial"/>
          <w:bCs/>
          <w:i/>
          <w:color w:val="000000"/>
          <w:szCs w:val="20"/>
          <w:lang w:val="es-ES"/>
        </w:rPr>
        <w:t>promotes</w:t>
      </w:r>
      <w:proofErr w:type="spellEnd"/>
      <w:r w:rsidR="00FC4B90">
        <w:rPr>
          <w:rFonts w:ascii="Arial" w:eastAsia="Arial" w:hAnsi="Arial" w:cs="Arial"/>
          <w:bCs/>
          <w:i/>
          <w:color w:val="000000"/>
          <w:szCs w:val="20"/>
          <w:lang w:val="es-ES"/>
        </w:rPr>
        <w:t xml:space="preserve"> </w:t>
      </w:r>
      <w:proofErr w:type="spellStart"/>
      <w:r w:rsidR="00FC4B90">
        <w:rPr>
          <w:rFonts w:ascii="Arial" w:eastAsia="Arial" w:hAnsi="Arial" w:cs="Arial"/>
          <w:bCs/>
          <w:i/>
          <w:color w:val="000000"/>
          <w:szCs w:val="20"/>
          <w:lang w:val="es-ES"/>
        </w:rPr>
        <w:t>using</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renewable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energy</w:t>
      </w:r>
      <w:proofErr w:type="spellEnd"/>
      <w:r w:rsidR="002202BA">
        <w:rPr>
          <w:rFonts w:ascii="Arial" w:eastAsia="Arial" w:hAnsi="Arial" w:cs="Arial"/>
          <w:bCs/>
          <w:i/>
          <w:color w:val="000000"/>
          <w:szCs w:val="20"/>
          <w:lang w:val="es-ES"/>
        </w:rPr>
        <w:t xml:space="preserve"> </w:t>
      </w:r>
      <w:r w:rsidR="001C0628" w:rsidRPr="001C0628">
        <w:rPr>
          <w:rFonts w:ascii="Arial" w:eastAsia="Arial" w:hAnsi="Arial" w:cs="Arial"/>
          <w:bCs/>
          <w:i/>
          <w:color w:val="000000"/>
          <w:szCs w:val="20"/>
          <w:lang w:val="es-ES"/>
        </w:rPr>
        <w:t>(</w:t>
      </w:r>
      <w:r w:rsidR="009D10AF">
        <w:rPr>
          <w:rFonts w:ascii="Arial" w:eastAsia="Arial" w:hAnsi="Arial" w:cs="Arial"/>
          <w:bCs/>
          <w:i/>
          <w:color w:val="000000"/>
          <w:szCs w:val="20"/>
          <w:lang w:val="es-ES"/>
        </w:rPr>
        <w:t>RE)</w:t>
      </w:r>
      <w:r w:rsidR="001C0628" w:rsidRPr="001C0628">
        <w:rPr>
          <w:rFonts w:ascii="Arial" w:eastAsia="Arial" w:hAnsi="Arial" w:cs="Arial"/>
          <w:bCs/>
          <w:i/>
          <w:color w:val="000000"/>
          <w:szCs w:val="20"/>
          <w:lang w:val="es-ES"/>
        </w:rPr>
        <w:t xml:space="preserve"> as </w:t>
      </w:r>
      <w:proofErr w:type="spellStart"/>
      <w:r w:rsidR="001C0628" w:rsidRPr="001C0628">
        <w:rPr>
          <w:rFonts w:ascii="Arial" w:eastAsia="Arial" w:hAnsi="Arial" w:cs="Arial"/>
          <w:bCs/>
          <w:i/>
          <w:color w:val="000000"/>
          <w:szCs w:val="20"/>
          <w:lang w:val="es-ES"/>
        </w:rPr>
        <w:t>an</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energy</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source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such</w:t>
      </w:r>
      <w:proofErr w:type="spellEnd"/>
      <w:r w:rsidR="001C0628" w:rsidRPr="001C0628">
        <w:rPr>
          <w:rFonts w:ascii="Arial" w:eastAsia="Arial" w:hAnsi="Arial" w:cs="Arial"/>
          <w:bCs/>
          <w:i/>
          <w:color w:val="000000"/>
          <w:szCs w:val="20"/>
          <w:lang w:val="es-ES"/>
        </w:rPr>
        <w:t xml:space="preserve"> as </w:t>
      </w:r>
      <w:proofErr w:type="spellStart"/>
      <w:r w:rsidR="001C0628" w:rsidRPr="001C0628">
        <w:rPr>
          <w:rFonts w:ascii="Arial" w:eastAsia="Arial" w:hAnsi="Arial" w:cs="Arial"/>
          <w:bCs/>
          <w:i/>
          <w:color w:val="000000"/>
          <w:szCs w:val="20"/>
          <w:lang w:val="es-ES"/>
        </w:rPr>
        <w:t>photovoltaic</w:t>
      </w:r>
      <w:proofErr w:type="spellEnd"/>
      <w:r w:rsidR="002202BA">
        <w:rPr>
          <w:rFonts w:ascii="Arial" w:eastAsia="Arial" w:hAnsi="Arial" w:cs="Arial"/>
          <w:bCs/>
          <w:i/>
          <w:color w:val="000000"/>
          <w:szCs w:val="20"/>
          <w:lang w:val="es-ES"/>
        </w:rPr>
        <w:t xml:space="preserve"> </w:t>
      </w:r>
      <w:r w:rsidR="001C0628" w:rsidRPr="001C0628">
        <w:rPr>
          <w:rFonts w:ascii="Arial" w:eastAsia="Arial" w:hAnsi="Arial" w:cs="Arial"/>
          <w:bCs/>
          <w:i/>
          <w:color w:val="000000"/>
          <w:szCs w:val="20"/>
          <w:lang w:val="es-ES"/>
        </w:rPr>
        <w:t xml:space="preserve">(PV) as </w:t>
      </w:r>
      <w:proofErr w:type="spellStart"/>
      <w:r w:rsidR="001C0628" w:rsidRPr="001C0628">
        <w:rPr>
          <w:rFonts w:ascii="Arial" w:eastAsia="Arial" w:hAnsi="Arial" w:cs="Arial"/>
          <w:bCs/>
          <w:i/>
          <w:color w:val="000000"/>
          <w:szCs w:val="20"/>
          <w:lang w:val="es-ES"/>
        </w:rPr>
        <w:t>electrical</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energy</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from</w:t>
      </w:r>
      <w:proofErr w:type="spellEnd"/>
      <w:r w:rsidR="001C0628" w:rsidRPr="001C0628">
        <w:rPr>
          <w:rFonts w:ascii="Arial" w:eastAsia="Arial" w:hAnsi="Arial" w:cs="Arial"/>
          <w:bCs/>
          <w:i/>
          <w:color w:val="000000"/>
          <w:szCs w:val="20"/>
          <w:lang w:val="es-ES"/>
        </w:rPr>
        <w:t xml:space="preserve"> solar </w:t>
      </w:r>
      <w:proofErr w:type="spellStart"/>
      <w:r w:rsidR="001C0628" w:rsidRPr="001C0628">
        <w:rPr>
          <w:rFonts w:ascii="Arial" w:eastAsia="Arial" w:hAnsi="Arial" w:cs="Arial"/>
          <w:bCs/>
          <w:i/>
          <w:color w:val="000000"/>
          <w:szCs w:val="20"/>
          <w:lang w:val="es-ES"/>
        </w:rPr>
        <w:t>heat</w:t>
      </w:r>
      <w:proofErr w:type="spellEnd"/>
      <w:r w:rsidR="001C0628" w:rsidRPr="001C0628">
        <w:rPr>
          <w:rFonts w:ascii="Arial" w:eastAsia="Arial" w:hAnsi="Arial" w:cs="Arial"/>
          <w:bCs/>
          <w:i/>
          <w:color w:val="000000"/>
          <w:szCs w:val="20"/>
          <w:lang w:val="es-ES"/>
        </w:rPr>
        <w:t xml:space="preserve">. As </w:t>
      </w:r>
      <w:proofErr w:type="spellStart"/>
      <w:r w:rsidR="001C0628" w:rsidRPr="001C0628">
        <w:rPr>
          <w:rFonts w:ascii="Arial" w:eastAsia="Arial" w:hAnsi="Arial" w:cs="Arial"/>
          <w:bCs/>
          <w:i/>
          <w:color w:val="000000"/>
          <w:szCs w:val="20"/>
          <w:lang w:val="es-ES"/>
        </w:rPr>
        <w:t>with</w:t>
      </w:r>
      <w:proofErr w:type="spellEnd"/>
      <w:r w:rsidR="001C0628" w:rsidRPr="001C0628">
        <w:rPr>
          <w:rFonts w:ascii="Arial" w:eastAsia="Arial" w:hAnsi="Arial" w:cs="Arial"/>
          <w:bCs/>
          <w:i/>
          <w:color w:val="000000"/>
          <w:szCs w:val="20"/>
          <w:lang w:val="es-ES"/>
        </w:rPr>
        <w:t xml:space="preserve"> </w:t>
      </w:r>
      <w:r w:rsidR="009D10AF">
        <w:rPr>
          <w:rFonts w:ascii="Arial" w:eastAsia="Arial" w:hAnsi="Arial" w:cs="Arial"/>
          <w:bCs/>
          <w:i/>
          <w:color w:val="000000"/>
          <w:szCs w:val="20"/>
          <w:lang w:val="es-ES"/>
        </w:rPr>
        <w:t>RE</w:t>
      </w:r>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the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development</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of</w:t>
      </w:r>
      <w:proofErr w:type="spellEnd"/>
      <w:r w:rsidR="001C0628" w:rsidRPr="001C0628">
        <w:rPr>
          <w:rFonts w:ascii="Arial" w:eastAsia="Arial" w:hAnsi="Arial" w:cs="Arial"/>
          <w:bCs/>
          <w:i/>
          <w:color w:val="000000"/>
          <w:szCs w:val="20"/>
          <w:lang w:val="es-ES"/>
        </w:rPr>
        <w:t xml:space="preserve"> PV </w:t>
      </w:r>
      <w:proofErr w:type="spellStart"/>
      <w:r w:rsidR="001C0628" w:rsidRPr="001C0628">
        <w:rPr>
          <w:rFonts w:ascii="Arial" w:eastAsia="Arial" w:hAnsi="Arial" w:cs="Arial"/>
          <w:bCs/>
          <w:i/>
          <w:color w:val="000000"/>
          <w:szCs w:val="20"/>
          <w:lang w:val="es-ES"/>
        </w:rPr>
        <w:t>still</w:t>
      </w:r>
      <w:proofErr w:type="spellEnd"/>
      <w:r w:rsidR="001C0628" w:rsidRPr="001C0628">
        <w:rPr>
          <w:rFonts w:ascii="Arial" w:eastAsia="Arial" w:hAnsi="Arial" w:cs="Arial"/>
          <w:bCs/>
          <w:i/>
          <w:color w:val="000000"/>
          <w:szCs w:val="20"/>
          <w:lang w:val="es-ES"/>
        </w:rPr>
        <w:t xml:space="preserve"> has </w:t>
      </w:r>
      <w:proofErr w:type="spellStart"/>
      <w:r w:rsidR="001C0628" w:rsidRPr="001C0628">
        <w:rPr>
          <w:rFonts w:ascii="Arial" w:eastAsia="Arial" w:hAnsi="Arial" w:cs="Arial"/>
          <w:bCs/>
          <w:i/>
          <w:color w:val="000000"/>
          <w:szCs w:val="20"/>
          <w:lang w:val="es-ES"/>
        </w:rPr>
        <w:t>problems</w:t>
      </w:r>
      <w:proofErr w:type="spellEnd"/>
      <w:r w:rsidR="001C0628" w:rsidRPr="001C0628">
        <w:rPr>
          <w:rFonts w:ascii="Arial" w:eastAsia="Arial" w:hAnsi="Arial" w:cs="Arial"/>
          <w:bCs/>
          <w:i/>
          <w:color w:val="000000"/>
          <w:szCs w:val="20"/>
          <w:lang w:val="es-ES"/>
        </w:rPr>
        <w:t xml:space="preserve"> in </w:t>
      </w:r>
      <w:proofErr w:type="spellStart"/>
      <w:r w:rsidR="001C0628" w:rsidRPr="001C0628">
        <w:rPr>
          <w:rFonts w:ascii="Arial" w:eastAsia="Arial" w:hAnsi="Arial" w:cs="Arial"/>
          <w:bCs/>
          <w:i/>
          <w:color w:val="000000"/>
          <w:szCs w:val="20"/>
          <w:lang w:val="es-ES"/>
        </w:rPr>
        <w:t>products</w:t>
      </w:r>
      <w:proofErr w:type="spellEnd"/>
      <w:r w:rsidR="001C0628" w:rsidRPr="001C0628">
        <w:rPr>
          <w:rFonts w:ascii="Arial" w:eastAsia="Arial" w:hAnsi="Arial" w:cs="Arial"/>
          <w:bCs/>
          <w:i/>
          <w:color w:val="000000"/>
          <w:szCs w:val="20"/>
          <w:lang w:val="es-ES"/>
        </w:rPr>
        <w:t xml:space="preserve"> and </w:t>
      </w:r>
      <w:proofErr w:type="spellStart"/>
      <w:r w:rsidR="001C0628" w:rsidRPr="001C0628">
        <w:rPr>
          <w:rFonts w:ascii="Arial" w:eastAsia="Arial" w:hAnsi="Arial" w:cs="Arial"/>
          <w:bCs/>
          <w:i/>
          <w:color w:val="000000"/>
          <w:szCs w:val="20"/>
          <w:lang w:val="es-ES"/>
        </w:rPr>
        <w:t>business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but</w:t>
      </w:r>
      <w:proofErr w:type="spellEnd"/>
      <w:r w:rsidR="001C0628" w:rsidRPr="001C0628">
        <w:rPr>
          <w:rFonts w:ascii="Arial" w:eastAsia="Arial" w:hAnsi="Arial" w:cs="Arial"/>
          <w:bCs/>
          <w:i/>
          <w:color w:val="000000"/>
          <w:szCs w:val="20"/>
          <w:lang w:val="es-ES"/>
        </w:rPr>
        <w:t xml:space="preserve"> PV </w:t>
      </w:r>
      <w:proofErr w:type="spellStart"/>
      <w:r w:rsidR="006221AC">
        <w:rPr>
          <w:rFonts w:ascii="Arial" w:eastAsia="Arial" w:hAnsi="Arial" w:cs="Arial"/>
          <w:bCs/>
          <w:i/>
          <w:color w:val="000000"/>
          <w:szCs w:val="20"/>
          <w:lang w:val="es-ES"/>
        </w:rPr>
        <w:t>is</w:t>
      </w:r>
      <w:proofErr w:type="spellEnd"/>
      <w:r w:rsidR="006221AC">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ready</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to</w:t>
      </w:r>
      <w:proofErr w:type="spellEnd"/>
      <w:r w:rsidR="001C0628" w:rsidRPr="001C0628">
        <w:rPr>
          <w:rFonts w:ascii="Arial" w:eastAsia="Arial" w:hAnsi="Arial" w:cs="Arial"/>
          <w:bCs/>
          <w:i/>
          <w:color w:val="000000"/>
          <w:szCs w:val="20"/>
          <w:lang w:val="es-ES"/>
        </w:rPr>
        <w:t xml:space="preserve"> be </w:t>
      </w:r>
      <w:proofErr w:type="spellStart"/>
      <w:r w:rsidR="001C0628" w:rsidRPr="001C0628">
        <w:rPr>
          <w:rFonts w:ascii="Arial" w:eastAsia="Arial" w:hAnsi="Arial" w:cs="Arial"/>
          <w:bCs/>
          <w:i/>
          <w:color w:val="000000"/>
          <w:szCs w:val="20"/>
          <w:lang w:val="es-ES"/>
        </w:rPr>
        <w:t>used</w:t>
      </w:r>
      <w:proofErr w:type="spellEnd"/>
      <w:r w:rsidR="001C0628" w:rsidRPr="001C0628">
        <w:rPr>
          <w:rFonts w:ascii="Arial" w:eastAsia="Arial" w:hAnsi="Arial" w:cs="Arial"/>
          <w:bCs/>
          <w:i/>
          <w:color w:val="000000"/>
          <w:szCs w:val="20"/>
          <w:lang w:val="es-ES"/>
        </w:rPr>
        <w:t xml:space="preserve"> as </w:t>
      </w:r>
      <w:proofErr w:type="spellStart"/>
      <w:r w:rsidR="001C0628" w:rsidRPr="001C0628">
        <w:rPr>
          <w:rFonts w:ascii="Arial" w:eastAsia="Arial" w:hAnsi="Arial" w:cs="Arial"/>
          <w:bCs/>
          <w:i/>
          <w:color w:val="000000"/>
          <w:szCs w:val="20"/>
          <w:lang w:val="es-ES"/>
        </w:rPr>
        <w:t>an</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energy</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source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to</w:t>
      </w:r>
      <w:proofErr w:type="spellEnd"/>
      <w:r w:rsidR="001C0628" w:rsidRPr="001C0628">
        <w:rPr>
          <w:rFonts w:ascii="Arial" w:eastAsia="Arial" w:hAnsi="Arial" w:cs="Arial"/>
          <w:bCs/>
          <w:i/>
          <w:color w:val="000000"/>
          <w:szCs w:val="20"/>
          <w:lang w:val="es-ES"/>
        </w:rPr>
        <w:t xml:space="preserve"> reduce </w:t>
      </w:r>
      <w:proofErr w:type="spellStart"/>
      <w:r w:rsidR="001C0628" w:rsidRPr="001C0628">
        <w:rPr>
          <w:rFonts w:ascii="Arial" w:eastAsia="Arial" w:hAnsi="Arial" w:cs="Arial"/>
          <w:bCs/>
          <w:i/>
          <w:color w:val="000000"/>
          <w:szCs w:val="20"/>
          <w:lang w:val="es-ES"/>
        </w:rPr>
        <w:t>electricity</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bill</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costs</w:t>
      </w:r>
      <w:proofErr w:type="spellEnd"/>
      <w:r w:rsidR="001C0628" w:rsidRPr="001C0628">
        <w:rPr>
          <w:rFonts w:ascii="Arial" w:eastAsia="Arial" w:hAnsi="Arial" w:cs="Arial"/>
          <w:bCs/>
          <w:i/>
          <w:color w:val="000000"/>
          <w:szCs w:val="20"/>
          <w:lang w:val="es-ES"/>
        </w:rPr>
        <w:t xml:space="preserve">. </w:t>
      </w:r>
      <w:proofErr w:type="spellStart"/>
      <w:r w:rsidR="006221AC">
        <w:rPr>
          <w:rFonts w:ascii="Arial" w:eastAsia="Arial" w:hAnsi="Arial" w:cs="Arial"/>
          <w:bCs/>
          <w:i/>
          <w:color w:val="000000"/>
          <w:szCs w:val="20"/>
          <w:lang w:val="es-ES"/>
        </w:rPr>
        <w:t>The</w:t>
      </w:r>
      <w:proofErr w:type="spellEnd"/>
      <w:r w:rsidR="006221AC">
        <w:rPr>
          <w:rFonts w:ascii="Arial" w:eastAsia="Arial" w:hAnsi="Arial" w:cs="Arial"/>
          <w:bCs/>
          <w:i/>
          <w:color w:val="000000"/>
          <w:szCs w:val="20"/>
          <w:lang w:val="es-ES"/>
        </w:rPr>
        <w:t xml:space="preserve"> </w:t>
      </w:r>
      <w:proofErr w:type="spellStart"/>
      <w:r w:rsidR="006221AC">
        <w:rPr>
          <w:rFonts w:ascii="Arial" w:eastAsia="Arial" w:hAnsi="Arial" w:cs="Arial"/>
          <w:bCs/>
          <w:i/>
          <w:color w:val="000000"/>
          <w:szCs w:val="20"/>
          <w:lang w:val="es-ES"/>
        </w:rPr>
        <w:t>b</w:t>
      </w:r>
      <w:r w:rsidR="001C0628" w:rsidRPr="001C0628">
        <w:rPr>
          <w:rFonts w:ascii="Arial" w:eastAsia="Arial" w:hAnsi="Arial" w:cs="Arial"/>
          <w:bCs/>
          <w:i/>
          <w:color w:val="000000"/>
          <w:szCs w:val="20"/>
          <w:lang w:val="es-ES"/>
        </w:rPr>
        <w:t>usiness</w:t>
      </w:r>
      <w:proofErr w:type="spellEnd"/>
      <w:r w:rsidR="001C0628" w:rsidRPr="001C0628">
        <w:rPr>
          <w:rFonts w:ascii="Arial" w:eastAsia="Arial" w:hAnsi="Arial" w:cs="Arial"/>
          <w:bCs/>
          <w:i/>
          <w:color w:val="000000"/>
          <w:szCs w:val="20"/>
          <w:lang w:val="es-ES"/>
        </w:rPr>
        <w:t xml:space="preserve"> idea </w:t>
      </w:r>
      <w:proofErr w:type="spellStart"/>
      <w:r w:rsidR="001C0628" w:rsidRPr="001C0628">
        <w:rPr>
          <w:rFonts w:ascii="Arial" w:eastAsia="Arial" w:hAnsi="Arial" w:cs="Arial"/>
          <w:bCs/>
          <w:i/>
          <w:color w:val="000000"/>
          <w:szCs w:val="20"/>
          <w:lang w:val="es-ES"/>
        </w:rPr>
        <w:t>of</w:t>
      </w:r>
      <w:proofErr w:type="spellEnd"/>
      <w:r w:rsidR="001C0628" w:rsidRPr="001C0628">
        <w:rPr>
          <w:rFonts w:ascii="Arial" w:eastAsia="Arial" w:hAnsi="Arial" w:cs="Arial"/>
          <w:bCs/>
          <w:i/>
          <w:color w:val="000000"/>
          <w:szCs w:val="20"/>
          <w:lang w:val="es-ES"/>
        </w:rPr>
        <w:t xml:space="preserve"> PV </w:t>
      </w:r>
      <w:proofErr w:type="spellStart"/>
      <w:r w:rsidR="001C0628" w:rsidRPr="001C0628">
        <w:rPr>
          <w:rFonts w:ascii="Arial" w:eastAsia="Arial" w:hAnsi="Arial" w:cs="Arial"/>
          <w:bCs/>
          <w:i/>
          <w:color w:val="000000"/>
          <w:szCs w:val="20"/>
          <w:lang w:val="es-ES"/>
        </w:rPr>
        <w:t>installation</w:t>
      </w:r>
      <w:proofErr w:type="spellEnd"/>
      <w:r w:rsidR="001C0628" w:rsidRPr="001C0628">
        <w:rPr>
          <w:rFonts w:ascii="Arial" w:eastAsia="Arial" w:hAnsi="Arial" w:cs="Arial"/>
          <w:bCs/>
          <w:i/>
          <w:color w:val="000000"/>
          <w:szCs w:val="20"/>
          <w:lang w:val="es-ES"/>
        </w:rPr>
        <w:t xml:space="preserve"> in </w:t>
      </w:r>
      <w:proofErr w:type="spellStart"/>
      <w:r w:rsidR="001C0628" w:rsidRPr="001C0628">
        <w:rPr>
          <w:rFonts w:ascii="Arial" w:eastAsia="Arial" w:hAnsi="Arial" w:cs="Arial"/>
          <w:bCs/>
          <w:i/>
          <w:color w:val="000000"/>
          <w:szCs w:val="20"/>
          <w:lang w:val="es-ES"/>
        </w:rPr>
        <w:t>the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advertising</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company</w:t>
      </w:r>
      <w:proofErr w:type="spellEnd"/>
      <w:r w:rsidR="001C0628" w:rsidRPr="001C0628">
        <w:rPr>
          <w:rFonts w:ascii="Arial" w:eastAsia="Arial" w:hAnsi="Arial" w:cs="Arial"/>
          <w:bCs/>
          <w:i/>
          <w:color w:val="000000"/>
          <w:szCs w:val="20"/>
          <w:lang w:val="es-ES"/>
        </w:rPr>
        <w:t xml:space="preserve"> sector emerged </w:t>
      </w:r>
      <w:proofErr w:type="spellStart"/>
      <w:r w:rsidR="001C0628" w:rsidRPr="001C0628">
        <w:rPr>
          <w:rFonts w:ascii="Arial" w:eastAsia="Arial" w:hAnsi="Arial" w:cs="Arial"/>
          <w:bCs/>
          <w:i/>
          <w:color w:val="000000"/>
          <w:szCs w:val="20"/>
          <w:lang w:val="es-ES"/>
        </w:rPr>
        <w:t>to</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support</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the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government</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program</w:t>
      </w:r>
      <w:proofErr w:type="spellEnd"/>
      <w:r w:rsidR="001C0628" w:rsidRPr="001C0628">
        <w:rPr>
          <w:rFonts w:ascii="Arial" w:eastAsia="Arial" w:hAnsi="Arial" w:cs="Arial"/>
          <w:bCs/>
          <w:i/>
          <w:color w:val="000000"/>
          <w:szCs w:val="20"/>
          <w:lang w:val="es-ES"/>
        </w:rPr>
        <w:t xml:space="preserve"> Net Zero </w:t>
      </w:r>
      <w:proofErr w:type="spellStart"/>
      <w:r w:rsidR="001C0628" w:rsidRPr="001C0628">
        <w:rPr>
          <w:rFonts w:ascii="Arial" w:eastAsia="Arial" w:hAnsi="Arial" w:cs="Arial"/>
          <w:bCs/>
          <w:i/>
          <w:color w:val="000000"/>
          <w:szCs w:val="20"/>
          <w:lang w:val="es-ES"/>
        </w:rPr>
        <w:t>Emission</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making</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advertising</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companies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green</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jobs</w:t>
      </w:r>
      <w:proofErr w:type="spellEnd"/>
      <w:r w:rsidR="001C0628" w:rsidRPr="001C0628">
        <w:rPr>
          <w:rFonts w:ascii="Arial" w:eastAsia="Arial" w:hAnsi="Arial" w:cs="Arial"/>
          <w:bCs/>
          <w:i/>
          <w:color w:val="000000"/>
          <w:szCs w:val="20"/>
          <w:lang w:val="es-ES"/>
        </w:rPr>
        <w:t xml:space="preserve">" and </w:t>
      </w:r>
      <w:proofErr w:type="spellStart"/>
      <w:r w:rsidR="001C0628" w:rsidRPr="001C0628">
        <w:rPr>
          <w:rFonts w:ascii="Arial" w:eastAsia="Arial" w:hAnsi="Arial" w:cs="Arial"/>
          <w:bCs/>
          <w:i/>
          <w:color w:val="000000"/>
          <w:szCs w:val="20"/>
          <w:lang w:val="es-ES"/>
        </w:rPr>
        <w:t>absorbing</w:t>
      </w:r>
      <w:proofErr w:type="spellEnd"/>
      <w:r w:rsidR="001C0628" w:rsidRPr="001C0628">
        <w:rPr>
          <w:rFonts w:ascii="Arial" w:eastAsia="Arial" w:hAnsi="Arial" w:cs="Arial"/>
          <w:bCs/>
          <w:i/>
          <w:color w:val="000000"/>
          <w:szCs w:val="20"/>
          <w:lang w:val="es-ES"/>
        </w:rPr>
        <w:t xml:space="preserve"> human </w:t>
      </w:r>
      <w:proofErr w:type="spellStart"/>
      <w:r w:rsidR="001C0628" w:rsidRPr="001C0628">
        <w:rPr>
          <w:rFonts w:ascii="Arial" w:eastAsia="Arial" w:hAnsi="Arial" w:cs="Arial"/>
          <w:bCs/>
          <w:i/>
          <w:color w:val="000000"/>
          <w:szCs w:val="20"/>
          <w:lang w:val="es-ES"/>
        </w:rPr>
        <w:t>resources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from</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vocational</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schools</w:t>
      </w:r>
      <w:proofErr w:type="spellEnd"/>
      <w:r w:rsidR="001C0628" w:rsidRPr="001C0628">
        <w:rPr>
          <w:rFonts w:ascii="Arial" w:eastAsia="Arial" w:hAnsi="Arial" w:cs="Arial"/>
          <w:bCs/>
          <w:i/>
          <w:color w:val="000000"/>
          <w:szCs w:val="20"/>
          <w:lang w:val="es-ES"/>
        </w:rPr>
        <w:t xml:space="preserve">. Business conceptual </w:t>
      </w:r>
      <w:proofErr w:type="spellStart"/>
      <w:r w:rsidR="001C0628" w:rsidRPr="001C0628">
        <w:rPr>
          <w:rFonts w:ascii="Arial" w:eastAsia="Arial" w:hAnsi="Arial" w:cs="Arial"/>
          <w:bCs/>
          <w:i/>
          <w:color w:val="000000"/>
          <w:szCs w:val="20"/>
          <w:lang w:val="es-ES"/>
        </w:rPr>
        <w:t>design</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with</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value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chains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business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model</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canvas</w:t>
      </w:r>
      <w:proofErr w:type="spellEnd"/>
      <w:r w:rsidR="001C0628" w:rsidRPr="001C0628">
        <w:rPr>
          <w:rFonts w:ascii="Arial" w:eastAsia="Arial" w:hAnsi="Arial" w:cs="Arial"/>
          <w:bCs/>
          <w:i/>
          <w:color w:val="000000"/>
          <w:szCs w:val="20"/>
          <w:lang w:val="es-ES"/>
        </w:rPr>
        <w:t xml:space="preserve">, and lean </w:t>
      </w:r>
      <w:proofErr w:type="spellStart"/>
      <w:r w:rsidR="001C0628" w:rsidRPr="001C0628">
        <w:rPr>
          <w:rFonts w:ascii="Arial" w:eastAsia="Arial" w:hAnsi="Arial" w:cs="Arial"/>
          <w:bCs/>
          <w:i/>
          <w:color w:val="000000"/>
          <w:szCs w:val="20"/>
          <w:lang w:val="es-ES"/>
        </w:rPr>
        <w:t>canvas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expected</w:t>
      </w:r>
      <w:proofErr w:type="spellEnd"/>
      <w:r w:rsidR="001C0628" w:rsidRPr="001C0628">
        <w:rPr>
          <w:rFonts w:ascii="Arial" w:eastAsia="Arial" w:hAnsi="Arial" w:cs="Arial"/>
          <w:bCs/>
          <w:i/>
          <w:color w:val="000000"/>
          <w:szCs w:val="20"/>
          <w:lang w:val="es-ES"/>
        </w:rPr>
        <w:t xml:space="preserve"> can </w:t>
      </w:r>
      <w:proofErr w:type="spellStart"/>
      <w:r w:rsidR="001C0628" w:rsidRPr="001C0628">
        <w:rPr>
          <w:rFonts w:ascii="Arial" w:eastAsia="Arial" w:hAnsi="Arial" w:cs="Arial"/>
          <w:bCs/>
          <w:i/>
          <w:color w:val="000000"/>
          <w:szCs w:val="20"/>
          <w:lang w:val="es-ES"/>
        </w:rPr>
        <w:t>provide</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an</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overview</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of</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business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opportunities</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with</w:t>
      </w:r>
      <w:proofErr w:type="spellEnd"/>
      <w:r w:rsidR="001C0628" w:rsidRPr="001C0628">
        <w:rPr>
          <w:rFonts w:ascii="Arial" w:eastAsia="Arial" w:hAnsi="Arial" w:cs="Arial"/>
          <w:bCs/>
          <w:i/>
          <w:color w:val="000000"/>
          <w:szCs w:val="20"/>
          <w:lang w:val="es-ES"/>
        </w:rPr>
        <w:t xml:space="preserve"> EBT </w:t>
      </w:r>
      <w:proofErr w:type="spellStart"/>
      <w:r w:rsidR="001C0628" w:rsidRPr="001C0628">
        <w:rPr>
          <w:rFonts w:ascii="Arial" w:eastAsia="Arial" w:hAnsi="Arial" w:cs="Arial"/>
          <w:bCs/>
          <w:i/>
          <w:color w:val="000000"/>
          <w:szCs w:val="20"/>
          <w:lang w:val="es-ES"/>
        </w:rPr>
        <w:t>for</w:t>
      </w:r>
      <w:proofErr w:type="spellEnd"/>
      <w:r w:rsidR="001C0628" w:rsidRPr="001C0628">
        <w:rPr>
          <w:rFonts w:ascii="Arial" w:eastAsia="Arial" w:hAnsi="Arial" w:cs="Arial"/>
          <w:bCs/>
          <w:i/>
          <w:color w:val="000000"/>
          <w:szCs w:val="20"/>
          <w:lang w:val="es-ES"/>
        </w:rPr>
        <w:t xml:space="preserve"> Indonesia </w:t>
      </w:r>
      <w:proofErr w:type="spellStart"/>
      <w:r w:rsidR="001C0628" w:rsidRPr="001C0628">
        <w:rPr>
          <w:rFonts w:ascii="Arial" w:eastAsia="Arial" w:hAnsi="Arial" w:cs="Arial"/>
          <w:bCs/>
          <w:i/>
          <w:color w:val="000000"/>
          <w:szCs w:val="20"/>
          <w:lang w:val="es-ES"/>
        </w:rPr>
        <w:t>that</w:t>
      </w:r>
      <w:proofErr w:type="spellEnd"/>
      <w:r w:rsidR="001C0628" w:rsidRPr="001C0628">
        <w:rPr>
          <w:rFonts w:ascii="Arial" w:eastAsia="Arial" w:hAnsi="Arial" w:cs="Arial"/>
          <w:bCs/>
          <w:i/>
          <w:color w:val="000000"/>
          <w:szCs w:val="20"/>
          <w:lang w:val="es-ES"/>
        </w:rPr>
        <w:t xml:space="preserve"> are </w:t>
      </w:r>
      <w:proofErr w:type="spellStart"/>
      <w:r w:rsidR="001C0628" w:rsidRPr="001C0628">
        <w:rPr>
          <w:rFonts w:ascii="Arial" w:eastAsia="Arial" w:hAnsi="Arial" w:cs="Arial"/>
          <w:bCs/>
          <w:i/>
          <w:color w:val="000000"/>
          <w:szCs w:val="20"/>
          <w:lang w:val="es-ES"/>
        </w:rPr>
        <w:t>environmentally</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friendly</w:t>
      </w:r>
      <w:proofErr w:type="spellEnd"/>
      <w:r w:rsidR="001C0628" w:rsidRPr="001C0628">
        <w:rPr>
          <w:rFonts w:ascii="Arial" w:eastAsia="Arial" w:hAnsi="Arial" w:cs="Arial"/>
          <w:bCs/>
          <w:i/>
          <w:color w:val="000000"/>
          <w:szCs w:val="20"/>
          <w:lang w:val="es-ES"/>
        </w:rPr>
        <w:t xml:space="preserve"> and </w:t>
      </w:r>
      <w:proofErr w:type="spellStart"/>
      <w:r w:rsidR="001C0628" w:rsidRPr="001C0628">
        <w:rPr>
          <w:rFonts w:ascii="Arial" w:eastAsia="Arial" w:hAnsi="Arial" w:cs="Arial"/>
          <w:bCs/>
          <w:i/>
          <w:color w:val="000000"/>
          <w:szCs w:val="20"/>
          <w:lang w:val="es-ES"/>
        </w:rPr>
        <w:t>energy</w:t>
      </w:r>
      <w:proofErr w:type="spellEnd"/>
      <w:r w:rsidR="001C0628" w:rsidRPr="001C0628">
        <w:rPr>
          <w:rFonts w:ascii="Arial" w:eastAsia="Arial" w:hAnsi="Arial" w:cs="Arial"/>
          <w:bCs/>
          <w:i/>
          <w:color w:val="000000"/>
          <w:szCs w:val="20"/>
          <w:lang w:val="es-ES"/>
        </w:rPr>
        <w:t xml:space="preserve"> </w:t>
      </w:r>
      <w:proofErr w:type="spellStart"/>
      <w:r w:rsidR="001C0628" w:rsidRPr="001C0628">
        <w:rPr>
          <w:rFonts w:ascii="Arial" w:eastAsia="Arial" w:hAnsi="Arial" w:cs="Arial"/>
          <w:bCs/>
          <w:i/>
          <w:color w:val="000000"/>
          <w:szCs w:val="20"/>
          <w:lang w:val="es-ES"/>
        </w:rPr>
        <w:t>independent</w:t>
      </w:r>
      <w:proofErr w:type="spellEnd"/>
      <w:r w:rsidR="001C0628" w:rsidRPr="001C0628">
        <w:rPr>
          <w:rFonts w:ascii="Arial" w:eastAsia="Arial" w:hAnsi="Arial" w:cs="Arial"/>
          <w:bCs/>
          <w:i/>
          <w:color w:val="000000"/>
          <w:szCs w:val="20"/>
          <w:lang w:val="es-ES"/>
        </w:rPr>
        <w:t>.</w:t>
      </w:r>
      <w:r>
        <w:rPr>
          <w:rFonts w:ascii="Arial" w:eastAsia="Arial" w:hAnsi="Arial" w:cs="Arial"/>
          <w:i/>
          <w:color w:val="000000"/>
          <w:szCs w:val="20"/>
        </w:rPr>
        <w:t xml:space="preserve"> </w:t>
      </w:r>
    </w:p>
    <w:p w14:paraId="396164E6" w14:textId="5F4A602F" w:rsidR="0050683E" w:rsidRDefault="00514B20">
      <w:pPr>
        <w:pBdr>
          <w:top w:val="nil"/>
          <w:left w:val="nil"/>
          <w:bottom w:val="single" w:sz="4" w:space="1" w:color="000000"/>
          <w:right w:val="nil"/>
          <w:between w:val="nil"/>
        </w:pBdr>
        <w:spacing w:after="240"/>
        <w:ind w:left="0" w:hanging="2"/>
        <w:rPr>
          <w:rFonts w:ascii="Arial" w:eastAsia="Arial" w:hAnsi="Arial" w:cs="Arial"/>
          <w:i/>
          <w:color w:val="000000"/>
          <w:szCs w:val="20"/>
        </w:rPr>
      </w:pPr>
      <w:r>
        <w:rPr>
          <w:rFonts w:ascii="Arial" w:eastAsia="Arial" w:hAnsi="Arial" w:cs="Arial"/>
          <w:i/>
          <w:color w:val="000000"/>
          <w:szCs w:val="20"/>
        </w:rPr>
        <w:t xml:space="preserve">Keywords: </w:t>
      </w:r>
      <w:r w:rsidR="00B902B3" w:rsidRPr="001C0628">
        <w:rPr>
          <w:rFonts w:ascii="Arial" w:eastAsia="Arial" w:hAnsi="Arial" w:cs="Arial"/>
          <w:i/>
          <w:iCs/>
          <w:color w:val="000000"/>
          <w:szCs w:val="20"/>
        </w:rPr>
        <w:t xml:space="preserve">Billboard, </w:t>
      </w:r>
      <w:proofErr w:type="spellStart"/>
      <w:r w:rsidR="00B902B3" w:rsidRPr="001C0628">
        <w:rPr>
          <w:rFonts w:ascii="Arial" w:eastAsia="Arial" w:hAnsi="Arial" w:cs="Arial"/>
          <w:i/>
          <w:iCs/>
          <w:color w:val="000000"/>
          <w:szCs w:val="20"/>
        </w:rPr>
        <w:t>Bussiness</w:t>
      </w:r>
      <w:proofErr w:type="spellEnd"/>
      <w:r w:rsidR="00B902B3" w:rsidRPr="001C0628">
        <w:rPr>
          <w:rFonts w:ascii="Arial" w:eastAsia="Arial" w:hAnsi="Arial" w:cs="Arial"/>
          <w:i/>
          <w:iCs/>
          <w:color w:val="000000"/>
          <w:szCs w:val="20"/>
        </w:rPr>
        <w:t xml:space="preserve"> Model Canvas, Lean Canvas, Photovoltaic, Value Chain</w:t>
      </w:r>
      <w:r w:rsidRPr="001C0628">
        <w:rPr>
          <w:rFonts w:ascii="Arial" w:eastAsia="Arial" w:hAnsi="Arial" w:cs="Arial"/>
          <w:i/>
          <w:iCs/>
          <w:color w:val="000000"/>
          <w:szCs w:val="20"/>
        </w:rPr>
        <w:t>.</w:t>
      </w:r>
    </w:p>
    <w:p w14:paraId="68689296" w14:textId="7020FAAF" w:rsidR="0050683E" w:rsidRDefault="00AF1F6F" w:rsidP="00FC4B90">
      <w:pPr>
        <w:pStyle w:val="Heading1"/>
        <w:spacing w:before="120"/>
        <w:ind w:hanging="2"/>
        <w:rPr>
          <w:rFonts w:ascii="Arial" w:eastAsia="Arial" w:hAnsi="Arial" w:cs="Arial"/>
          <w:sz w:val="22"/>
          <w:szCs w:val="22"/>
        </w:rPr>
      </w:pPr>
      <w:r>
        <w:rPr>
          <w:rFonts w:ascii="Arial" w:eastAsia="Arial" w:hAnsi="Arial" w:cs="Arial"/>
          <w:sz w:val="22"/>
          <w:szCs w:val="22"/>
        </w:rPr>
        <w:t>Introduction</w:t>
      </w:r>
    </w:p>
    <w:p w14:paraId="425D1097" w14:textId="6CC7CEB1" w:rsidR="001C0628" w:rsidRDefault="00074700" w:rsidP="00585502">
      <w:pPr>
        <w:pBdr>
          <w:top w:val="nil"/>
          <w:left w:val="nil"/>
          <w:bottom w:val="nil"/>
          <w:right w:val="nil"/>
          <w:between w:val="nil"/>
        </w:pBdr>
        <w:spacing w:after="0" w:line="264" w:lineRule="auto"/>
        <w:ind w:left="0" w:hanging="2"/>
        <w:rPr>
          <w:rFonts w:ascii="Arial" w:eastAsia="Times New Roman" w:hAnsi="Arial" w:cs="Arial"/>
          <w:color w:val="000000"/>
          <w:szCs w:val="20"/>
        </w:rPr>
      </w:pPr>
      <w:r w:rsidRPr="00074700">
        <w:rPr>
          <w:rFonts w:ascii="Arial" w:eastAsia="Times New Roman" w:hAnsi="Arial" w:cs="Arial"/>
          <w:color w:val="000000"/>
          <w:szCs w:val="20"/>
        </w:rPr>
        <w:t>Outdoor advertising such as billboards</w:t>
      </w:r>
      <w:r w:rsidR="00FC4B90">
        <w:rPr>
          <w:rFonts w:ascii="Arial" w:eastAsia="Times New Roman" w:hAnsi="Arial" w:cs="Arial"/>
          <w:color w:val="000000"/>
          <w:szCs w:val="20"/>
        </w:rPr>
        <w:t>,</w:t>
      </w:r>
      <w:r w:rsidRPr="00074700">
        <w:rPr>
          <w:rFonts w:ascii="Arial" w:eastAsia="Times New Roman" w:hAnsi="Arial" w:cs="Arial"/>
          <w:color w:val="000000"/>
          <w:szCs w:val="20"/>
        </w:rPr>
        <w:t xml:space="preserve"> is widely used as a marketing tool for promoting products or services by various companies to enhance their brand reputation. Companies utilizing outdoor advertising encompass various sectors and levels, including small and medium-sized enterprise</w:t>
      </w:r>
      <w:r>
        <w:rPr>
          <w:rFonts w:ascii="Arial" w:eastAsia="Times New Roman" w:hAnsi="Arial" w:cs="Arial"/>
          <w:color w:val="000000"/>
          <w:szCs w:val="20"/>
        </w:rPr>
        <w:t>s</w:t>
      </w:r>
      <w:r w:rsidR="00585502" w:rsidRPr="00585502">
        <w:rPr>
          <w:rFonts w:ascii="Arial" w:eastAsia="Times New Roman" w:hAnsi="Arial" w:cs="Arial"/>
          <w:color w:val="000000"/>
          <w:szCs w:val="20"/>
        </w:rPr>
        <w:t xml:space="preserve"> </w:t>
      </w:r>
      <w:r w:rsidR="00AD7C21">
        <w:rPr>
          <w:rFonts w:ascii="Arial" w:eastAsia="Times New Roman" w:hAnsi="Arial" w:cs="Arial"/>
          <w:color w:val="000000"/>
          <w:szCs w:val="20"/>
        </w:rPr>
        <w:fldChar w:fldCharType="begin" w:fldLock="1"/>
      </w:r>
      <w:r w:rsidR="00AD7C21">
        <w:rPr>
          <w:rFonts w:ascii="Arial" w:eastAsia="Times New Roman" w:hAnsi="Arial" w:cs="Arial"/>
          <w:color w:val="000000"/>
          <w:szCs w:val="20"/>
        </w:rPr>
        <w:instrText>ADDIN CSL_CITATION {"citationItems":[{"id":"ITEM-1","itemData":{"author":[{"dropping-particle":"","family":"Osadolor","given":"A O","non-dropping-particle":"","parse-names":false,"suffix":""},{"dropping-particle":"","family":"Olagbegi","given":"P","non-dropping-particle":"","parse-names":false,"suffix":""},{"dropping-particle":"","family":"Osifo","given":"T I","non-dropping-particle":"","parse-names":false,"suffix":""}],"container-title":"Advances in Engineering Design Technology","id":"ITEM-1","issue":"3","issued":{"date-parts":[["2022"]]},"page":"1-8","title":"Design and Implementation of a Solar Powered Three Phase Automatic Mini Billboard","type":"article-journal","volume":"4"},"uris":["http://www.mendeley.com/documents/?uuid=50299b6f-97c4-42ed-a0bc-c2d27a240b6b"]}],"mendeley":{"formattedCitation":"(Osadolor et al., 2022)","plainTextFormattedCitation":"(Osadolor et al., 2022)","previouslyFormattedCitation":"(Osadolor et al., 2022)"},"properties":{"noteIndex":0},"schema":"https://github.com/citation-style-language/schema/raw/master/csl-citation.json"}</w:instrText>
      </w:r>
      <w:r w:rsidR="00AD7C21">
        <w:rPr>
          <w:rFonts w:ascii="Arial" w:eastAsia="Times New Roman" w:hAnsi="Arial" w:cs="Arial"/>
          <w:color w:val="000000"/>
          <w:szCs w:val="20"/>
        </w:rPr>
        <w:fldChar w:fldCharType="separate"/>
      </w:r>
      <w:r w:rsidR="00AD7C21" w:rsidRPr="00AD7C21">
        <w:rPr>
          <w:rFonts w:ascii="Arial" w:eastAsia="Times New Roman" w:hAnsi="Arial" w:cs="Arial"/>
          <w:noProof/>
          <w:color w:val="000000"/>
          <w:szCs w:val="20"/>
        </w:rPr>
        <w:t>(Osadolor et al., 2022)</w:t>
      </w:r>
      <w:r w:rsidR="00AD7C21">
        <w:rPr>
          <w:rFonts w:ascii="Arial" w:eastAsia="Times New Roman" w:hAnsi="Arial" w:cs="Arial"/>
          <w:color w:val="000000"/>
          <w:szCs w:val="20"/>
        </w:rPr>
        <w:fldChar w:fldCharType="end"/>
      </w:r>
      <w:r w:rsidR="00AD7C21">
        <w:rPr>
          <w:rFonts w:ascii="Arial" w:eastAsia="Times New Roman" w:hAnsi="Arial" w:cs="Arial"/>
          <w:color w:val="000000"/>
          <w:szCs w:val="20"/>
        </w:rPr>
        <w:t xml:space="preserve">. </w:t>
      </w:r>
      <w:r w:rsidR="00FC4B90">
        <w:rPr>
          <w:rFonts w:ascii="Arial" w:eastAsia="Times New Roman" w:hAnsi="Arial" w:cs="Arial"/>
          <w:color w:val="000000"/>
          <w:szCs w:val="20"/>
        </w:rPr>
        <w:t>Using</w:t>
      </w:r>
      <w:r w:rsidRPr="00074700">
        <w:rPr>
          <w:rFonts w:ascii="Arial" w:eastAsia="Times New Roman" w:hAnsi="Arial" w:cs="Arial"/>
          <w:color w:val="000000"/>
          <w:szCs w:val="20"/>
        </w:rPr>
        <w:t xml:space="preserve"> electricity as a resource for billboards, primarily for lighting, is still prevalent in an era when renewable energy has become commonplace in the electrical grid. Renewable energy (RE) implementation in Indonesia is part of efforts to reduce greenhouse gas emissions in the energy sector. Indonesia holds significant RE potential, with around 3000 gigawatts of potential energy and 24 gigawatts of geothermal energy potential. The substantial geothermal energy potential has motivated Indonesia to establish a Net Zero Emission target by 2060.</w:t>
      </w:r>
    </w:p>
    <w:p w14:paraId="0C372BF2" w14:textId="77777777" w:rsidR="00074700" w:rsidRPr="00585502" w:rsidRDefault="00074700" w:rsidP="00585502">
      <w:pPr>
        <w:pBdr>
          <w:top w:val="nil"/>
          <w:left w:val="nil"/>
          <w:bottom w:val="nil"/>
          <w:right w:val="nil"/>
          <w:between w:val="nil"/>
        </w:pBdr>
        <w:spacing w:after="0" w:line="264" w:lineRule="auto"/>
        <w:ind w:left="0" w:hanging="2"/>
        <w:rPr>
          <w:rFonts w:ascii="Arial" w:eastAsia="Times New Roman" w:hAnsi="Arial" w:cs="Arial"/>
          <w:color w:val="000000"/>
          <w:szCs w:val="20"/>
        </w:rPr>
      </w:pPr>
    </w:p>
    <w:p w14:paraId="24558A98" w14:textId="077FE25E" w:rsidR="00585502" w:rsidRDefault="00074700" w:rsidP="00585502">
      <w:pPr>
        <w:pBdr>
          <w:top w:val="nil"/>
          <w:left w:val="nil"/>
          <w:bottom w:val="nil"/>
          <w:right w:val="nil"/>
          <w:between w:val="nil"/>
        </w:pBdr>
        <w:spacing w:after="0" w:line="264" w:lineRule="auto"/>
        <w:ind w:left="0" w:hanging="2"/>
        <w:rPr>
          <w:rFonts w:ascii="Arial" w:eastAsia="Times New Roman" w:hAnsi="Arial" w:cs="Arial"/>
          <w:color w:val="000000"/>
          <w:szCs w:val="20"/>
          <w:lang w:val="en-ID"/>
        </w:rPr>
      </w:pPr>
      <w:r w:rsidRPr="00074700">
        <w:rPr>
          <w:rFonts w:ascii="Arial" w:eastAsia="Times New Roman" w:hAnsi="Arial" w:cs="Arial"/>
          <w:color w:val="000000"/>
          <w:szCs w:val="20"/>
        </w:rPr>
        <w:t>The abundant geothermal energy in Indonesia is harnessed as solar energy, with one of its products being Photovoltaic (PV). PV is a product that has emerged due to Market Pull or Demand Pull as a necessity of RE</w:t>
      </w:r>
      <w:r>
        <w:rPr>
          <w:rFonts w:ascii="Arial" w:eastAsia="Times New Roman" w:hAnsi="Arial" w:cs="Arial"/>
          <w:color w:val="000000"/>
          <w:szCs w:val="20"/>
        </w:rPr>
        <w:t xml:space="preserve"> </w:t>
      </w:r>
      <w:r w:rsidR="00AD7C21">
        <w:rPr>
          <w:rFonts w:ascii="Arial" w:eastAsia="Times New Roman" w:hAnsi="Arial" w:cs="Arial"/>
          <w:color w:val="000000"/>
          <w:szCs w:val="20"/>
        </w:rPr>
        <w:fldChar w:fldCharType="begin" w:fldLock="1"/>
      </w:r>
      <w:r w:rsidR="00AD7C21">
        <w:rPr>
          <w:rFonts w:ascii="Arial" w:eastAsia="Times New Roman" w:hAnsi="Arial" w:cs="Arial"/>
          <w:color w:val="000000"/>
          <w:szCs w:val="20"/>
        </w:rPr>
        <w:instrText>ADDIN CSL_CITATION {"citationItems":[{"id":"ITEM-1","itemData":{"DOI":"10.1109/TEM.2018.2833878","ISSN":"00189391","abstract":"Researchers have debated the relative importance of technology push and demand pull policies in the adoption of environmental technologies. Here, we examine how internationally distributed technology push and demand pull policies interact to support the diffusion of a renewable energy technology. We analyze 40 years (1974-2013) of solar photovoltaic policies in three countries: USA, Germany, and China. We identify four phases of international policy interactions: in Phase 1 (1974-1990), the USA launched technology push policies; in Phase 2 (1991-2003), Germany pioneered demand pull policies; in Phase 3 (2004-2008), China responded to international market incentive programs with a scaling up of manufacturing; and in Phase 4 (2008-2013), Germany reduced whereas China increased demand policies. Our contributions are threefold: First, we demonstrate the importance of 'manufacturing push' alongside the standard technology push and demand pull factors; second, we show how global adoption was spurred by the complementarity of policy efforts across national boundaries, while considering the tradeoffs in climate change policy between increasing global environmental welfare and improving national economic development; third, we demonstrate three generic patterns of cross-national policy complementarity.","author":[{"dropping-particle":"","family":"Hansen","given":"Erik G.","non-dropping-particle":"","parse-names":false,"suffix":""},{"dropping-particle":"","family":"Lüdeke-Freund","given":"Florian","non-dropping-particle":"","parse-names":false,"suffix":""},{"dropping-particle":"","family":"Quan","given":"Xiaohong Iris","non-dropping-particle":"","parse-names":false,"suffix":""},{"dropping-particle":"","family":"West","given":"Joel","non-dropping-particle":"","parse-names":false,"suffix":""}],"container-title":"IEEE Transactions on Engineering Management","id":"ITEM-1","issue":"3","issued":{"date-parts":[["2019"]]},"page":"381-397","title":"Cross-National Complementarity of Technology Push, Demand Pull, and Manufacturing Push Policies: The Case of Photovoltaics","type":"article-journal","volume":"66"},"uris":["http://www.mendeley.com/documents/?uuid=a4073d9d-25d5-4d2f-88e5-e1b7fe4e0491"]}],"mendeley":{"formattedCitation":"(Hansen et al., 2019)","plainTextFormattedCitation":"(Hansen et al., 2019)","previouslyFormattedCitation":"(Hansen et al., 2019)"},"properties":{"noteIndex":0},"schema":"https://github.com/citation-style-language/schema/raw/master/csl-citation.json"}</w:instrText>
      </w:r>
      <w:r w:rsidR="00AD7C21">
        <w:rPr>
          <w:rFonts w:ascii="Arial" w:eastAsia="Times New Roman" w:hAnsi="Arial" w:cs="Arial"/>
          <w:color w:val="000000"/>
          <w:szCs w:val="20"/>
        </w:rPr>
        <w:fldChar w:fldCharType="separate"/>
      </w:r>
      <w:r w:rsidR="00AD7C21" w:rsidRPr="00AD7C21">
        <w:rPr>
          <w:rFonts w:ascii="Arial" w:eastAsia="Times New Roman" w:hAnsi="Arial" w:cs="Arial"/>
          <w:noProof/>
          <w:color w:val="000000"/>
          <w:szCs w:val="20"/>
        </w:rPr>
        <w:t>(Hansen et al., 2019)</w:t>
      </w:r>
      <w:r w:rsidR="00AD7C21">
        <w:rPr>
          <w:rFonts w:ascii="Arial" w:eastAsia="Times New Roman" w:hAnsi="Arial" w:cs="Arial"/>
          <w:color w:val="000000"/>
          <w:szCs w:val="20"/>
        </w:rPr>
        <w:fldChar w:fldCharType="end"/>
      </w:r>
      <w:r w:rsidR="00585502" w:rsidRPr="00585502">
        <w:rPr>
          <w:rFonts w:ascii="Arial" w:eastAsia="Times New Roman" w:hAnsi="Arial" w:cs="Arial"/>
          <w:color w:val="000000"/>
          <w:szCs w:val="20"/>
        </w:rPr>
        <w:t xml:space="preserve">. </w:t>
      </w:r>
      <w:r w:rsidRPr="00074700">
        <w:rPr>
          <w:rFonts w:ascii="Arial" w:eastAsia="Times New Roman" w:hAnsi="Arial" w:cs="Arial"/>
          <w:color w:val="000000"/>
          <w:szCs w:val="20"/>
        </w:rPr>
        <w:t>PV products are also influenced to some extent by Technology Push during the early research phase</w:t>
      </w:r>
      <w:r>
        <w:rPr>
          <w:rFonts w:ascii="Arial" w:eastAsia="Times New Roman" w:hAnsi="Arial" w:cs="Arial"/>
          <w:color w:val="000000"/>
          <w:szCs w:val="20"/>
        </w:rPr>
        <w:t xml:space="preserve"> </w:t>
      </w:r>
      <w:r w:rsidR="00AD7C21">
        <w:rPr>
          <w:rFonts w:ascii="Arial" w:eastAsia="Times New Roman" w:hAnsi="Arial" w:cs="Arial"/>
          <w:color w:val="000000"/>
          <w:szCs w:val="20"/>
        </w:rPr>
        <w:fldChar w:fldCharType="begin" w:fldLock="1"/>
      </w:r>
      <w:r w:rsidR="00AD7C21">
        <w:rPr>
          <w:rFonts w:ascii="Arial" w:eastAsia="Times New Roman" w:hAnsi="Arial" w:cs="Arial"/>
          <w:color w:val="000000"/>
          <w:szCs w:val="20"/>
        </w:rPr>
        <w:instrText>ADDIN CSL_CITATION {"citationItems":[{"id":"ITEM-1","itemData":{"DOI":"10.1109/TEM.2018.2833878","ISSN":"00189391","abstract":"Researchers have debated the relative importance of technology push and demand pull policies in the adoption of environmental technologies. Here, we examine how internationally distributed technology push and demand pull policies interact to support the diffusion of a renewable energy technology. We analyze 40 years (1974-2013) of solar photovoltaic policies in three countries: USA, Germany, and China. We identify four phases of international policy interactions: in Phase 1 (1974-1990), the USA launched technology push policies; in Phase 2 (1991-2003), Germany pioneered demand pull policies; in Phase 3 (2004-2008), China responded to international market incentive programs with a scaling up of manufacturing; and in Phase 4 (2008-2013), Germany reduced whereas China increased demand policies. Our contributions are threefold: First, we demonstrate the importance of 'manufacturing push' alongside the standard technology push and demand pull factors; second, we show how global adoption was spurred by the complementarity of policy efforts across national boundaries, while considering the tradeoffs in climate change policy between increasing global environmental welfare and improving national economic development; third, we demonstrate three generic patterns of cross-national policy complementarity.","author":[{"dropping-particle":"","family":"Hansen","given":"Erik G.","non-dropping-particle":"","parse-names":false,"suffix":""},{"dropping-particle":"","family":"Lüdeke-Freund","given":"Florian","non-dropping-particle":"","parse-names":false,"suffix":""},{"dropping-particle":"","family":"Quan","given":"Xiaohong Iris","non-dropping-particle":"","parse-names":false,"suffix":""},{"dropping-particle":"","family":"West","given":"Joel","non-dropping-particle":"","parse-names":false,"suffix":""}],"container-title":"IEEE Transactions on Engineering Management","id":"ITEM-1","issue":"3","issued":{"date-parts":[["2019"]]},"page":"381-397","title":"Cross-National Complementarity of Technology Push, Demand Pull, and Manufacturing Push Policies: The Case of Photovoltaics","type":"article-journal","volume":"66"},"uris":["http://www.mendeley.com/documents/?uuid=a4073d9d-25d5-4d2f-88e5-e1b7fe4e0491"]}],"mendeley":{"formattedCitation":"(Hansen et al., 2019)","plainTextFormattedCitation":"(Hansen et al., 2019)","previouslyFormattedCitation":"(Hansen et al., 2019)"},"properties":{"noteIndex":0},"schema":"https://github.com/citation-style-language/schema/raw/master/csl-citation.json"}</w:instrText>
      </w:r>
      <w:r w:rsidR="00AD7C21">
        <w:rPr>
          <w:rFonts w:ascii="Arial" w:eastAsia="Times New Roman" w:hAnsi="Arial" w:cs="Arial"/>
          <w:color w:val="000000"/>
          <w:szCs w:val="20"/>
        </w:rPr>
        <w:fldChar w:fldCharType="separate"/>
      </w:r>
      <w:r w:rsidR="00AD7C21" w:rsidRPr="00AD7C21">
        <w:rPr>
          <w:rFonts w:ascii="Arial" w:eastAsia="Times New Roman" w:hAnsi="Arial" w:cs="Arial"/>
          <w:noProof/>
          <w:color w:val="000000"/>
          <w:szCs w:val="20"/>
        </w:rPr>
        <w:t>(Hansen et al., 2019)</w:t>
      </w:r>
      <w:r w:rsidR="00AD7C21">
        <w:rPr>
          <w:rFonts w:ascii="Arial" w:eastAsia="Times New Roman" w:hAnsi="Arial" w:cs="Arial"/>
          <w:color w:val="000000"/>
          <w:szCs w:val="20"/>
        </w:rPr>
        <w:fldChar w:fldCharType="end"/>
      </w:r>
      <w:r w:rsidR="00585502" w:rsidRPr="00585502">
        <w:rPr>
          <w:rFonts w:ascii="Arial" w:eastAsia="Times New Roman" w:hAnsi="Arial" w:cs="Arial"/>
          <w:color w:val="000000"/>
          <w:szCs w:val="20"/>
        </w:rPr>
        <w:t xml:space="preserve">. </w:t>
      </w:r>
      <w:r w:rsidRPr="00074700">
        <w:rPr>
          <w:rFonts w:ascii="Arial" w:eastAsia="Times New Roman" w:hAnsi="Arial" w:cs="Arial"/>
          <w:color w:val="000000"/>
          <w:szCs w:val="20"/>
        </w:rPr>
        <w:t xml:space="preserve">PV products, </w:t>
      </w:r>
      <w:r w:rsidR="00FC4B90">
        <w:rPr>
          <w:rFonts w:ascii="Arial" w:eastAsia="Times New Roman" w:hAnsi="Arial" w:cs="Arial"/>
          <w:color w:val="000000"/>
          <w:szCs w:val="20"/>
        </w:rPr>
        <w:t xml:space="preserve">such </w:t>
      </w:r>
      <w:r w:rsidRPr="00074700">
        <w:rPr>
          <w:rFonts w:ascii="Arial" w:eastAsia="Times New Roman" w:hAnsi="Arial" w:cs="Arial"/>
          <w:color w:val="000000"/>
          <w:szCs w:val="20"/>
        </w:rPr>
        <w:t>as RE, can be utilized by billboard companies to reduce electricity consumption for their lighting, supporting Indonesia's steps toward Net Zero Emissions. In addition to being influenced by Technology Push, Supply Chain performance accelerates the introduction of PV products to the market. Rapid marketing with minimal investment is a component that aids successful product innovation in the market. Research is conducted to intervene in both aspects to develop effective methods, system designs, and approaches, such as technology transfer office (TTO) methods. TTO is used to shorten the time a product enters the market and minimize costs required through early supply chain engineering</w:t>
      </w:r>
      <w:r w:rsidR="00585502" w:rsidRPr="00585502">
        <w:rPr>
          <w:rFonts w:ascii="Arial" w:eastAsia="Times New Roman" w:hAnsi="Arial" w:cs="Arial"/>
          <w:color w:val="000000"/>
          <w:szCs w:val="20"/>
          <w:lang w:val="en-ID"/>
        </w:rPr>
        <w:t xml:space="preserve"> </w:t>
      </w:r>
      <w:r w:rsidR="00AD7C21">
        <w:rPr>
          <w:rFonts w:ascii="Arial" w:eastAsia="Times New Roman" w:hAnsi="Arial" w:cs="Arial"/>
          <w:color w:val="000000"/>
          <w:szCs w:val="20"/>
          <w:lang w:val="en-ID"/>
        </w:rPr>
        <w:fldChar w:fldCharType="begin" w:fldLock="1"/>
      </w:r>
      <w:r w:rsidR="003503F7">
        <w:rPr>
          <w:rFonts w:ascii="Arial" w:eastAsia="Times New Roman" w:hAnsi="Arial" w:cs="Arial"/>
          <w:color w:val="000000"/>
          <w:szCs w:val="20"/>
          <w:lang w:val="en-ID"/>
        </w:rPr>
        <w:instrText>ADDIN CSL_CITATION {"citationItems":[{"id":"ITEM-1","itemData":{"DOI":"10.3390/asi5010021","ISSN":"25715577","abstract":"The purpose of this research is to develop a model for measuring the efficiency of the TTO incubation process performance to accelerate the commercialization of research results in universi-ties. The method of analyzing the efficiency used in this research is the Data Envelopment Analysis (DEA) method based on Banker, Charnes, and Cooper (BCC), which is output-oriented. The soft-ware used in analyzing the efficiency of TTO performance is MaxDEA 8. The output of this research is a mathematical model tool for measuring the efficiency of TTO performance by DEA, which con-sidered 17 parameters and proposed recommendations for TTO performance strategies. The limita-tion of this research is the object of research in one university that has succeeded in the commercialization of research. This research implies that the performance efficiency measurement model is an alternative predictive way to increase the acceleration of commercialization. The practical implica-tions of this research are that it can evaluate performance or inefficient strategies in the incubation process of higher education research results to the Technology Transfer Office (TTO). This research also provides recommendations on strengthening the TTO function that can be used as a reference for improving performance at universities. This research measures the level of performance evaluation of TTO in the incubation process, which refers to the Death Valley framework. This incubation process is the main process accelerating the commercialization of research results in universities.","author":[{"dropping-particle":"","family":"Sutopo","given":"Wahyudi","non-dropping-particle":"","parse-names":false,"suffix":""},{"dropping-particle":"","family":"Khofiyah","given":"Nida An","non-dropping-particle":"","parse-names":false,"suffix":""},{"dropping-particle":"","family":"Hisjam","given":"Muhammad","non-dropping-particle":"","parse-names":false,"suffix":""},{"dropping-particle":"","family":"Ma’aram","given":"Azanizawati","non-dropping-particle":"","parse-names":false,"suffix":""}],"container-title":"Applied System Innovation","id":"ITEM-1","issue":"1","issued":{"date-parts":[["2022"]]},"title":"Performance Efficiency Measurement Model Development of a Technology Transfer Office (TTO) to Accelerate Technology Commercialization in Universities","type":"article-journal","volume":"5"},"uris":["http://www.mendeley.com/documents/?uuid=e2cd6a5b-9afc-4d27-9dff-0fb58126904c"]}],"mendeley":{"formattedCitation":"(Sutopo et al., 2022)","plainTextFormattedCitation":"(Sutopo et al., 2022)","previouslyFormattedCitation":"(Sutopo et al., 2022)"},"properties":{"noteIndex":0},"schema":"https://github.com/citation-style-language/schema/raw/master/csl-citation.json"}</w:instrText>
      </w:r>
      <w:r w:rsidR="00AD7C21">
        <w:rPr>
          <w:rFonts w:ascii="Arial" w:eastAsia="Times New Roman" w:hAnsi="Arial" w:cs="Arial"/>
          <w:color w:val="000000"/>
          <w:szCs w:val="20"/>
          <w:lang w:val="en-ID"/>
        </w:rPr>
        <w:fldChar w:fldCharType="separate"/>
      </w:r>
      <w:r w:rsidR="00AD7C21" w:rsidRPr="00AD7C21">
        <w:rPr>
          <w:rFonts w:ascii="Arial" w:eastAsia="Times New Roman" w:hAnsi="Arial" w:cs="Arial"/>
          <w:noProof/>
          <w:color w:val="000000"/>
          <w:szCs w:val="20"/>
          <w:lang w:val="en-ID"/>
        </w:rPr>
        <w:t>(Sutopo et al., 2022)</w:t>
      </w:r>
      <w:r w:rsidR="00AD7C21">
        <w:rPr>
          <w:rFonts w:ascii="Arial" w:eastAsia="Times New Roman" w:hAnsi="Arial" w:cs="Arial"/>
          <w:color w:val="000000"/>
          <w:szCs w:val="20"/>
          <w:lang w:val="en-ID"/>
        </w:rPr>
        <w:fldChar w:fldCharType="end"/>
      </w:r>
      <w:r w:rsidR="008B19C5">
        <w:rPr>
          <w:rFonts w:ascii="Arial" w:eastAsia="Times New Roman" w:hAnsi="Arial" w:cs="Arial"/>
          <w:color w:val="000000"/>
          <w:szCs w:val="20"/>
          <w:lang w:val="en-ID"/>
        </w:rPr>
        <w:t xml:space="preserve">. </w:t>
      </w:r>
      <w:r w:rsidR="008B19C5" w:rsidRPr="008B19C5">
        <w:rPr>
          <w:rFonts w:ascii="Arial" w:eastAsia="Times New Roman" w:hAnsi="Arial" w:cs="Arial"/>
          <w:color w:val="000000"/>
          <w:szCs w:val="20"/>
          <w:lang w:val="en-ID"/>
        </w:rPr>
        <w:t xml:space="preserve">In designing this engineering, challenges in product development and innovation, technological innovation challenges, process challenges, and business challenges for the future </w:t>
      </w:r>
      <w:r w:rsidR="00FC4B90">
        <w:rPr>
          <w:rFonts w:ascii="Arial" w:eastAsia="Times New Roman" w:hAnsi="Arial" w:cs="Arial"/>
          <w:color w:val="000000"/>
          <w:szCs w:val="20"/>
          <w:lang w:val="en-ID"/>
        </w:rPr>
        <w:t>must</w:t>
      </w:r>
      <w:r w:rsidR="008B19C5" w:rsidRPr="008B19C5">
        <w:rPr>
          <w:rFonts w:ascii="Arial" w:eastAsia="Times New Roman" w:hAnsi="Arial" w:cs="Arial"/>
          <w:color w:val="000000"/>
          <w:szCs w:val="20"/>
          <w:lang w:val="en-ID"/>
        </w:rPr>
        <w:t xml:space="preserve"> be considered.</w:t>
      </w:r>
    </w:p>
    <w:p w14:paraId="26C13088" w14:textId="5C6F9284" w:rsidR="00802E6A" w:rsidRDefault="00802E6A" w:rsidP="00585502">
      <w:pPr>
        <w:pBdr>
          <w:top w:val="nil"/>
          <w:left w:val="nil"/>
          <w:bottom w:val="nil"/>
          <w:right w:val="nil"/>
          <w:between w:val="nil"/>
        </w:pBdr>
        <w:spacing w:after="0" w:line="264" w:lineRule="auto"/>
        <w:ind w:left="0" w:hanging="2"/>
        <w:rPr>
          <w:rFonts w:ascii="Arial" w:eastAsia="Times New Roman" w:hAnsi="Arial" w:cs="Arial"/>
          <w:color w:val="000000"/>
          <w:szCs w:val="20"/>
        </w:rPr>
      </w:pPr>
    </w:p>
    <w:p w14:paraId="15E061AC" w14:textId="14D98065" w:rsidR="00C76C98" w:rsidRDefault="008B19C5" w:rsidP="00A818BF">
      <w:pPr>
        <w:pBdr>
          <w:top w:val="nil"/>
          <w:left w:val="nil"/>
          <w:bottom w:val="nil"/>
          <w:right w:val="nil"/>
          <w:between w:val="nil"/>
        </w:pBdr>
        <w:spacing w:after="0" w:line="264" w:lineRule="auto"/>
        <w:ind w:left="0" w:hanging="2"/>
        <w:rPr>
          <w:rFonts w:ascii="Arial" w:eastAsia="Times New Roman" w:hAnsi="Arial" w:cs="Arial"/>
          <w:color w:val="000000"/>
          <w:szCs w:val="20"/>
          <w:lang w:val="en-ID"/>
        </w:rPr>
      </w:pPr>
      <w:r w:rsidRPr="008B19C5">
        <w:rPr>
          <w:rFonts w:ascii="Arial" w:eastAsia="Times New Roman" w:hAnsi="Arial" w:cs="Arial"/>
          <w:color w:val="000000"/>
          <w:szCs w:val="20"/>
          <w:lang w:val="en-ID"/>
        </w:rPr>
        <w:t xml:space="preserve">The implementation of solar energy and PV faces challenges related to the necessary standardization of products, while negotiations on other aspects have progressed </w:t>
      </w:r>
      <w:r w:rsidR="00032DBD">
        <w:rPr>
          <w:rFonts w:ascii="Arial" w:eastAsia="Times New Roman" w:hAnsi="Arial" w:cs="Arial"/>
          <w:color w:val="000000"/>
          <w:szCs w:val="20"/>
          <w:lang w:val="en-ID"/>
        </w:rPr>
        <w:fldChar w:fldCharType="begin" w:fldLock="1"/>
      </w:r>
      <w:r w:rsidR="00042A77">
        <w:rPr>
          <w:rFonts w:ascii="Arial" w:eastAsia="Times New Roman" w:hAnsi="Arial" w:cs="Arial"/>
          <w:color w:val="000000"/>
          <w:szCs w:val="20"/>
          <w:lang w:val="en-ID"/>
        </w:rPr>
        <w:instrText>ADDIN CSL_CITATION {"citationItems":[{"id":"ITEM-1","itemData":{"DOI":"10.23919/MIPRO.2018.8400024","ISBN":"9789532330977","abstract":"Focus of the research efforts is using Si waste for the high throughput, cost-effective manufacturing of hybrid Si based solar cells. The European H2020 project CABRISS ('Implementation of a circular economy based on recycled, reused and recovered Indium, Silicon and Silver materials for photovoltaic and other applications') http://www.spire2030.eu/cabriss demonstrates the reusability and recyclability of end-of-life PV materials by associating together different sectors like the powder metallurgy (fabrication of Si powder based low cost substrate), the PV industry (innovative PV cells) and the industry of recycling (hydrometallurgy and pyrometallurgy) with a common aim: making use of recycled waste materials (Si, In and Ag). Proactive involvement in European standardization guarantees compatibility with the EU's WEEE directive. CABRISS proactively cooperates with SEMI's 'TC Photovoltaics', CENELEC's CLC/TC 111X 'Environment' and CLC/TC 10 'Energy-related Products'. Thus, the consortium contributes to the interactions and benefits between research and standardization: raising awareness and fully exploiting the role of standards in order to increase the competitiveness of the EU.","author":[{"dropping-particle":"","family":"Brenner","given":"W.","non-dropping-particle":"","parse-names":false,"suffix":""},{"dropping-particle":"","family":"Adamovic","given":"N.","non-dropping-particle":"","parse-names":false,"suffix":""}],"container-title":"2018 41st International Convention on Information and Communication Technology, Electronics and Microelectronics, MIPRO 2018 - Proceedings","id":"ITEM-1","issued":{"date-parts":[["2018"]]},"page":"122-127","publisher":"Croatian Society MIPRO","title":"Standardization as a tool for promoting innovation and commercialization of a circular economy for PV waste - The example of the European H2020 project CABRISS","type":"article-journal"},"uris":["http://www.mendeley.com/documents/?uuid=d499ebc5-293a-43e2-a954-ab8567a25d6e"]}],"mendeley":{"formattedCitation":"(Brenner &amp; Adamovic, 2018)","plainTextFormattedCitation":"(Brenner &amp; Adamovic, 2018)","previouslyFormattedCitation":"(Brenner &amp; Adamovic, 2018)"},"properties":{"noteIndex":0},"schema":"https://github.com/citation-style-language/schema/raw/master/csl-citation.json"}</w:instrText>
      </w:r>
      <w:r w:rsidR="00032DBD">
        <w:rPr>
          <w:rFonts w:ascii="Arial" w:eastAsia="Times New Roman" w:hAnsi="Arial" w:cs="Arial"/>
          <w:color w:val="000000"/>
          <w:szCs w:val="20"/>
          <w:lang w:val="en-ID"/>
        </w:rPr>
        <w:fldChar w:fldCharType="separate"/>
      </w:r>
      <w:r w:rsidR="00032DBD" w:rsidRPr="00032DBD">
        <w:rPr>
          <w:rFonts w:ascii="Arial" w:eastAsia="Times New Roman" w:hAnsi="Arial" w:cs="Arial"/>
          <w:noProof/>
          <w:color w:val="000000"/>
          <w:szCs w:val="20"/>
          <w:lang w:val="en-ID"/>
        </w:rPr>
        <w:t>(Brenner &amp; Adamovic, 2018)</w:t>
      </w:r>
      <w:r w:rsidR="00032DBD">
        <w:rPr>
          <w:rFonts w:ascii="Arial" w:eastAsia="Times New Roman" w:hAnsi="Arial" w:cs="Arial"/>
          <w:color w:val="000000"/>
          <w:szCs w:val="20"/>
          <w:lang w:val="en-ID"/>
        </w:rPr>
        <w:fldChar w:fldCharType="end"/>
      </w:r>
      <w:r w:rsidR="00802E6A" w:rsidRPr="00585502">
        <w:rPr>
          <w:rFonts w:ascii="Arial" w:eastAsia="Times New Roman" w:hAnsi="Arial" w:cs="Arial"/>
          <w:color w:val="000000"/>
          <w:szCs w:val="20"/>
          <w:lang w:val="en-ID"/>
        </w:rPr>
        <w:t xml:space="preserve">. </w:t>
      </w:r>
      <w:r w:rsidRPr="008B19C5">
        <w:rPr>
          <w:rFonts w:ascii="Arial" w:eastAsia="Times New Roman" w:hAnsi="Arial" w:cs="Arial"/>
          <w:color w:val="000000"/>
          <w:szCs w:val="20"/>
          <w:lang w:val="en-ID"/>
        </w:rPr>
        <w:t xml:space="preserve">Standardization </w:t>
      </w:r>
      <w:r w:rsidR="006221AC">
        <w:rPr>
          <w:rFonts w:ascii="Arial" w:eastAsia="Times New Roman" w:hAnsi="Arial" w:cs="Arial"/>
          <w:color w:val="000000"/>
          <w:szCs w:val="20"/>
          <w:lang w:val="en-ID"/>
        </w:rPr>
        <w:t>of</w:t>
      </w:r>
      <w:r w:rsidRPr="008B19C5">
        <w:rPr>
          <w:rFonts w:ascii="Arial" w:eastAsia="Times New Roman" w:hAnsi="Arial" w:cs="Arial"/>
          <w:color w:val="000000"/>
          <w:szCs w:val="20"/>
          <w:lang w:val="en-ID"/>
        </w:rPr>
        <w:t xml:space="preserve"> intellectual property rights is a vital incentive for research, </w:t>
      </w:r>
      <w:r w:rsidRPr="008B19C5">
        <w:rPr>
          <w:rFonts w:ascii="Arial" w:eastAsia="Times New Roman" w:hAnsi="Arial" w:cs="Arial"/>
          <w:color w:val="000000"/>
          <w:szCs w:val="20"/>
          <w:lang w:val="en-ID"/>
        </w:rPr>
        <w:lastRenderedPageBreak/>
        <w:t xml:space="preserve">development, and innovation. Some argue that this standardization </w:t>
      </w:r>
      <w:r w:rsidR="00FC4B90">
        <w:rPr>
          <w:rFonts w:ascii="Arial" w:eastAsia="Times New Roman" w:hAnsi="Arial" w:cs="Arial"/>
          <w:color w:val="000000"/>
          <w:szCs w:val="20"/>
          <w:lang w:val="en-ID"/>
        </w:rPr>
        <w:t>i</w:t>
      </w:r>
      <w:r w:rsidRPr="008B19C5">
        <w:rPr>
          <w:rFonts w:ascii="Arial" w:eastAsia="Times New Roman" w:hAnsi="Arial" w:cs="Arial"/>
          <w:color w:val="000000"/>
          <w:szCs w:val="20"/>
          <w:lang w:val="en-ID"/>
        </w:rPr>
        <w:t>s a barrier to technology transfer from PV</w:t>
      </w:r>
      <w:r w:rsidR="00042A77">
        <w:rPr>
          <w:rFonts w:ascii="Arial" w:eastAsia="Times New Roman" w:hAnsi="Arial" w:cs="Arial"/>
          <w:color w:val="000000"/>
          <w:szCs w:val="20"/>
          <w:lang w:val="en-ID"/>
        </w:rPr>
        <w:t xml:space="preserve"> </w:t>
      </w:r>
      <w:r w:rsidR="00042A77">
        <w:rPr>
          <w:rFonts w:ascii="Arial" w:eastAsia="Times New Roman" w:hAnsi="Arial" w:cs="Arial"/>
          <w:color w:val="000000"/>
          <w:szCs w:val="20"/>
          <w:lang w:val="en-ID"/>
        </w:rPr>
        <w:fldChar w:fldCharType="begin" w:fldLock="1"/>
      </w:r>
      <w:r w:rsidR="00D8454D">
        <w:rPr>
          <w:rFonts w:ascii="Arial" w:eastAsia="Times New Roman" w:hAnsi="Arial" w:cs="Arial"/>
          <w:color w:val="000000"/>
          <w:szCs w:val="20"/>
          <w:lang w:val="en-ID"/>
        </w:rPr>
        <w:instrText>ADDIN CSL_CITATION {"citationItems":[{"id":"ITEM-1","itemData":{"DOI":"10.1186/s40807-020-00064-5","ISBN":"4080702000","ISSN":"2198-994X","abstract":" Large-scale solar is a non-reversible trend in the energy mix of Malaysia. Due to the mismatch between the peak of solar energy generation and the peak demand, energy storage projects are essential and crucial to optimize the use of this renewable resource. Although the technical and environmental benefits of such transition have been examined, the profitability of energy storage systems combined with large-scale solar PV has not been studied in Malaysia. This project aims to determine the most profitable business model of power systems, in terms of PV installed capacity, and energy storage capacity, and power system components. A comparative study has been done to compare the economic outcomes from different types of projects, with different scales and multiple configurations of large-scale solar PV combined with energy storage. The lowest values of LCOE are guaranteed with energy storage output to LSS output ratio, A = 5%. In this case, 30-MW projects have the cheapest electricity, equal to RM 0.2484/kWh. On the other hand, increasing the energy storage output to LSS output ratio, A to 60% results in the increase of LCOE, exceeding RM 0.47/kWh. On the economical side, with a difference of 0.06 kWh/m 2 /day for the analysis carried out in Pahang and Perak, the difference in net present worth is more than 7.5% of the net present cost. The difference between the two locations is comparatively higher for 50-MW projects. It is equal to RM 11.67 Million for A = 60%, while it is equal to RM 13.5 Million with A = 5%. Due to the energy prices in Malaysia, the projects that include large-scale solar only are more profitable technically and financially than those including large-scale solar and energy storage. It is found that adding storage to a large-scale solar project is more profitable technically and financially with greater large-scale solar capacities and smaller storage capacities. Nevertheless, with the current energy prices in Malaysia, projects that include only energy storage are not financially profitable. This study determined the parameters that affect the profitability of large-scale solar energy projects and energy storage projects, and the configurations that maximize financial profits. The findings of this study are useful for the future regulations that intend to enhance the deployment of large-scale solar PV and energy storage in Malaysia. ","author":[{"dropping-particle":"","family":"Laajimi","given":"Mahmoud","non-dropping-particle":"","parse-names":false,"suffix":""},{"dropping-particle":"","family":"Go","given":"Yun Ii","non-dropping-particle":"","parse-names":false,"suffix":""}],"container-title":"Renewables: Wind, Water, and Solar","id":"ITEM-1","issue":"1","issued":{"date-parts":[["2021"]]},"publisher":"Springer Singapore","title":"Energy storage system design for large-scale solar PV in Malaysia: techno-economic analysis","type":"article-journal","volume":"8"},"uris":["http://www.mendeley.com/documents/?uuid=aba38899-8d5b-411c-b787-6586a2d2bd65"]},{"id":"ITEM-2","itemData":{"ISBN":"9781464815003","author":[{"dropping-particle":"","family":"Pigato","given":"Miria A","non-dropping-particle":"","parse-names":false,"suffix":""},{"dropping-particle":"","family":"Black","given":"Simon J","non-dropping-particle":"","parse-names":false,"suffix":""},{"dropping-particle":"","family":"Dussaux","given":"Damien","non-dropping-particle":"","parse-names":false,"suffix":""},{"dropping-particle":"","family":"Mao","given":"Zhimin","non-dropping-particle":"","parse-names":false,"suffix":""},{"dropping-particle":"","family":"Mckenna","given":"Miles","non-dropping-particle":"","parse-names":false,"suffix":""},{"dropping-particle":"","family":"Rafaty","given":"Ryan","non-dropping-particle":"","parse-names":false,"suffix":""},{"dropping-particle":"","family":"Touboul","given":"Simon","non-dropping-particle":"","parse-names":false,"suffix":""}],"id":"ITEM-2","issued":{"date-parts":[["2020"]]},"title":"Enabling Environments for Sustainable Energy Transitions: The Diffusion of Technology, Innovation and Investment in Low-Carbon Societies In the Book : Technology Transfer and Innovation for Low-Carbon Development","type":"book"},"uris":["http://www.mendeley.com/documents/?uuid=409483c8-5503-4b3f-9563-ae5e9dd5bb19"]},{"id":"ITEM-3","itemData":{"DOI":"10.1080/14693062.2016.1222257","ISSN":"17527457","abstract":"Little progress has been made in climate negotiations on technology since 1992. Yet the diffusion of climate change mitigation technologies to developing countries (non-Annex I) has increased dramatically over the last twenty years. The shift has mostly concerned emerging economies, which are now reasonably well connected to international technology flows. This is good news, as the bulk of emissions increases are expected to take place in these countries in the near future. In contrast, the least developed countries still appear to be excluded from international technology flows, mostly because of their negligible participation in the recent economic globalization. This article focuses on the policy implications of the contribution of climate negotiations to international technology diffusion. Policy relevance The discrepancy between the small amount of progress made in climate negotiations on technology since 1992 and the steady increase in the international diffusion of climate mitigation technologies leads to the perhaps controversial view that the diffusion of climate mitigation technologies does not need strong international coordination over technology issues under the UNFCCC. However, climate negotiations can play a key role in stimulating the demand for low-carbon technologies by setting ambitious emission reductions targets and policies.","author":[{"dropping-particle":"","family":"Glachant","given":"Matthieu","non-dropping-particle":"","parse-names":false,"suffix":""},{"dropping-particle":"","family":"Dechezleprêtre","given":"Antoine","non-dropping-particle":"","parse-names":false,"suffix":""}],"container-title":"Climate Policy","id":"ITEM-3","issue":"8","issued":{"date-parts":[["2017"]]},"page":"962-981","publisher":"Taylor &amp; Francis","title":"What role for climate negotiations on technology transfer?","type":"article-journal","volume":"17"},"uris":["http://www.mendeley.com/documents/?uuid=34b7f95d-fe24-45bf-83c2-6a63c9e49d1c"]}],"mendeley":{"formattedCitation":"(Glachant &amp; Dechezleprêtre, 2017; Laajimi &amp; Go, 2021; Pigato et al., 2020)","plainTextFormattedCitation":"(Glachant &amp; Dechezleprêtre, 2017; Laajimi &amp; Go, 2021; Pigato et al., 2020)","previouslyFormattedCitation":"(Glachant &amp; Dechezleprêtre, 2017; Laajimi &amp; Go, 2021; Pigato et al., 2020)"},"properties":{"noteIndex":0},"schema":"https://github.com/citation-style-language/schema/raw/master/csl-citation.json"}</w:instrText>
      </w:r>
      <w:r w:rsidR="00042A77">
        <w:rPr>
          <w:rFonts w:ascii="Arial" w:eastAsia="Times New Roman" w:hAnsi="Arial" w:cs="Arial"/>
          <w:color w:val="000000"/>
          <w:szCs w:val="20"/>
          <w:lang w:val="en-ID"/>
        </w:rPr>
        <w:fldChar w:fldCharType="separate"/>
      </w:r>
      <w:r w:rsidR="00042A77" w:rsidRPr="00042A77">
        <w:rPr>
          <w:rFonts w:ascii="Arial" w:eastAsia="Times New Roman" w:hAnsi="Arial" w:cs="Arial"/>
          <w:noProof/>
          <w:color w:val="000000"/>
          <w:szCs w:val="20"/>
          <w:lang w:val="en-ID"/>
        </w:rPr>
        <w:t>(Glachant &amp; Dechezleprêtre, 2017; Laajimi &amp; Go, 2021; Pigato et al., 2020)</w:t>
      </w:r>
      <w:r w:rsidR="00042A77">
        <w:rPr>
          <w:rFonts w:ascii="Arial" w:eastAsia="Times New Roman" w:hAnsi="Arial" w:cs="Arial"/>
          <w:color w:val="000000"/>
          <w:szCs w:val="20"/>
          <w:lang w:val="en-ID"/>
        </w:rPr>
        <w:fldChar w:fldCharType="end"/>
      </w:r>
      <w:r w:rsidR="00802E6A" w:rsidRPr="00585502">
        <w:rPr>
          <w:rFonts w:ascii="Arial" w:eastAsia="Times New Roman" w:hAnsi="Arial" w:cs="Arial"/>
          <w:color w:val="000000"/>
          <w:szCs w:val="20"/>
          <w:lang w:val="en-ID"/>
        </w:rPr>
        <w:t xml:space="preserve">. </w:t>
      </w:r>
      <w:r w:rsidRPr="008B19C5">
        <w:rPr>
          <w:rFonts w:ascii="Arial" w:eastAsia="Times New Roman" w:hAnsi="Arial" w:cs="Arial"/>
          <w:color w:val="000000"/>
          <w:szCs w:val="20"/>
          <w:lang w:val="en-ID"/>
        </w:rPr>
        <w:t xml:space="preserve">According to </w:t>
      </w:r>
      <w:proofErr w:type="spellStart"/>
      <w:r w:rsidRPr="008B19C5">
        <w:rPr>
          <w:rFonts w:ascii="Arial" w:eastAsia="Times New Roman" w:hAnsi="Arial" w:cs="Arial"/>
          <w:color w:val="000000"/>
          <w:szCs w:val="20"/>
          <w:lang w:val="en-ID"/>
        </w:rPr>
        <w:t>Sutopo</w:t>
      </w:r>
      <w:proofErr w:type="spellEnd"/>
      <w:r w:rsidRPr="008B19C5">
        <w:rPr>
          <w:rFonts w:ascii="Arial" w:eastAsia="Times New Roman" w:hAnsi="Arial" w:cs="Arial"/>
          <w:color w:val="000000"/>
          <w:szCs w:val="20"/>
          <w:lang w:val="en-ID"/>
        </w:rPr>
        <w:t xml:space="preserve"> et al.'s research</w:t>
      </w:r>
      <w:r w:rsidR="00802E6A" w:rsidRPr="00585502">
        <w:rPr>
          <w:rFonts w:ascii="Arial" w:eastAsia="Times New Roman" w:hAnsi="Arial" w:cs="Arial"/>
          <w:color w:val="000000"/>
          <w:szCs w:val="20"/>
          <w:lang w:val="en-ID"/>
        </w:rPr>
        <w:t xml:space="preserve"> </w:t>
      </w:r>
      <w:r w:rsidR="003503F7">
        <w:rPr>
          <w:rFonts w:ascii="Arial" w:eastAsia="Times New Roman" w:hAnsi="Arial" w:cs="Arial"/>
          <w:color w:val="000000"/>
          <w:szCs w:val="20"/>
          <w:lang w:val="en-ID"/>
        </w:rPr>
        <w:fldChar w:fldCharType="begin" w:fldLock="1"/>
      </w:r>
      <w:r w:rsidR="003503F7">
        <w:rPr>
          <w:rFonts w:ascii="Arial" w:eastAsia="Times New Roman" w:hAnsi="Arial" w:cs="Arial"/>
          <w:color w:val="000000"/>
          <w:szCs w:val="20"/>
          <w:lang w:val="en-ID"/>
        </w:rPr>
        <w:instrText>ADDIN CSL_CITATION {"citationItems":[{"id":"ITEM-1","itemData":{"DOI":"10.3390/asi5010021","ISSN":"25715577","abstract":"The purpose of this research is to develop a model for measuring the efficiency of the TTO incubation process performance to accelerate the commercialization of research results in universi-ties. The method of analyzing the efficiency used in this research is the Data Envelopment Analysis (DEA) method based on Banker, Charnes, and Cooper (BCC), which is output-oriented. The soft-ware used in analyzing the efficiency of TTO performance is MaxDEA 8. The output of this research is a mathematical model tool for measuring the efficiency of TTO performance by DEA, which con-sidered 17 parameters and proposed recommendations for TTO performance strategies. The limita-tion of this research is the object of research in one university that has succeeded in the commercialization of research. This research implies that the performance efficiency measurement model is an alternative predictive way to increase the acceleration of commercialization. The practical implica-tions of this research are that it can evaluate performance or inefficient strategies in the incubation process of higher education research results to the Technology Transfer Office (TTO). This research also provides recommendations on strengthening the TTO function that can be used as a reference for improving performance at universities. This research measures the level of performance evaluation of TTO in the incubation process, which refers to the Death Valley framework. This incubation process is the main process accelerating the commercialization of research results in universities.","author":[{"dropping-particle":"","family":"Sutopo","given":"Wahyudi","non-dropping-particle":"","parse-names":false,"suffix":""},{"dropping-particle":"","family":"Khofiyah","given":"Nida An","non-dropping-particle":"","parse-names":false,"suffix":""},{"dropping-particle":"","family":"Hisjam","given":"Muhammad","non-dropping-particle":"","parse-names":false,"suffix":""},{"dropping-particle":"","family":"Ma’aram","given":"Azanizawati","non-dropping-particle":"","parse-names":false,"suffix":""}],"container-title":"Applied System Innovation","id":"ITEM-1","issue":"1","issued":{"date-parts":[["2022"]]},"title":"Performance Efficiency Measurement Model Development of a Technology Transfer Office (TTO) to Accelerate Technology Commercialization in Universities","type":"article-journal","volume":"5"},"uris":["http://www.mendeley.com/documents/?uuid=e2cd6a5b-9afc-4d27-9dff-0fb58126904c"]}],"mendeley":{"formattedCitation":"(Sutopo et al., 2022)","plainTextFormattedCitation":"(Sutopo et al., 2022)","previouslyFormattedCitation":"(Sutopo et al., 2022)"},"properties":{"noteIndex":0},"schema":"https://github.com/citation-style-language/schema/raw/master/csl-citation.json"}</w:instrText>
      </w:r>
      <w:r w:rsidR="003503F7">
        <w:rPr>
          <w:rFonts w:ascii="Arial" w:eastAsia="Times New Roman" w:hAnsi="Arial" w:cs="Arial"/>
          <w:color w:val="000000"/>
          <w:szCs w:val="20"/>
          <w:lang w:val="en-ID"/>
        </w:rPr>
        <w:fldChar w:fldCharType="separate"/>
      </w:r>
      <w:r w:rsidR="003503F7" w:rsidRPr="003503F7">
        <w:rPr>
          <w:rFonts w:ascii="Arial" w:eastAsia="Times New Roman" w:hAnsi="Arial" w:cs="Arial"/>
          <w:noProof/>
          <w:color w:val="000000"/>
          <w:szCs w:val="20"/>
          <w:lang w:val="en-ID"/>
        </w:rPr>
        <w:t>(Sutopo et al., 2022)</w:t>
      </w:r>
      <w:r w:rsidR="003503F7">
        <w:rPr>
          <w:rFonts w:ascii="Arial" w:eastAsia="Times New Roman" w:hAnsi="Arial" w:cs="Arial"/>
          <w:color w:val="000000"/>
          <w:szCs w:val="20"/>
          <w:lang w:val="en-ID"/>
        </w:rPr>
        <w:fldChar w:fldCharType="end"/>
      </w:r>
      <w:r w:rsidR="003503F7">
        <w:rPr>
          <w:rFonts w:ascii="Arial" w:eastAsia="Times New Roman" w:hAnsi="Arial" w:cs="Arial"/>
          <w:color w:val="000000"/>
          <w:szCs w:val="20"/>
          <w:lang w:val="en-ID"/>
        </w:rPr>
        <w:t xml:space="preserve">, </w:t>
      </w:r>
      <w:r w:rsidR="003B2633" w:rsidRPr="003B2633">
        <w:rPr>
          <w:rFonts w:ascii="Arial" w:eastAsia="Times New Roman" w:hAnsi="Arial" w:cs="Arial"/>
          <w:color w:val="000000"/>
          <w:szCs w:val="20"/>
          <w:lang w:val="en-ID"/>
        </w:rPr>
        <w:t xml:space="preserve">referencing lithium battery research, standardization can expedite product implementation through supply chain engineering. Standardization </w:t>
      </w:r>
      <w:r w:rsidR="00FC4B90">
        <w:rPr>
          <w:rFonts w:ascii="Arial" w:eastAsia="Times New Roman" w:hAnsi="Arial" w:cs="Arial"/>
          <w:color w:val="000000"/>
          <w:szCs w:val="20"/>
          <w:lang w:val="en-ID"/>
        </w:rPr>
        <w:t>i</w:t>
      </w:r>
      <w:r w:rsidR="003B2633" w:rsidRPr="003B2633">
        <w:rPr>
          <w:rFonts w:ascii="Arial" w:eastAsia="Times New Roman" w:hAnsi="Arial" w:cs="Arial"/>
          <w:color w:val="000000"/>
          <w:szCs w:val="20"/>
          <w:lang w:val="en-ID"/>
        </w:rPr>
        <w:t>s the foundation for future innovations and ensures that product standards are established and adhered to correctly, involving numerous stakeholders</w:t>
      </w:r>
      <w:r w:rsidR="00802E6A" w:rsidRPr="00802E6A">
        <w:rPr>
          <w:rFonts w:ascii="Arial" w:eastAsia="Times New Roman" w:hAnsi="Arial" w:cs="Arial"/>
          <w:color w:val="000000"/>
          <w:szCs w:val="20"/>
          <w:lang w:val="en-ID"/>
        </w:rPr>
        <w:t xml:space="preserve"> </w:t>
      </w:r>
      <w:r w:rsidR="003503F7">
        <w:rPr>
          <w:rFonts w:ascii="Arial" w:eastAsia="Times New Roman" w:hAnsi="Arial" w:cs="Arial"/>
          <w:color w:val="000000"/>
          <w:szCs w:val="20"/>
          <w:lang w:val="en-ID"/>
        </w:rPr>
        <w:fldChar w:fldCharType="begin" w:fldLock="1"/>
      </w:r>
      <w:r w:rsidR="003503F7">
        <w:rPr>
          <w:rFonts w:ascii="Arial" w:eastAsia="Times New Roman" w:hAnsi="Arial" w:cs="Arial"/>
          <w:color w:val="000000"/>
          <w:szCs w:val="20"/>
          <w:lang w:val="en-ID"/>
        </w:rPr>
        <w:instrText>ADDIN CSL_CITATION {"citationItems":[{"id":"ITEM-1","itemData":{"DOI":"10.3390/asi5010021","ISSN":"25715577","abstract":"The purpose of this research is to develop a model for measuring the efficiency of the TTO incubation process performance to accelerate the commercialization of research results in universi-ties. The method of analyzing the efficiency used in this research is the Data Envelopment Analysis (DEA) method based on Banker, Charnes, and Cooper (BCC), which is output-oriented. The soft-ware used in analyzing the efficiency of TTO performance is MaxDEA 8. The output of this research is a mathematical model tool for measuring the efficiency of TTO performance by DEA, which con-sidered 17 parameters and proposed recommendations for TTO performance strategies. The limita-tion of this research is the object of research in one university that has succeeded in the commercialization of research. This research implies that the performance efficiency measurement model is an alternative predictive way to increase the acceleration of commercialization. The practical implica-tions of this research are that it can evaluate performance or inefficient strategies in the incubation process of higher education research results to the Technology Transfer Office (TTO). This research also provides recommendations on strengthening the TTO function that can be used as a reference for improving performance at universities. This research measures the level of performance evaluation of TTO in the incubation process, which refers to the Death Valley framework. This incubation process is the main process accelerating the commercialization of research results in universities.","author":[{"dropping-particle":"","family":"Sutopo","given":"Wahyudi","non-dropping-particle":"","parse-names":false,"suffix":""},{"dropping-particle":"","family":"Khofiyah","given":"Nida An","non-dropping-particle":"","parse-names":false,"suffix":""},{"dropping-particle":"","family":"Hisjam","given":"Muhammad","non-dropping-particle":"","parse-names":false,"suffix":""},{"dropping-particle":"","family":"Ma’aram","given":"Azanizawati","non-dropping-particle":"","parse-names":false,"suffix":""}],"container-title":"Applied System Innovation","id":"ITEM-1","issue":"1","issued":{"date-parts":[["2022"]]},"title":"Performance Efficiency Measurement Model Development of a Technology Transfer Office (TTO) to Accelerate Technology Commercialization in Universities","type":"article-journal","volume":"5"},"uris":["http://www.mendeley.com/documents/?uuid=e2cd6a5b-9afc-4d27-9dff-0fb58126904c"]}],"mendeley":{"formattedCitation":"(Sutopo et al., 2022)","plainTextFormattedCitation":"(Sutopo et al., 2022)","previouslyFormattedCitation":"(Sutopo et al., 2022)"},"properties":{"noteIndex":0},"schema":"https://github.com/citation-style-language/schema/raw/master/csl-citation.json"}</w:instrText>
      </w:r>
      <w:r w:rsidR="003503F7">
        <w:rPr>
          <w:rFonts w:ascii="Arial" w:eastAsia="Times New Roman" w:hAnsi="Arial" w:cs="Arial"/>
          <w:color w:val="000000"/>
          <w:szCs w:val="20"/>
          <w:lang w:val="en-ID"/>
        </w:rPr>
        <w:fldChar w:fldCharType="separate"/>
      </w:r>
      <w:r w:rsidR="003503F7" w:rsidRPr="003503F7">
        <w:rPr>
          <w:rFonts w:ascii="Arial" w:eastAsia="Times New Roman" w:hAnsi="Arial" w:cs="Arial"/>
          <w:noProof/>
          <w:color w:val="000000"/>
          <w:szCs w:val="20"/>
          <w:lang w:val="en-ID"/>
        </w:rPr>
        <w:t>(Sutopo et al., 2022)</w:t>
      </w:r>
      <w:r w:rsidR="003503F7">
        <w:rPr>
          <w:rFonts w:ascii="Arial" w:eastAsia="Times New Roman" w:hAnsi="Arial" w:cs="Arial"/>
          <w:color w:val="000000"/>
          <w:szCs w:val="20"/>
          <w:lang w:val="en-ID"/>
        </w:rPr>
        <w:fldChar w:fldCharType="end"/>
      </w:r>
      <w:r w:rsidR="003503F7">
        <w:rPr>
          <w:rFonts w:ascii="Arial" w:eastAsia="Times New Roman" w:hAnsi="Arial" w:cs="Arial"/>
          <w:color w:val="000000"/>
          <w:szCs w:val="20"/>
          <w:lang w:val="en-ID"/>
        </w:rPr>
        <w:t xml:space="preserve">. </w:t>
      </w:r>
      <w:r w:rsidR="003B2633" w:rsidRPr="003B2633">
        <w:rPr>
          <w:rFonts w:ascii="Arial" w:eastAsia="Times New Roman" w:hAnsi="Arial" w:cs="Arial"/>
          <w:color w:val="000000"/>
          <w:szCs w:val="20"/>
          <w:lang w:val="en-ID"/>
        </w:rPr>
        <w:t>In previous research</w:t>
      </w:r>
      <w:r w:rsidR="003B2633">
        <w:rPr>
          <w:rFonts w:ascii="Arial" w:eastAsia="Times New Roman" w:hAnsi="Arial" w:cs="Arial"/>
          <w:color w:val="000000"/>
          <w:szCs w:val="20"/>
          <w:lang w:val="en-ID"/>
        </w:rPr>
        <w:t xml:space="preserve"> </w:t>
      </w:r>
      <w:r w:rsidR="003503F7">
        <w:rPr>
          <w:rFonts w:ascii="Arial" w:eastAsia="Times New Roman" w:hAnsi="Arial" w:cs="Arial"/>
          <w:color w:val="000000"/>
          <w:szCs w:val="20"/>
          <w:lang w:val="en-ID"/>
        </w:rPr>
        <w:fldChar w:fldCharType="begin" w:fldLock="1"/>
      </w:r>
      <w:r w:rsidR="003503F7">
        <w:rPr>
          <w:rFonts w:ascii="Arial" w:eastAsia="Times New Roman" w:hAnsi="Arial" w:cs="Arial"/>
          <w:color w:val="000000"/>
          <w:szCs w:val="20"/>
          <w:lang w:val="en-ID"/>
        </w:rPr>
        <w:instrText>ADDIN CSL_CITATION {"citationItems":[{"id":"ITEM-1","itemData":{"DOI":"10.3390/asi5010021","ISSN":"25715577","abstract":"The purpose of this research is to develop a model for measuring the efficiency of the TTO incubation process performance to accelerate the commercialization of research results in universi-ties. The method of analyzing the efficiency used in this research is the Data Envelopment Analysis (DEA) method based on Banker, Charnes, and Cooper (BCC), which is output-oriented. The soft-ware used in analyzing the efficiency of TTO performance is MaxDEA 8. The output of this research is a mathematical model tool for measuring the efficiency of TTO performance by DEA, which con-sidered 17 parameters and proposed recommendations for TTO performance strategies. The limita-tion of this research is the object of research in one university that has succeeded in the commercialization of research. This research implies that the performance efficiency measurement model is an alternative predictive way to increase the acceleration of commercialization. The practical implica-tions of this research are that it can evaluate performance or inefficient strategies in the incubation process of higher education research results to the Technology Transfer Office (TTO). This research also provides recommendations on strengthening the TTO function that can be used as a reference for improving performance at universities. This research measures the level of performance evaluation of TTO in the incubation process, which refers to the Death Valley framework. This incubation process is the main process accelerating the commercialization of research results in universities.","author":[{"dropping-particle":"","family":"Sutopo","given":"Wahyudi","non-dropping-particle":"","parse-names":false,"suffix":""},{"dropping-particle":"","family":"Khofiyah","given":"Nida An","non-dropping-particle":"","parse-names":false,"suffix":""},{"dropping-particle":"","family":"Hisjam","given":"Muhammad","non-dropping-particle":"","parse-names":false,"suffix":""},{"dropping-particle":"","family":"Ma’aram","given":"Azanizawati","non-dropping-particle":"","parse-names":false,"suffix":""}],"container-title":"Applied System Innovation","id":"ITEM-1","issue":"1","issued":{"date-parts":[["2022"]]},"title":"Performance Efficiency Measurement Model Development of a Technology Transfer Office (TTO) to Accelerate Technology Commercialization in Universities","type":"article-journal","volume":"5"},"uris":["http://www.mendeley.com/documents/?uuid=e2cd6a5b-9afc-4d27-9dff-0fb58126904c"]}],"mendeley":{"formattedCitation":"(Sutopo et al., 2022)","plainTextFormattedCitation":"(Sutopo et al., 2022)","previouslyFormattedCitation":"(Sutopo et al., 2022)"},"properties":{"noteIndex":0},"schema":"https://github.com/citation-style-language/schema/raw/master/csl-citation.json"}</w:instrText>
      </w:r>
      <w:r w:rsidR="003503F7">
        <w:rPr>
          <w:rFonts w:ascii="Arial" w:eastAsia="Times New Roman" w:hAnsi="Arial" w:cs="Arial"/>
          <w:color w:val="000000"/>
          <w:szCs w:val="20"/>
          <w:lang w:val="en-ID"/>
        </w:rPr>
        <w:fldChar w:fldCharType="separate"/>
      </w:r>
      <w:r w:rsidR="003503F7" w:rsidRPr="003503F7">
        <w:rPr>
          <w:rFonts w:ascii="Arial" w:eastAsia="Times New Roman" w:hAnsi="Arial" w:cs="Arial"/>
          <w:noProof/>
          <w:color w:val="000000"/>
          <w:szCs w:val="20"/>
          <w:lang w:val="en-ID"/>
        </w:rPr>
        <w:t>(Sutopo et al., 2022)</w:t>
      </w:r>
      <w:r w:rsidR="003503F7">
        <w:rPr>
          <w:rFonts w:ascii="Arial" w:eastAsia="Times New Roman" w:hAnsi="Arial" w:cs="Arial"/>
          <w:color w:val="000000"/>
          <w:szCs w:val="20"/>
          <w:lang w:val="en-ID"/>
        </w:rPr>
        <w:fldChar w:fldCharType="end"/>
      </w:r>
      <w:r w:rsidR="00FC4B90">
        <w:rPr>
          <w:rFonts w:ascii="Arial" w:eastAsia="Times New Roman" w:hAnsi="Arial" w:cs="Arial"/>
          <w:color w:val="000000"/>
          <w:szCs w:val="20"/>
          <w:lang w:val="en-ID"/>
        </w:rPr>
        <w:t>,</w:t>
      </w:r>
      <w:r w:rsidR="003503F7">
        <w:rPr>
          <w:rFonts w:ascii="Arial" w:eastAsia="Times New Roman" w:hAnsi="Arial" w:cs="Arial"/>
          <w:color w:val="000000"/>
          <w:szCs w:val="20"/>
          <w:lang w:val="en-ID"/>
        </w:rPr>
        <w:t xml:space="preserve"> </w:t>
      </w:r>
      <w:r w:rsidR="003B2633" w:rsidRPr="003B2633">
        <w:rPr>
          <w:rFonts w:ascii="Arial" w:eastAsia="Times New Roman" w:hAnsi="Arial" w:cs="Arial"/>
          <w:color w:val="000000"/>
          <w:szCs w:val="20"/>
          <w:lang w:val="en-ID"/>
        </w:rPr>
        <w:t xml:space="preserve">standards resulting from standardization were obtained through R&amp;D activities focused on achieving the required standards. The </w:t>
      </w:r>
      <w:r w:rsidR="00FC4B90">
        <w:rPr>
          <w:rFonts w:ascii="Arial" w:eastAsia="Times New Roman" w:hAnsi="Arial" w:cs="Arial"/>
          <w:color w:val="000000"/>
          <w:szCs w:val="20"/>
          <w:lang w:val="en-ID"/>
        </w:rPr>
        <w:t>Standardization Body issues the standards</w:t>
      </w:r>
      <w:r w:rsidR="003B2633" w:rsidRPr="003B2633">
        <w:rPr>
          <w:rFonts w:ascii="Arial" w:eastAsia="Times New Roman" w:hAnsi="Arial" w:cs="Arial"/>
          <w:color w:val="000000"/>
          <w:szCs w:val="20"/>
          <w:lang w:val="en-ID"/>
        </w:rPr>
        <w:t xml:space="preserve">. The Standardization Body has an Accreditation Committee that tests in Testing and Calibration Laboratories. These laboratories can serve as references for </w:t>
      </w:r>
      <w:r w:rsidR="00FC4B90">
        <w:rPr>
          <w:rFonts w:ascii="Arial" w:eastAsia="Times New Roman" w:hAnsi="Arial" w:cs="Arial"/>
          <w:color w:val="000000"/>
          <w:szCs w:val="20"/>
          <w:lang w:val="en-ID"/>
        </w:rPr>
        <w:t>constructing</w:t>
      </w:r>
      <w:r w:rsidR="003B2633" w:rsidRPr="003B2633">
        <w:rPr>
          <w:rFonts w:ascii="Arial" w:eastAsia="Times New Roman" w:hAnsi="Arial" w:cs="Arial"/>
          <w:color w:val="000000"/>
          <w:szCs w:val="20"/>
          <w:lang w:val="en-ID"/>
        </w:rPr>
        <w:t xml:space="preserve"> production facilities needed for the product manufacturing process. Products that meet the standards will be certified by Product Certification Bodies, essential for building customer trust in the product, in this case, PV.</w:t>
      </w:r>
    </w:p>
    <w:p w14:paraId="27D2DD43" w14:textId="77777777" w:rsidR="003B2633" w:rsidRDefault="003B2633" w:rsidP="00A818BF">
      <w:pPr>
        <w:pBdr>
          <w:top w:val="nil"/>
          <w:left w:val="nil"/>
          <w:bottom w:val="nil"/>
          <w:right w:val="nil"/>
          <w:between w:val="nil"/>
        </w:pBdr>
        <w:spacing w:after="0" w:line="264" w:lineRule="auto"/>
        <w:ind w:left="0" w:hanging="2"/>
        <w:rPr>
          <w:rFonts w:ascii="Arial" w:eastAsia="Times New Roman" w:hAnsi="Arial" w:cs="Arial"/>
          <w:color w:val="000000"/>
          <w:szCs w:val="20"/>
          <w:lang w:val="en-ID"/>
        </w:rPr>
      </w:pPr>
    </w:p>
    <w:p w14:paraId="34AA0E3A" w14:textId="0E970E8D" w:rsidR="00585502" w:rsidRDefault="002055F9" w:rsidP="00A818BF">
      <w:pPr>
        <w:pBdr>
          <w:top w:val="nil"/>
          <w:left w:val="nil"/>
          <w:bottom w:val="nil"/>
          <w:right w:val="nil"/>
          <w:between w:val="nil"/>
        </w:pBdr>
        <w:spacing w:after="0" w:line="264" w:lineRule="auto"/>
        <w:ind w:left="0" w:hanging="2"/>
        <w:rPr>
          <w:rFonts w:ascii="Arial" w:eastAsia="Times New Roman" w:hAnsi="Arial" w:cs="Arial"/>
          <w:color w:val="000000"/>
          <w:szCs w:val="20"/>
          <w:lang w:val="en-ID"/>
        </w:rPr>
      </w:pPr>
      <w:r w:rsidRPr="002055F9">
        <w:rPr>
          <w:rFonts w:ascii="Arial" w:eastAsia="Times New Roman" w:hAnsi="Arial" w:cs="Arial"/>
          <w:bCs/>
          <w:iCs/>
          <w:color w:val="000000"/>
          <w:szCs w:val="20"/>
          <w:lang w:val="en-ID"/>
        </w:rPr>
        <w:t>PV products currently available in the market are commonly utilized as RE in various equipment, including billboard lighting</w:t>
      </w:r>
      <w:r w:rsidR="00585502" w:rsidRPr="00802E6A">
        <w:rPr>
          <w:rFonts w:ascii="Arial" w:eastAsia="Times New Roman" w:hAnsi="Arial" w:cs="Arial"/>
          <w:bCs/>
          <w:color w:val="000000"/>
          <w:szCs w:val="20"/>
          <w:lang w:val="en-ID"/>
        </w:rPr>
        <w:t>.</w:t>
      </w:r>
      <w:r w:rsidR="00585502" w:rsidRPr="00585502">
        <w:rPr>
          <w:rFonts w:ascii="Arial" w:eastAsia="Times New Roman" w:hAnsi="Arial" w:cs="Arial"/>
          <w:b/>
          <w:bCs/>
          <w:color w:val="000000"/>
          <w:szCs w:val="20"/>
          <w:lang w:val="en-ID"/>
        </w:rPr>
        <w:t xml:space="preserve"> </w:t>
      </w:r>
      <w:r w:rsidRPr="002055F9">
        <w:rPr>
          <w:rFonts w:ascii="Arial" w:eastAsia="Times New Roman" w:hAnsi="Arial" w:cs="Arial"/>
          <w:color w:val="000000"/>
          <w:szCs w:val="20"/>
          <w:lang w:val="en-ID"/>
        </w:rPr>
        <w:t>The PV system converts solar radiation into electricity, and the higher the intensity of sunlight that hits the PV cells, the more electrical power it generates</w:t>
      </w:r>
      <w:r w:rsidR="00D8454D" w:rsidRPr="002026AB">
        <w:rPr>
          <w:rFonts w:ascii="Arial" w:eastAsia="Times New Roman" w:hAnsi="Arial" w:cs="Arial"/>
          <w:color w:val="000000"/>
          <w:szCs w:val="20"/>
          <w:lang w:val="en-ID"/>
        </w:rPr>
        <w:t xml:space="preserve"> </w:t>
      </w:r>
      <w:r w:rsidR="00D8454D" w:rsidRPr="002026AB">
        <w:rPr>
          <w:rFonts w:ascii="Arial" w:eastAsia="Times New Roman" w:hAnsi="Arial" w:cs="Arial"/>
          <w:color w:val="000000"/>
          <w:szCs w:val="20"/>
          <w:lang w:val="en-ID"/>
        </w:rPr>
        <w:fldChar w:fldCharType="begin" w:fldLock="1"/>
      </w:r>
      <w:r w:rsidR="00D8454D" w:rsidRPr="002026AB">
        <w:rPr>
          <w:rFonts w:ascii="Arial" w:eastAsia="Times New Roman" w:hAnsi="Arial" w:cs="Arial"/>
          <w:color w:val="000000"/>
          <w:szCs w:val="20"/>
          <w:lang w:val="en-ID"/>
        </w:rPr>
        <w:instrText>ADDIN CSL_CITATION {"citationItems":[{"id":"ITEM-1","itemData":{"DOI":"10.3390/asi5040067","ISSN":"25715577","abstract":"Employing sunlight to produce electrical energy has been demonstrated to be one of the most promising solutions to the world’s energy crisis. The device to convert solar energy to electrical energy, a solar cell, must be reliable and cost-effective to compete with traditional resources. This paper reviews many basics of photovoltaic (PV) cells, such as the working principle of the PV cell, main physical properties of PV cell materials, the significance of gallium arsenide (GaAs) thin films in solar technology, their prospects, and some mathematical analysis of p-n junction solar cells. Furthermore, the paper presents the standard model of solar cells with the application of this model to different PV technologies together with the main findings. Moreover, the paper explores the role of numerical and mathematical modelling of PV cells by MATLAB/Simulink and COMSOL in evaluating the power conversion efficiency (PCE) of the PV cells and determining the main parameters affecting the power output at various conditions.","author":[{"dropping-particle":"","family":"Al-Ezzi","given":"Athil S.","non-dropping-particle":"","parse-names":false,"suffix":""},{"dropping-particle":"","family":"Ansari","given":"Mohamed Nainar M.","non-dropping-particle":"","parse-names":false,"suffix":""}],"container-title":"Applied System Innovation","id":"ITEM-1","issue":"4","issued":{"date-parts":[["2022"]]},"page":"1-17","title":"Photovoltaic Solar Cells: A Review","type":"article-journal","volume":"5"},"uris":["http://www.mendeley.com/documents/?uuid=a8c17a9b-23c5-4fd6-b221-2eb844d35210"]}],"mendeley":{"formattedCitation":"(Al-Ezzi &amp; Ansari, 2022)","plainTextFormattedCitation":"(Al-Ezzi &amp; Ansari, 2022)","previouslyFormattedCitation":"(Al-Ezzi &amp; Ansari, 2022)"},"properties":{"noteIndex":0},"schema":"https://github.com/citation-style-language/schema/raw/master/csl-citation.json"}</w:instrText>
      </w:r>
      <w:r w:rsidR="00D8454D" w:rsidRPr="002026AB">
        <w:rPr>
          <w:rFonts w:ascii="Arial" w:eastAsia="Times New Roman" w:hAnsi="Arial" w:cs="Arial"/>
          <w:color w:val="000000"/>
          <w:szCs w:val="20"/>
          <w:lang w:val="en-ID"/>
        </w:rPr>
        <w:fldChar w:fldCharType="separate"/>
      </w:r>
      <w:r w:rsidR="00D8454D" w:rsidRPr="002026AB">
        <w:rPr>
          <w:rFonts w:ascii="Arial" w:eastAsia="Times New Roman" w:hAnsi="Arial" w:cs="Arial"/>
          <w:noProof/>
          <w:color w:val="000000"/>
          <w:szCs w:val="20"/>
          <w:lang w:val="en-ID"/>
        </w:rPr>
        <w:t>(Al-Ezzi &amp; Ansari, 2022)</w:t>
      </w:r>
      <w:r w:rsidR="00D8454D" w:rsidRPr="002026AB">
        <w:rPr>
          <w:rFonts w:ascii="Arial" w:eastAsia="Times New Roman" w:hAnsi="Arial" w:cs="Arial"/>
          <w:color w:val="000000"/>
          <w:szCs w:val="20"/>
          <w:lang w:val="en-ID"/>
        </w:rPr>
        <w:fldChar w:fldCharType="end"/>
      </w:r>
      <w:r w:rsidR="00585502" w:rsidRPr="002026AB">
        <w:rPr>
          <w:rFonts w:ascii="Arial" w:eastAsia="Times New Roman" w:hAnsi="Arial" w:cs="Arial"/>
          <w:color w:val="000000"/>
          <w:szCs w:val="20"/>
          <w:lang w:val="en-ID"/>
        </w:rPr>
        <w:t xml:space="preserve">. </w:t>
      </w:r>
      <w:r w:rsidRPr="002055F9">
        <w:rPr>
          <w:rFonts w:ascii="Arial" w:eastAsia="Times New Roman" w:hAnsi="Arial" w:cs="Arial"/>
          <w:color w:val="000000"/>
          <w:szCs w:val="20"/>
          <w:lang w:val="en-ID"/>
        </w:rPr>
        <w:t>In a PV system, the amount of electricity generated depends on the weather conditions. During sunny weather, a significant amount of electricity is generated, whereas during cloudy or overcast weather, less electricity is produced. Since electricity is required throughout the day, the surplus electrical power generated during the daytime is stored in batteries, allowing it to be used at any time for various electrical devices. The components required for PV production include solar modules, storage batteries, wiring for electrical current flow to and from the batteries, and circuit breakers to limit electrical current flow</w:t>
      </w:r>
      <w:r w:rsidR="00585502" w:rsidRPr="00585502">
        <w:rPr>
          <w:rFonts w:ascii="Arial" w:eastAsia="Times New Roman" w:hAnsi="Arial" w:cs="Arial"/>
          <w:color w:val="000000"/>
          <w:szCs w:val="20"/>
          <w:lang w:val="en-ID"/>
        </w:rPr>
        <w:t>.</w:t>
      </w:r>
    </w:p>
    <w:p w14:paraId="6596882C" w14:textId="77777777" w:rsidR="00C76C98" w:rsidRPr="00585502" w:rsidRDefault="00C76C98" w:rsidP="00C76C98">
      <w:pPr>
        <w:pBdr>
          <w:top w:val="nil"/>
          <w:left w:val="nil"/>
          <w:bottom w:val="nil"/>
          <w:right w:val="nil"/>
          <w:between w:val="nil"/>
        </w:pBdr>
        <w:spacing w:after="0" w:line="264" w:lineRule="auto"/>
        <w:ind w:left="0" w:hanging="2"/>
        <w:jc w:val="center"/>
        <w:rPr>
          <w:rFonts w:ascii="Arial" w:eastAsia="Times New Roman" w:hAnsi="Arial" w:cs="Arial"/>
          <w:b/>
          <w:color w:val="000000"/>
          <w:szCs w:val="20"/>
        </w:rPr>
      </w:pPr>
    </w:p>
    <w:p w14:paraId="16CDC296" w14:textId="45083BB1" w:rsidR="00C76C98" w:rsidRDefault="002055F9" w:rsidP="00585502">
      <w:pPr>
        <w:pBdr>
          <w:top w:val="nil"/>
          <w:left w:val="nil"/>
          <w:bottom w:val="nil"/>
          <w:right w:val="nil"/>
          <w:between w:val="nil"/>
        </w:pBdr>
        <w:spacing w:after="0" w:line="264" w:lineRule="auto"/>
        <w:ind w:left="0" w:hanging="2"/>
        <w:rPr>
          <w:rFonts w:ascii="Arial" w:eastAsia="Times New Roman" w:hAnsi="Arial" w:cs="Arial"/>
          <w:color w:val="000000"/>
          <w:szCs w:val="20"/>
          <w:lang w:val="en-ID"/>
        </w:rPr>
      </w:pPr>
      <w:r w:rsidRPr="002055F9">
        <w:rPr>
          <w:rFonts w:ascii="Arial" w:eastAsia="Times New Roman" w:hAnsi="Arial" w:cs="Arial"/>
          <w:color w:val="000000"/>
          <w:szCs w:val="20"/>
          <w:lang w:val="en-ID"/>
        </w:rPr>
        <w:t>Solar modules contain PV cells that can be combined to create solar power generators. The efficiency of solar modules depends on the type of PV cell material used, whether crystalline or non-crystalline (thin-film). PV cells are divided into mono-crystalline and poly-crystalline types (thin-film), with conversion efficiencies ranging from approximately 12</w:t>
      </w:r>
      <w:r w:rsidR="00FC4B90">
        <w:rPr>
          <w:rFonts w:ascii="Arial" w:eastAsia="Times New Roman" w:hAnsi="Arial" w:cs="Arial"/>
          <w:color w:val="000000"/>
          <w:szCs w:val="20"/>
          <w:lang w:val="en-ID"/>
        </w:rPr>
        <w:t>%</w:t>
      </w:r>
      <w:r w:rsidRPr="002055F9">
        <w:rPr>
          <w:rFonts w:ascii="Arial" w:eastAsia="Times New Roman" w:hAnsi="Arial" w:cs="Arial"/>
          <w:color w:val="000000"/>
          <w:szCs w:val="20"/>
          <w:lang w:val="en-ID"/>
        </w:rPr>
        <w:t xml:space="preserve"> to 20%</w:t>
      </w:r>
      <w:r w:rsidR="00D8454D">
        <w:rPr>
          <w:rFonts w:ascii="Arial" w:eastAsia="Times New Roman" w:hAnsi="Arial" w:cs="Arial"/>
          <w:color w:val="000000"/>
          <w:szCs w:val="20"/>
          <w:lang w:val="en-ID"/>
        </w:rPr>
        <w:t xml:space="preserve"> </w:t>
      </w:r>
      <w:r w:rsidR="00D8454D">
        <w:rPr>
          <w:rFonts w:ascii="Arial" w:eastAsia="Times New Roman" w:hAnsi="Arial" w:cs="Arial"/>
          <w:color w:val="000000"/>
          <w:szCs w:val="20"/>
          <w:lang w:val="en-ID"/>
        </w:rPr>
        <w:fldChar w:fldCharType="begin" w:fldLock="1"/>
      </w:r>
      <w:r w:rsidR="00D8454D">
        <w:rPr>
          <w:rFonts w:ascii="Arial" w:eastAsia="Times New Roman" w:hAnsi="Arial" w:cs="Arial"/>
          <w:color w:val="000000"/>
          <w:szCs w:val="20"/>
          <w:lang w:val="en-ID"/>
        </w:rPr>
        <w:instrText>ADDIN CSL_CITATION {"citationItems":[{"id":"ITEM-1","itemData":{"abstract":"Target Pemerintah untuk mencapai rasio elektrifikasi 100% di seluruh Indonesia melalui penyediaan akses listrik terutama di daerah-daerah terdepan, terluar, tertinggal dan terisolir (4T), adalah salah satu tugas penting bagi Direktorat Jenderal Energi Baru, Terbarukan dan Konservasi Energi (EBTKE). Pembangkit Listrik Tenaga Surya (PLTS) Terpusat, sebagai salah satu sumber energi terbarukan telah mengambil peran penting dalam pencapaian target rasio elektrifikasi tersebut. Dalam perkembangannya, penyediaan akses listrik tidak hanya ditujukan untuk pemenuhan kebutuhan konsumtif, tetapi juga sebagai akselerasi peningkatan perekonomian di daerah sehingga memberikan dukungan terhadap kesejahteraan masyarakat. Dalam rangka pencapaian tujuan tersebut, perencanaan pengembangan PLTS Terpusat yang selaras dengan perencanaan peningkatan perekonomian masyarakat menjadi pertimbangan penting dalam penentuan lokasi pembangunan PLTS Terpusat oleh Pemerintah Daerah. Dalam hal ini, proses studi kelayakan PLTS Terpusat menjadi salah satu tahapan penting untuk memastikan operasional dan pemanfaatan PLTS Terpusat secara berkelanjutan.","author":[{"dropping-particle":"","family":"Kencana","given":"Bayuaji","non-dropping-particle":"","parse-names":false,"suffix":""},{"dropping-particle":"","family":"Prasetyo","given":"Budi","non-dropping-particle":"","parse-names":false,"suffix":""},{"dropping-particle":"","family":"Berchmans","given":"Hanny","non-dropping-particle":"","parse-names":false,"suffix":""},{"dropping-particle":"","family":"Agustina","given":"Imas","non-dropping-particle":"","parse-names":false,"suffix":""},{"dropping-particle":"","family":"Myrasandri","given":"Puteri","non-dropping-particle":"","parse-names":false,"suffix":""},{"dropping-particle":"","family":"Richard","given":"Raymond Bona","non-dropping-particle":"","parse-names":false,"suffix":""},{"dropping-particle":"","family":"Panjaitan","given":"Randy","non-dropping-particle":"","parse-names":false,"suffix":""},{"dropping-particle":"","family":"Winne","given":"","non-dropping-particle":"","parse-names":false,"suffix":""}],"container-title":"Indonesia Clean Energy Development II","editor":[{"dropping-particle":"","family":"Tetra Tech ES Inc.","given":"","non-dropping-particle":"","parse-names":false,"suffix":""}],"id":"ITEM-1","issue":"November","issued":{"date-parts":[["2018"]]},"publisher":"Lembaga Pembangunan Internasional Amerika Serikat","publisher-place":"Jakarta, Indonesia","title":"Panduan Studi Kelayakan Pembangkit Listrik Tenaga Surya (PLTS)","type":"book"},"uris":["http://www.mendeley.com/documents/?uuid=91bb7bfa-e550-4861-be7c-222423daf582"]}],"mendeley":{"formattedCitation":"(Kencana et al., 2018)","plainTextFormattedCitation":"(Kencana et al., 2018)","previouslyFormattedCitation":"(Kencana et al., 2018)"},"properties":{"noteIndex":0},"schema":"https://github.com/citation-style-language/schema/raw/master/csl-citation.json"}</w:instrText>
      </w:r>
      <w:r w:rsidR="00D8454D">
        <w:rPr>
          <w:rFonts w:ascii="Arial" w:eastAsia="Times New Roman" w:hAnsi="Arial" w:cs="Arial"/>
          <w:color w:val="000000"/>
          <w:szCs w:val="20"/>
          <w:lang w:val="en-ID"/>
        </w:rPr>
        <w:fldChar w:fldCharType="separate"/>
      </w:r>
      <w:r w:rsidR="00D8454D" w:rsidRPr="00D8454D">
        <w:rPr>
          <w:rFonts w:ascii="Arial" w:eastAsia="Times New Roman" w:hAnsi="Arial" w:cs="Arial"/>
          <w:noProof/>
          <w:color w:val="000000"/>
          <w:szCs w:val="20"/>
          <w:lang w:val="en-ID"/>
        </w:rPr>
        <w:t>(Kencana et al., 2018)</w:t>
      </w:r>
      <w:r w:rsidR="00D8454D">
        <w:rPr>
          <w:rFonts w:ascii="Arial" w:eastAsia="Times New Roman" w:hAnsi="Arial" w:cs="Arial"/>
          <w:color w:val="000000"/>
          <w:szCs w:val="20"/>
          <w:lang w:val="en-ID"/>
        </w:rPr>
        <w:fldChar w:fldCharType="end"/>
      </w:r>
      <w:r w:rsidR="000B0C16" w:rsidRPr="000B0C16">
        <w:rPr>
          <w:rFonts w:ascii="Arial" w:eastAsia="Times New Roman" w:hAnsi="Arial" w:cs="Arial"/>
          <w:color w:val="000000"/>
          <w:szCs w:val="20"/>
          <w:lang w:val="en-ID"/>
        </w:rPr>
        <w:t xml:space="preserve">. </w:t>
      </w:r>
      <w:r w:rsidRPr="002055F9">
        <w:rPr>
          <w:rFonts w:ascii="Arial" w:eastAsia="Times New Roman" w:hAnsi="Arial" w:cs="Arial"/>
          <w:color w:val="000000"/>
          <w:szCs w:val="20"/>
          <w:lang w:val="en-ID"/>
        </w:rPr>
        <w:t xml:space="preserve">When solar radiation intensity reaches 1000 W/m2, solar modules can produce DC electrical current according to their rating plate, such as 250 </w:t>
      </w:r>
      <w:proofErr w:type="spellStart"/>
      <w:r w:rsidRPr="002055F9">
        <w:rPr>
          <w:rFonts w:ascii="Arial" w:eastAsia="Times New Roman" w:hAnsi="Arial" w:cs="Arial"/>
          <w:color w:val="000000"/>
          <w:szCs w:val="20"/>
          <w:lang w:val="en-ID"/>
        </w:rPr>
        <w:t>Wp</w:t>
      </w:r>
      <w:proofErr w:type="spellEnd"/>
      <w:r w:rsidRPr="002055F9">
        <w:rPr>
          <w:rFonts w:ascii="Arial" w:eastAsia="Times New Roman" w:hAnsi="Arial" w:cs="Arial"/>
          <w:color w:val="000000"/>
          <w:szCs w:val="20"/>
          <w:lang w:val="en-ID"/>
        </w:rPr>
        <w:t xml:space="preserve">. However, actual electricity production is influenced by various factors such as system capacity, solar radiation intensity, module orientation, angle, and other factors. </w:t>
      </w:r>
      <w:r w:rsidR="00FC4B90">
        <w:rPr>
          <w:rFonts w:ascii="Arial" w:eastAsia="Times New Roman" w:hAnsi="Arial" w:cs="Arial"/>
          <w:color w:val="000000"/>
          <w:szCs w:val="20"/>
          <w:lang w:val="en-ID"/>
        </w:rPr>
        <w:t>Inverters must convert DC electrical current from solar modules into alternating current (AC)</w:t>
      </w:r>
      <w:r w:rsidRPr="002055F9">
        <w:rPr>
          <w:rFonts w:ascii="Arial" w:eastAsia="Times New Roman" w:hAnsi="Arial" w:cs="Arial"/>
          <w:color w:val="000000"/>
          <w:szCs w:val="20"/>
          <w:lang w:val="en-ID"/>
        </w:rPr>
        <w:t>. There are two types of battery charging systems in off-grid PV systems: DC or AC switches. The AC voltage system is obtained from inverters that convert DC voltage from PV modules or batteries. String Inverters convert DC voltage into AC voltage directly from PV modules. Battery Inverters, or two-way battery inverters, convert DC voltage from batteries into AC voltage during discharge and vice versa during charging. Battery electrical current can be controlled using a Solar Charge Controller (SCC) or Solar Charge Regulator (SCR), which also prevents overcharging. Deep Discharge Batteries can store 20% of the remaining energy from the battery storage capacity.</w:t>
      </w:r>
    </w:p>
    <w:p w14:paraId="2899FDC1" w14:textId="77777777" w:rsidR="002055F9" w:rsidRPr="00585502" w:rsidRDefault="002055F9" w:rsidP="00585502">
      <w:pPr>
        <w:pBdr>
          <w:top w:val="nil"/>
          <w:left w:val="nil"/>
          <w:bottom w:val="nil"/>
          <w:right w:val="nil"/>
          <w:between w:val="nil"/>
        </w:pBdr>
        <w:spacing w:after="0" w:line="264" w:lineRule="auto"/>
        <w:ind w:left="0" w:hanging="2"/>
        <w:rPr>
          <w:rFonts w:ascii="Arial" w:eastAsia="Times New Roman" w:hAnsi="Arial" w:cs="Arial"/>
          <w:color w:val="000000"/>
          <w:szCs w:val="20"/>
          <w:lang w:val="en-ID"/>
        </w:rPr>
      </w:pPr>
    </w:p>
    <w:p w14:paraId="0DB8118A" w14:textId="3B474809" w:rsidR="00CF3246" w:rsidRPr="002055F9" w:rsidRDefault="002055F9" w:rsidP="002055F9">
      <w:pPr>
        <w:pBdr>
          <w:top w:val="nil"/>
          <w:left w:val="nil"/>
          <w:bottom w:val="nil"/>
          <w:right w:val="nil"/>
          <w:between w:val="nil"/>
        </w:pBdr>
        <w:spacing w:after="0" w:line="264" w:lineRule="auto"/>
        <w:ind w:left="0" w:hanging="2"/>
        <w:rPr>
          <w:rFonts w:ascii="Arial" w:eastAsia="Times New Roman" w:hAnsi="Arial" w:cs="Arial"/>
          <w:color w:val="000000"/>
          <w:szCs w:val="20"/>
          <w:lang w:val="en-ID"/>
        </w:rPr>
      </w:pPr>
      <w:r w:rsidRPr="002055F9">
        <w:rPr>
          <w:rFonts w:ascii="Arial" w:eastAsia="Times New Roman" w:hAnsi="Arial" w:cs="Arial"/>
          <w:color w:val="000000"/>
          <w:szCs w:val="20"/>
          <w:lang w:val="en-ID"/>
        </w:rPr>
        <w:t>The limitations and assumptions used in calculating the electricity needs for billboard lighting are as follows: the most commonly used billboard size is 4 x 6 meters, horizontal, one-sided, using energy-efficient 240W LED high mast floodlights installed with a front</w:t>
      </w:r>
      <w:r w:rsidR="006221AC">
        <w:rPr>
          <w:rFonts w:ascii="Arial" w:eastAsia="Times New Roman" w:hAnsi="Arial" w:cs="Arial"/>
          <w:color w:val="000000"/>
          <w:szCs w:val="20"/>
          <w:lang w:val="en-ID"/>
        </w:rPr>
        <w:t xml:space="preserve"> </w:t>
      </w:r>
      <w:r w:rsidRPr="002055F9">
        <w:rPr>
          <w:rFonts w:ascii="Arial" w:eastAsia="Times New Roman" w:hAnsi="Arial" w:cs="Arial"/>
          <w:color w:val="000000"/>
          <w:szCs w:val="20"/>
          <w:lang w:val="en-ID"/>
        </w:rPr>
        <w:t>lite type for efficiency. The lights are only turned on from 18:00 to 06:00 to conserve energy</w:t>
      </w:r>
      <w:r w:rsidR="00FC4B90">
        <w:rPr>
          <w:rFonts w:ascii="Arial" w:eastAsia="Times New Roman" w:hAnsi="Arial" w:cs="Arial"/>
          <w:color w:val="000000"/>
          <w:szCs w:val="20"/>
          <w:lang w:val="en-ID"/>
        </w:rPr>
        <w:t>;</w:t>
      </w:r>
      <w:r w:rsidRPr="002055F9">
        <w:rPr>
          <w:rFonts w:ascii="Arial" w:eastAsia="Times New Roman" w:hAnsi="Arial" w:cs="Arial"/>
          <w:color w:val="000000"/>
          <w:szCs w:val="20"/>
          <w:lang w:val="en-ID"/>
        </w:rPr>
        <w:t xml:space="preserve"> billboard management is the </w:t>
      </w:r>
      <w:r w:rsidR="00FC4B90">
        <w:rPr>
          <w:rFonts w:ascii="Arial" w:eastAsia="Times New Roman" w:hAnsi="Arial" w:cs="Arial"/>
          <w:color w:val="000000"/>
          <w:szCs w:val="20"/>
          <w:lang w:val="en-ID"/>
        </w:rPr>
        <w:t>company's responsibilit</w:t>
      </w:r>
      <w:r w:rsidRPr="002055F9">
        <w:rPr>
          <w:rFonts w:ascii="Arial" w:eastAsia="Times New Roman" w:hAnsi="Arial" w:cs="Arial"/>
          <w:color w:val="000000"/>
          <w:szCs w:val="20"/>
          <w:lang w:val="en-ID"/>
        </w:rPr>
        <w:t xml:space="preserve">y. Electricity consumption calculations show that </w:t>
      </w:r>
      <w:r w:rsidR="00FC4B90">
        <w:rPr>
          <w:rFonts w:ascii="Arial" w:eastAsia="Times New Roman" w:hAnsi="Arial" w:cs="Arial"/>
          <w:color w:val="000000"/>
          <w:szCs w:val="20"/>
          <w:lang w:val="en-ID"/>
        </w:rPr>
        <w:t>using</w:t>
      </w:r>
      <w:r w:rsidRPr="002055F9">
        <w:rPr>
          <w:rFonts w:ascii="Arial" w:eastAsia="Times New Roman" w:hAnsi="Arial" w:cs="Arial"/>
          <w:color w:val="000000"/>
          <w:szCs w:val="20"/>
          <w:lang w:val="en-ID"/>
        </w:rPr>
        <w:t xml:space="preserve"> one 240W lamp for twelve hours a day, the monthly electricity consumption is 86.4 kWh. Based on a 3500 VA power assumption, the monthly electricity cost is </w:t>
      </w:r>
      <w:proofErr w:type="spellStart"/>
      <w:r w:rsidRPr="002055F9">
        <w:rPr>
          <w:rFonts w:ascii="Arial" w:eastAsia="Times New Roman" w:hAnsi="Arial" w:cs="Arial"/>
          <w:color w:val="000000"/>
          <w:szCs w:val="20"/>
          <w:lang w:val="en-ID"/>
        </w:rPr>
        <w:t>Rp</w:t>
      </w:r>
      <w:proofErr w:type="spellEnd"/>
      <w:r w:rsidRPr="002055F9">
        <w:rPr>
          <w:rFonts w:ascii="Arial" w:eastAsia="Times New Roman" w:hAnsi="Arial" w:cs="Arial"/>
          <w:color w:val="000000"/>
          <w:szCs w:val="20"/>
          <w:lang w:val="en-ID"/>
        </w:rPr>
        <w:t xml:space="preserve"> 93,000. Furthermore, </w:t>
      </w:r>
      <w:r w:rsidR="00FC4B90">
        <w:rPr>
          <w:rFonts w:ascii="Arial" w:eastAsia="Times New Roman" w:hAnsi="Arial" w:cs="Arial"/>
          <w:color w:val="000000"/>
          <w:szCs w:val="20"/>
          <w:lang w:val="en-ID"/>
        </w:rPr>
        <w:t>using</w:t>
      </w:r>
      <w:r w:rsidRPr="002055F9">
        <w:rPr>
          <w:rFonts w:ascii="Arial" w:eastAsia="Times New Roman" w:hAnsi="Arial" w:cs="Arial"/>
          <w:color w:val="000000"/>
          <w:szCs w:val="20"/>
          <w:lang w:val="en-ID"/>
        </w:rPr>
        <w:t xml:space="preserve"> PV panels can harness solar radiation with an average of 521.03 W/m2 for 10 hours a day, providing enough electricity to meet the daily billboard lighting needs of 2,880 </w:t>
      </w:r>
      <w:proofErr w:type="spellStart"/>
      <w:r w:rsidRPr="002055F9">
        <w:rPr>
          <w:rFonts w:ascii="Arial" w:eastAsia="Times New Roman" w:hAnsi="Arial" w:cs="Arial"/>
          <w:color w:val="000000"/>
          <w:szCs w:val="20"/>
          <w:lang w:val="en-ID"/>
        </w:rPr>
        <w:t>Wh</w:t>
      </w:r>
      <w:proofErr w:type="spellEnd"/>
      <w:r w:rsidRPr="002055F9">
        <w:rPr>
          <w:rFonts w:ascii="Arial" w:eastAsia="Times New Roman" w:hAnsi="Arial" w:cs="Arial"/>
          <w:color w:val="000000"/>
          <w:szCs w:val="20"/>
          <w:lang w:val="en-ID"/>
        </w:rPr>
        <w:t xml:space="preserve"> while storing excess energy. This aligns with previous research findings on the potential energy supply from the sun for billboard lighting. Therefore, PV can be an efficient and sustainable solution for billboard lighting in Indonesia</w:t>
      </w:r>
      <w:r>
        <w:rPr>
          <w:rFonts w:ascii="Arial" w:eastAsia="Times New Roman" w:hAnsi="Arial" w:cs="Arial"/>
          <w:color w:val="000000"/>
          <w:szCs w:val="20"/>
          <w:lang w:val="en-ID"/>
        </w:rPr>
        <w:t xml:space="preserve"> </w:t>
      </w:r>
      <w:r w:rsidR="002026AB">
        <w:rPr>
          <w:rFonts w:ascii="Arial" w:eastAsia="Times New Roman" w:hAnsi="Arial" w:cs="Arial"/>
          <w:color w:val="000000"/>
          <w:szCs w:val="20"/>
          <w:lang w:val="en-ID"/>
        </w:rPr>
        <w:fldChar w:fldCharType="begin" w:fldLock="1"/>
      </w:r>
      <w:r w:rsidR="002026AB">
        <w:rPr>
          <w:rFonts w:ascii="Arial" w:eastAsia="Times New Roman" w:hAnsi="Arial" w:cs="Arial"/>
          <w:color w:val="000000"/>
          <w:szCs w:val="20"/>
          <w:lang w:val="en-ID"/>
        </w:rPr>
        <w:instrText>ADDIN CSL_CITATION {"citationItems":[{"id":"ITEM-1","itemData":{"DOI":"10.31959/js.v11i1.621","ISSN":"2302-9579","abstract":"This research aimed to investigate the use of fan type hologram, that is considered to be a new technology, to replace conventional billboard. Billboard usage consumes plenty of energy and is not flexible. Fan type hologram is expected to reduce the electricity use and becomes more attractive to the general society. Prototype of the system build with solar cell as the source of energy, and battery as the storage. The energy from the sun is also measured to confirmed the energy supply is enough.The experiment showed that the initial cost for billboard is less expensive than the fan type hologram. On the other hand, the use of electricity of fan type hologram is much less than the billboard. It is also does not pay the monthly electricity bill, while conventional billboard needs to pay around Rp.252.000,- per month. 91.2% respondents agree for the replacement of the conventional billboard with fan type hologram.","author":[{"dropping-particle":"","family":"Lilipaly","given":"Eka Rahmat Mahayani Anthonio Putera","non-dropping-particle":"","parse-names":false,"suffix":""},{"dropping-particle":"","family":"Dharmawan","given":"Eka Adhitya","non-dropping-particle":"","parse-names":false,"suffix":""}],"container-title":"Jurnal Simetrik","id":"ITEM-1","issue":"1","issued":{"date-parts":[["2021"]]},"page":"422-431","title":"Penggunaan Fan Type Hologram Dengan Solar Cell Sebagai Pilihan Alternatif Billboard Di Kota Ambon","type":"article-journal","volume":"11"},"uris":["http://www.mendeley.com/documents/?uuid=9099766f-f3e2-4cf0-b1ed-ae9fb74ab6fd"]}],"mendeley":{"formattedCitation":"(Lilipaly &amp; Dharmawan, 2021)","plainTextFormattedCitation":"(Lilipaly &amp; Dharmawan, 2021)","previouslyFormattedCitation":"(Lilipaly &amp; Dharmawan, 2021)"},"properties":{"noteIndex":0},"schema":"https://github.com/citation-style-language/schema/raw/master/csl-citation.json"}</w:instrText>
      </w:r>
      <w:r w:rsidR="002026AB">
        <w:rPr>
          <w:rFonts w:ascii="Arial" w:eastAsia="Times New Roman" w:hAnsi="Arial" w:cs="Arial"/>
          <w:color w:val="000000"/>
          <w:szCs w:val="20"/>
          <w:lang w:val="en-ID"/>
        </w:rPr>
        <w:fldChar w:fldCharType="separate"/>
      </w:r>
      <w:r w:rsidR="002026AB" w:rsidRPr="002026AB">
        <w:rPr>
          <w:rFonts w:ascii="Arial" w:eastAsia="Times New Roman" w:hAnsi="Arial" w:cs="Arial"/>
          <w:noProof/>
          <w:color w:val="000000"/>
          <w:szCs w:val="20"/>
          <w:lang w:val="en-ID"/>
        </w:rPr>
        <w:t>(Lilipaly &amp; Dharmawan, 2021)</w:t>
      </w:r>
      <w:r w:rsidR="002026AB">
        <w:rPr>
          <w:rFonts w:ascii="Arial" w:eastAsia="Times New Roman" w:hAnsi="Arial" w:cs="Arial"/>
          <w:color w:val="000000"/>
          <w:szCs w:val="20"/>
          <w:lang w:val="en-ID"/>
        </w:rPr>
        <w:fldChar w:fldCharType="end"/>
      </w:r>
      <w:r w:rsidR="0018780B" w:rsidRPr="0018780B">
        <w:rPr>
          <w:rFonts w:ascii="Arial" w:eastAsia="Times New Roman" w:hAnsi="Arial" w:cs="Arial"/>
          <w:color w:val="000000"/>
          <w:szCs w:val="20"/>
          <w:lang w:val="en-ID"/>
        </w:rPr>
        <w:t>.</w:t>
      </w:r>
    </w:p>
    <w:p w14:paraId="16AE7C2A" w14:textId="6E249041" w:rsidR="002055F9" w:rsidRPr="002055F9" w:rsidRDefault="002055F9" w:rsidP="002055F9">
      <w:pPr>
        <w:pBdr>
          <w:top w:val="nil"/>
          <w:left w:val="nil"/>
          <w:bottom w:val="nil"/>
          <w:right w:val="nil"/>
          <w:between w:val="nil"/>
        </w:pBdr>
        <w:spacing w:after="0" w:line="264" w:lineRule="auto"/>
        <w:ind w:left="0" w:hanging="2"/>
        <w:rPr>
          <w:rFonts w:ascii="Arial" w:eastAsia="Times New Roman" w:hAnsi="Arial" w:cs="Arial"/>
          <w:bCs/>
          <w:color w:val="000000"/>
          <w:szCs w:val="20"/>
          <w:lang w:val="en-ID"/>
        </w:rPr>
      </w:pPr>
      <w:r w:rsidRPr="002055F9">
        <w:rPr>
          <w:rFonts w:ascii="Arial" w:eastAsia="Times New Roman" w:hAnsi="Arial" w:cs="Arial"/>
          <w:bCs/>
          <w:color w:val="000000"/>
          <w:szCs w:val="20"/>
          <w:lang w:val="en-ID"/>
        </w:rPr>
        <w:t xml:space="preserve">Based on the PV's capability calculations, it is highly suitable to support billboard lighting. Advertising companies that optimize this opportunity can increase their workforce absorption in the installation industry in Indonesia. However, the initial capital required for PV procurement can still be considered </w:t>
      </w:r>
      <w:r w:rsidRPr="002055F9">
        <w:rPr>
          <w:rFonts w:ascii="Arial" w:eastAsia="Times New Roman" w:hAnsi="Arial" w:cs="Arial"/>
          <w:bCs/>
          <w:color w:val="000000"/>
          <w:szCs w:val="20"/>
          <w:lang w:val="en-ID"/>
        </w:rPr>
        <w:lastRenderedPageBreak/>
        <w:t xml:space="preserve">expensive due to the primary material of PV, silicon, which has high production costs. Some research has been conducted to reconsider alternative materials to reduce production costs, ultimately lowering the initial capital required. Lower capital costs will encourage </w:t>
      </w:r>
      <w:r w:rsidR="00FC4B90">
        <w:rPr>
          <w:rFonts w:ascii="Arial" w:eastAsia="Times New Roman" w:hAnsi="Arial" w:cs="Arial"/>
          <w:bCs/>
          <w:color w:val="000000"/>
          <w:szCs w:val="20"/>
          <w:lang w:val="en-ID"/>
        </w:rPr>
        <w:t>using</w:t>
      </w:r>
      <w:r w:rsidRPr="002055F9">
        <w:rPr>
          <w:rFonts w:ascii="Arial" w:eastAsia="Times New Roman" w:hAnsi="Arial" w:cs="Arial"/>
          <w:bCs/>
          <w:color w:val="000000"/>
          <w:szCs w:val="20"/>
          <w:lang w:val="en-ID"/>
        </w:rPr>
        <w:t xml:space="preserve"> PV as a lighting energy source for billboard lighting by advertising companies, demonstrating a commitment to the government's policy on using RE for Indonesia's carbon-free environment.</w:t>
      </w:r>
    </w:p>
    <w:p w14:paraId="3EDE03C4" w14:textId="77777777" w:rsidR="002055F9" w:rsidRPr="002055F9" w:rsidRDefault="002055F9" w:rsidP="002055F9">
      <w:pPr>
        <w:pBdr>
          <w:top w:val="nil"/>
          <w:left w:val="nil"/>
          <w:bottom w:val="nil"/>
          <w:right w:val="nil"/>
          <w:between w:val="nil"/>
        </w:pBdr>
        <w:spacing w:after="0" w:line="264" w:lineRule="auto"/>
        <w:ind w:left="0" w:hanging="2"/>
        <w:rPr>
          <w:rFonts w:ascii="Arial" w:eastAsia="Times New Roman" w:hAnsi="Arial" w:cs="Arial"/>
          <w:bCs/>
          <w:color w:val="000000"/>
          <w:szCs w:val="20"/>
          <w:lang w:val="en-ID"/>
        </w:rPr>
      </w:pPr>
    </w:p>
    <w:p w14:paraId="66A71D92" w14:textId="220AE7E6" w:rsidR="0018780B" w:rsidRDefault="002055F9" w:rsidP="002055F9">
      <w:pPr>
        <w:pBdr>
          <w:top w:val="nil"/>
          <w:left w:val="nil"/>
          <w:bottom w:val="nil"/>
          <w:right w:val="nil"/>
          <w:between w:val="nil"/>
        </w:pBdr>
        <w:spacing w:after="0" w:line="264" w:lineRule="auto"/>
        <w:ind w:left="0" w:hanging="2"/>
        <w:rPr>
          <w:rFonts w:ascii="Arial" w:eastAsia="Times New Roman" w:hAnsi="Arial" w:cs="Arial"/>
          <w:bCs/>
          <w:color w:val="000000"/>
          <w:szCs w:val="20"/>
          <w:lang w:val="en-ID"/>
        </w:rPr>
      </w:pPr>
      <w:r w:rsidRPr="002055F9">
        <w:rPr>
          <w:rFonts w:ascii="Arial" w:eastAsia="Times New Roman" w:hAnsi="Arial" w:cs="Arial"/>
          <w:bCs/>
          <w:color w:val="000000"/>
          <w:szCs w:val="20"/>
          <w:lang w:val="en-ID"/>
        </w:rPr>
        <w:t xml:space="preserve">The PV business concept in advertising companies, particularly billboards, depicted through the value chain, BMC, and Lean Canvas, can provide insights into the optimization that advertising companies can achieve </w:t>
      </w:r>
      <w:r w:rsidR="00FC4B90">
        <w:rPr>
          <w:rFonts w:ascii="Arial" w:eastAsia="Times New Roman" w:hAnsi="Arial" w:cs="Arial"/>
          <w:bCs/>
          <w:color w:val="000000"/>
          <w:szCs w:val="20"/>
          <w:lang w:val="en-ID"/>
        </w:rPr>
        <w:t>by implementing</w:t>
      </w:r>
      <w:r w:rsidRPr="002055F9">
        <w:rPr>
          <w:rFonts w:ascii="Arial" w:eastAsia="Times New Roman" w:hAnsi="Arial" w:cs="Arial"/>
          <w:bCs/>
          <w:color w:val="000000"/>
          <w:szCs w:val="20"/>
          <w:lang w:val="en-ID"/>
        </w:rPr>
        <w:t xml:space="preserve"> PV as an energy source for lighting. The designed value chain, BMC, and Lean Canvas also provide an overview of the absorption of human resources (HR) in Indonesia as PV installers for billboard lighting. This HR absorption will have an impact on local and national economic growth. </w:t>
      </w:r>
      <w:r w:rsidR="00FC4B90">
        <w:rPr>
          <w:rFonts w:ascii="Arial" w:eastAsia="Times New Roman" w:hAnsi="Arial" w:cs="Arial"/>
          <w:bCs/>
          <w:color w:val="000000"/>
          <w:szCs w:val="20"/>
          <w:lang w:val="en-ID"/>
        </w:rPr>
        <w:t>The growing vocational schools in the country support Indonesia's abundant HR</w:t>
      </w:r>
      <w:r w:rsidRPr="002055F9">
        <w:rPr>
          <w:rFonts w:ascii="Arial" w:eastAsia="Times New Roman" w:hAnsi="Arial" w:cs="Arial"/>
          <w:bCs/>
          <w:color w:val="000000"/>
          <w:szCs w:val="20"/>
          <w:lang w:val="en-ID"/>
        </w:rPr>
        <w:t xml:space="preserve">. Graduates from vocational schools are expected to be ready to work immediately in their respective fields of concentration. This research aims to design a PV business as a source of RE for billboard lighting, which will provide long-term benefits for advertising companies and serve as a platform for absorbing technician practitioners as PV installers while also contributing to </w:t>
      </w:r>
      <w:r w:rsidR="00FC4B90">
        <w:rPr>
          <w:rFonts w:ascii="Arial" w:eastAsia="Times New Roman" w:hAnsi="Arial" w:cs="Arial"/>
          <w:bCs/>
          <w:color w:val="000000"/>
          <w:szCs w:val="20"/>
          <w:lang w:val="en-ID"/>
        </w:rPr>
        <w:t>improving</w:t>
      </w:r>
      <w:r w:rsidRPr="002055F9">
        <w:rPr>
          <w:rFonts w:ascii="Arial" w:eastAsia="Times New Roman" w:hAnsi="Arial" w:cs="Arial"/>
          <w:bCs/>
          <w:color w:val="000000"/>
          <w:szCs w:val="20"/>
          <w:lang w:val="en-ID"/>
        </w:rPr>
        <w:t xml:space="preserve"> Indonesia's HR in advanced technology and RE competencies. The BMC design for PV in advertising companies can be one of the main drivers of empowering higher-quality HR in Indonesia through the transfer of knowledge and advanced technology, leading to the emergence of advertising companies that initiate billboard businesses with PV as </w:t>
      </w:r>
      <w:proofErr w:type="gramStart"/>
      <w:r w:rsidRPr="002055F9">
        <w:rPr>
          <w:rFonts w:ascii="Arial" w:eastAsia="Times New Roman" w:hAnsi="Arial" w:cs="Arial"/>
          <w:bCs/>
          <w:color w:val="000000"/>
          <w:szCs w:val="20"/>
          <w:lang w:val="en-ID"/>
        </w:rPr>
        <w:t>an</w:t>
      </w:r>
      <w:proofErr w:type="gramEnd"/>
      <w:r w:rsidRPr="002055F9">
        <w:rPr>
          <w:rFonts w:ascii="Arial" w:eastAsia="Times New Roman" w:hAnsi="Arial" w:cs="Arial"/>
          <w:bCs/>
          <w:color w:val="000000"/>
          <w:szCs w:val="20"/>
          <w:lang w:val="en-ID"/>
        </w:rPr>
        <w:t xml:space="preserve"> RE source.</w:t>
      </w:r>
    </w:p>
    <w:p w14:paraId="7F212E69" w14:textId="77777777" w:rsidR="002055F9" w:rsidRPr="0018780B" w:rsidRDefault="002055F9" w:rsidP="002055F9">
      <w:pPr>
        <w:pBdr>
          <w:top w:val="nil"/>
          <w:left w:val="nil"/>
          <w:bottom w:val="nil"/>
          <w:right w:val="nil"/>
          <w:between w:val="nil"/>
        </w:pBdr>
        <w:spacing w:after="0" w:line="264" w:lineRule="auto"/>
        <w:ind w:left="0" w:hanging="2"/>
        <w:rPr>
          <w:rFonts w:ascii="Arial" w:eastAsia="Times New Roman" w:hAnsi="Arial" w:cs="Arial"/>
          <w:color w:val="000000"/>
          <w:szCs w:val="20"/>
        </w:rPr>
      </w:pPr>
    </w:p>
    <w:p w14:paraId="74CB8B1C" w14:textId="54AA6837" w:rsidR="00C76C98" w:rsidRDefault="002055F9" w:rsidP="00C76C98">
      <w:pPr>
        <w:pBdr>
          <w:top w:val="nil"/>
          <w:left w:val="nil"/>
          <w:bottom w:val="nil"/>
          <w:right w:val="nil"/>
          <w:between w:val="nil"/>
        </w:pBdr>
        <w:spacing w:after="0" w:line="264" w:lineRule="auto"/>
        <w:ind w:left="0" w:hanging="2"/>
        <w:rPr>
          <w:rFonts w:ascii="Arial" w:eastAsia="Times New Roman" w:hAnsi="Arial" w:cs="Arial"/>
          <w:color w:val="000000"/>
          <w:szCs w:val="20"/>
        </w:rPr>
      </w:pPr>
      <w:r w:rsidRPr="002055F9">
        <w:rPr>
          <w:rFonts w:ascii="Arial" w:eastAsia="Times New Roman" w:hAnsi="Arial" w:cs="Arial"/>
          <w:color w:val="000000"/>
          <w:szCs w:val="20"/>
        </w:rPr>
        <w:t xml:space="preserve">The </w:t>
      </w:r>
      <w:r w:rsidR="00FC4B90">
        <w:rPr>
          <w:rFonts w:ascii="Arial" w:eastAsia="Times New Roman" w:hAnsi="Arial" w:cs="Arial"/>
          <w:color w:val="000000"/>
          <w:szCs w:val="20"/>
        </w:rPr>
        <w:t>Value Chain, BMC, and Lean Canvas designs</w:t>
      </w:r>
      <w:r w:rsidRPr="002055F9">
        <w:rPr>
          <w:rFonts w:ascii="Arial" w:eastAsia="Times New Roman" w:hAnsi="Arial" w:cs="Arial"/>
          <w:color w:val="000000"/>
          <w:szCs w:val="20"/>
        </w:rPr>
        <w:t xml:space="preserve"> for this business concept </w:t>
      </w:r>
      <w:r w:rsidR="00FC4B90">
        <w:rPr>
          <w:rFonts w:ascii="Arial" w:eastAsia="Times New Roman" w:hAnsi="Arial" w:cs="Arial"/>
          <w:color w:val="000000"/>
          <w:szCs w:val="20"/>
        </w:rPr>
        <w:t>are</w:t>
      </w:r>
      <w:r w:rsidRPr="002055F9">
        <w:rPr>
          <w:rFonts w:ascii="Arial" w:eastAsia="Times New Roman" w:hAnsi="Arial" w:cs="Arial"/>
          <w:color w:val="000000"/>
          <w:szCs w:val="20"/>
        </w:rPr>
        <w:t xml:space="preserve"> created by applying supply chain efficiency strategies. In this business, there is an emphasis on supply chain efficiency strategies because it helps reduce unnecessary costs. This cost reduction is due to the continued high price of PV products, which impacts the company's focus on cost minimization. However, even though the focus is on supply chain efficiency strategies, this business design also applies some responsiveness supply chain strategies used in market research to identify business opportunities for PV installation for billboard lighting</w:t>
      </w:r>
      <w:r>
        <w:rPr>
          <w:rFonts w:ascii="Arial" w:eastAsia="Times New Roman" w:hAnsi="Arial" w:cs="Arial"/>
          <w:color w:val="000000"/>
          <w:szCs w:val="20"/>
        </w:rPr>
        <w:t xml:space="preserve"> </w:t>
      </w:r>
      <w:r w:rsidR="002026AB">
        <w:rPr>
          <w:rFonts w:ascii="Arial" w:eastAsia="Times New Roman" w:hAnsi="Arial" w:cs="Arial"/>
          <w:color w:val="000000"/>
          <w:szCs w:val="20"/>
        </w:rPr>
        <w:fldChar w:fldCharType="begin" w:fldLock="1"/>
      </w:r>
      <w:r w:rsidR="00266AA5">
        <w:rPr>
          <w:rFonts w:ascii="Arial" w:eastAsia="Times New Roman" w:hAnsi="Arial" w:cs="Arial"/>
          <w:color w:val="000000"/>
          <w:szCs w:val="20"/>
        </w:rPr>
        <w:instrText>ADDIN CSL_CITATION {"citationItems":[{"id":"ITEM-1","itemData":{"author":[{"dropping-particle":"","family":"Christyono","given":"Fendy","non-dropping-particle":"","parse-names":false,"suffix":""}],"container-title":"AGORA","id":"ITEM-1","issue":"3","issued":{"date-parts":[["2017"]]},"page":"1-6","title":"ANALISIS SUPPLY CHAIN PADA PT . CAHAYA INDO PERSADA Fendy Christyono","type":"article-journal","volume":"5"},"uris":["http://www.mendeley.com/documents/?uuid=5e3c6112-c75d-4eed-a8d3-6529b50571e1"]},{"id":"ITEM-2","itemData":{"DOI":"10.1007/978-3-8349-9320-5_22","ISBN":"0132086085","abstract":"Illustrating the key drivers in effective supply chain management, this book outlines the main concepts so that students may understand what creates a competitive advantage. This text also provides strong coverage of analytic skills so students can gauge the effectiveness of the techniques described in the text.;For MBA or senior level undergraduate supply chain management courses. A Strategic Framework for Understanding Supply Chain Management Borne from a course on supply chain management taught at Northwestern University's Kellogg School of Management, Supply Chain Management introduces high-level strategy and concepts while giving students the practical tools necessary to solve supply chain problems. The Sixth Edition weaves in compelling case study examples, providing students with clear insight into how good supply chain management offers a competitive advantage. On the flip side, students also learn the dangers of poor supply chain management, and how it can damage an organization's overall health and performance. Using a strategic framework, students are guided through all of the key drivers of supply chain performance, including facilities, inventory, transportation, information, sourcing, and pricing. By the end of the course, students will walk away with a deep understanding of supply chains and a firm grasp on the practical managerial levers to pull in order to improve supply chain performance.; ","author":[{"dropping-particle":"","family":"Chopra","given":"Sunil","non-dropping-particle":"","parse-names":false,"suffix":""},{"dropping-particle":"","family":"Meindl","given":"Peter","non-dropping-particle":"","parse-names":false,"suffix":""}],"container-title":"Das Summa Summarum des Management","id":"ITEM-2","issued":{"date-parts":[["2007"]]},"number-of-pages":"265-275","title":"Supply Chain Management. Strategy, Planning &amp; Operation","type":"book"},"uris":["http://www.mendeley.com/documents/?uuid=3b2b64ec-0cac-49d0-b0a3-3cd1d595a4ef"]}],"mendeley":{"formattedCitation":"(Chopra &amp; Meindl, 2007; Christyono, 2017)","plainTextFormattedCitation":"(Chopra &amp; Meindl, 2007; Christyono, 2017)","previouslyFormattedCitation":"(Chopra &amp; Meindl, 2007; Christyono, 2017)"},"properties":{"noteIndex":0},"schema":"https://github.com/citation-style-language/schema/raw/master/csl-citation.json"}</w:instrText>
      </w:r>
      <w:r w:rsidR="002026AB">
        <w:rPr>
          <w:rFonts w:ascii="Arial" w:eastAsia="Times New Roman" w:hAnsi="Arial" w:cs="Arial"/>
          <w:color w:val="000000"/>
          <w:szCs w:val="20"/>
        </w:rPr>
        <w:fldChar w:fldCharType="separate"/>
      </w:r>
      <w:r w:rsidR="002026AB" w:rsidRPr="002026AB">
        <w:rPr>
          <w:rFonts w:ascii="Arial" w:eastAsia="Times New Roman" w:hAnsi="Arial" w:cs="Arial"/>
          <w:noProof/>
          <w:color w:val="000000"/>
          <w:szCs w:val="20"/>
        </w:rPr>
        <w:t>(Chopra &amp; Meindl, 2007; Christyono, 2017)</w:t>
      </w:r>
      <w:r w:rsidR="002026AB">
        <w:rPr>
          <w:rFonts w:ascii="Arial" w:eastAsia="Times New Roman" w:hAnsi="Arial" w:cs="Arial"/>
          <w:color w:val="000000"/>
          <w:szCs w:val="20"/>
        </w:rPr>
        <w:fldChar w:fldCharType="end"/>
      </w:r>
      <w:r w:rsidR="00A818BF" w:rsidRPr="00A818BF">
        <w:rPr>
          <w:rFonts w:ascii="Arial" w:eastAsia="Times New Roman" w:hAnsi="Arial" w:cs="Arial"/>
          <w:color w:val="000000"/>
          <w:szCs w:val="20"/>
        </w:rPr>
        <w:t>.</w:t>
      </w:r>
    </w:p>
    <w:p w14:paraId="19C43B74" w14:textId="77777777" w:rsidR="00E160C9" w:rsidRDefault="00E160C9" w:rsidP="00C76C98">
      <w:pPr>
        <w:pBdr>
          <w:top w:val="nil"/>
          <w:left w:val="nil"/>
          <w:bottom w:val="nil"/>
          <w:right w:val="nil"/>
          <w:between w:val="nil"/>
        </w:pBdr>
        <w:spacing w:after="0" w:line="264" w:lineRule="auto"/>
        <w:ind w:left="0" w:hanging="2"/>
        <w:rPr>
          <w:rFonts w:ascii="Arial" w:eastAsia="Times New Roman" w:hAnsi="Arial" w:cs="Arial"/>
          <w:color w:val="000000"/>
          <w:szCs w:val="20"/>
          <w:lang w:val="en-ID"/>
        </w:rPr>
      </w:pPr>
    </w:p>
    <w:p w14:paraId="2B28199A" w14:textId="67CB57E6" w:rsidR="00C76C98" w:rsidRPr="00FC4B90" w:rsidRDefault="002055F9" w:rsidP="00FC4B90">
      <w:pPr>
        <w:pBdr>
          <w:top w:val="nil"/>
          <w:left w:val="nil"/>
          <w:bottom w:val="nil"/>
          <w:right w:val="nil"/>
          <w:between w:val="nil"/>
        </w:pBdr>
        <w:spacing w:line="240" w:lineRule="auto"/>
        <w:ind w:left="0" w:hanging="2"/>
        <w:rPr>
          <w:rFonts w:ascii="Arial" w:eastAsia="Arial" w:hAnsi="Arial" w:cs="Arial"/>
          <w:color w:val="000000"/>
          <w:szCs w:val="20"/>
        </w:rPr>
      </w:pPr>
      <w:r w:rsidRPr="002055F9">
        <w:rPr>
          <w:rFonts w:ascii="Arial" w:eastAsia="Times New Roman" w:hAnsi="Arial" w:cs="Arial"/>
          <w:color w:val="000000"/>
          <w:szCs w:val="20"/>
          <w:lang w:val="en-ID"/>
        </w:rPr>
        <w:t>Several previous studies in the field of PV utilization for billboard lighting have provided valuable insights in</w:t>
      </w:r>
      <w:r w:rsidR="006221AC">
        <w:rPr>
          <w:rFonts w:ascii="Arial" w:eastAsia="Times New Roman" w:hAnsi="Arial" w:cs="Arial"/>
          <w:color w:val="000000"/>
          <w:szCs w:val="20"/>
          <w:lang w:val="en-ID"/>
        </w:rPr>
        <w:t>to</w:t>
      </w:r>
      <w:r w:rsidRPr="002055F9">
        <w:rPr>
          <w:rFonts w:ascii="Arial" w:eastAsia="Times New Roman" w:hAnsi="Arial" w:cs="Arial"/>
          <w:color w:val="000000"/>
          <w:szCs w:val="20"/>
          <w:lang w:val="en-ID"/>
        </w:rPr>
        <w:t xml:space="preserve"> </w:t>
      </w:r>
      <w:r w:rsidR="00FC4B90">
        <w:rPr>
          <w:rFonts w:ascii="Arial" w:eastAsia="Times New Roman" w:hAnsi="Arial" w:cs="Arial"/>
          <w:color w:val="000000"/>
          <w:szCs w:val="20"/>
          <w:lang w:val="en-ID"/>
        </w:rPr>
        <w:t>Indonesia's business development context</w:t>
      </w:r>
      <w:r w:rsidRPr="002055F9">
        <w:rPr>
          <w:rFonts w:ascii="Arial" w:eastAsia="Times New Roman" w:hAnsi="Arial" w:cs="Arial"/>
          <w:color w:val="000000"/>
          <w:szCs w:val="20"/>
          <w:lang w:val="en-ID"/>
        </w:rPr>
        <w:t>. Summarizing various research, it is noted that the solar energy potential in Indonesia has not been optimally utilized</w:t>
      </w:r>
      <w:r>
        <w:rPr>
          <w:rFonts w:ascii="Arial" w:eastAsia="Times New Roman" w:hAnsi="Arial" w:cs="Arial"/>
          <w:color w:val="000000"/>
          <w:szCs w:val="20"/>
          <w:lang w:val="en-ID"/>
        </w:rPr>
        <w:t xml:space="preserve"> </w:t>
      </w:r>
      <w:r w:rsidR="00266AA5">
        <w:rPr>
          <w:rFonts w:ascii="Arial" w:eastAsia="Times New Roman" w:hAnsi="Arial" w:cs="Arial"/>
          <w:color w:val="000000"/>
          <w:szCs w:val="20"/>
          <w:lang w:val="en-ID"/>
        </w:rPr>
        <w:fldChar w:fldCharType="begin" w:fldLock="1"/>
      </w:r>
      <w:r w:rsidR="00266AA5">
        <w:rPr>
          <w:rFonts w:ascii="Arial" w:eastAsia="Times New Roman" w:hAnsi="Arial" w:cs="Arial"/>
          <w:color w:val="000000"/>
          <w:szCs w:val="20"/>
          <w:lang w:val="en-ID"/>
        </w:rPr>
        <w:instrText>ADDIN CSL_CITATION {"citationItems":[{"id":"ITEM-1","itemData":{"abstract":"Indonesia is the largest archipelagic country in the world which is located in the SouthEast Asia area. The geographical condition of Indonesia is extremely suit for developing of renewable energy in general and solar energy in specific. This report aims to review the recent situation of energy using in Indonesia and potential to utilize the solar and energy. Case studies of solar power systems in Medan, Indonesia using PVGIS indicate high energy yield during the year. Also it show that the crystalline silicon solar cells with inclined tracking system is the best combination.","author":[{"dropping-particle":"","family":"Dang","given":"Minh-Quan","non-dropping-particle":"","parse-names":false,"suffix":""}],"id":"ITEM-1","issue":"April","issued":{"date-parts":[["2017"]]},"number-of-pages":"1-26","title":"Potential of Solar Energy in Indonesia Solar Energy in Indonesia View project Potential of Solar Energy in Indonesia","type":"report"},"uris":["http://www.mendeley.com/documents/?uuid=362b0a8e-c8df-41e7-8fe9-4a88f13b97ff"]}],"mendeley":{"formattedCitation":"(Dang, 2017)","plainTextFormattedCitation":"(Dang, 2017)","previouslyFormattedCitation":"(Dang, 2017)"},"properties":{"noteIndex":0},"schema":"https://github.com/citation-style-language/schema/raw/master/csl-citation.json"}</w:instrText>
      </w:r>
      <w:r w:rsidR="00266AA5">
        <w:rPr>
          <w:rFonts w:ascii="Arial" w:eastAsia="Times New Roman" w:hAnsi="Arial" w:cs="Arial"/>
          <w:color w:val="000000"/>
          <w:szCs w:val="20"/>
          <w:lang w:val="en-ID"/>
        </w:rPr>
        <w:fldChar w:fldCharType="separate"/>
      </w:r>
      <w:r w:rsidR="00266AA5" w:rsidRPr="00266AA5">
        <w:rPr>
          <w:rFonts w:ascii="Arial" w:eastAsia="Times New Roman" w:hAnsi="Arial" w:cs="Arial"/>
          <w:noProof/>
          <w:color w:val="000000"/>
          <w:szCs w:val="20"/>
          <w:lang w:val="en-ID"/>
        </w:rPr>
        <w:t>(Dang, 2017)</w:t>
      </w:r>
      <w:r w:rsidR="00266AA5">
        <w:rPr>
          <w:rFonts w:ascii="Arial" w:eastAsia="Times New Roman" w:hAnsi="Arial" w:cs="Arial"/>
          <w:color w:val="000000"/>
          <w:szCs w:val="20"/>
          <w:lang w:val="en-ID"/>
        </w:rPr>
        <w:fldChar w:fldCharType="end"/>
      </w:r>
      <w:r w:rsidR="00E160C9" w:rsidRPr="00E160C9">
        <w:rPr>
          <w:rFonts w:ascii="Arial" w:eastAsia="Times New Roman" w:hAnsi="Arial" w:cs="Arial"/>
          <w:color w:val="000000"/>
          <w:szCs w:val="20"/>
          <w:lang w:val="en-ID"/>
        </w:rPr>
        <w:t xml:space="preserve">, </w:t>
      </w:r>
      <w:r w:rsidRPr="002055F9">
        <w:rPr>
          <w:rFonts w:ascii="Arial" w:eastAsia="Times New Roman" w:hAnsi="Arial" w:cs="Arial"/>
          <w:color w:val="000000"/>
          <w:szCs w:val="20"/>
          <w:lang w:val="en-ID"/>
        </w:rPr>
        <w:t xml:space="preserve">and there are challenges in the evolution of the PV value chain </w:t>
      </w:r>
      <w:r w:rsidR="00266AA5">
        <w:rPr>
          <w:rFonts w:ascii="Arial" w:eastAsia="Times New Roman" w:hAnsi="Arial" w:cs="Arial"/>
          <w:color w:val="000000"/>
          <w:szCs w:val="20"/>
          <w:lang w:val="en-ID"/>
        </w:rPr>
        <w:fldChar w:fldCharType="begin" w:fldLock="1"/>
      </w:r>
      <w:r w:rsidR="00A902F5">
        <w:rPr>
          <w:rFonts w:ascii="Arial" w:eastAsia="Times New Roman" w:hAnsi="Arial" w:cs="Arial"/>
          <w:color w:val="000000"/>
          <w:szCs w:val="20"/>
          <w:lang w:val="en-ID"/>
        </w:rPr>
        <w:instrText>ADDIN CSL_CITATION {"citationItems":[{"id":"ITEM-1","itemData":{"DOI":"10.1016/j.rser.2018.03.101","ISSN":"18790690","abstract":"The use of renewable energy resources is rapidly growing around the world. However, several barriers may hinder the diffusion of distributed energy solutions. This paper aims to identify the main inhibiting factors using a literature review methodology. To overcome these barriers and adapt to changing environmental conditions, companies operating in the distributed energy market need to develop innovative business model solutions. We therefore investigated the evolution of photovoltaic business models using the Business Model Canvas to determine how the obstacles to distributed energy deployment can be addressed. Finally, we applied the Lean Canvas to show the main differences between the models analysed and describe the benefits of the community-shared model compared with the alternatives, host-owned and third-party-owned solutions.","author":[{"dropping-particle":"","family":"Horváth","given":"Dóra","non-dropping-particle":"","parse-names":false,"suffix":""},{"dropping-particle":"","family":"Szabó","given":"Roland Zs","non-dropping-particle":"","parse-names":false,"suffix":""}],"container-title":"Renewable and Sustainable Energy Reviews","id":"ITEM-1","issue":"July","issued":{"date-parts":[["2018"]]},"page":"623-635","publisher":"Elsevier Ltd","title":"Evolution of photovoltaic business models: Overcoming the main barriers of distributed energy deployment","type":"article-journal","volume":"90"},"uris":["http://www.mendeley.com/documents/?uuid=abe38ff9-c841-43a0-9458-53b60c8e6812"]}],"mendeley":{"formattedCitation":"(Horváth &amp; Szabó, 2018)","plainTextFormattedCitation":"(Horváth &amp; Szabó, 2018)","previouslyFormattedCitation":"(Horváth &amp; Szabó, 2018)"},"properties":{"noteIndex":0},"schema":"https://github.com/citation-style-language/schema/raw/master/csl-citation.json"}</w:instrText>
      </w:r>
      <w:r w:rsidR="00266AA5">
        <w:rPr>
          <w:rFonts w:ascii="Arial" w:eastAsia="Times New Roman" w:hAnsi="Arial" w:cs="Arial"/>
          <w:color w:val="000000"/>
          <w:szCs w:val="20"/>
          <w:lang w:val="en-ID"/>
        </w:rPr>
        <w:fldChar w:fldCharType="separate"/>
      </w:r>
      <w:r w:rsidR="00266AA5" w:rsidRPr="00266AA5">
        <w:rPr>
          <w:rFonts w:ascii="Arial" w:eastAsia="Times New Roman" w:hAnsi="Arial" w:cs="Arial"/>
          <w:noProof/>
          <w:color w:val="000000"/>
          <w:szCs w:val="20"/>
          <w:lang w:val="en-ID"/>
        </w:rPr>
        <w:t>(Horváth &amp; Szabó, 2018)</w:t>
      </w:r>
      <w:r w:rsidR="00266AA5">
        <w:rPr>
          <w:rFonts w:ascii="Arial" w:eastAsia="Times New Roman" w:hAnsi="Arial" w:cs="Arial"/>
          <w:color w:val="000000"/>
          <w:szCs w:val="20"/>
          <w:lang w:val="en-ID"/>
        </w:rPr>
        <w:fldChar w:fldCharType="end"/>
      </w:r>
      <w:r w:rsidR="00E160C9" w:rsidRPr="00E160C9">
        <w:rPr>
          <w:rFonts w:ascii="Arial" w:eastAsia="Times New Roman" w:hAnsi="Arial" w:cs="Arial"/>
          <w:color w:val="000000"/>
          <w:szCs w:val="20"/>
          <w:lang w:val="en-ID"/>
        </w:rPr>
        <w:t xml:space="preserve"> </w:t>
      </w:r>
      <w:r>
        <w:rPr>
          <w:rFonts w:ascii="Arial" w:eastAsia="Times New Roman" w:hAnsi="Arial" w:cs="Arial"/>
          <w:color w:val="000000"/>
          <w:szCs w:val="20"/>
          <w:lang w:val="en-ID"/>
        </w:rPr>
        <w:t>a</w:t>
      </w:r>
      <w:r w:rsidRPr="002055F9">
        <w:rPr>
          <w:rFonts w:ascii="Arial" w:eastAsia="Times New Roman" w:hAnsi="Arial" w:cs="Arial"/>
          <w:color w:val="000000"/>
          <w:szCs w:val="20"/>
          <w:lang w:val="en-ID"/>
        </w:rPr>
        <w:t>nd PV distribution business models in China</w:t>
      </w:r>
      <w:r w:rsidR="00E160C9" w:rsidRPr="00E160C9">
        <w:rPr>
          <w:rFonts w:ascii="Arial" w:eastAsia="Times New Roman" w:hAnsi="Arial" w:cs="Arial"/>
          <w:color w:val="000000"/>
          <w:szCs w:val="20"/>
          <w:lang w:val="en-ID"/>
        </w:rPr>
        <w:t xml:space="preserve"> </w:t>
      </w:r>
      <w:r w:rsidR="00A902F5">
        <w:rPr>
          <w:rFonts w:ascii="Arial" w:eastAsia="Times New Roman" w:hAnsi="Arial" w:cs="Arial"/>
          <w:color w:val="000000"/>
          <w:szCs w:val="20"/>
          <w:lang w:val="en-ID"/>
        </w:rPr>
        <w:fldChar w:fldCharType="begin" w:fldLock="1"/>
      </w:r>
      <w:r w:rsidR="00A902F5">
        <w:rPr>
          <w:rFonts w:ascii="Arial" w:eastAsia="Times New Roman" w:hAnsi="Arial" w:cs="Arial"/>
          <w:color w:val="000000"/>
          <w:szCs w:val="20"/>
          <w:lang w:val="en-ID"/>
        </w:rPr>
        <w:instrText>ADDIN CSL_CITATION {"citationItems":[{"id":"ITEM-1","itemData":{"DOI":"10.3390/su11164322","ISSN":"20711050","abstract":"China is a world leader in the global solar photovoltaic industry, and has rapidly expanded its distributed solar photovoltaic (DSPV) power in recent years. However, China's DSPV power is still in its infancy. As such, its business model is still in the exploratory stage, and faces many developmental obstacles. This paper summarizes and analyzes the main obstacles that China's DSPV power is facing in its development, using a literature analysis methodology. Then, previous business models, such as host-owned, energy management contract (EMC), and third-party-owned (TPO), were studied using the Business Model Canvas (BMC) as an analytical tool. Moreover, the Lean Canvas (LC) method was used to further conduct a synthesis and comparative analysis with the three models, describing how and to what extent these models can overcome identified obstacles. Finally, the study highlighted the dominant position of EMC model.","author":[{"dropping-particle":"","family":"Cai","given":"Xiang","non-dropping-particle":"","parse-names":false,"suffix":""},{"dropping-particle":"","family":"Xie","given":"Meiying","non-dropping-particle":"","parse-names":false,"suffix":""},{"dropping-particle":"","family":"Zhang","given":"Haijing","non-dropping-particle":"","parse-names":false,"suffix":""},{"dropping-particle":"","family":"Xu","given":"Zhenli","non-dropping-particle":"","parse-names":false,"suffix":""},{"dropping-particle":"","family":"Cheng","given":"Faxin","non-dropping-particle":"","parse-names":false,"suffix":""}],"container-title":"Sustainability (Switzerland)","id":"ITEM-1","issue":"16","issued":{"date-parts":[["2019"]]},"title":"Business models of distributed solar photovoltaic power of China: The Business Model Canvas perspective","type":"article-journal","volume":"11"},"uris":["http://www.mendeley.com/documents/?uuid=71b71230-3618-4ea5-aedc-6263c338a02c"]}],"mendeley":{"formattedCitation":"(Cai et al., 2019)","plainTextFormattedCitation":"(Cai et al., 2019)","previouslyFormattedCitation":"(Cai et al., 2019)"},"properties":{"noteIndex":0},"schema":"https://github.com/citation-style-language/schema/raw/master/csl-citation.json"}</w:instrText>
      </w:r>
      <w:r w:rsidR="00A902F5">
        <w:rPr>
          <w:rFonts w:ascii="Arial" w:eastAsia="Times New Roman" w:hAnsi="Arial" w:cs="Arial"/>
          <w:color w:val="000000"/>
          <w:szCs w:val="20"/>
          <w:lang w:val="en-ID"/>
        </w:rPr>
        <w:fldChar w:fldCharType="separate"/>
      </w:r>
      <w:r w:rsidR="00A902F5" w:rsidRPr="00A902F5">
        <w:rPr>
          <w:rFonts w:ascii="Arial" w:eastAsia="Times New Roman" w:hAnsi="Arial" w:cs="Arial"/>
          <w:noProof/>
          <w:color w:val="000000"/>
          <w:szCs w:val="20"/>
          <w:lang w:val="en-ID"/>
        </w:rPr>
        <w:t>(Cai et al., 2019)</w:t>
      </w:r>
      <w:r w:rsidR="00A902F5">
        <w:rPr>
          <w:rFonts w:ascii="Arial" w:eastAsia="Times New Roman" w:hAnsi="Arial" w:cs="Arial"/>
          <w:color w:val="000000"/>
          <w:szCs w:val="20"/>
          <w:lang w:val="en-ID"/>
        </w:rPr>
        <w:fldChar w:fldCharType="end"/>
      </w:r>
      <w:r w:rsidR="00E160C9" w:rsidRPr="00E160C9">
        <w:rPr>
          <w:rFonts w:ascii="Arial" w:eastAsia="Times New Roman" w:hAnsi="Arial" w:cs="Arial"/>
          <w:color w:val="000000"/>
          <w:szCs w:val="20"/>
          <w:lang w:val="en-ID"/>
        </w:rPr>
        <w:t xml:space="preserve">. </w:t>
      </w:r>
      <w:r w:rsidRPr="002055F9">
        <w:rPr>
          <w:rFonts w:ascii="Arial" w:eastAsia="Times New Roman" w:hAnsi="Arial" w:cs="Arial"/>
          <w:color w:val="000000"/>
          <w:szCs w:val="20"/>
          <w:lang w:val="en-ID"/>
        </w:rPr>
        <w:t>Additionally, other research has focused on the feasibility studies of PV use in specific areas of Indonesia, such as Lampung</w:t>
      </w:r>
      <w:r>
        <w:rPr>
          <w:rFonts w:ascii="Arial" w:eastAsia="Times New Roman" w:hAnsi="Arial" w:cs="Arial"/>
          <w:color w:val="000000"/>
          <w:szCs w:val="20"/>
          <w:lang w:val="en-ID"/>
        </w:rPr>
        <w:t xml:space="preserve"> </w:t>
      </w:r>
      <w:r w:rsidR="00A902F5">
        <w:rPr>
          <w:rFonts w:ascii="Arial" w:eastAsia="Times New Roman" w:hAnsi="Arial" w:cs="Arial"/>
          <w:color w:val="000000"/>
          <w:szCs w:val="20"/>
          <w:lang w:val="en-ID"/>
        </w:rPr>
        <w:fldChar w:fldCharType="begin" w:fldLock="1"/>
      </w:r>
      <w:r w:rsidR="006728C8">
        <w:rPr>
          <w:rFonts w:ascii="Arial" w:eastAsia="Times New Roman" w:hAnsi="Arial" w:cs="Arial"/>
          <w:color w:val="000000"/>
          <w:szCs w:val="20"/>
          <w:lang w:val="en-ID"/>
        </w:rPr>
        <w:instrText>ADDIN CSL_CITATION {"citationItems":[{"id":"ITEM-1","itemData":{"DOI":"10.25105/pdk.v5i2.7410","ISSN":"0853-7720","abstract":"Indonesia yang berada di bawah garis katulistiwa, memiliki keunggulan yang sangat luar biasa, satu diantaranya adalah memiliki potensi energi matahari yang tinggi. Dengan paparan sinar matahari tinggi sepanjang tahun, Indonesia berpotensi menggunakannya untuk menghasilkan energi listrik. Wilayah terpencil yang belum terjangkau jaringan listrik dapat menggunakan panel surya sebagai alternatif untuk menghasilkan energi untuk penerangan dan kegiatan lainnya.Kurang lebih 173 triliun kilowatt energi diterima melalui bagian atas atmosfer: 30 % direfleksikan kembali, 47% diserap oleh molekul-molekul di atmosfer, diubah panjang gelombangnya kemudian diradiasikan kembali sebagai radiasi infra-merah; dan sisanya 23% sebagai besar dirubah melalui proses gerakan thermo-chemo-dinamik di permukaan bumi, seperti angin, arus laut, dan juga proses penguapan dan fotosintesis dan lain sebagainya. Energi hasil fotosintesis pada umumnya disimpan dalam bentuk tumbuhan yang kemudian dalam proses alam sebagian berubah menjadi fosil karbon, seperti batu bara, minyak, dan gas alam.Energi surya melalui konversi dimanfaatkan menjadi energi listrik, yang diperoleh dengan sistem fotovoltaik (pembangkit Listrik Tenaga Surya). Pembangkit listrik tenaga surya diarahkan agar dapat dimanfaatkan oleh para penduduk di Pulau Tegal yang masih belum dijangkau oleh jaringan PLN.Dalam penelitian ini, akan dikupas rancang bangun dan aktifitas terhadap implementasi Solar Cell yang merupakan CSR dari PT Bukit Asam, Tbk di salah satu pulau terpencil, yaitu Pulau Tegal, kabupaten Pesawaran, Lampung.","author":[{"dropping-particle":"","family":"Purwanto","given":"Iwan","non-dropping-particle":"","parse-names":false,"suffix":""}],"container-title":"Jurnal Penelitian Dan Karya Ilmiah Lembaga Penelitian Universitas Trisakti","id":"ITEM-1","issue":"2","issued":{"date-parts":[["2020"]]},"page":"117-126","title":"Solar Cell(Photovoltaic/Pv)Solusi Menuju Pulau Mandiri Listrik","type":"article-journal","volume":"5"},"uris":["http://www.mendeley.com/documents/?uuid=645bd07d-5a13-4c9d-8792-4b808427c9d5"]}],"mendeley":{"formattedCitation":"(Purwanto, 2020)","plainTextFormattedCitation":"(Purwanto, 2020)","previouslyFormattedCitation":"(Purwanto, 2020)"},"properties":{"noteIndex":0},"schema":"https://github.com/citation-style-language/schema/raw/master/csl-citation.json"}</w:instrText>
      </w:r>
      <w:r w:rsidR="00A902F5">
        <w:rPr>
          <w:rFonts w:ascii="Arial" w:eastAsia="Times New Roman" w:hAnsi="Arial" w:cs="Arial"/>
          <w:color w:val="000000"/>
          <w:szCs w:val="20"/>
          <w:lang w:val="en-ID"/>
        </w:rPr>
        <w:fldChar w:fldCharType="separate"/>
      </w:r>
      <w:r w:rsidR="00A902F5" w:rsidRPr="00A902F5">
        <w:rPr>
          <w:rFonts w:ascii="Arial" w:eastAsia="Times New Roman" w:hAnsi="Arial" w:cs="Arial"/>
          <w:noProof/>
          <w:color w:val="000000"/>
          <w:szCs w:val="20"/>
          <w:lang w:val="en-ID"/>
        </w:rPr>
        <w:t>(Purwanto, 2020)</w:t>
      </w:r>
      <w:r w:rsidR="00A902F5">
        <w:rPr>
          <w:rFonts w:ascii="Arial" w:eastAsia="Times New Roman" w:hAnsi="Arial" w:cs="Arial"/>
          <w:color w:val="000000"/>
          <w:szCs w:val="20"/>
          <w:lang w:val="en-ID"/>
        </w:rPr>
        <w:fldChar w:fldCharType="end"/>
      </w:r>
      <w:r w:rsidR="006221AC">
        <w:rPr>
          <w:rFonts w:ascii="Arial" w:eastAsia="Times New Roman" w:hAnsi="Arial" w:cs="Arial"/>
          <w:color w:val="000000"/>
          <w:szCs w:val="20"/>
          <w:lang w:val="en-ID"/>
        </w:rPr>
        <w:t>,</w:t>
      </w:r>
      <w:r w:rsidR="00A902F5">
        <w:rPr>
          <w:rFonts w:ascii="Arial" w:eastAsia="Times New Roman" w:hAnsi="Arial" w:cs="Arial"/>
          <w:color w:val="000000"/>
          <w:szCs w:val="20"/>
          <w:lang w:val="en-ID"/>
        </w:rPr>
        <w:t xml:space="preserve"> </w:t>
      </w:r>
      <w:r w:rsidRPr="002055F9">
        <w:rPr>
          <w:rFonts w:ascii="Arial" w:eastAsia="Times New Roman" w:hAnsi="Arial" w:cs="Arial"/>
          <w:color w:val="000000"/>
          <w:szCs w:val="20"/>
          <w:lang w:val="en-ID"/>
        </w:rPr>
        <w:t xml:space="preserve">and evaluated competitive business models for PV installation in Brazil </w:t>
      </w:r>
      <w:r w:rsidR="006728C8">
        <w:rPr>
          <w:rFonts w:ascii="Arial" w:eastAsia="Times New Roman" w:hAnsi="Arial" w:cs="Arial"/>
          <w:color w:val="000000"/>
          <w:szCs w:val="20"/>
          <w:lang w:val="en-ID"/>
        </w:rPr>
        <w:fldChar w:fldCharType="begin" w:fldLock="1"/>
      </w:r>
      <w:r w:rsidR="007D62C8">
        <w:rPr>
          <w:rFonts w:ascii="Arial" w:eastAsia="Times New Roman" w:hAnsi="Arial" w:cs="Arial"/>
          <w:color w:val="000000"/>
          <w:szCs w:val="20"/>
          <w:lang w:val="en-ID"/>
        </w:rPr>
        <w:instrText>ADDIN CSL_CITATION {"citationItems":[{"id":"ITEM-1","itemData":{"DOI":"10.1016/j.renene.2021.09.031","ISSN":"18790682","abstract":"In the last three years, the number of active photovoltaic installers in Brazil has increased from approximately 1,600 to 14,200. These installers are promoting the photovoltaic growth in distributed generation. However, the Net Metering practiced in Brazil will reduce benefits, impacting the future success of photovoltaic installers' businesses. Also, many of these companies have few years of experience, and are still adjusting technical operations. So, this article aims to develop a competitive business model for evaluating the photovoltaic installers' performance in the Brazilian energy market. We select 72 business items and surveyed 548 photovoltaic installers in Brazil. We organized and discussed the information into the Business Model Canvas. We observed that some companies are not competitive in large-scale photovoltaic plants compared to foreign companies operating in Brazil. However, the market trends we found point to future business opportunities for large photovoltaic plants in condominiums, cooperatives, or the free market. The competitive Business Model Canvas helps installers look at their business, positioning themselves more assertively in the Brazilian market. Besides, the Business Model Canvas can serve as a benchmarking tool for comparing businesses among installers of different countries, promoting the company's processes evolution. Consequently, it contributes to the photovoltaic customers' satisfaction.","author":[{"dropping-particle":"","family":"Rigo","given":"Paula D.","non-dropping-particle":"","parse-names":false,"suffix":""},{"dropping-particle":"","family":"Siluk","given":"Julio Cezar M.","non-dropping-particle":"","parse-names":false,"suffix":""},{"dropping-particle":"","family":"Lacerda","given":"Daniel P.","non-dropping-particle":"","parse-names":false,"suffix":""},{"dropping-particle":"","family":"Spellmeier","given":"Júlia P.","non-dropping-particle":"","parse-names":false,"suffix":""}],"container-title":"Renewable Energy","id":"ITEM-1","issue":"August 2021","issued":{"date-parts":[["2022"]]},"page":"39-50","publisher":"Elsevier Ltd","title":"Competitive business model of photovoltaic solar energy installers in Brazil","type":"article-journal","volume":"181"},"uris":["http://www.mendeley.com/documents/?uuid=f62674b9-92ef-4fed-8849-18a3b67cedb2"]}],"mendeley":{"formattedCitation":"(Rigo et al., 2022)","plainTextFormattedCitation":"(Rigo et al., 2022)","previouslyFormattedCitation":"(Rigo et al., 2022)"},"properties":{"noteIndex":0},"schema":"https://github.com/citation-style-language/schema/raw/master/csl-citation.json"}</w:instrText>
      </w:r>
      <w:r w:rsidR="006728C8">
        <w:rPr>
          <w:rFonts w:ascii="Arial" w:eastAsia="Times New Roman" w:hAnsi="Arial" w:cs="Arial"/>
          <w:color w:val="000000"/>
          <w:szCs w:val="20"/>
          <w:lang w:val="en-ID"/>
        </w:rPr>
        <w:fldChar w:fldCharType="separate"/>
      </w:r>
      <w:r w:rsidR="006728C8" w:rsidRPr="006728C8">
        <w:rPr>
          <w:rFonts w:ascii="Arial" w:eastAsia="Times New Roman" w:hAnsi="Arial" w:cs="Arial"/>
          <w:noProof/>
          <w:color w:val="000000"/>
          <w:szCs w:val="20"/>
          <w:lang w:val="en-ID"/>
        </w:rPr>
        <w:t>(Rigo et al., 2022)</w:t>
      </w:r>
      <w:r w:rsidR="006728C8">
        <w:rPr>
          <w:rFonts w:ascii="Arial" w:eastAsia="Times New Roman" w:hAnsi="Arial" w:cs="Arial"/>
          <w:color w:val="000000"/>
          <w:szCs w:val="20"/>
          <w:lang w:val="en-ID"/>
        </w:rPr>
        <w:fldChar w:fldCharType="end"/>
      </w:r>
      <w:r w:rsidR="006728C8">
        <w:rPr>
          <w:rFonts w:ascii="Arial" w:eastAsia="Times New Roman" w:hAnsi="Arial" w:cs="Arial"/>
          <w:color w:val="000000"/>
          <w:szCs w:val="20"/>
          <w:lang w:val="en-ID"/>
        </w:rPr>
        <w:t xml:space="preserve">. </w:t>
      </w:r>
      <w:r w:rsidRPr="002055F9">
        <w:rPr>
          <w:rFonts w:ascii="Arial" w:eastAsia="Times New Roman" w:hAnsi="Arial" w:cs="Arial"/>
          <w:color w:val="000000"/>
          <w:szCs w:val="20"/>
          <w:lang w:val="en-ID"/>
        </w:rPr>
        <w:t>Some studies have also explored innovations</w:t>
      </w:r>
      <w:r w:rsidR="00FC4B90">
        <w:rPr>
          <w:rFonts w:ascii="Arial" w:eastAsia="Times New Roman" w:hAnsi="Arial" w:cs="Arial"/>
          <w:color w:val="000000"/>
          <w:szCs w:val="20"/>
          <w:lang w:val="en-ID"/>
        </w:rPr>
        <w:t>,</w:t>
      </w:r>
      <w:r w:rsidRPr="002055F9">
        <w:rPr>
          <w:rFonts w:ascii="Arial" w:eastAsia="Times New Roman" w:hAnsi="Arial" w:cs="Arial"/>
          <w:color w:val="000000"/>
          <w:szCs w:val="20"/>
          <w:lang w:val="en-ID"/>
        </w:rPr>
        <w:t xml:space="preserve"> such as </w:t>
      </w:r>
      <w:r w:rsidR="00FC4B90">
        <w:rPr>
          <w:rFonts w:ascii="Arial" w:eastAsia="Times New Roman" w:hAnsi="Arial" w:cs="Arial"/>
          <w:color w:val="000000"/>
          <w:szCs w:val="20"/>
          <w:lang w:val="en-ID"/>
        </w:rPr>
        <w:t>using</w:t>
      </w:r>
      <w:r w:rsidRPr="002055F9">
        <w:rPr>
          <w:rFonts w:ascii="Arial" w:eastAsia="Times New Roman" w:hAnsi="Arial" w:cs="Arial"/>
          <w:color w:val="000000"/>
          <w:szCs w:val="20"/>
          <w:lang w:val="en-ID"/>
        </w:rPr>
        <w:t xml:space="preserve"> </w:t>
      </w:r>
      <w:r w:rsidR="00FC4B90">
        <w:rPr>
          <w:rFonts w:ascii="Arial" w:eastAsia="Times New Roman" w:hAnsi="Arial" w:cs="Arial"/>
          <w:color w:val="000000"/>
          <w:szCs w:val="20"/>
          <w:lang w:val="en-ID"/>
        </w:rPr>
        <w:t>f</w:t>
      </w:r>
      <w:r w:rsidRPr="002055F9">
        <w:rPr>
          <w:rFonts w:ascii="Arial" w:eastAsia="Times New Roman" w:hAnsi="Arial" w:cs="Arial"/>
          <w:color w:val="000000"/>
          <w:szCs w:val="20"/>
          <w:lang w:val="en-ID"/>
        </w:rPr>
        <w:t>an</w:t>
      </w:r>
      <w:r w:rsidR="00FC4B90">
        <w:rPr>
          <w:rFonts w:ascii="Arial" w:eastAsia="Times New Roman" w:hAnsi="Arial" w:cs="Arial"/>
          <w:color w:val="000000"/>
          <w:szCs w:val="20"/>
          <w:lang w:val="en-ID"/>
        </w:rPr>
        <w:t>-t</w:t>
      </w:r>
      <w:r w:rsidRPr="002055F9">
        <w:rPr>
          <w:rFonts w:ascii="Arial" w:eastAsia="Times New Roman" w:hAnsi="Arial" w:cs="Arial"/>
          <w:color w:val="000000"/>
          <w:szCs w:val="20"/>
          <w:lang w:val="en-ID"/>
        </w:rPr>
        <w:t xml:space="preserve">ype </w:t>
      </w:r>
      <w:r w:rsidR="00FC4B90">
        <w:rPr>
          <w:rFonts w:ascii="Arial" w:eastAsia="Times New Roman" w:hAnsi="Arial" w:cs="Arial"/>
          <w:color w:val="000000"/>
          <w:szCs w:val="20"/>
          <w:lang w:val="en-ID"/>
        </w:rPr>
        <w:t>h</w:t>
      </w:r>
      <w:r w:rsidRPr="002055F9">
        <w:rPr>
          <w:rFonts w:ascii="Arial" w:eastAsia="Times New Roman" w:hAnsi="Arial" w:cs="Arial"/>
          <w:color w:val="000000"/>
          <w:szCs w:val="20"/>
          <w:lang w:val="en-ID"/>
        </w:rPr>
        <w:t>olograms with solar cells as an alternative source of billboard energy</w:t>
      </w:r>
      <w:r w:rsidR="00E160C9" w:rsidRPr="00E160C9">
        <w:rPr>
          <w:rFonts w:ascii="Arial" w:eastAsia="Times New Roman" w:hAnsi="Arial" w:cs="Arial"/>
          <w:color w:val="000000"/>
          <w:szCs w:val="20"/>
          <w:lang w:val="en-ID"/>
        </w:rPr>
        <w:t xml:space="preserve"> </w:t>
      </w:r>
      <w:r w:rsidR="002026AB">
        <w:rPr>
          <w:rFonts w:ascii="Arial" w:eastAsia="Times New Roman" w:hAnsi="Arial" w:cs="Arial"/>
          <w:color w:val="000000"/>
          <w:szCs w:val="20"/>
          <w:lang w:val="en-ID"/>
        </w:rPr>
        <w:fldChar w:fldCharType="begin" w:fldLock="1"/>
      </w:r>
      <w:r w:rsidR="002026AB">
        <w:rPr>
          <w:rFonts w:ascii="Arial" w:eastAsia="Times New Roman" w:hAnsi="Arial" w:cs="Arial"/>
          <w:color w:val="000000"/>
          <w:szCs w:val="20"/>
          <w:lang w:val="en-ID"/>
        </w:rPr>
        <w:instrText>ADDIN CSL_CITATION {"citationItems":[{"id":"ITEM-1","itemData":{"DOI":"10.31959/js.v11i1.621","ISSN":"2302-9579","abstract":"This research aimed to investigate the use of fan type hologram, that is considered to be a new technology, to replace conventional billboard. Billboard usage consumes plenty of energy and is not flexible. Fan type hologram is expected to reduce the electricity use and becomes more attractive to the general society. Prototype of the system build with solar cell as the source of energy, and battery as the storage. The energy from the sun is also measured to confirmed the energy supply is enough.The experiment showed that the initial cost for billboard is less expensive than the fan type hologram. On the other hand, the use of electricity of fan type hologram is much less than the billboard. It is also does not pay the monthly electricity bill, while conventional billboard needs to pay around Rp.252.000,- per month. 91.2% respondents agree for the replacement of the conventional billboard with fan type hologram.","author":[{"dropping-particle":"","family":"Lilipaly","given":"Eka Rahmat Mahayani Anthonio Putera","non-dropping-particle":"","parse-names":false,"suffix":""},{"dropping-particle":"","family":"Dharmawan","given":"Eka Adhitya","non-dropping-particle":"","parse-names":false,"suffix":""}],"container-title":"Jurnal Simetrik","id":"ITEM-1","issue":"1","issued":{"date-parts":[["2021"]]},"page":"422-431","title":"Penggunaan Fan Type Hologram Dengan Solar Cell Sebagai Pilihan Alternatif Billboard Di Kota Ambon","type":"article-journal","volume":"11"},"uris":["http://www.mendeley.com/documents/?uuid=9099766f-f3e2-4cf0-b1ed-ae9fb74ab6fd"]}],"mendeley":{"formattedCitation":"(Lilipaly &amp; Dharmawan, 2021)","plainTextFormattedCitation":"(Lilipaly &amp; Dharmawan, 2021)","previouslyFormattedCitation":"(Lilipaly &amp; Dharmawan, 2021)"},"properties":{"noteIndex":0},"schema":"https://github.com/citation-style-language/schema/raw/master/csl-citation.json"}</w:instrText>
      </w:r>
      <w:r w:rsidR="002026AB">
        <w:rPr>
          <w:rFonts w:ascii="Arial" w:eastAsia="Times New Roman" w:hAnsi="Arial" w:cs="Arial"/>
          <w:color w:val="000000"/>
          <w:szCs w:val="20"/>
          <w:lang w:val="en-ID"/>
        </w:rPr>
        <w:fldChar w:fldCharType="separate"/>
      </w:r>
      <w:r w:rsidR="002026AB" w:rsidRPr="002026AB">
        <w:rPr>
          <w:rFonts w:ascii="Arial" w:eastAsia="Times New Roman" w:hAnsi="Arial" w:cs="Arial"/>
          <w:noProof/>
          <w:color w:val="000000"/>
          <w:szCs w:val="20"/>
          <w:lang w:val="en-ID"/>
        </w:rPr>
        <w:t>(Lilipaly &amp; Dharmawan, 2021)</w:t>
      </w:r>
      <w:r w:rsidR="002026AB">
        <w:rPr>
          <w:rFonts w:ascii="Arial" w:eastAsia="Times New Roman" w:hAnsi="Arial" w:cs="Arial"/>
          <w:color w:val="000000"/>
          <w:szCs w:val="20"/>
          <w:lang w:val="en-ID"/>
        </w:rPr>
        <w:fldChar w:fldCharType="end"/>
      </w:r>
      <w:r w:rsidR="00E160C9" w:rsidRPr="00E160C9">
        <w:rPr>
          <w:rFonts w:ascii="Arial" w:eastAsia="Times New Roman" w:hAnsi="Arial" w:cs="Arial"/>
          <w:color w:val="000000"/>
          <w:szCs w:val="20"/>
          <w:lang w:val="en-ID"/>
        </w:rPr>
        <w:t xml:space="preserve">. </w:t>
      </w:r>
      <w:r w:rsidR="00AF1F6F" w:rsidRPr="00AF1F6F">
        <w:rPr>
          <w:rFonts w:ascii="Arial" w:eastAsia="Times New Roman" w:hAnsi="Arial" w:cs="Arial"/>
          <w:color w:val="000000"/>
          <w:szCs w:val="20"/>
          <w:lang w:val="en-ID"/>
        </w:rPr>
        <w:t xml:space="preserve">However, </w:t>
      </w:r>
      <w:r w:rsidR="00FC4B90">
        <w:rPr>
          <w:rFonts w:ascii="Arial" w:eastAsia="Times New Roman" w:hAnsi="Arial" w:cs="Arial"/>
          <w:color w:val="000000"/>
          <w:szCs w:val="20"/>
          <w:lang w:val="en-ID"/>
        </w:rPr>
        <w:t>no comprehensive study has integrated</w:t>
      </w:r>
      <w:r w:rsidR="00AF1F6F" w:rsidRPr="00AF1F6F">
        <w:rPr>
          <w:rFonts w:ascii="Arial" w:eastAsia="Times New Roman" w:hAnsi="Arial" w:cs="Arial"/>
          <w:color w:val="000000"/>
          <w:szCs w:val="20"/>
          <w:lang w:val="en-ID"/>
        </w:rPr>
        <w:t xml:space="preserve"> the value chain, business model canvas, and lean canvas into a conceptual business design for billboard lighting with PV in Indonesia. Based on this analysis, this research aims to fill the existing research gap and develop a more holistic and efficient solution regarding PV as </w:t>
      </w:r>
      <w:proofErr w:type="gramStart"/>
      <w:r w:rsidR="00AF1F6F" w:rsidRPr="00AF1F6F">
        <w:rPr>
          <w:rFonts w:ascii="Arial" w:eastAsia="Times New Roman" w:hAnsi="Arial" w:cs="Arial"/>
          <w:color w:val="000000"/>
          <w:szCs w:val="20"/>
          <w:lang w:val="en-ID"/>
        </w:rPr>
        <w:t>an</w:t>
      </w:r>
      <w:proofErr w:type="gramEnd"/>
      <w:r w:rsidR="00AF1F6F" w:rsidRPr="00AF1F6F">
        <w:rPr>
          <w:rFonts w:ascii="Arial" w:eastAsia="Times New Roman" w:hAnsi="Arial" w:cs="Arial"/>
          <w:color w:val="000000"/>
          <w:szCs w:val="20"/>
          <w:lang w:val="en-ID"/>
        </w:rPr>
        <w:t xml:space="preserve"> RE source for billboard lighting in Indonesia.</w:t>
      </w:r>
    </w:p>
    <w:p w14:paraId="7EF7FB27" w14:textId="77777777" w:rsidR="00FC4B90" w:rsidRDefault="00FC4B90" w:rsidP="00FC4B90">
      <w:pPr>
        <w:pBdr>
          <w:top w:val="nil"/>
          <w:left w:val="nil"/>
          <w:bottom w:val="nil"/>
          <w:right w:val="nil"/>
          <w:between w:val="nil"/>
        </w:pBdr>
        <w:spacing w:line="240" w:lineRule="auto"/>
        <w:ind w:left="0" w:hanging="2"/>
        <w:rPr>
          <w:rFonts w:ascii="Arial" w:eastAsia="Arial" w:hAnsi="Arial" w:cs="Arial"/>
          <w:color w:val="000000"/>
          <w:szCs w:val="20"/>
        </w:rPr>
      </w:pPr>
    </w:p>
    <w:p w14:paraId="73DBBBAD" w14:textId="243A860C" w:rsidR="0050683E" w:rsidRDefault="00514B20" w:rsidP="00FC4B90">
      <w:pPr>
        <w:pStyle w:val="Heading1"/>
        <w:spacing w:before="120"/>
        <w:ind w:hanging="2"/>
        <w:rPr>
          <w:rFonts w:ascii="Arial" w:eastAsia="Arial" w:hAnsi="Arial" w:cs="Arial"/>
          <w:sz w:val="22"/>
          <w:szCs w:val="22"/>
        </w:rPr>
      </w:pPr>
      <w:r>
        <w:rPr>
          <w:rFonts w:ascii="Arial" w:eastAsia="Arial" w:hAnsi="Arial" w:cs="Arial"/>
          <w:sz w:val="22"/>
          <w:szCs w:val="22"/>
        </w:rPr>
        <w:t>M</w:t>
      </w:r>
      <w:r w:rsidR="00AF1F6F">
        <w:rPr>
          <w:rFonts w:ascii="Arial" w:eastAsia="Arial" w:hAnsi="Arial" w:cs="Arial"/>
          <w:sz w:val="22"/>
          <w:szCs w:val="22"/>
        </w:rPr>
        <w:t>ethod</w:t>
      </w:r>
    </w:p>
    <w:p w14:paraId="26F8E552" w14:textId="77777777" w:rsidR="00FC4B90" w:rsidRDefault="00AF1F6F" w:rsidP="006F293C">
      <w:pPr>
        <w:pBdr>
          <w:top w:val="nil"/>
          <w:left w:val="nil"/>
          <w:bottom w:val="nil"/>
          <w:right w:val="nil"/>
          <w:between w:val="nil"/>
        </w:pBdr>
        <w:spacing w:after="0" w:line="264" w:lineRule="auto"/>
        <w:ind w:left="0" w:hanging="2"/>
        <w:rPr>
          <w:rFonts w:ascii="Arial" w:eastAsia="Times New Roman" w:hAnsi="Arial" w:cs="Arial"/>
          <w:color w:val="000000"/>
          <w:szCs w:val="20"/>
        </w:rPr>
      </w:pPr>
      <w:r w:rsidRPr="00AF1F6F">
        <w:rPr>
          <w:rFonts w:ascii="Arial" w:eastAsia="Times New Roman" w:hAnsi="Arial" w:cs="Arial"/>
          <w:color w:val="000000"/>
          <w:szCs w:val="20"/>
        </w:rPr>
        <w:t xml:space="preserve">The data utilized in this study includes primary data, secondary data, and a qualitative descriptive literature review. The primary data used in this research were gathered through interviews conducted at PUI UNS. PUI UNS </w:t>
      </w:r>
      <w:r w:rsidR="00FC4B90">
        <w:rPr>
          <w:rFonts w:ascii="Arial" w:eastAsia="Times New Roman" w:hAnsi="Arial" w:cs="Arial"/>
          <w:color w:val="000000"/>
          <w:szCs w:val="20"/>
        </w:rPr>
        <w:t>has implemented PV as an energy source for office operations and</w:t>
      </w:r>
      <w:r w:rsidRPr="00AF1F6F">
        <w:rPr>
          <w:rFonts w:ascii="Arial" w:eastAsia="Times New Roman" w:hAnsi="Arial" w:cs="Arial"/>
          <w:color w:val="000000"/>
          <w:szCs w:val="20"/>
        </w:rPr>
        <w:t xml:space="preserve"> </w:t>
      </w:r>
      <w:r w:rsidR="00FC4B90">
        <w:rPr>
          <w:rFonts w:ascii="Arial" w:eastAsia="Times New Roman" w:hAnsi="Arial" w:cs="Arial"/>
          <w:color w:val="000000"/>
          <w:szCs w:val="20"/>
        </w:rPr>
        <w:t xml:space="preserve">for </w:t>
      </w:r>
      <w:r w:rsidRPr="00AF1F6F">
        <w:rPr>
          <w:rFonts w:ascii="Arial" w:eastAsia="Times New Roman" w:hAnsi="Arial" w:cs="Arial"/>
          <w:color w:val="000000"/>
          <w:szCs w:val="20"/>
        </w:rPr>
        <w:t>charging electric bicycles and motorcycles. Secondary data were collected from various sources, including published journals, nationally and internationally, newspapers, Google Scholar, and websites. The obtained data were employed to supplement the required information in formulating the Business Model Canvas concept for PV as a</w:t>
      </w:r>
      <w:r w:rsidR="00FC4B90">
        <w:rPr>
          <w:rFonts w:ascii="Arial" w:eastAsia="Times New Roman" w:hAnsi="Arial" w:cs="Arial"/>
          <w:color w:val="000000"/>
          <w:szCs w:val="20"/>
        </w:rPr>
        <w:t>n</w:t>
      </w:r>
      <w:r w:rsidRPr="00AF1F6F">
        <w:rPr>
          <w:rFonts w:ascii="Arial" w:eastAsia="Times New Roman" w:hAnsi="Arial" w:cs="Arial"/>
          <w:color w:val="000000"/>
          <w:szCs w:val="20"/>
        </w:rPr>
        <w:t xml:space="preserve"> </w:t>
      </w:r>
      <w:r w:rsidR="00FC4B90">
        <w:rPr>
          <w:rFonts w:ascii="Arial" w:eastAsia="Times New Roman" w:hAnsi="Arial" w:cs="Arial"/>
          <w:color w:val="000000"/>
          <w:szCs w:val="20"/>
        </w:rPr>
        <w:t>energy source</w:t>
      </w:r>
      <w:r w:rsidRPr="00AF1F6F">
        <w:rPr>
          <w:rFonts w:ascii="Arial" w:eastAsia="Times New Roman" w:hAnsi="Arial" w:cs="Arial"/>
          <w:color w:val="000000"/>
          <w:szCs w:val="20"/>
        </w:rPr>
        <w:t xml:space="preserve"> for billboard lighting.</w:t>
      </w:r>
    </w:p>
    <w:p w14:paraId="62D60317" w14:textId="77777777" w:rsidR="00FC4B90" w:rsidRDefault="00FC4B90" w:rsidP="006F293C">
      <w:pPr>
        <w:pBdr>
          <w:top w:val="nil"/>
          <w:left w:val="nil"/>
          <w:bottom w:val="nil"/>
          <w:right w:val="nil"/>
          <w:between w:val="nil"/>
        </w:pBdr>
        <w:spacing w:after="0" w:line="264" w:lineRule="auto"/>
        <w:ind w:left="0" w:hanging="2"/>
        <w:rPr>
          <w:rFonts w:ascii="Arial" w:eastAsia="Times New Roman" w:hAnsi="Arial" w:cs="Arial"/>
          <w:color w:val="000000"/>
          <w:szCs w:val="20"/>
        </w:rPr>
      </w:pPr>
    </w:p>
    <w:p w14:paraId="6D2EEF08" w14:textId="1DA0A625" w:rsidR="00C76C98" w:rsidRDefault="00FC4B90" w:rsidP="006F293C">
      <w:pPr>
        <w:pBdr>
          <w:top w:val="nil"/>
          <w:left w:val="nil"/>
          <w:bottom w:val="nil"/>
          <w:right w:val="nil"/>
          <w:between w:val="nil"/>
        </w:pBdr>
        <w:spacing w:after="0" w:line="264" w:lineRule="auto"/>
        <w:ind w:left="0" w:hanging="2"/>
        <w:rPr>
          <w:rFonts w:ascii="Arial" w:eastAsia="Times New Roman" w:hAnsi="Arial" w:cs="Arial"/>
          <w:color w:val="000000"/>
          <w:szCs w:val="20"/>
        </w:rPr>
      </w:pPr>
      <w:r>
        <w:rPr>
          <w:rFonts w:ascii="Arial" w:eastAsia="Times New Roman" w:hAnsi="Arial" w:cs="Arial"/>
          <w:color w:val="000000"/>
          <w:szCs w:val="20"/>
        </w:rPr>
        <w:t>This research</w:t>
      </w:r>
      <w:r w:rsidRPr="00FC4B90">
        <w:rPr>
          <w:rFonts w:ascii="Arial" w:eastAsia="Times New Roman" w:hAnsi="Arial" w:cs="Arial"/>
          <w:color w:val="000000"/>
          <w:szCs w:val="20"/>
        </w:rPr>
        <w:t xml:space="preserve"> begins with a </w:t>
      </w:r>
      <w:r>
        <w:rPr>
          <w:rFonts w:ascii="Arial" w:eastAsia="Times New Roman" w:hAnsi="Arial" w:cs="Arial"/>
          <w:color w:val="000000"/>
          <w:szCs w:val="20"/>
        </w:rPr>
        <w:t>Preliminary</w:t>
      </w:r>
      <w:r w:rsidRPr="00FC4B90">
        <w:rPr>
          <w:rFonts w:ascii="Arial" w:eastAsia="Times New Roman" w:hAnsi="Arial" w:cs="Arial"/>
          <w:color w:val="000000"/>
          <w:szCs w:val="20"/>
        </w:rPr>
        <w:t xml:space="preserve"> Literature Review to understand the background of the research topic and identify relevant research topics. </w:t>
      </w:r>
      <w:r>
        <w:rPr>
          <w:rFonts w:ascii="Arial" w:eastAsia="Times New Roman" w:hAnsi="Arial" w:cs="Arial"/>
          <w:color w:val="000000"/>
          <w:szCs w:val="20"/>
        </w:rPr>
        <w:t>The Preliminary</w:t>
      </w:r>
      <w:r w:rsidRPr="00FC4B90">
        <w:rPr>
          <w:rFonts w:ascii="Arial" w:eastAsia="Times New Roman" w:hAnsi="Arial" w:cs="Arial"/>
          <w:color w:val="000000"/>
          <w:szCs w:val="20"/>
        </w:rPr>
        <w:t xml:space="preserve"> Literature Review includes the </w:t>
      </w:r>
      <w:r w:rsidRPr="00FC4B90">
        <w:rPr>
          <w:rFonts w:ascii="Arial" w:eastAsia="Times New Roman" w:hAnsi="Arial" w:cs="Arial"/>
          <w:color w:val="000000"/>
          <w:szCs w:val="20"/>
        </w:rPr>
        <w:lastRenderedPageBreak/>
        <w:t xml:space="preserve">role of billboards in advertising, the role of Photovoltaics (PV) in renewable energy, the commercialization of PV, and barriers in the PV supply chain. Then, a literature study was carried out to collect data that supports the Business Model Canvas concept for using PV as an energy source for billboard lighting. The </w:t>
      </w:r>
      <w:r>
        <w:rPr>
          <w:rFonts w:ascii="Arial" w:eastAsia="Times New Roman" w:hAnsi="Arial" w:cs="Arial"/>
          <w:color w:val="000000"/>
          <w:szCs w:val="20"/>
        </w:rPr>
        <w:t>following</w:t>
      </w:r>
      <w:r w:rsidRPr="00FC4B90">
        <w:rPr>
          <w:rFonts w:ascii="Arial" w:eastAsia="Times New Roman" w:hAnsi="Arial" w:cs="Arial"/>
          <w:color w:val="000000"/>
          <w:szCs w:val="20"/>
        </w:rPr>
        <w:t xml:space="preserve"> steps include analyzing PV technology, identifying potential value in the value chain, a</w:t>
      </w:r>
      <w:r>
        <w:rPr>
          <w:rFonts w:ascii="Arial" w:eastAsia="Times New Roman" w:hAnsi="Arial" w:cs="Arial"/>
          <w:color w:val="000000"/>
          <w:szCs w:val="20"/>
        </w:rPr>
        <w:t>nd</w:t>
      </w:r>
      <w:r w:rsidRPr="00FC4B90">
        <w:rPr>
          <w:rFonts w:ascii="Arial" w:eastAsia="Times New Roman" w:hAnsi="Arial" w:cs="Arial"/>
          <w:color w:val="000000"/>
          <w:szCs w:val="20"/>
        </w:rPr>
        <w:t xml:space="preserve"> creating a Business Model Canvas (BMC) and Lean Canvas according to the context of using PV on billboards. The results of this analysis are then discussed in the Results and Discussion stage to explore the potential for implementing PV in the billboard advertising industry</w:t>
      </w:r>
      <w:r>
        <w:rPr>
          <w:rFonts w:ascii="Arial" w:eastAsia="Times New Roman" w:hAnsi="Arial" w:cs="Arial"/>
          <w:color w:val="000000"/>
          <w:szCs w:val="20"/>
        </w:rPr>
        <w:t xml:space="preserve"> and discuss</w:t>
      </w:r>
      <w:r w:rsidRPr="00FC4B90">
        <w:rPr>
          <w:rFonts w:ascii="Arial" w:eastAsia="Times New Roman" w:hAnsi="Arial" w:cs="Arial"/>
          <w:color w:val="000000"/>
          <w:szCs w:val="20"/>
        </w:rPr>
        <w:t xml:space="preserve"> the obstacles and opportunities that arise. Finally, this research presents the conclusions of the findings and suggestions in the Conclusion and Suggestions stage, which provides insight into the utilization of PV as an energy source in the advertising industry, considers </w:t>
      </w:r>
      <w:r>
        <w:rPr>
          <w:rFonts w:ascii="Arial" w:eastAsia="Times New Roman" w:hAnsi="Arial" w:cs="Arial"/>
          <w:color w:val="000000"/>
          <w:szCs w:val="20"/>
        </w:rPr>
        <w:t>essential</w:t>
      </w:r>
      <w:r w:rsidRPr="00FC4B90">
        <w:rPr>
          <w:rFonts w:ascii="Arial" w:eastAsia="Times New Roman" w:hAnsi="Arial" w:cs="Arial"/>
          <w:color w:val="000000"/>
          <w:szCs w:val="20"/>
        </w:rPr>
        <w:t xml:space="preserve"> factors in the business model, and highlights steps to overcome obstacles in the implementation of this project, </w:t>
      </w:r>
      <w:r>
        <w:rPr>
          <w:rFonts w:ascii="Arial" w:eastAsia="Times New Roman" w:hAnsi="Arial" w:cs="Arial"/>
          <w:color w:val="000000"/>
          <w:szCs w:val="20"/>
        </w:rPr>
        <w:t>to make</w:t>
      </w:r>
      <w:r w:rsidRPr="00FC4B90">
        <w:rPr>
          <w:rFonts w:ascii="Arial" w:eastAsia="Times New Roman" w:hAnsi="Arial" w:cs="Arial"/>
          <w:color w:val="000000"/>
          <w:szCs w:val="20"/>
        </w:rPr>
        <w:t xml:space="preserve"> an </w:t>
      </w:r>
      <w:r>
        <w:rPr>
          <w:rFonts w:ascii="Arial" w:eastAsia="Times New Roman" w:hAnsi="Arial" w:cs="Arial"/>
          <w:color w:val="000000"/>
          <w:szCs w:val="20"/>
        </w:rPr>
        <w:t>essential</w:t>
      </w:r>
      <w:r w:rsidRPr="00FC4B90">
        <w:rPr>
          <w:rFonts w:ascii="Arial" w:eastAsia="Times New Roman" w:hAnsi="Arial" w:cs="Arial"/>
          <w:color w:val="000000"/>
          <w:szCs w:val="20"/>
        </w:rPr>
        <w:t xml:space="preserve"> contribution to the use of renewable energy in the advertising industry. The flow of the research is displayed </w:t>
      </w:r>
      <w:r>
        <w:rPr>
          <w:rFonts w:ascii="Arial" w:eastAsia="Times New Roman" w:hAnsi="Arial" w:cs="Arial"/>
          <w:color w:val="000000"/>
          <w:szCs w:val="20"/>
        </w:rPr>
        <w:t>in</w:t>
      </w:r>
      <w:r w:rsidRPr="00FC4B90">
        <w:rPr>
          <w:rFonts w:ascii="Arial" w:eastAsia="Times New Roman" w:hAnsi="Arial" w:cs="Arial"/>
          <w:color w:val="000000"/>
          <w:szCs w:val="20"/>
        </w:rPr>
        <w:t xml:space="preserve"> a flowchart in Figure 1.</w:t>
      </w:r>
    </w:p>
    <w:p w14:paraId="25C7059F" w14:textId="77777777" w:rsidR="00AF1F6F" w:rsidRPr="006F293C" w:rsidRDefault="00AF1F6F" w:rsidP="006F293C">
      <w:pPr>
        <w:pBdr>
          <w:top w:val="nil"/>
          <w:left w:val="nil"/>
          <w:bottom w:val="nil"/>
          <w:right w:val="nil"/>
          <w:between w:val="nil"/>
        </w:pBdr>
        <w:spacing w:after="0" w:line="264" w:lineRule="auto"/>
        <w:ind w:left="0" w:hanging="2"/>
        <w:rPr>
          <w:rFonts w:ascii="Arial" w:eastAsia="Times New Roman" w:hAnsi="Arial" w:cs="Arial"/>
          <w:color w:val="000000"/>
          <w:szCs w:val="20"/>
        </w:rPr>
      </w:pPr>
    </w:p>
    <w:p w14:paraId="39505C62" w14:textId="77777777" w:rsidR="006F293C" w:rsidRDefault="006F293C" w:rsidP="006F293C">
      <w:pPr>
        <w:pBdr>
          <w:top w:val="nil"/>
          <w:left w:val="nil"/>
          <w:bottom w:val="nil"/>
          <w:right w:val="nil"/>
          <w:between w:val="nil"/>
        </w:pBdr>
        <w:spacing w:after="0" w:line="264" w:lineRule="auto"/>
        <w:ind w:left="0" w:hanging="2"/>
        <w:jc w:val="center"/>
        <w:rPr>
          <w:rFonts w:ascii="Times New Roman" w:eastAsia="Times New Roman" w:hAnsi="Times New Roman" w:cs="Times New Roman"/>
          <w:color w:val="000000"/>
          <w:szCs w:val="20"/>
        </w:rPr>
      </w:pPr>
      <w:r w:rsidRPr="00CF01A7">
        <w:rPr>
          <w:noProof/>
        </w:rPr>
        <w:drawing>
          <wp:inline distT="0" distB="0" distL="0" distR="0" wp14:anchorId="7F9602F5" wp14:editId="1FF5F60F">
            <wp:extent cx="3843636" cy="288000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843636" cy="2880000"/>
                    </a:xfrm>
                    <a:prstGeom prst="rect">
                      <a:avLst/>
                    </a:prstGeom>
                    <a:noFill/>
                    <a:ln>
                      <a:noFill/>
                    </a:ln>
                  </pic:spPr>
                </pic:pic>
              </a:graphicData>
            </a:graphic>
          </wp:inline>
        </w:drawing>
      </w:r>
    </w:p>
    <w:p w14:paraId="5AF4E22F" w14:textId="3D8AFEF0" w:rsidR="006F293C" w:rsidRPr="00FC4B90" w:rsidRDefault="008C63C5" w:rsidP="00FC4B90">
      <w:pPr>
        <w:pBdr>
          <w:top w:val="nil"/>
          <w:left w:val="nil"/>
          <w:bottom w:val="nil"/>
          <w:right w:val="nil"/>
          <w:between w:val="nil"/>
        </w:pBdr>
        <w:spacing w:line="240" w:lineRule="auto"/>
        <w:ind w:left="0" w:hanging="2"/>
        <w:jc w:val="center"/>
        <w:rPr>
          <w:rFonts w:ascii="Arial" w:eastAsia="Arial" w:hAnsi="Arial" w:cs="Arial"/>
          <w:color w:val="000000"/>
          <w:szCs w:val="20"/>
        </w:rPr>
      </w:pPr>
      <w:r w:rsidRPr="008C63C5">
        <w:rPr>
          <w:rFonts w:ascii="Arial" w:eastAsia="Times New Roman" w:hAnsi="Arial" w:cs="Arial"/>
          <w:b/>
          <w:color w:val="000000"/>
          <w:sz w:val="18"/>
          <w:szCs w:val="18"/>
        </w:rPr>
        <w:t>Figure</w:t>
      </w:r>
      <w:r w:rsidR="006F293C" w:rsidRPr="008C63C5">
        <w:rPr>
          <w:rFonts w:ascii="Arial" w:eastAsia="Times New Roman" w:hAnsi="Arial" w:cs="Arial"/>
          <w:b/>
          <w:color w:val="000000"/>
          <w:sz w:val="18"/>
          <w:szCs w:val="18"/>
        </w:rPr>
        <w:t xml:space="preserve"> </w:t>
      </w:r>
      <w:r w:rsidR="000B0C16" w:rsidRPr="008C63C5">
        <w:rPr>
          <w:rFonts w:ascii="Arial" w:eastAsia="Times New Roman" w:hAnsi="Arial" w:cs="Arial"/>
          <w:b/>
          <w:color w:val="000000"/>
          <w:sz w:val="18"/>
          <w:szCs w:val="18"/>
        </w:rPr>
        <w:t>1</w:t>
      </w:r>
      <w:r w:rsidR="006F293C" w:rsidRPr="008C63C5">
        <w:rPr>
          <w:rFonts w:ascii="Arial" w:eastAsia="Times New Roman" w:hAnsi="Arial" w:cs="Arial"/>
          <w:b/>
          <w:color w:val="000000"/>
          <w:sz w:val="18"/>
          <w:szCs w:val="18"/>
        </w:rPr>
        <w:t xml:space="preserve">. </w:t>
      </w:r>
      <w:r w:rsidR="00AF1F6F" w:rsidRPr="008C63C5">
        <w:rPr>
          <w:rFonts w:ascii="Arial" w:eastAsia="Times New Roman" w:hAnsi="Arial" w:cs="Arial"/>
          <w:bCs/>
          <w:color w:val="000000"/>
          <w:sz w:val="18"/>
          <w:szCs w:val="18"/>
        </w:rPr>
        <w:t xml:space="preserve">Research </w:t>
      </w:r>
      <w:r w:rsidR="006F293C" w:rsidRPr="008C63C5">
        <w:rPr>
          <w:rFonts w:ascii="Arial" w:eastAsia="Times New Roman" w:hAnsi="Arial" w:cs="Arial"/>
          <w:bCs/>
          <w:color w:val="000000"/>
          <w:sz w:val="18"/>
          <w:szCs w:val="18"/>
          <w:lang w:val="en-ID"/>
        </w:rPr>
        <w:t>Flowchart</w:t>
      </w:r>
    </w:p>
    <w:p w14:paraId="3738B031" w14:textId="77777777" w:rsidR="00FC4B90" w:rsidRPr="00FC4B90" w:rsidRDefault="00FC4B90" w:rsidP="00FC4B90">
      <w:pPr>
        <w:pBdr>
          <w:top w:val="nil"/>
          <w:left w:val="nil"/>
          <w:bottom w:val="nil"/>
          <w:right w:val="nil"/>
          <w:between w:val="nil"/>
        </w:pBdr>
        <w:spacing w:line="240" w:lineRule="auto"/>
        <w:ind w:left="0" w:hanging="2"/>
        <w:rPr>
          <w:rFonts w:ascii="Arial" w:eastAsia="Arial" w:hAnsi="Arial" w:cs="Arial"/>
          <w:color w:val="000000"/>
          <w:szCs w:val="20"/>
        </w:rPr>
      </w:pPr>
    </w:p>
    <w:p w14:paraId="208DD858" w14:textId="057EE6E3" w:rsidR="0050683E" w:rsidRDefault="00AF1F6F" w:rsidP="00FC4B90">
      <w:pPr>
        <w:pStyle w:val="Heading1"/>
        <w:spacing w:before="120"/>
        <w:ind w:hanging="2"/>
        <w:rPr>
          <w:rFonts w:ascii="Arial" w:eastAsia="Arial" w:hAnsi="Arial" w:cs="Arial"/>
          <w:sz w:val="22"/>
          <w:szCs w:val="22"/>
        </w:rPr>
      </w:pPr>
      <w:r>
        <w:rPr>
          <w:rFonts w:ascii="Arial" w:eastAsia="Arial" w:hAnsi="Arial" w:cs="Arial"/>
          <w:sz w:val="22"/>
          <w:szCs w:val="22"/>
        </w:rPr>
        <w:t>Results and Discussion</w:t>
      </w:r>
    </w:p>
    <w:p w14:paraId="1CE5F351" w14:textId="37FD25C5" w:rsidR="00A21B9F" w:rsidRDefault="00A21B9F" w:rsidP="0036095B">
      <w:pPr>
        <w:pBdr>
          <w:top w:val="nil"/>
          <w:left w:val="nil"/>
          <w:bottom w:val="nil"/>
          <w:right w:val="nil"/>
          <w:between w:val="nil"/>
        </w:pBdr>
        <w:spacing w:after="0" w:line="264" w:lineRule="auto"/>
        <w:ind w:left="0" w:hanging="2"/>
        <w:rPr>
          <w:rFonts w:ascii="Arial" w:eastAsia="Times New Roman" w:hAnsi="Arial" w:cs="Arial"/>
          <w:b/>
          <w:i/>
          <w:color w:val="000000"/>
          <w:szCs w:val="20"/>
        </w:rPr>
      </w:pPr>
      <w:r w:rsidRPr="00A21B9F">
        <w:rPr>
          <w:rFonts w:ascii="Arial" w:eastAsia="Times New Roman" w:hAnsi="Arial" w:cs="Arial"/>
          <w:b/>
          <w:i/>
          <w:color w:val="000000"/>
          <w:szCs w:val="20"/>
        </w:rPr>
        <w:t>Technology Readiness and Challenges of PV Technology</w:t>
      </w:r>
    </w:p>
    <w:p w14:paraId="0C3F7BF5" w14:textId="56382854" w:rsidR="00A21B9F" w:rsidRDefault="00A21B9F" w:rsidP="0036095B">
      <w:pPr>
        <w:pBdr>
          <w:top w:val="nil"/>
          <w:left w:val="nil"/>
          <w:bottom w:val="nil"/>
          <w:right w:val="nil"/>
          <w:between w:val="nil"/>
        </w:pBdr>
        <w:spacing w:after="0" w:line="264" w:lineRule="auto"/>
        <w:ind w:left="0" w:hanging="2"/>
        <w:rPr>
          <w:rFonts w:ascii="Arial" w:eastAsia="Times New Roman" w:hAnsi="Arial" w:cs="Arial"/>
          <w:color w:val="000000"/>
          <w:szCs w:val="20"/>
        </w:rPr>
      </w:pPr>
      <w:r>
        <w:rPr>
          <w:rFonts w:ascii="Arial" w:eastAsia="Times New Roman" w:hAnsi="Arial" w:cs="Arial"/>
          <w:color w:val="000000"/>
          <w:szCs w:val="20"/>
        </w:rPr>
        <w:t>T</w:t>
      </w:r>
      <w:r w:rsidRPr="00A21B9F">
        <w:rPr>
          <w:rFonts w:ascii="Arial" w:eastAsia="Times New Roman" w:hAnsi="Arial" w:cs="Arial"/>
          <w:color w:val="000000"/>
          <w:szCs w:val="20"/>
        </w:rPr>
        <w:t xml:space="preserve">he readiness of PV as a </w:t>
      </w:r>
      <w:r>
        <w:rPr>
          <w:rFonts w:ascii="Arial" w:eastAsia="Times New Roman" w:hAnsi="Arial" w:cs="Arial"/>
          <w:color w:val="000000"/>
          <w:szCs w:val="20"/>
        </w:rPr>
        <w:t>r</w:t>
      </w:r>
      <w:r w:rsidRPr="00A21B9F">
        <w:rPr>
          <w:rFonts w:ascii="Arial" w:eastAsia="Times New Roman" w:hAnsi="Arial" w:cs="Arial"/>
          <w:color w:val="000000"/>
          <w:szCs w:val="20"/>
        </w:rPr>
        <w:t xml:space="preserve">enewable </w:t>
      </w:r>
      <w:r>
        <w:rPr>
          <w:rFonts w:ascii="Arial" w:eastAsia="Times New Roman" w:hAnsi="Arial" w:cs="Arial"/>
          <w:color w:val="000000"/>
          <w:szCs w:val="20"/>
        </w:rPr>
        <w:t>e</w:t>
      </w:r>
      <w:r w:rsidRPr="00A21B9F">
        <w:rPr>
          <w:rFonts w:ascii="Arial" w:eastAsia="Times New Roman" w:hAnsi="Arial" w:cs="Arial"/>
          <w:color w:val="000000"/>
          <w:szCs w:val="20"/>
        </w:rPr>
        <w:t xml:space="preserve">nergy in product innovation and its readiness to enter the market can be measured using the Technology Readiness Level (TRL). PV products have reached TRL 9, as evidenced by the </w:t>
      </w:r>
      <w:r w:rsidR="00FC4B90">
        <w:rPr>
          <w:rFonts w:ascii="Arial" w:eastAsia="Times New Roman" w:hAnsi="Arial" w:cs="Arial"/>
          <w:color w:val="000000"/>
          <w:szCs w:val="20"/>
        </w:rPr>
        <w:t>systems</w:t>
      </w:r>
      <w:r w:rsidRPr="00A21B9F">
        <w:rPr>
          <w:rFonts w:ascii="Arial" w:eastAsia="Times New Roman" w:hAnsi="Arial" w:cs="Arial"/>
          <w:color w:val="000000"/>
          <w:szCs w:val="20"/>
        </w:rPr>
        <w:t xml:space="preserve"> proven to operate in operational environments </w:t>
      </w:r>
      <w:r w:rsidR="006221AC">
        <w:rPr>
          <w:rFonts w:ascii="Arial" w:eastAsia="Times New Roman" w:hAnsi="Arial" w:cs="Arial"/>
          <w:color w:val="000000"/>
          <w:szCs w:val="20"/>
        </w:rPr>
        <w:t xml:space="preserve">and </w:t>
      </w:r>
      <w:r w:rsidRPr="00A21B9F">
        <w:rPr>
          <w:rFonts w:ascii="Arial" w:eastAsia="Times New Roman" w:hAnsi="Arial" w:cs="Arial"/>
          <w:color w:val="000000"/>
          <w:szCs w:val="20"/>
        </w:rPr>
        <w:t>have been fully operational, commercialized, and implemented</w:t>
      </w:r>
      <w:r>
        <w:rPr>
          <w:rFonts w:ascii="Arial" w:eastAsia="Times New Roman" w:hAnsi="Arial" w:cs="Arial"/>
          <w:color w:val="000000"/>
          <w:szCs w:val="20"/>
        </w:rPr>
        <w:t xml:space="preserve"> </w:t>
      </w:r>
      <w:r w:rsidR="007D62C8">
        <w:rPr>
          <w:rFonts w:ascii="Arial" w:eastAsia="Times New Roman" w:hAnsi="Arial" w:cs="Arial"/>
          <w:color w:val="000000"/>
          <w:szCs w:val="20"/>
        </w:rPr>
        <w:fldChar w:fldCharType="begin" w:fldLock="1"/>
      </w:r>
      <w:r w:rsidR="007D62C8">
        <w:rPr>
          <w:rFonts w:ascii="Arial" w:eastAsia="Times New Roman" w:hAnsi="Arial" w:cs="Arial"/>
          <w:color w:val="000000"/>
          <w:szCs w:val="20"/>
        </w:rPr>
        <w:instrText>ADDIN CSL_CITATION {"citationItems":[{"id":"ITEM-1","itemData":{"author":[{"dropping-particle":"","family":"Jaffe","given":"P.","non-dropping-particle":"","parse-names":false,"suffix":""},{"dropping-particle":"","family":"Borders","given":"K.","non-dropping-particle":"","parse-names":false,"suffix":""},{"dropping-particle":"","family":"Browne","given":"C.","non-dropping-particle":"","parse-names":false,"suffix":""},{"dropping-particle":"","family":"DePuma","given":"C.","non-dropping-particle":"","parse-names":false,"suffix":""},{"dropping-particle":"","family":"Longbottom","given":"L.","non-dropping-particle":"","parse-names":false,"suffix":""},{"dropping-particle":"","family":"Nisar","given":"H.","non-dropping-particle":"","parse-names":false,"suffix":""},{"dropping-particle":"","family":"Simlot","given":"V.","non-dropping-particle":"","parse-names":false,"suffix":""}],"id":"ITEM-1","issued":{"date-parts":[["2019"]]},"publisher-place":"Washington : USA","title":"Opportunities and challenges for space solar for remote installations","type":"report"},"uris":["http://www.mendeley.com/documents/?uuid=9329d2cf-7a8a-40cb-9933-f72886388831"]}],"mendeley":{"formattedCitation":"(Jaffe et al., 2019)","plainTextFormattedCitation":"(Jaffe et al., 2019)","previouslyFormattedCitation":"(Jaffe et al., 2019)"},"properties":{"noteIndex":0},"schema":"https://github.com/citation-style-language/schema/raw/master/csl-citation.json"}</w:instrText>
      </w:r>
      <w:r w:rsidR="007D62C8">
        <w:rPr>
          <w:rFonts w:ascii="Arial" w:eastAsia="Times New Roman" w:hAnsi="Arial" w:cs="Arial"/>
          <w:color w:val="000000"/>
          <w:szCs w:val="20"/>
        </w:rPr>
        <w:fldChar w:fldCharType="separate"/>
      </w:r>
      <w:r w:rsidR="007D62C8" w:rsidRPr="007D62C8">
        <w:rPr>
          <w:rFonts w:ascii="Arial" w:eastAsia="Times New Roman" w:hAnsi="Arial" w:cs="Arial"/>
          <w:noProof/>
          <w:color w:val="000000"/>
          <w:szCs w:val="20"/>
        </w:rPr>
        <w:t>(Jaffe et al., 2019)</w:t>
      </w:r>
      <w:r w:rsidR="007D62C8">
        <w:rPr>
          <w:rFonts w:ascii="Arial" w:eastAsia="Times New Roman" w:hAnsi="Arial" w:cs="Arial"/>
          <w:color w:val="000000"/>
          <w:szCs w:val="20"/>
        </w:rPr>
        <w:fldChar w:fldCharType="end"/>
      </w:r>
      <w:r w:rsidR="00684750" w:rsidRPr="00684750">
        <w:rPr>
          <w:rFonts w:ascii="Arial" w:eastAsia="Times New Roman" w:hAnsi="Arial" w:cs="Arial"/>
          <w:color w:val="000000"/>
          <w:szCs w:val="20"/>
        </w:rPr>
        <w:t xml:space="preserve">. </w:t>
      </w:r>
      <w:r w:rsidRPr="00A21B9F">
        <w:rPr>
          <w:rFonts w:ascii="Arial" w:eastAsia="Times New Roman" w:hAnsi="Arial" w:cs="Arial"/>
          <w:color w:val="000000"/>
          <w:szCs w:val="20"/>
        </w:rPr>
        <w:t xml:space="preserve">The </w:t>
      </w:r>
      <w:r w:rsidR="00FC4B90">
        <w:rPr>
          <w:rFonts w:ascii="Arial" w:eastAsia="Times New Roman" w:hAnsi="Arial" w:cs="Arial"/>
          <w:color w:val="000000"/>
          <w:szCs w:val="20"/>
        </w:rPr>
        <w:t>whole</w:t>
      </w:r>
      <w:r w:rsidRPr="00A21B9F">
        <w:rPr>
          <w:rFonts w:ascii="Arial" w:eastAsia="Times New Roman" w:hAnsi="Arial" w:cs="Arial"/>
          <w:color w:val="000000"/>
          <w:szCs w:val="20"/>
        </w:rPr>
        <w:t xml:space="preserve"> production chain and all materials are readily available and </w:t>
      </w:r>
      <w:r w:rsidR="00FC4B90">
        <w:rPr>
          <w:rFonts w:ascii="Arial" w:eastAsia="Times New Roman" w:hAnsi="Arial" w:cs="Arial"/>
          <w:color w:val="000000"/>
          <w:szCs w:val="20"/>
        </w:rPr>
        <w:t>stable</w:t>
      </w:r>
      <w:r w:rsidRPr="00A21B9F">
        <w:rPr>
          <w:rFonts w:ascii="Arial" w:eastAsia="Times New Roman" w:hAnsi="Arial" w:cs="Arial"/>
          <w:color w:val="000000"/>
          <w:szCs w:val="20"/>
        </w:rPr>
        <w:t xml:space="preserve">, and the system has been optimized for full-scale production. The practical application of this technology is ready for large-scale production. Integration with other supporting technologies is mature, including materials, manufacturing processes, testing equipment in production, and established practices. After achieving TRL 9 readiness, the system is ready for full-scale implementation, which means that PV energy systems can operate at </w:t>
      </w:r>
      <w:r w:rsidR="00FC4B90">
        <w:rPr>
          <w:rFonts w:ascii="Arial" w:eastAsia="Times New Roman" w:hAnsi="Arial" w:cs="Arial"/>
          <w:color w:val="000000"/>
          <w:szCs w:val="20"/>
        </w:rPr>
        <w:t>tota</w:t>
      </w:r>
      <w:r w:rsidRPr="00A21B9F">
        <w:rPr>
          <w:rFonts w:ascii="Arial" w:eastAsia="Times New Roman" w:hAnsi="Arial" w:cs="Arial"/>
          <w:color w:val="000000"/>
          <w:szCs w:val="20"/>
        </w:rPr>
        <w:t>l capacity with optimal energy output under field conditions. Increased high-volume optimized production, operability, and maintenance have also been proven in the field</w:t>
      </w:r>
      <w:r>
        <w:rPr>
          <w:rFonts w:ascii="Arial" w:eastAsia="Times New Roman" w:hAnsi="Arial" w:cs="Arial"/>
          <w:color w:val="000000"/>
          <w:szCs w:val="20"/>
        </w:rPr>
        <w:t xml:space="preserve"> </w:t>
      </w:r>
      <w:r w:rsidR="007D62C8">
        <w:rPr>
          <w:rFonts w:ascii="Arial" w:eastAsia="Times New Roman" w:hAnsi="Arial" w:cs="Arial"/>
          <w:color w:val="000000"/>
          <w:szCs w:val="20"/>
        </w:rPr>
        <w:fldChar w:fldCharType="begin" w:fldLock="1"/>
      </w:r>
      <w:r w:rsidR="008C347A">
        <w:rPr>
          <w:rFonts w:ascii="Arial" w:eastAsia="Times New Roman" w:hAnsi="Arial" w:cs="Arial"/>
          <w:color w:val="000000"/>
          <w:szCs w:val="20"/>
        </w:rPr>
        <w:instrText>ADDIN CSL_CITATION {"citationItems":[{"id":"ITEM-1","itemData":{"ISBN":"9789279597534","abstract":"The European Union’s research framework programme Horizon2020 uses the concept of Technology Readiness Level (TRL) to describe the scope of its calls for proposals (...) This study aimed also to develop guidance documents defining TRL in 10 renewable energy fields; a Guide of Guides was conceived to be the backbone for any technology-specific definition and, based on its instructions, 10 guidance documents were produced and validated by stakeholders (...) - This document reports the annexes","author":[{"dropping-particle":"De","family":"Rose","given":"Antonio","non-dropping-particle":"","parse-names":false,"suffix":""},{"dropping-particle":"","family":"Buna","given":"Marina","non-dropping-particle":"","parse-names":false,"suffix":""},{"dropping-particle":"","family":"Strazza","given":"Carlo","non-dropping-particle":"","parse-names":false,"suffix":""},{"dropping-particle":"","family":"Olivier","given":"Nicolo","non-dropping-particle":"","parse-names":false,"suffix":""},{"dropping-particle":"","family":"Stevens","given":"Tine","non-dropping-particle":"","parse-names":false,"suffix":""},{"dropping-particle":"","family":"Tawil-Jamault","given":"Daniel","non-dropping-particle":"","parse-names":false,"suffix":""}],"container-title":"Eur 27988 En","id":"ITEM-1","issued":{"date-parts":[["2017"]]},"publisher":"European Comission","publisher-place":"Brussels","title":"Technology Readiness Level: Guidance Principles for Renewable Energy technologies - Final Report","type":"book"},"uris":["http://www.mendeley.com/documents/?uuid=0b0cff7f-0067-4d4d-8415-abc3953bf021"]}],"mendeley":{"formattedCitation":"(Rose et al., 2017)","plainTextFormattedCitation":"(Rose et al., 2017)","previouslyFormattedCitation":"(Rose et al., 2017)"},"properties":{"noteIndex":0},"schema":"https://github.com/citation-style-language/schema/raw/master/csl-citation.json"}</w:instrText>
      </w:r>
      <w:r w:rsidR="007D62C8">
        <w:rPr>
          <w:rFonts w:ascii="Arial" w:eastAsia="Times New Roman" w:hAnsi="Arial" w:cs="Arial"/>
          <w:color w:val="000000"/>
          <w:szCs w:val="20"/>
        </w:rPr>
        <w:fldChar w:fldCharType="separate"/>
      </w:r>
      <w:r w:rsidR="007D62C8" w:rsidRPr="007D62C8">
        <w:rPr>
          <w:rFonts w:ascii="Arial" w:eastAsia="Times New Roman" w:hAnsi="Arial" w:cs="Arial"/>
          <w:noProof/>
          <w:color w:val="000000"/>
          <w:szCs w:val="20"/>
        </w:rPr>
        <w:t>(Rose et al., 2017)</w:t>
      </w:r>
      <w:r w:rsidR="007D62C8">
        <w:rPr>
          <w:rFonts w:ascii="Arial" w:eastAsia="Times New Roman" w:hAnsi="Arial" w:cs="Arial"/>
          <w:color w:val="000000"/>
          <w:szCs w:val="20"/>
        </w:rPr>
        <w:fldChar w:fldCharType="end"/>
      </w:r>
      <w:r w:rsidR="00684750" w:rsidRPr="00684750">
        <w:rPr>
          <w:rFonts w:ascii="Arial" w:eastAsia="Times New Roman" w:hAnsi="Arial" w:cs="Arial"/>
          <w:color w:val="000000"/>
          <w:szCs w:val="20"/>
        </w:rPr>
        <w:t>.</w:t>
      </w:r>
      <w:r w:rsidR="00684750">
        <w:rPr>
          <w:rFonts w:ascii="Arial" w:eastAsia="Times New Roman" w:hAnsi="Arial" w:cs="Arial"/>
          <w:color w:val="000000"/>
          <w:szCs w:val="20"/>
        </w:rPr>
        <w:t xml:space="preserve"> </w:t>
      </w:r>
    </w:p>
    <w:p w14:paraId="137AE997" w14:textId="77777777" w:rsidR="00A21B9F" w:rsidRDefault="00A21B9F" w:rsidP="0036095B">
      <w:pPr>
        <w:pBdr>
          <w:top w:val="nil"/>
          <w:left w:val="nil"/>
          <w:bottom w:val="nil"/>
          <w:right w:val="nil"/>
          <w:between w:val="nil"/>
        </w:pBdr>
        <w:spacing w:after="0" w:line="264" w:lineRule="auto"/>
        <w:ind w:left="0" w:hanging="2"/>
        <w:rPr>
          <w:rFonts w:ascii="Arial" w:eastAsia="Times New Roman" w:hAnsi="Arial" w:cs="Arial"/>
          <w:color w:val="000000"/>
          <w:szCs w:val="20"/>
        </w:rPr>
      </w:pPr>
    </w:p>
    <w:p w14:paraId="2B248182" w14:textId="19F90B7C" w:rsidR="008C63C5" w:rsidRDefault="00A21B9F" w:rsidP="008C63C5">
      <w:pPr>
        <w:pBdr>
          <w:top w:val="nil"/>
          <w:left w:val="nil"/>
          <w:bottom w:val="nil"/>
          <w:right w:val="nil"/>
          <w:between w:val="nil"/>
        </w:pBdr>
        <w:spacing w:after="0" w:line="264" w:lineRule="auto"/>
        <w:ind w:left="0" w:hanging="2"/>
        <w:rPr>
          <w:rFonts w:ascii="Arial" w:eastAsia="Times New Roman" w:hAnsi="Arial" w:cs="Arial"/>
          <w:color w:val="000000"/>
          <w:szCs w:val="20"/>
        </w:rPr>
      </w:pPr>
      <w:r w:rsidRPr="00A21B9F">
        <w:rPr>
          <w:rFonts w:ascii="Arial" w:eastAsia="Times New Roman" w:hAnsi="Arial" w:cs="Arial"/>
          <w:color w:val="000000"/>
          <w:szCs w:val="20"/>
        </w:rPr>
        <w:t>In the development and commercialization of new technology, there will be challenges. These challenges include Product</w:t>
      </w:r>
      <w:r w:rsidR="00FC4B90">
        <w:rPr>
          <w:rFonts w:ascii="Arial" w:eastAsia="Times New Roman" w:hAnsi="Arial" w:cs="Arial"/>
          <w:color w:val="000000"/>
          <w:szCs w:val="20"/>
        </w:rPr>
        <w:t>, Process, Innovation</w:t>
      </w:r>
      <w:r w:rsidRPr="00A21B9F">
        <w:rPr>
          <w:rFonts w:ascii="Arial" w:eastAsia="Times New Roman" w:hAnsi="Arial" w:cs="Arial"/>
          <w:color w:val="000000"/>
          <w:szCs w:val="20"/>
        </w:rPr>
        <w:t xml:space="preserve">, and Business Challenges </w:t>
      </w:r>
      <w:r w:rsidR="003503F7">
        <w:rPr>
          <w:rFonts w:ascii="Arial" w:eastAsia="Times New Roman" w:hAnsi="Arial" w:cs="Arial"/>
          <w:color w:val="000000"/>
          <w:szCs w:val="20"/>
        </w:rPr>
        <w:fldChar w:fldCharType="begin" w:fldLock="1"/>
      </w:r>
      <w:r w:rsidR="003503F7">
        <w:rPr>
          <w:rFonts w:ascii="Arial" w:eastAsia="Times New Roman" w:hAnsi="Arial" w:cs="Arial"/>
          <w:color w:val="000000"/>
          <w:szCs w:val="20"/>
        </w:rPr>
        <w:instrText>ADDIN CSL_CITATION {"citationItems":[{"id":"ITEM-1","itemData":{"DOI":"10.3390/asi5010021","ISSN":"25715577","abstract":"The purpose of this research is to develop a model for measuring the efficiency of the TTO incubation process performance to accelerate the commercialization of research results in universi-ties. The method of analyzing the efficiency used in this research is the Data Envelopment Analysis (DEA) method based on Banker, Charnes, and Cooper (BCC), which is output-oriented. The soft-ware used in analyzing the efficiency of TTO performance is MaxDEA 8. The output of this research is a mathematical model tool for measuring the efficiency of TTO performance by DEA, which con-sidered 17 parameters and proposed recommendations for TTO performance strategies. The limita-tion of this research is the object of research in one university that has succeeded in the commercialization of research. This research implies that the performance efficiency measurement model is an alternative predictive way to increase the acceleration of commercialization. The practical implica-tions of this research are that it can evaluate performance or inefficient strategies in the incubation process of higher education research results to the Technology Transfer Office (TTO). This research also provides recommendations on strengthening the TTO function that can be used as a reference for improving performance at universities. This research measures the level of performance evaluation of TTO in the incubation process, which refers to the Death Valley framework. This incubation process is the main process accelerating the commercialization of research results in universities.","author":[{"dropping-particle":"","family":"Sutopo","given":"Wahyudi","non-dropping-particle":"","parse-names":false,"suffix":""},{"dropping-particle":"","family":"Khofiyah","given":"Nida An","non-dropping-particle":"","parse-names":false,"suffix":""},{"dropping-particle":"","family":"Hisjam","given":"Muhammad","non-dropping-particle":"","parse-names":false,"suffix":""},{"dropping-particle":"","family":"Ma’aram","given":"Azanizawati","non-dropping-particle":"","parse-names":false,"suffix":""}],"container-title":"Applied System Innovation","id":"ITEM-1","issue":"1","issued":{"date-parts":[["2022"]]},"title":"Performance Efficiency Measurement Model Development of a Technology Transfer Office (TTO) to Accelerate Technology Commercialization in Universities","type":"article-journal","volume":"5"},"uris":["http://www.mendeley.com/documents/?uuid=e2cd6a5b-9afc-4d27-9dff-0fb58126904c"]}],"mendeley":{"formattedCitation":"(Sutopo et al., 2022)","plainTextFormattedCitation":"(Sutopo et al., 2022)","previouslyFormattedCitation":"(Sutopo et al., 2022)"},"properties":{"noteIndex":0},"schema":"https://github.com/citation-style-language/schema/raw/master/csl-citation.json"}</w:instrText>
      </w:r>
      <w:r w:rsidR="003503F7">
        <w:rPr>
          <w:rFonts w:ascii="Arial" w:eastAsia="Times New Roman" w:hAnsi="Arial" w:cs="Arial"/>
          <w:color w:val="000000"/>
          <w:szCs w:val="20"/>
        </w:rPr>
        <w:fldChar w:fldCharType="separate"/>
      </w:r>
      <w:r w:rsidR="003503F7" w:rsidRPr="003503F7">
        <w:rPr>
          <w:rFonts w:ascii="Arial" w:eastAsia="Times New Roman" w:hAnsi="Arial" w:cs="Arial"/>
          <w:noProof/>
          <w:color w:val="000000"/>
          <w:szCs w:val="20"/>
        </w:rPr>
        <w:t>(Sutopo et al., 2022)</w:t>
      </w:r>
      <w:r w:rsidR="003503F7">
        <w:rPr>
          <w:rFonts w:ascii="Arial" w:eastAsia="Times New Roman" w:hAnsi="Arial" w:cs="Arial"/>
          <w:color w:val="000000"/>
          <w:szCs w:val="20"/>
        </w:rPr>
        <w:fldChar w:fldCharType="end"/>
      </w:r>
      <w:r w:rsidR="003503F7">
        <w:rPr>
          <w:rFonts w:ascii="Arial" w:eastAsia="Times New Roman" w:hAnsi="Arial" w:cs="Arial"/>
          <w:color w:val="000000"/>
          <w:szCs w:val="20"/>
        </w:rPr>
        <w:t xml:space="preserve">. </w:t>
      </w:r>
      <w:r>
        <w:rPr>
          <w:rFonts w:ascii="Arial" w:eastAsia="Times New Roman" w:hAnsi="Arial" w:cs="Arial"/>
          <w:color w:val="000000"/>
          <w:szCs w:val="20"/>
        </w:rPr>
        <w:t>T</w:t>
      </w:r>
      <w:r w:rsidRPr="00A21B9F">
        <w:rPr>
          <w:rFonts w:ascii="Arial" w:eastAsia="Times New Roman" w:hAnsi="Arial" w:cs="Arial"/>
          <w:color w:val="000000"/>
          <w:szCs w:val="20"/>
        </w:rPr>
        <w:t xml:space="preserve">he challenges </w:t>
      </w:r>
      <w:r w:rsidR="00FC4B90">
        <w:rPr>
          <w:rFonts w:ascii="Arial" w:eastAsia="Times New Roman" w:hAnsi="Arial" w:cs="Arial"/>
          <w:color w:val="000000"/>
          <w:szCs w:val="20"/>
        </w:rPr>
        <w:t>PV faces</w:t>
      </w:r>
      <w:r w:rsidRPr="00A21B9F">
        <w:rPr>
          <w:rFonts w:ascii="Arial" w:eastAsia="Times New Roman" w:hAnsi="Arial" w:cs="Arial"/>
          <w:color w:val="000000"/>
          <w:szCs w:val="20"/>
        </w:rPr>
        <w:t xml:space="preserve"> as a renewable energy source, based on the stages of new product development and commercialization, are the high cost of the product and the limited comprehensiveness of market education related to PV. These challenges will affect the TRL in </w:t>
      </w:r>
      <w:r w:rsidRPr="00A21B9F">
        <w:rPr>
          <w:rFonts w:ascii="Arial" w:eastAsia="Times New Roman" w:hAnsi="Arial" w:cs="Arial"/>
          <w:color w:val="000000"/>
          <w:szCs w:val="20"/>
        </w:rPr>
        <w:lastRenderedPageBreak/>
        <w:t>meeting market criteria</w:t>
      </w:r>
      <w:r w:rsidR="00684750" w:rsidRPr="00684750">
        <w:rPr>
          <w:rFonts w:ascii="Arial" w:eastAsia="Times New Roman" w:hAnsi="Arial" w:cs="Arial"/>
          <w:color w:val="000000"/>
          <w:szCs w:val="20"/>
        </w:rPr>
        <w:t xml:space="preserve"> </w:t>
      </w:r>
      <w:r w:rsidR="008C347A">
        <w:rPr>
          <w:rFonts w:ascii="Arial" w:eastAsia="Times New Roman" w:hAnsi="Arial" w:cs="Arial"/>
          <w:color w:val="000000"/>
          <w:szCs w:val="20"/>
        </w:rPr>
        <w:fldChar w:fldCharType="begin" w:fldLock="1"/>
      </w:r>
      <w:r w:rsidR="009639EA">
        <w:rPr>
          <w:rFonts w:ascii="Arial" w:eastAsia="Times New Roman" w:hAnsi="Arial" w:cs="Arial"/>
          <w:color w:val="000000"/>
          <w:szCs w:val="20"/>
        </w:rPr>
        <w:instrText>ADDIN CSL_CITATION {"citationItems":[{"id":"ITEM-1","itemData":{"DOI":"10.1016/S0166-4972(03)00023-3","ISSN":"01664972","abstract":"Entrepreneurship is the engine of innovation. The accumulated tacit knowledge and culture of the entrepreneur are the resources essential to create wealth from research commercialisation leading to technological innovation and the creation of New Technology Based Firms (NTBFs). The authors explore, in definitional terms, discovery of entrepreneurial opportunity and entrepreneurial capacity as the essential elements in the interaction between all types of tacit knowledge (technological, managerial, risk management, financial, etc.). These both derive from and affect interactions between the institutions (sets of rules), organisational culture and external business environment. They also interact with the entrepreneur's own background and personality. This leads then to a wider analysis of the importance of such tacit knowledge as the glue bringing together effective mechanisms for wealth creation out of research commercialisation. © 2003 Elsevier Ltd. All rights reserved.","author":[{"dropping-particle":"","family":"Hindle","given":"Kevin","non-dropping-particle":"","parse-names":false,"suffix":""},{"dropping-particle":"","family":"Yencken","given":"John","non-dropping-particle":"","parse-names":false,"suffix":""}],"container-title":"Technovation","id":"ITEM-1","issue":"10","issued":{"date-parts":[["2004"]]},"page":"793-803","title":"Public research commercialisation, entrepreneurship and new technology based firms: An integrated model","type":"article-journal","volume":"24"},"uris":["http://www.mendeley.com/documents/?uuid=48091c93-3e62-4f3f-a266-4bca88b00847"]},{"id":"ITEM-2","itemData":{"DOI":"10.1080/19761597.2006.9668620","ISSN":"1976-1597","abstract":"Summary The purpose of this study is to contribute reference material that provides insight into innovative process management that increases R&amp;D output in commercializing new products. A model of a process from research to commercialization with the cumulative profit and loss curve is put forward and hypotheses related to success and failure are developed at the stages up to product launch. Seventeen large projects that have resulted in successful product launches have been examined from the initial research stage to commercialization. Project duration, standardized cumulative R&amp;D expenditures and research resource concentration are analyzed in terms of statistical method and patterns in cumulative profit and loss curves after product sales, as well as the reasons for and other aspects of success/failure are investigated and analyzed. Consequently, valuable information on future management tasks has been obtained such as: (1) project duration differs depending on market sectors, product types and presenc...","author":[{"dropping-particle":"","family":"Osawa","given":"Yoshitaka","non-dropping-particle":"","parse-names":false,"suffix":""},{"dropping-particle":"","family":"Miyazaki","given":"Kumiko","non-dropping-particle":"","parse-names":false,"suffix":""}],"container-title":"Asian Journal of Technology Innovation","id":"ITEM-2","issue":"2","issued":{"date-parts":[["2006"]]},"page":"93-116","title":"An empirical analysis of the valley of death: Large</w:instrText>
      </w:r>
      <w:r w:rsidR="009639EA">
        <w:rPr>
          <w:rFonts w:ascii="Cambria Math" w:eastAsia="Times New Roman" w:hAnsi="Cambria Math" w:cs="Cambria Math"/>
          <w:color w:val="000000"/>
          <w:szCs w:val="20"/>
        </w:rPr>
        <w:instrText>‐</w:instrText>
      </w:r>
      <w:r w:rsidR="009639EA">
        <w:rPr>
          <w:rFonts w:ascii="Arial" w:eastAsia="Times New Roman" w:hAnsi="Arial" w:cs="Arial"/>
          <w:color w:val="000000"/>
          <w:szCs w:val="20"/>
        </w:rPr>
        <w:instrText>scale R&amp;D project performance in a Japanese diversified company","type":"article-journal","volume":"14"},"uris":["http://www.mendeley.com/documents/?uuid=17534395-4af5-4de7-ad3e-eff4660482df"]},{"id":"ITEM-3","itemData":{"DOI":"10.3390/app9040650","ISSN":"20763417","abstract":"Biologically inspired design (BID) is an emerging field of research with increasing achievements in engineering for design and problem solving. Its economic, societal, and ecological impact is considered to be significant. However, the number of existing products and success stories is still limited when compared to the knowledge that is available from biology and BID research. This article describes success factors for BID solutions, from the design process to the commercialization process, based on case studies and market analyses of biologically inspired products. Furthermore, the paper presents aspects of an effective knowledge transfer from science to industrial application, based on interviews with industrial partners. The accessibility of the methodological approach has led to promising advances in BID in practice. The findings can be used to increase the number of success stories by providing key steps toward the implementation and commercialization of BID products, and to point out necessary fields of cooperative research.","author":[{"dropping-particle":"","family":"Chirazi","given":"Jacques","non-dropping-particle":"","parse-names":false,"suffix":""},{"dropping-particle":"","family":"Wanieck","given":"Kristina","non-dropping-particle":"","parse-names":false,"suffix":""},{"dropping-particle":"","family":"Fayemi","given":"Pierre Emmanuel","non-dropping-particle":"","parse-names":false,"suffix":""},{"dropping-particle":"","family":"Zollfrank","given":"Cordt","non-dropping-particle":"","parse-names":false,"suffix":""},{"dropping-particle":"","family":"Jacobs","given":"Shoshanah","non-dropping-particle":"","parse-names":false,"suffix":""}],"container-title":"Applied Sciences (Switzerland)","id":"ITEM-3","issue":"4","issued":{"date-parts":[["2019"]]},"title":"What do we learn from good practices of biologically inspired design in innovation?","type":"article-journal","volume":"9"},"uris":["http://www.mendeley.com/documents/?uuid=f5e88254-ead6-4400-b44a-8efffa41c397"]}],"mendeley":{"formattedCitation":"(Chirazi et al., 2019; Hindle &amp; Yencken, 2004; Osawa &amp; Miyazaki, 2006)","plainTextFormattedCitation":"(Chirazi et al., 2019; Hindle &amp; Yencken, 2004; Osawa &amp; Miyazaki, 2006)","previouslyFormattedCitation":"(Chirazi et al., 2019; Hindle &amp; Yencken, 2004; Osawa &amp; Miyazaki, 2006)"},"properties":{"noteIndex":0},"schema":"https://github.com/citation-style-language/schema/raw/master/csl-citation.json"}</w:instrText>
      </w:r>
      <w:r w:rsidR="008C347A">
        <w:rPr>
          <w:rFonts w:ascii="Arial" w:eastAsia="Times New Roman" w:hAnsi="Arial" w:cs="Arial"/>
          <w:color w:val="000000"/>
          <w:szCs w:val="20"/>
        </w:rPr>
        <w:fldChar w:fldCharType="separate"/>
      </w:r>
      <w:r w:rsidR="007C58F4" w:rsidRPr="007C58F4">
        <w:rPr>
          <w:rFonts w:ascii="Arial" w:eastAsia="Times New Roman" w:hAnsi="Arial" w:cs="Arial"/>
          <w:noProof/>
          <w:color w:val="000000"/>
          <w:szCs w:val="20"/>
        </w:rPr>
        <w:t>(Chirazi et al., 2019; Hindle &amp; Yencken, 2004; Osawa &amp; Miyazaki, 2006)</w:t>
      </w:r>
      <w:r w:rsidR="008C347A">
        <w:rPr>
          <w:rFonts w:ascii="Arial" w:eastAsia="Times New Roman" w:hAnsi="Arial" w:cs="Arial"/>
          <w:color w:val="000000"/>
          <w:szCs w:val="20"/>
        </w:rPr>
        <w:fldChar w:fldCharType="end"/>
      </w:r>
      <w:r w:rsidR="00684750" w:rsidRPr="00684750">
        <w:rPr>
          <w:rFonts w:ascii="Arial" w:eastAsia="Times New Roman" w:hAnsi="Arial" w:cs="Arial"/>
          <w:color w:val="000000"/>
          <w:szCs w:val="20"/>
        </w:rPr>
        <w:t xml:space="preserve">. </w:t>
      </w:r>
      <w:r w:rsidRPr="00A21B9F">
        <w:rPr>
          <w:rFonts w:ascii="Arial" w:eastAsia="Times New Roman" w:hAnsi="Arial" w:cs="Arial"/>
          <w:color w:val="000000"/>
          <w:szCs w:val="20"/>
        </w:rPr>
        <w:t xml:space="preserve">PV's challenges are related to product (high product cost) and business (uneven use of PV). Even though PV has reached TRL 9, there are still challenges because </w:t>
      </w:r>
      <w:r w:rsidR="00FC4B90">
        <w:rPr>
          <w:rFonts w:ascii="Arial" w:eastAsia="Times New Roman" w:hAnsi="Arial" w:cs="Arial"/>
          <w:color w:val="000000"/>
          <w:szCs w:val="20"/>
        </w:rPr>
        <w:t>indicators</w:t>
      </w:r>
      <w:r w:rsidRPr="00A21B9F">
        <w:rPr>
          <w:rFonts w:ascii="Arial" w:eastAsia="Times New Roman" w:hAnsi="Arial" w:cs="Arial"/>
          <w:color w:val="000000"/>
          <w:szCs w:val="20"/>
        </w:rPr>
        <w:t xml:space="preserve"> have not been met in terms of high production cost estimates, making the price of PV products still high. The high production cost is due to </w:t>
      </w:r>
      <w:r w:rsidR="00FC4B90">
        <w:rPr>
          <w:rFonts w:ascii="Arial" w:eastAsia="Times New Roman" w:hAnsi="Arial" w:cs="Arial"/>
          <w:color w:val="000000"/>
          <w:szCs w:val="20"/>
        </w:rPr>
        <w:t>using</w:t>
      </w:r>
      <w:r w:rsidRPr="00A21B9F">
        <w:rPr>
          <w:rFonts w:ascii="Arial" w:eastAsia="Times New Roman" w:hAnsi="Arial" w:cs="Arial"/>
          <w:color w:val="000000"/>
          <w:szCs w:val="20"/>
        </w:rPr>
        <w:t xml:space="preserve"> pure silicon in PV, which requires a lot of </w:t>
      </w:r>
      <w:proofErr w:type="spellStart"/>
      <w:r w:rsidRPr="00A21B9F">
        <w:rPr>
          <w:rFonts w:ascii="Arial" w:eastAsia="Times New Roman" w:hAnsi="Arial" w:cs="Arial"/>
          <w:color w:val="000000"/>
          <w:szCs w:val="20"/>
        </w:rPr>
        <w:t>labo</w:t>
      </w:r>
      <w:r w:rsidR="00FC4B90">
        <w:rPr>
          <w:rFonts w:ascii="Arial" w:eastAsia="Times New Roman" w:hAnsi="Arial" w:cs="Arial"/>
          <w:color w:val="000000"/>
          <w:szCs w:val="20"/>
        </w:rPr>
        <w:t>u</w:t>
      </w:r>
      <w:r w:rsidRPr="00A21B9F">
        <w:rPr>
          <w:rFonts w:ascii="Arial" w:eastAsia="Times New Roman" w:hAnsi="Arial" w:cs="Arial"/>
          <w:color w:val="000000"/>
          <w:szCs w:val="20"/>
        </w:rPr>
        <w:t>r</w:t>
      </w:r>
      <w:proofErr w:type="spellEnd"/>
      <w:r w:rsidRPr="00A21B9F">
        <w:rPr>
          <w:rFonts w:ascii="Arial" w:eastAsia="Times New Roman" w:hAnsi="Arial" w:cs="Arial"/>
          <w:color w:val="000000"/>
          <w:szCs w:val="20"/>
        </w:rPr>
        <w:t xml:space="preserve"> and capital </w:t>
      </w:r>
      <w:r w:rsidR="009639EA">
        <w:rPr>
          <w:rFonts w:ascii="Arial" w:eastAsia="Times New Roman" w:hAnsi="Arial" w:cs="Arial"/>
          <w:color w:val="000000"/>
          <w:szCs w:val="20"/>
        </w:rPr>
        <w:fldChar w:fldCharType="begin" w:fldLock="1"/>
      </w:r>
      <w:r w:rsidR="009639EA">
        <w:rPr>
          <w:rFonts w:ascii="Arial" w:eastAsia="Times New Roman" w:hAnsi="Arial" w:cs="Arial"/>
          <w:color w:val="000000"/>
          <w:szCs w:val="20"/>
        </w:rPr>
        <w:instrText>ADDIN CSL_CITATION {"citationItems":[{"id":"ITEM-1","itemData":{"DOI":"10.46565/jreas.2018.v03i02.001","ISSN":"24566411","author":[{"dropping-particle":"","family":"Ferdous","given":"S. M","non-dropping-particle":"","parse-names":false,"suffix":""},{"dropping-particle":"","family":"Moin Oninda","given":"Mohammad Abdul","non-dropping-particle":"","parse-names":false,"suffix":""},{"dropping-particle":"","family":"Maruf","given":"Hasan","non-dropping-particle":"","parse-names":false,"suffix":""},{"dropping-particle":"","family":"Islam","given":"Atique","non-dropping-particle":"","parse-names":false,"suffix":""},{"dropping-particle":"","family":"Rahman","given":"Fayzur","non-dropping-particle":"","parse-names":false,"suffix":""}],"container-title":"Journal of Research in Engineering and Applied Sciences","id":"ITEM-1","issue":"02","issued":{"date-parts":[["2018"]]},"page":"41-47","title":"Energy Efficiency Constraints in Photovoltaic Power Generation Systems","type":"article-journal","volume":"03"},"uris":["http://www.mendeley.com/documents/?uuid=9f581670-876b-40be-be59-d8d2bdec8d56"]}],"mendeley":{"formattedCitation":"(Ferdous et al., 2018)","plainTextFormattedCitation":"(Ferdous et al., 2018)","previouslyFormattedCitation":"(Ferdous et al., 2018)"},"properties":{"noteIndex":0},"schema":"https://github.com/citation-style-language/schema/raw/master/csl-citation.json"}</w:instrText>
      </w:r>
      <w:r w:rsidR="009639EA">
        <w:rPr>
          <w:rFonts w:ascii="Arial" w:eastAsia="Times New Roman" w:hAnsi="Arial" w:cs="Arial"/>
          <w:color w:val="000000"/>
          <w:szCs w:val="20"/>
        </w:rPr>
        <w:fldChar w:fldCharType="separate"/>
      </w:r>
      <w:r w:rsidR="009639EA" w:rsidRPr="009639EA">
        <w:rPr>
          <w:rFonts w:ascii="Arial" w:eastAsia="Times New Roman" w:hAnsi="Arial" w:cs="Arial"/>
          <w:noProof/>
          <w:color w:val="000000"/>
          <w:szCs w:val="20"/>
        </w:rPr>
        <w:t>(Ferdous et al., 2018)</w:t>
      </w:r>
      <w:r w:rsidR="009639EA">
        <w:rPr>
          <w:rFonts w:ascii="Arial" w:eastAsia="Times New Roman" w:hAnsi="Arial" w:cs="Arial"/>
          <w:color w:val="000000"/>
          <w:szCs w:val="20"/>
        </w:rPr>
        <w:fldChar w:fldCharType="end"/>
      </w:r>
      <w:r w:rsidR="009639EA">
        <w:rPr>
          <w:rFonts w:ascii="Arial" w:eastAsia="Times New Roman" w:hAnsi="Arial" w:cs="Arial"/>
          <w:color w:val="000000"/>
          <w:szCs w:val="20"/>
        </w:rPr>
        <w:t xml:space="preserve">. </w:t>
      </w:r>
      <w:r w:rsidR="008C63C5" w:rsidRPr="008C63C5">
        <w:rPr>
          <w:rFonts w:ascii="Arial" w:eastAsia="Times New Roman" w:hAnsi="Arial" w:cs="Arial"/>
          <w:color w:val="000000"/>
          <w:szCs w:val="20"/>
        </w:rPr>
        <w:t xml:space="preserve">The business challenge </w:t>
      </w:r>
      <w:r w:rsidR="00FC4B90">
        <w:rPr>
          <w:rFonts w:ascii="Arial" w:eastAsia="Times New Roman" w:hAnsi="Arial" w:cs="Arial"/>
          <w:color w:val="000000"/>
          <w:szCs w:val="20"/>
        </w:rPr>
        <w:t>PV faces</w:t>
      </w:r>
      <w:r w:rsidR="008C63C5" w:rsidRPr="008C63C5">
        <w:rPr>
          <w:rFonts w:ascii="Arial" w:eastAsia="Times New Roman" w:hAnsi="Arial" w:cs="Arial"/>
          <w:color w:val="000000"/>
          <w:szCs w:val="20"/>
        </w:rPr>
        <w:t xml:space="preserve"> is that, although it has reached TRL 9, it is only at level 2 or the demonstration stage on the Commercial Readiness Index (CRI) scale</w:t>
      </w:r>
      <w:r w:rsidR="00684750" w:rsidRPr="00684750">
        <w:rPr>
          <w:rFonts w:ascii="Arial" w:eastAsia="Times New Roman" w:hAnsi="Arial" w:cs="Arial"/>
          <w:color w:val="000000"/>
          <w:szCs w:val="20"/>
        </w:rPr>
        <w:t xml:space="preserve"> </w:t>
      </w:r>
      <w:r w:rsidR="00AE5838">
        <w:rPr>
          <w:rFonts w:ascii="Arial" w:eastAsia="Times New Roman" w:hAnsi="Arial" w:cs="Arial"/>
          <w:color w:val="000000"/>
          <w:szCs w:val="20"/>
        </w:rPr>
        <w:fldChar w:fldCharType="begin" w:fldLock="1"/>
      </w:r>
      <w:r w:rsidR="00AD7C21">
        <w:rPr>
          <w:rFonts w:ascii="Arial" w:eastAsia="Times New Roman" w:hAnsi="Arial" w:cs="Arial"/>
          <w:color w:val="000000"/>
          <w:szCs w:val="20"/>
        </w:rPr>
        <w:instrText>ADDIN CSL_CITATION {"citationItems":[{"id":"ITEM-1","itemData":{"author":[{"dropping-particle":"","family":"Arena","given":"","non-dropping-particle":"","parse-names":false,"suffix":""}],"container-title":"Australian Renewable Energy Agency","id":"ITEM-1","issued":{"date-parts":[["2014"]]},"number-of-pages":"1-16","title":"Commercial Readiness Index for Renewable Energy Sectors","type":"report"},"uris":["http://www.mendeley.com/documents/?uuid=d637250e-754a-4803-aa98-d8073c5a6e3f"]}],"mendeley":{"formattedCitation":"(Arena, 2014)","plainTextFormattedCitation":"(Arena, 2014)","previouslyFormattedCitation":"(Arena, 2014)"},"properties":{"noteIndex":0},"schema":"https://github.com/citation-style-language/schema/raw/master/csl-citation.json"}</w:instrText>
      </w:r>
      <w:r w:rsidR="00AE5838">
        <w:rPr>
          <w:rFonts w:ascii="Arial" w:eastAsia="Times New Roman" w:hAnsi="Arial" w:cs="Arial"/>
          <w:color w:val="000000"/>
          <w:szCs w:val="20"/>
        </w:rPr>
        <w:fldChar w:fldCharType="separate"/>
      </w:r>
      <w:r w:rsidR="00AD7C21" w:rsidRPr="00AD7C21">
        <w:rPr>
          <w:rFonts w:ascii="Arial" w:eastAsia="Times New Roman" w:hAnsi="Arial" w:cs="Arial"/>
          <w:noProof/>
          <w:color w:val="000000"/>
          <w:szCs w:val="20"/>
        </w:rPr>
        <w:t>(Arena, 2014)</w:t>
      </w:r>
      <w:r w:rsidR="00AE5838">
        <w:rPr>
          <w:rFonts w:ascii="Arial" w:eastAsia="Times New Roman" w:hAnsi="Arial" w:cs="Arial"/>
          <w:color w:val="000000"/>
          <w:szCs w:val="20"/>
        </w:rPr>
        <w:fldChar w:fldCharType="end"/>
      </w:r>
      <w:r w:rsidR="00684750" w:rsidRPr="00684750">
        <w:rPr>
          <w:rFonts w:ascii="Arial" w:eastAsia="Times New Roman" w:hAnsi="Arial" w:cs="Arial"/>
          <w:color w:val="000000"/>
          <w:szCs w:val="20"/>
        </w:rPr>
        <w:t xml:space="preserve">. </w:t>
      </w:r>
      <w:r w:rsidR="008C63C5" w:rsidRPr="008C63C5">
        <w:rPr>
          <w:rFonts w:ascii="Arial" w:eastAsia="Times New Roman" w:hAnsi="Arial" w:cs="Arial"/>
          <w:color w:val="000000"/>
          <w:szCs w:val="20"/>
        </w:rPr>
        <w:t>Challenges in the technology development and renewable innovation process must be resolved promptly to expedite the introduction of technology to the market and minimize the required costs</w:t>
      </w:r>
      <w:r w:rsidR="00684750" w:rsidRPr="00684750">
        <w:rPr>
          <w:rFonts w:ascii="Arial" w:eastAsia="Times New Roman" w:hAnsi="Arial" w:cs="Arial"/>
          <w:color w:val="000000"/>
          <w:szCs w:val="20"/>
        </w:rPr>
        <w:t xml:space="preserve"> </w:t>
      </w:r>
      <w:r w:rsidR="003503F7">
        <w:rPr>
          <w:rFonts w:ascii="Arial" w:eastAsia="Times New Roman" w:hAnsi="Arial" w:cs="Arial"/>
          <w:color w:val="000000"/>
          <w:szCs w:val="20"/>
        </w:rPr>
        <w:fldChar w:fldCharType="begin" w:fldLock="1"/>
      </w:r>
      <w:r w:rsidR="00032DBD">
        <w:rPr>
          <w:rFonts w:ascii="Arial" w:eastAsia="Times New Roman" w:hAnsi="Arial" w:cs="Arial"/>
          <w:color w:val="000000"/>
          <w:szCs w:val="20"/>
        </w:rPr>
        <w:instrText>ADDIN CSL_CITATION {"citationItems":[{"id":"ITEM-1","itemData":{"DOI":"10.3390/asi5010021","ISSN":"25715577","abstract":"The purpose of this research is to develop a model for measuring the efficiency of the TTO incubation process performance to accelerate the commercialization of research results in universi-ties. The method of analyzing the efficiency used in this research is the Data Envelopment Analysis (DEA) method based on Banker, Charnes, and Cooper (BCC), which is output-oriented. The soft-ware used in analyzing the efficiency of TTO performance is MaxDEA 8. The output of this research is a mathematical model tool for measuring the efficiency of TTO performance by DEA, which con-sidered 17 parameters and proposed recommendations for TTO performance strategies. The limita-tion of this research is the object of research in one university that has succeeded in the commercialization of research. This research implies that the performance efficiency measurement model is an alternative predictive way to increase the acceleration of commercialization. The practical implica-tions of this research are that it can evaluate performance or inefficient strategies in the incubation process of higher education research results to the Technology Transfer Office (TTO). This research also provides recommendations on strengthening the TTO function that can be used as a reference for improving performance at universities. This research measures the level of performance evaluation of TTO in the incubation process, which refers to the Death Valley framework. This incubation process is the main process accelerating the commercialization of research results in universities.","author":[{"dropping-particle":"","family":"Sutopo","given":"Wahyudi","non-dropping-particle":"","parse-names":false,"suffix":""},{"dropping-particle":"","family":"Khofiyah","given":"Nida An","non-dropping-particle":"","parse-names":false,"suffix":""},{"dropping-particle":"","family":"Hisjam","given":"Muhammad","non-dropping-particle":"","parse-names":false,"suffix":""},{"dropping-particle":"","family":"Ma’aram","given":"Azanizawati","non-dropping-particle":"","parse-names":false,"suffix":""}],"container-title":"Applied System Innovation","id":"ITEM-1","issue":"1","issued":{"date-parts":[["2022"]]},"title":"Performance Efficiency Measurement Model Development of a Technology Transfer Office (TTO) to Accelerate Technology Commercialization in Universities","type":"article-journal","volume":"5"},"uris":["http://www.mendeley.com/documents/?uuid=e2cd6a5b-9afc-4d27-9dff-0fb58126904c"]}],"mendeley":{"formattedCitation":"(Sutopo et al., 2022)","plainTextFormattedCitation":"(Sutopo et al., 2022)","previouslyFormattedCitation":"(Sutopo et al., 2022)"},"properties":{"noteIndex":0},"schema":"https://github.com/citation-style-language/schema/raw/master/csl-citation.json"}</w:instrText>
      </w:r>
      <w:r w:rsidR="003503F7">
        <w:rPr>
          <w:rFonts w:ascii="Arial" w:eastAsia="Times New Roman" w:hAnsi="Arial" w:cs="Arial"/>
          <w:color w:val="000000"/>
          <w:szCs w:val="20"/>
        </w:rPr>
        <w:fldChar w:fldCharType="separate"/>
      </w:r>
      <w:r w:rsidR="003503F7" w:rsidRPr="003503F7">
        <w:rPr>
          <w:rFonts w:ascii="Arial" w:eastAsia="Times New Roman" w:hAnsi="Arial" w:cs="Arial"/>
          <w:noProof/>
          <w:color w:val="000000"/>
          <w:szCs w:val="20"/>
        </w:rPr>
        <w:t>(Sutopo et al., 2022)</w:t>
      </w:r>
      <w:r w:rsidR="003503F7">
        <w:rPr>
          <w:rFonts w:ascii="Arial" w:eastAsia="Times New Roman" w:hAnsi="Arial" w:cs="Arial"/>
          <w:color w:val="000000"/>
          <w:szCs w:val="20"/>
        </w:rPr>
        <w:fldChar w:fldCharType="end"/>
      </w:r>
      <w:r w:rsidR="00684750" w:rsidRPr="00684750">
        <w:rPr>
          <w:rFonts w:ascii="Arial" w:eastAsia="Times New Roman" w:hAnsi="Arial" w:cs="Arial"/>
          <w:color w:val="000000"/>
          <w:szCs w:val="20"/>
        </w:rPr>
        <w:t xml:space="preserve">. </w:t>
      </w:r>
      <w:r w:rsidR="008C63C5" w:rsidRPr="008C63C5">
        <w:rPr>
          <w:rFonts w:ascii="Arial" w:eastAsia="Times New Roman" w:hAnsi="Arial" w:cs="Arial"/>
          <w:color w:val="000000"/>
          <w:szCs w:val="20"/>
        </w:rPr>
        <w:t xml:space="preserve">However, in the case of PV products, which have reached TRL 9, improvements must continue to strengthen or improve the readiness of PV technology for use as RET, especially in the field of marketing with billboards. The cost or product-related challenges of PV </w:t>
      </w:r>
      <w:r w:rsidR="00FC4B90">
        <w:rPr>
          <w:rFonts w:ascii="Arial" w:eastAsia="Times New Roman" w:hAnsi="Arial" w:cs="Arial"/>
          <w:color w:val="000000"/>
          <w:szCs w:val="20"/>
        </w:rPr>
        <w:t>must</w:t>
      </w:r>
      <w:r w:rsidR="008C63C5" w:rsidRPr="008C63C5">
        <w:rPr>
          <w:rFonts w:ascii="Arial" w:eastAsia="Times New Roman" w:hAnsi="Arial" w:cs="Arial"/>
          <w:color w:val="000000"/>
          <w:szCs w:val="20"/>
        </w:rPr>
        <w:t xml:space="preserve"> be addressed </w:t>
      </w:r>
      <w:r w:rsidR="00FC4B90">
        <w:rPr>
          <w:rFonts w:ascii="Arial" w:eastAsia="Times New Roman" w:hAnsi="Arial" w:cs="Arial"/>
          <w:color w:val="000000"/>
          <w:szCs w:val="20"/>
        </w:rPr>
        <w:t>by re-evaluating</w:t>
      </w:r>
      <w:r w:rsidR="008C63C5" w:rsidRPr="008C63C5">
        <w:rPr>
          <w:rFonts w:ascii="Arial" w:eastAsia="Times New Roman" w:hAnsi="Arial" w:cs="Arial"/>
          <w:color w:val="000000"/>
          <w:szCs w:val="20"/>
        </w:rPr>
        <w:t xml:space="preserve"> materials and production processes to make PV relatively more cost-effective</w:t>
      </w:r>
      <w:r w:rsidR="009639EA">
        <w:rPr>
          <w:rFonts w:ascii="Arial" w:eastAsia="Times New Roman" w:hAnsi="Arial" w:cs="Arial"/>
          <w:color w:val="000000"/>
          <w:szCs w:val="20"/>
        </w:rPr>
        <w:t xml:space="preserve"> </w:t>
      </w:r>
      <w:r w:rsidR="009639EA">
        <w:rPr>
          <w:rFonts w:ascii="Arial" w:eastAsia="Times New Roman" w:hAnsi="Arial" w:cs="Arial"/>
          <w:color w:val="000000"/>
          <w:szCs w:val="20"/>
        </w:rPr>
        <w:fldChar w:fldCharType="begin" w:fldLock="1"/>
      </w:r>
      <w:r w:rsidR="00FD12E9">
        <w:rPr>
          <w:rFonts w:ascii="Arial" w:eastAsia="Times New Roman" w:hAnsi="Arial" w:cs="Arial"/>
          <w:color w:val="000000"/>
          <w:szCs w:val="20"/>
        </w:rPr>
        <w:instrText>ADDIN CSL_CITATION {"citationItems":[{"id":"ITEM-1","itemData":{"DOI":"10.46565/jreas.2018.v03i02.001","ISSN":"24566411","author":[{"dropping-particle":"","family":"Ferdous","given":"S. M","non-dropping-particle":"","parse-names":false,"suffix":""},{"dropping-particle":"","family":"Moin Oninda","given":"Mohammad Abdul","non-dropping-particle":"","parse-names":false,"suffix":""},{"dropping-particle":"","family":"Maruf","given":"Hasan","non-dropping-particle":"","parse-names":false,"suffix":""},{"dropping-particle":"","family":"Islam","given":"Atique","non-dropping-particle":"","parse-names":false,"suffix":""},{"dropping-particle":"","family":"Rahman","given":"Fayzur","non-dropping-particle":"","parse-names":false,"suffix":""}],"container-title":"Journal of Research in Engineering and Applied Sciences","id":"ITEM-1","issue":"02","issued":{"date-parts":[["2018"]]},"page":"41-47","title":"Energy Efficiency Constraints in Photovoltaic Power Generation Systems","type":"article-journal","volume":"03"},"uris":["http://www.mendeley.com/documents/?uuid=9f581670-876b-40be-be59-d8d2bdec8d56"]}],"mendeley":{"formattedCitation":"(Ferdous et al., 2018)","plainTextFormattedCitation":"(Ferdous et al., 2018)","previouslyFormattedCitation":"(Ferdous et al., 2018)"},"properties":{"noteIndex":0},"schema":"https://github.com/citation-style-language/schema/raw/master/csl-citation.json"}</w:instrText>
      </w:r>
      <w:r w:rsidR="009639EA">
        <w:rPr>
          <w:rFonts w:ascii="Arial" w:eastAsia="Times New Roman" w:hAnsi="Arial" w:cs="Arial"/>
          <w:color w:val="000000"/>
          <w:szCs w:val="20"/>
        </w:rPr>
        <w:fldChar w:fldCharType="separate"/>
      </w:r>
      <w:r w:rsidR="009639EA" w:rsidRPr="009639EA">
        <w:rPr>
          <w:rFonts w:ascii="Arial" w:eastAsia="Times New Roman" w:hAnsi="Arial" w:cs="Arial"/>
          <w:noProof/>
          <w:color w:val="000000"/>
          <w:szCs w:val="20"/>
        </w:rPr>
        <w:t>(Ferdous et al., 2018)</w:t>
      </w:r>
      <w:r w:rsidR="009639EA">
        <w:rPr>
          <w:rFonts w:ascii="Arial" w:eastAsia="Times New Roman" w:hAnsi="Arial" w:cs="Arial"/>
          <w:color w:val="000000"/>
          <w:szCs w:val="20"/>
        </w:rPr>
        <w:fldChar w:fldCharType="end"/>
      </w:r>
      <w:r w:rsidR="00684750" w:rsidRPr="00684750">
        <w:rPr>
          <w:rFonts w:ascii="Arial" w:eastAsia="Times New Roman" w:hAnsi="Arial" w:cs="Arial"/>
          <w:color w:val="000000"/>
          <w:szCs w:val="20"/>
        </w:rPr>
        <w:t xml:space="preserve">. </w:t>
      </w:r>
      <w:r w:rsidR="008C63C5" w:rsidRPr="008C63C5">
        <w:rPr>
          <w:rFonts w:ascii="Arial" w:eastAsia="Times New Roman" w:hAnsi="Arial" w:cs="Arial"/>
          <w:color w:val="000000"/>
          <w:szCs w:val="20"/>
        </w:rPr>
        <w:t xml:space="preserve">PV is also mentioned in some literature studies to have higher installation costs than conventional energy systems but is cost-effective in the long run. </w:t>
      </w:r>
      <w:r w:rsidR="00FC4B90">
        <w:rPr>
          <w:rFonts w:ascii="Arial" w:eastAsia="Times New Roman" w:hAnsi="Arial" w:cs="Arial"/>
          <w:color w:val="000000"/>
          <w:szCs w:val="20"/>
        </w:rPr>
        <w:t>As seen from the CRI perspective, business challenges for PV can be addressed by expanding the scale of commercialization until PV can be considered</w:t>
      </w:r>
      <w:r w:rsidR="008C63C5" w:rsidRPr="008C63C5">
        <w:rPr>
          <w:rFonts w:ascii="Arial" w:eastAsia="Times New Roman" w:hAnsi="Arial" w:cs="Arial"/>
          <w:color w:val="000000"/>
          <w:szCs w:val="20"/>
        </w:rPr>
        <w:t xml:space="preserve"> a banking asset, as shown in Figure 2.</w:t>
      </w:r>
    </w:p>
    <w:p w14:paraId="03853708" w14:textId="6F97BC6D" w:rsidR="00995E4E" w:rsidRPr="00585502" w:rsidRDefault="00995E4E" w:rsidP="008C63C5">
      <w:pPr>
        <w:pBdr>
          <w:top w:val="nil"/>
          <w:left w:val="nil"/>
          <w:bottom w:val="nil"/>
          <w:right w:val="nil"/>
          <w:between w:val="nil"/>
        </w:pBdr>
        <w:spacing w:after="0" w:line="264" w:lineRule="auto"/>
        <w:ind w:left="0" w:hanging="2"/>
        <w:jc w:val="center"/>
        <w:rPr>
          <w:rFonts w:ascii="Arial" w:eastAsia="Times New Roman" w:hAnsi="Arial" w:cs="Arial"/>
          <w:color w:val="000000"/>
          <w:szCs w:val="20"/>
          <w:lang w:val="en-ID"/>
        </w:rPr>
      </w:pPr>
      <w:r w:rsidRPr="00585502">
        <w:rPr>
          <w:rFonts w:ascii="Arial" w:hAnsi="Arial" w:cs="Arial"/>
          <w:noProof/>
          <w:szCs w:val="20"/>
        </w:rPr>
        <w:drawing>
          <wp:inline distT="0" distB="0" distL="0" distR="0" wp14:anchorId="2320B990" wp14:editId="3F39F6FA">
            <wp:extent cx="4930018" cy="3600000"/>
            <wp:effectExtent l="0" t="0" r="444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rcRect/>
                    <a:stretch/>
                  </pic:blipFill>
                  <pic:spPr bwMode="auto">
                    <a:xfrm>
                      <a:off x="0" y="0"/>
                      <a:ext cx="4930018"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289CD193" w14:textId="4E5EEE46" w:rsidR="00995E4E" w:rsidRPr="008C63C5" w:rsidRDefault="008C63C5" w:rsidP="00995E4E">
      <w:pPr>
        <w:pBdr>
          <w:top w:val="nil"/>
          <w:left w:val="nil"/>
          <w:bottom w:val="nil"/>
          <w:right w:val="nil"/>
          <w:between w:val="nil"/>
        </w:pBdr>
        <w:spacing w:after="0" w:line="264" w:lineRule="auto"/>
        <w:ind w:left="0" w:hanging="2"/>
        <w:jc w:val="center"/>
        <w:rPr>
          <w:rFonts w:ascii="Arial" w:eastAsia="Times New Roman" w:hAnsi="Arial" w:cs="Arial"/>
          <w:bCs/>
          <w:color w:val="000000"/>
          <w:sz w:val="18"/>
          <w:szCs w:val="18"/>
          <w:lang w:val="en-ID"/>
        </w:rPr>
      </w:pPr>
      <w:r w:rsidRPr="008C63C5">
        <w:rPr>
          <w:rFonts w:ascii="Arial" w:eastAsia="Times New Roman" w:hAnsi="Arial" w:cs="Arial"/>
          <w:b/>
          <w:color w:val="000000"/>
          <w:sz w:val="18"/>
          <w:szCs w:val="18"/>
        </w:rPr>
        <w:t>Figure</w:t>
      </w:r>
      <w:r w:rsidR="00995E4E" w:rsidRPr="008C63C5">
        <w:rPr>
          <w:rFonts w:ascii="Arial" w:eastAsia="Times New Roman" w:hAnsi="Arial" w:cs="Arial"/>
          <w:b/>
          <w:color w:val="000000"/>
          <w:sz w:val="18"/>
          <w:szCs w:val="18"/>
        </w:rPr>
        <w:t xml:space="preserve"> 2. </w:t>
      </w:r>
      <w:r w:rsidRPr="008C63C5">
        <w:rPr>
          <w:rFonts w:ascii="Arial" w:eastAsia="Times New Roman" w:hAnsi="Arial" w:cs="Arial"/>
          <w:bCs/>
          <w:color w:val="000000"/>
          <w:sz w:val="18"/>
          <w:szCs w:val="18"/>
          <w:lang w:val="en-ID"/>
        </w:rPr>
        <w:t>The Relationship between TRL and CRI Levels</w:t>
      </w:r>
      <w:r>
        <w:rPr>
          <w:rFonts w:ascii="Arial" w:eastAsia="Times New Roman" w:hAnsi="Arial" w:cs="Arial"/>
          <w:bCs/>
          <w:color w:val="000000"/>
          <w:sz w:val="18"/>
          <w:szCs w:val="18"/>
          <w:lang w:val="en-ID"/>
        </w:rPr>
        <w:t xml:space="preserve"> </w:t>
      </w:r>
      <w:r w:rsidR="00FD12E9" w:rsidRPr="008C63C5">
        <w:rPr>
          <w:rFonts w:ascii="Arial" w:eastAsia="Times New Roman" w:hAnsi="Arial" w:cs="Arial"/>
          <w:bCs/>
          <w:color w:val="000000"/>
          <w:sz w:val="18"/>
          <w:szCs w:val="18"/>
          <w:lang w:val="en-ID"/>
        </w:rPr>
        <w:fldChar w:fldCharType="begin" w:fldLock="1"/>
      </w:r>
      <w:r w:rsidR="00FD12E9" w:rsidRPr="008C63C5">
        <w:rPr>
          <w:rFonts w:ascii="Arial" w:eastAsia="Times New Roman" w:hAnsi="Arial" w:cs="Arial"/>
          <w:bCs/>
          <w:color w:val="000000"/>
          <w:sz w:val="18"/>
          <w:szCs w:val="18"/>
          <w:lang w:val="en-ID"/>
        </w:rPr>
        <w:instrText>ADDIN CSL_CITATION {"citationItems":[{"id":"ITEM-1","itemData":{"author":[{"dropping-particle":"","family":"Arena","given":"","non-dropping-particle":"","parse-names":false,"suffix":""}],"container-title":"Australian Renewable Energy Agency","id":"ITEM-1","issued":{"date-parts":[["2014"]]},"number-of-pages":"1-16","title":"Commercial Readiness Index for Renewable Energy Sectors","type":"report"},"uris":["http://www.mendeley.com/documents/?uuid=d637250e-754a-4803-aa98-d8073c5a6e3f"]}],"mendeley":{"formattedCitation":"(Arena, 2014)","plainTextFormattedCitation":"(Arena, 2014)","previouslyFormattedCitation":"(Arena, 2014)"},"properties":{"noteIndex":0},"schema":"https://github.com/citation-style-language/schema/raw/master/csl-citation.json"}</w:instrText>
      </w:r>
      <w:r w:rsidR="00FD12E9" w:rsidRPr="008C63C5">
        <w:rPr>
          <w:rFonts w:ascii="Arial" w:eastAsia="Times New Roman" w:hAnsi="Arial" w:cs="Arial"/>
          <w:bCs/>
          <w:color w:val="000000"/>
          <w:sz w:val="18"/>
          <w:szCs w:val="18"/>
          <w:lang w:val="en-ID"/>
        </w:rPr>
        <w:fldChar w:fldCharType="separate"/>
      </w:r>
      <w:r w:rsidR="00FD12E9" w:rsidRPr="008C63C5">
        <w:rPr>
          <w:rFonts w:ascii="Arial" w:eastAsia="Times New Roman" w:hAnsi="Arial" w:cs="Arial"/>
          <w:bCs/>
          <w:noProof/>
          <w:color w:val="000000"/>
          <w:sz w:val="18"/>
          <w:szCs w:val="18"/>
          <w:lang w:val="en-ID"/>
        </w:rPr>
        <w:t>(Arena, 2014)</w:t>
      </w:r>
      <w:r w:rsidR="00FD12E9" w:rsidRPr="008C63C5">
        <w:rPr>
          <w:rFonts w:ascii="Arial" w:eastAsia="Times New Roman" w:hAnsi="Arial" w:cs="Arial"/>
          <w:bCs/>
          <w:color w:val="000000"/>
          <w:sz w:val="18"/>
          <w:szCs w:val="18"/>
          <w:lang w:val="en-ID"/>
        </w:rPr>
        <w:fldChar w:fldCharType="end"/>
      </w:r>
    </w:p>
    <w:p w14:paraId="1D7FBEB4" w14:textId="77777777" w:rsidR="00995E4E" w:rsidRPr="0036095B" w:rsidRDefault="00995E4E" w:rsidP="0036095B">
      <w:pPr>
        <w:pBdr>
          <w:top w:val="nil"/>
          <w:left w:val="nil"/>
          <w:bottom w:val="nil"/>
          <w:right w:val="nil"/>
          <w:between w:val="nil"/>
        </w:pBdr>
        <w:spacing w:after="0" w:line="264" w:lineRule="auto"/>
        <w:ind w:left="0" w:hanging="2"/>
        <w:rPr>
          <w:rFonts w:ascii="Arial" w:eastAsia="Times New Roman" w:hAnsi="Arial" w:cs="Arial"/>
          <w:color w:val="000000"/>
          <w:szCs w:val="20"/>
          <w:lang w:val="en-ID"/>
        </w:rPr>
      </w:pPr>
    </w:p>
    <w:p w14:paraId="4EC97690" w14:textId="059EB762" w:rsidR="008C63C5" w:rsidRDefault="008C63C5" w:rsidP="00240624">
      <w:pPr>
        <w:pBdr>
          <w:top w:val="nil"/>
          <w:left w:val="nil"/>
          <w:bottom w:val="nil"/>
          <w:right w:val="nil"/>
          <w:between w:val="nil"/>
        </w:pBdr>
        <w:spacing w:after="0" w:line="264" w:lineRule="auto"/>
        <w:ind w:leftChars="0" w:left="0" w:firstLineChars="0" w:firstLine="0"/>
        <w:rPr>
          <w:rFonts w:ascii="Arial" w:eastAsia="Times New Roman" w:hAnsi="Arial" w:cs="Arial"/>
          <w:b/>
          <w:bCs/>
          <w:i/>
          <w:iCs/>
          <w:color w:val="000000"/>
          <w:szCs w:val="20"/>
        </w:rPr>
      </w:pPr>
      <w:r w:rsidRPr="008C63C5">
        <w:rPr>
          <w:rFonts w:ascii="Arial" w:eastAsia="Times New Roman" w:hAnsi="Arial" w:cs="Arial"/>
          <w:b/>
          <w:bCs/>
          <w:i/>
          <w:iCs/>
          <w:color w:val="000000"/>
          <w:szCs w:val="20"/>
        </w:rPr>
        <w:t>PV Value Chain for Billboard Lighting</w:t>
      </w:r>
    </w:p>
    <w:p w14:paraId="23E10EDA" w14:textId="74E0243C" w:rsidR="00B03099" w:rsidRDefault="008C63C5" w:rsidP="00240624">
      <w:pPr>
        <w:pBdr>
          <w:top w:val="nil"/>
          <w:left w:val="nil"/>
          <w:bottom w:val="nil"/>
          <w:right w:val="nil"/>
          <w:between w:val="nil"/>
        </w:pBdr>
        <w:spacing w:after="0" w:line="264" w:lineRule="auto"/>
        <w:ind w:leftChars="0" w:left="0" w:firstLineChars="0" w:firstLine="0"/>
        <w:rPr>
          <w:rFonts w:ascii="Arial" w:eastAsia="Times New Roman" w:hAnsi="Arial" w:cs="Arial"/>
          <w:i/>
          <w:iCs/>
          <w:color w:val="000000"/>
          <w:szCs w:val="20"/>
        </w:rPr>
      </w:pPr>
      <w:r w:rsidRPr="008C63C5">
        <w:rPr>
          <w:rFonts w:ascii="Arial" w:eastAsia="Times New Roman" w:hAnsi="Arial" w:cs="Arial"/>
          <w:color w:val="000000"/>
          <w:szCs w:val="20"/>
        </w:rPr>
        <w:t xml:space="preserve">The function of the PV value chain is to visualize the entire set of activities required for a billboard, from raw materials to the end user. The PV value chain used for billboard lighting starts with raw materials and then goes through manufacturing until it reaches the end user, as illustrated in Figure 3. Business opportunities regarding </w:t>
      </w:r>
      <w:r w:rsidR="00FC4B90">
        <w:rPr>
          <w:rFonts w:ascii="Arial" w:eastAsia="Times New Roman" w:hAnsi="Arial" w:cs="Arial"/>
          <w:color w:val="000000"/>
          <w:szCs w:val="20"/>
        </w:rPr>
        <w:t>installing</w:t>
      </w:r>
      <w:r w:rsidRPr="008C63C5">
        <w:rPr>
          <w:rFonts w:ascii="Arial" w:eastAsia="Times New Roman" w:hAnsi="Arial" w:cs="Arial"/>
          <w:color w:val="000000"/>
          <w:szCs w:val="20"/>
        </w:rPr>
        <w:t xml:space="preserve"> PV as a source of energy for billboard lighting arise, where the target use of PV spans various sectors such as Industrial, Commercial, and Residential. The </w:t>
      </w:r>
      <w:r w:rsidR="00FC4B90">
        <w:rPr>
          <w:rFonts w:ascii="Arial" w:eastAsia="Times New Roman" w:hAnsi="Arial" w:cs="Arial"/>
          <w:color w:val="000000"/>
          <w:szCs w:val="20"/>
        </w:rPr>
        <w:t>value chain analysis for the business opportunity of installing PV as a source of energy for billboard lighting is presented in Table 1 and Table 2 with a brief explanation of the value chain desig</w:t>
      </w:r>
      <w:r w:rsidRPr="008C63C5">
        <w:rPr>
          <w:rFonts w:ascii="Arial" w:eastAsia="Times New Roman" w:hAnsi="Arial" w:cs="Arial"/>
          <w:color w:val="000000"/>
          <w:szCs w:val="20"/>
        </w:rPr>
        <w:t>n for both primary and support activities</w:t>
      </w:r>
      <w:r w:rsidR="00995E4E">
        <w:rPr>
          <w:rFonts w:ascii="Arial" w:eastAsia="Times New Roman" w:hAnsi="Arial" w:cs="Arial"/>
          <w:i/>
          <w:iCs/>
          <w:color w:val="000000"/>
          <w:szCs w:val="20"/>
        </w:rPr>
        <w:t>.</w:t>
      </w:r>
    </w:p>
    <w:p w14:paraId="74F47727" w14:textId="77777777" w:rsidR="00240624" w:rsidRPr="00B03099" w:rsidRDefault="00240624" w:rsidP="00240624">
      <w:pPr>
        <w:pBdr>
          <w:top w:val="nil"/>
          <w:left w:val="nil"/>
          <w:bottom w:val="nil"/>
          <w:right w:val="nil"/>
          <w:between w:val="nil"/>
        </w:pBdr>
        <w:spacing w:after="0" w:line="264" w:lineRule="auto"/>
        <w:ind w:leftChars="0" w:left="0" w:firstLineChars="0" w:firstLine="0"/>
        <w:rPr>
          <w:rFonts w:ascii="Arial" w:eastAsia="Times New Roman" w:hAnsi="Arial" w:cs="Arial"/>
          <w:color w:val="000000"/>
          <w:szCs w:val="20"/>
        </w:rPr>
      </w:pPr>
    </w:p>
    <w:p w14:paraId="4C80C26B" w14:textId="77777777" w:rsidR="00B03099" w:rsidRPr="00B03099" w:rsidRDefault="00B03099" w:rsidP="00240624">
      <w:pPr>
        <w:pBdr>
          <w:top w:val="nil"/>
          <w:left w:val="nil"/>
          <w:bottom w:val="nil"/>
          <w:right w:val="nil"/>
          <w:between w:val="nil"/>
        </w:pBdr>
        <w:spacing w:after="0" w:line="264" w:lineRule="auto"/>
        <w:ind w:left="0" w:hanging="2"/>
        <w:jc w:val="center"/>
        <w:rPr>
          <w:rFonts w:ascii="Arial" w:eastAsia="Times New Roman" w:hAnsi="Arial" w:cs="Arial"/>
          <w:color w:val="000000"/>
          <w:szCs w:val="20"/>
        </w:rPr>
      </w:pPr>
      <w:r w:rsidRPr="00B03099">
        <w:rPr>
          <w:rFonts w:ascii="Arial" w:hAnsi="Arial" w:cs="Arial"/>
          <w:noProof/>
          <w:szCs w:val="20"/>
        </w:rPr>
        <w:lastRenderedPageBreak/>
        <w:drawing>
          <wp:inline distT="0" distB="0" distL="0" distR="0" wp14:anchorId="05B172DB" wp14:editId="416E5907">
            <wp:extent cx="3985860" cy="327600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985860" cy="3276000"/>
                    </a:xfrm>
                    <a:prstGeom prst="rect">
                      <a:avLst/>
                    </a:prstGeom>
                    <a:noFill/>
                    <a:ln>
                      <a:noFill/>
                    </a:ln>
                  </pic:spPr>
                </pic:pic>
              </a:graphicData>
            </a:graphic>
          </wp:inline>
        </w:drawing>
      </w:r>
    </w:p>
    <w:p w14:paraId="02AF719F" w14:textId="0A5D0E6D" w:rsidR="00B03099" w:rsidRPr="008C63C5" w:rsidRDefault="008C63C5" w:rsidP="006A3289">
      <w:pPr>
        <w:pBdr>
          <w:top w:val="nil"/>
          <w:left w:val="nil"/>
          <w:bottom w:val="nil"/>
          <w:right w:val="nil"/>
          <w:between w:val="nil"/>
        </w:pBdr>
        <w:spacing w:after="0" w:line="264" w:lineRule="auto"/>
        <w:ind w:left="0" w:hanging="2"/>
        <w:jc w:val="center"/>
        <w:rPr>
          <w:rFonts w:ascii="Arial" w:eastAsia="Times New Roman" w:hAnsi="Arial" w:cs="Arial"/>
          <w:color w:val="000000"/>
          <w:sz w:val="18"/>
          <w:szCs w:val="18"/>
          <w:lang w:val="en-ID"/>
        </w:rPr>
      </w:pPr>
      <w:r>
        <w:rPr>
          <w:rFonts w:ascii="Arial" w:eastAsia="Times New Roman" w:hAnsi="Arial" w:cs="Arial"/>
          <w:b/>
          <w:color w:val="000000"/>
          <w:sz w:val="18"/>
          <w:szCs w:val="18"/>
        </w:rPr>
        <w:t>Figure</w:t>
      </w:r>
      <w:r w:rsidR="00B03099" w:rsidRPr="008C63C5">
        <w:rPr>
          <w:rFonts w:ascii="Arial" w:eastAsia="Times New Roman" w:hAnsi="Arial" w:cs="Arial"/>
          <w:b/>
          <w:color w:val="000000"/>
          <w:sz w:val="18"/>
          <w:szCs w:val="18"/>
        </w:rPr>
        <w:t xml:space="preserve"> </w:t>
      </w:r>
      <w:r w:rsidR="002715E3" w:rsidRPr="008C63C5">
        <w:rPr>
          <w:rFonts w:ascii="Arial" w:eastAsia="Times New Roman" w:hAnsi="Arial" w:cs="Arial"/>
          <w:b/>
          <w:color w:val="000000"/>
          <w:sz w:val="18"/>
          <w:szCs w:val="18"/>
        </w:rPr>
        <w:t>3</w:t>
      </w:r>
      <w:r w:rsidR="00B03099" w:rsidRPr="008C63C5">
        <w:rPr>
          <w:rFonts w:ascii="Arial" w:eastAsia="Times New Roman" w:hAnsi="Arial" w:cs="Arial"/>
          <w:b/>
          <w:color w:val="000000"/>
          <w:sz w:val="18"/>
          <w:szCs w:val="18"/>
        </w:rPr>
        <w:t xml:space="preserve">. </w:t>
      </w:r>
      <w:r w:rsidR="00B03099" w:rsidRPr="008C63C5">
        <w:rPr>
          <w:rFonts w:ascii="Arial" w:eastAsia="Times New Roman" w:hAnsi="Arial" w:cs="Arial"/>
          <w:i/>
          <w:iCs/>
          <w:color w:val="000000"/>
          <w:sz w:val="18"/>
          <w:szCs w:val="18"/>
          <w:lang w:val="en-ID"/>
        </w:rPr>
        <w:t xml:space="preserve">Value Chain Photovoltaic </w:t>
      </w:r>
      <w:r w:rsidR="00B03099" w:rsidRPr="008C63C5">
        <w:rPr>
          <w:rFonts w:ascii="Arial" w:eastAsia="Times New Roman" w:hAnsi="Arial" w:cs="Arial"/>
          <w:color w:val="000000"/>
          <w:sz w:val="18"/>
          <w:szCs w:val="18"/>
          <w:lang w:val="en-ID"/>
        </w:rPr>
        <w:t xml:space="preserve">(Modified : </w:t>
      </w:r>
      <w:r w:rsidR="00FD12E9" w:rsidRPr="008C63C5">
        <w:rPr>
          <w:rFonts w:ascii="Arial" w:eastAsia="Times New Roman" w:hAnsi="Arial" w:cs="Arial"/>
          <w:color w:val="000000"/>
          <w:sz w:val="18"/>
          <w:szCs w:val="18"/>
          <w:lang w:val="en-ID"/>
        </w:rPr>
        <w:fldChar w:fldCharType="begin" w:fldLock="1"/>
      </w:r>
      <w:r w:rsidR="00FD12E9" w:rsidRPr="008C63C5">
        <w:rPr>
          <w:rFonts w:ascii="Arial" w:eastAsia="Times New Roman" w:hAnsi="Arial" w:cs="Arial"/>
          <w:color w:val="000000"/>
          <w:sz w:val="18"/>
          <w:szCs w:val="18"/>
          <w:lang w:val="en-ID"/>
        </w:rPr>
        <w:instrText>ADDIN CSL_CITATION {"citationItems":[{"id":"ITEM-1","itemData":{"DOI":"10.3390/su13179615","ISSN":"20711050","abstract":"As the solar photovoltaic market booms, so will the volume of photovoltaic (PV) systems entering the waste stream. The same is forecast for lithium-ion batteries from electric vehicles, which at the end of their automotive life can be given a second life by serving as stationary energy storage units for renewable energy sources, including solar PV. The main objective of this paper is to systematically review the “state-of-the-art” research on the solar PV value chain (i.e., from product design to product end-of-life), including its main stages, processes, and stakeholder relationships, in order to identify areas along the value chain where circular strategies could be implemented, thereby advancing the transition of the PV industry towards circularity. To achieve this goal, we conducted a systematic literature review of 148 peer-reviewed articles, published in English between 2000 and 2020. Results show the PV value chain has been studied from a forward flow supply chain perspective and mostly from a technological point of view, with little regard for circular design, circular business models, and PV reuse. This article thus takes an integrated value chain perspective, introduces some of the barriers to circularity that industry players face, and argues that these barriers represent future opportunities for incumbent and new entrants to innovate within a circular PV industry.","author":[{"dropping-particle":"","family":"Franco","given":"Maria A.","non-dropping-particle":"","parse-names":false,"suffix":""},{"dropping-particle":"","family":"Groesser","given":"Stefan N.","non-dropping-particle":"","parse-names":false,"suffix":""}],"container-title":"Sustainability (Switzerland)","id":"ITEM-1","issue":"17","issued":{"date-parts":[["2021"]]},"page":"1-35","title":"A systematic literature review of the solar photovoltaic value chain for a circular economy","type":"article-journal","volume":"13"},"uris":["http://www.mendeley.com/documents/?uuid=30f05bbe-6c6c-4c92-8acc-b92ce76606d6"]}],"mendeley":{"formattedCitation":"(Franco &amp; Groesser, 2021)","plainTextFormattedCitation":"(Franco &amp; Groesser, 2021)","previouslyFormattedCitation":"(Franco &amp; Groesser, 2021)"},"properties":{"noteIndex":0},"schema":"https://github.com/citation-style-language/schema/raw/master/csl-citation.json"}</w:instrText>
      </w:r>
      <w:r w:rsidR="00FD12E9" w:rsidRPr="008C63C5">
        <w:rPr>
          <w:rFonts w:ascii="Arial" w:eastAsia="Times New Roman" w:hAnsi="Arial" w:cs="Arial"/>
          <w:color w:val="000000"/>
          <w:sz w:val="18"/>
          <w:szCs w:val="18"/>
          <w:lang w:val="en-ID"/>
        </w:rPr>
        <w:fldChar w:fldCharType="separate"/>
      </w:r>
      <w:r w:rsidR="00FD12E9" w:rsidRPr="008C63C5">
        <w:rPr>
          <w:rFonts w:ascii="Arial" w:eastAsia="Times New Roman" w:hAnsi="Arial" w:cs="Arial"/>
          <w:noProof/>
          <w:color w:val="000000"/>
          <w:sz w:val="18"/>
          <w:szCs w:val="18"/>
          <w:lang w:val="en-ID"/>
        </w:rPr>
        <w:t>(Franco &amp; Groesser, 2021)</w:t>
      </w:r>
      <w:r w:rsidR="00FD12E9" w:rsidRPr="008C63C5">
        <w:rPr>
          <w:rFonts w:ascii="Arial" w:eastAsia="Times New Roman" w:hAnsi="Arial" w:cs="Arial"/>
          <w:color w:val="000000"/>
          <w:sz w:val="18"/>
          <w:szCs w:val="18"/>
          <w:lang w:val="en-ID"/>
        </w:rPr>
        <w:fldChar w:fldCharType="end"/>
      </w:r>
      <w:r w:rsidR="00B03099" w:rsidRPr="008C63C5">
        <w:rPr>
          <w:rFonts w:ascii="Arial" w:eastAsia="Times New Roman" w:hAnsi="Arial" w:cs="Arial"/>
          <w:color w:val="000000"/>
          <w:sz w:val="18"/>
          <w:szCs w:val="18"/>
          <w:lang w:val="en-ID"/>
        </w:rPr>
        <w:t>)</w:t>
      </w:r>
    </w:p>
    <w:p w14:paraId="3B320C43" w14:textId="77777777" w:rsidR="00C6162F" w:rsidRDefault="00C6162F" w:rsidP="006A3289">
      <w:pPr>
        <w:pBdr>
          <w:top w:val="nil"/>
          <w:left w:val="nil"/>
          <w:bottom w:val="nil"/>
          <w:right w:val="nil"/>
          <w:between w:val="nil"/>
        </w:pBdr>
        <w:spacing w:after="0" w:line="264" w:lineRule="auto"/>
        <w:ind w:left="0" w:hanging="2"/>
        <w:jc w:val="center"/>
        <w:rPr>
          <w:rFonts w:ascii="Arial" w:eastAsia="Times New Roman" w:hAnsi="Arial" w:cs="Arial"/>
          <w:color w:val="000000"/>
          <w:szCs w:val="20"/>
          <w:lang w:val="en-ID"/>
        </w:rPr>
      </w:pPr>
    </w:p>
    <w:p w14:paraId="1FA67FB6" w14:textId="2A7225C0" w:rsidR="00B03099" w:rsidRPr="000638BA" w:rsidRDefault="00B03099" w:rsidP="000638BA">
      <w:pPr>
        <w:pBdr>
          <w:top w:val="nil"/>
          <w:left w:val="nil"/>
          <w:bottom w:val="nil"/>
          <w:right w:val="nil"/>
          <w:between w:val="nil"/>
        </w:pBdr>
        <w:spacing w:after="0" w:line="264" w:lineRule="auto"/>
        <w:ind w:left="0" w:hanging="2"/>
        <w:jc w:val="left"/>
        <w:rPr>
          <w:rFonts w:ascii="Arial" w:eastAsia="Times New Roman" w:hAnsi="Arial" w:cs="Arial"/>
          <w:i/>
          <w:iCs/>
          <w:color w:val="000000"/>
          <w:szCs w:val="20"/>
        </w:rPr>
      </w:pPr>
      <w:r w:rsidRPr="00B03099">
        <w:rPr>
          <w:rFonts w:ascii="Arial" w:eastAsia="Times New Roman" w:hAnsi="Arial" w:cs="Arial"/>
          <w:b/>
          <w:color w:val="000000"/>
          <w:szCs w:val="20"/>
        </w:rPr>
        <w:t>Tab</w:t>
      </w:r>
      <w:r w:rsidR="006221AC">
        <w:rPr>
          <w:rFonts w:ascii="Arial" w:eastAsia="Times New Roman" w:hAnsi="Arial" w:cs="Arial"/>
          <w:b/>
          <w:color w:val="000000"/>
          <w:szCs w:val="20"/>
        </w:rPr>
        <w:t>le</w:t>
      </w:r>
      <w:r w:rsidRPr="00B03099">
        <w:rPr>
          <w:rFonts w:ascii="Arial" w:eastAsia="Times New Roman" w:hAnsi="Arial" w:cs="Arial"/>
          <w:b/>
          <w:color w:val="000000"/>
          <w:szCs w:val="20"/>
        </w:rPr>
        <w:t xml:space="preserve"> </w:t>
      </w:r>
      <w:r w:rsidR="006221AC">
        <w:rPr>
          <w:rFonts w:ascii="Arial" w:eastAsia="Times New Roman" w:hAnsi="Arial" w:cs="Arial"/>
          <w:b/>
          <w:color w:val="000000"/>
          <w:szCs w:val="20"/>
        </w:rPr>
        <w:t>1</w:t>
      </w:r>
      <w:r w:rsidRPr="00B03099">
        <w:rPr>
          <w:rFonts w:ascii="Arial" w:eastAsia="Times New Roman" w:hAnsi="Arial" w:cs="Arial"/>
          <w:color w:val="000000"/>
          <w:szCs w:val="20"/>
        </w:rPr>
        <w:t xml:space="preserve">. </w:t>
      </w:r>
      <w:r w:rsidR="000638BA" w:rsidRPr="000638BA">
        <w:rPr>
          <w:rFonts w:ascii="Arial" w:eastAsia="Times New Roman" w:hAnsi="Arial" w:cs="Arial"/>
          <w:i/>
          <w:iCs/>
          <w:color w:val="000000"/>
          <w:szCs w:val="20"/>
        </w:rPr>
        <w:t>Support Activities in the PV Business Value Chain for Billboard Lighting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B03099" w:rsidRPr="00B03099" w14:paraId="34F96F3C" w14:textId="77777777" w:rsidTr="007E0CA8">
        <w:trPr>
          <w:trHeight w:val="260"/>
        </w:trPr>
        <w:tc>
          <w:tcPr>
            <w:tcW w:w="5000" w:type="pct"/>
            <w:shd w:val="clear" w:color="auto" w:fill="auto"/>
            <w:vAlign w:val="center"/>
            <w:hideMark/>
          </w:tcPr>
          <w:p w14:paraId="4A629FF6" w14:textId="77777777" w:rsidR="000638BA" w:rsidRPr="000638BA" w:rsidRDefault="000638BA" w:rsidP="000638BA">
            <w:pPr>
              <w:suppressAutoHyphens w:val="0"/>
              <w:spacing w:after="0"/>
              <w:ind w:leftChars="0" w:left="0" w:firstLineChars="0" w:hanging="2"/>
              <w:jc w:val="center"/>
              <w:textDirection w:val="lrTb"/>
              <w:textAlignment w:val="auto"/>
              <w:outlineLvl w:val="9"/>
              <w:rPr>
                <w:rFonts w:ascii="Arial" w:hAnsi="Arial" w:cs="Arial"/>
                <w:color w:val="000000"/>
                <w:sz w:val="18"/>
                <w:szCs w:val="18"/>
                <w:lang w:val="en-ID"/>
              </w:rPr>
            </w:pPr>
            <w:r w:rsidRPr="000638BA">
              <w:rPr>
                <w:rFonts w:ascii="Arial" w:eastAsia="Times New Roman" w:hAnsi="Arial" w:cs="Arial"/>
                <w:b/>
                <w:bCs/>
                <w:color w:val="000000"/>
                <w:sz w:val="18"/>
                <w:szCs w:val="18"/>
                <w:lang w:val="en-ID"/>
              </w:rPr>
              <w:t>Company Infrastructure</w:t>
            </w:r>
          </w:p>
          <w:p w14:paraId="317FE09B" w14:textId="37476E63" w:rsidR="000638BA" w:rsidRDefault="000638BA" w:rsidP="000638BA">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Completing the company's documents related to business establishment permits and business feasibility</w:t>
            </w:r>
            <w:r>
              <w:rPr>
                <w:rFonts w:ascii="Arial" w:hAnsi="Arial" w:cs="Arial"/>
                <w:color w:val="000000"/>
                <w:sz w:val="18"/>
                <w:szCs w:val="18"/>
                <w:lang w:val="en-ID"/>
              </w:rPr>
              <w:t>.</w:t>
            </w:r>
          </w:p>
          <w:p w14:paraId="40AA89E1" w14:textId="46F5A848" w:rsidR="000638BA" w:rsidRDefault="000638BA" w:rsidP="000638BA">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 xml:space="preserve">Procuring standard operating procedures (SOP) and safety standards for </w:t>
            </w:r>
            <w:r w:rsidR="00FC4B90">
              <w:rPr>
                <w:rFonts w:ascii="Arial" w:hAnsi="Arial" w:cs="Arial"/>
                <w:color w:val="000000"/>
                <w:sz w:val="18"/>
                <w:szCs w:val="18"/>
                <w:lang w:val="en-ID"/>
              </w:rPr>
              <w:t>installing</w:t>
            </w:r>
            <w:r w:rsidRPr="000638BA">
              <w:rPr>
                <w:rFonts w:ascii="Arial" w:hAnsi="Arial" w:cs="Arial"/>
                <w:color w:val="000000"/>
                <w:sz w:val="18"/>
                <w:szCs w:val="18"/>
                <w:lang w:val="en-ID"/>
              </w:rPr>
              <w:t xml:space="preserve"> PV for billboard lighting.</w:t>
            </w:r>
          </w:p>
          <w:p w14:paraId="016258E8" w14:textId="7766DFF4" w:rsidR="000638BA" w:rsidRPr="000638BA" w:rsidRDefault="000638BA" w:rsidP="000638BA">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Designing financial workflow processes, including purchasing, customer payments, and employee payroll within the company.</w:t>
            </w:r>
          </w:p>
        </w:tc>
      </w:tr>
      <w:tr w:rsidR="00B03099" w:rsidRPr="00B03099" w14:paraId="5689F170" w14:textId="77777777" w:rsidTr="007E0CA8">
        <w:trPr>
          <w:trHeight w:val="260"/>
        </w:trPr>
        <w:tc>
          <w:tcPr>
            <w:tcW w:w="5000" w:type="pct"/>
            <w:shd w:val="clear" w:color="auto" w:fill="auto"/>
            <w:vAlign w:val="center"/>
            <w:hideMark/>
          </w:tcPr>
          <w:p w14:paraId="602D180E" w14:textId="63E44E0B" w:rsidR="00B03099" w:rsidRPr="00995E4E" w:rsidRDefault="000638BA" w:rsidP="007E0CA8">
            <w:pPr>
              <w:spacing w:after="0" w:line="240" w:lineRule="auto"/>
              <w:ind w:left="0" w:hanging="2"/>
              <w:jc w:val="center"/>
              <w:rPr>
                <w:rFonts w:ascii="Arial" w:eastAsia="Times New Roman" w:hAnsi="Arial" w:cs="Arial"/>
                <w:b/>
                <w:bCs/>
                <w:color w:val="000000"/>
                <w:sz w:val="18"/>
                <w:szCs w:val="18"/>
                <w:lang w:val="en-ID"/>
              </w:rPr>
            </w:pPr>
            <w:r w:rsidRPr="000638BA">
              <w:rPr>
                <w:rFonts w:ascii="Arial" w:eastAsia="Times New Roman" w:hAnsi="Arial" w:cs="Arial"/>
                <w:b/>
                <w:bCs/>
                <w:color w:val="000000"/>
                <w:sz w:val="18"/>
                <w:szCs w:val="18"/>
                <w:lang w:val="en-ID"/>
              </w:rPr>
              <w:t>Resource Management</w:t>
            </w:r>
          </w:p>
          <w:p w14:paraId="6789DA92" w14:textId="77777777" w:rsidR="000638BA" w:rsidRDefault="000638BA" w:rsidP="000638BA">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Recruiting competent workforce and providing job-related training</w:t>
            </w:r>
            <w:r w:rsidR="00B03099" w:rsidRPr="00995E4E">
              <w:rPr>
                <w:rFonts w:ascii="Arial" w:hAnsi="Arial" w:cs="Arial"/>
                <w:color w:val="000000"/>
                <w:sz w:val="18"/>
                <w:szCs w:val="18"/>
                <w:lang w:val="en-ID"/>
              </w:rPr>
              <w:t>.</w:t>
            </w:r>
          </w:p>
          <w:p w14:paraId="445FBA4E" w14:textId="6328CD2F" w:rsidR="000638BA" w:rsidRDefault="000638BA" w:rsidP="000638BA">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 xml:space="preserve">Granting rights </w:t>
            </w:r>
            <w:r w:rsidR="006221AC">
              <w:rPr>
                <w:rFonts w:ascii="Arial" w:hAnsi="Arial" w:cs="Arial"/>
                <w:color w:val="000000"/>
                <w:sz w:val="18"/>
                <w:szCs w:val="18"/>
                <w:lang w:val="en-ID"/>
              </w:rPr>
              <w:t>following</w:t>
            </w:r>
            <w:r w:rsidRPr="000638BA">
              <w:rPr>
                <w:rFonts w:ascii="Arial" w:hAnsi="Arial" w:cs="Arial"/>
                <w:color w:val="000000"/>
                <w:sz w:val="18"/>
                <w:szCs w:val="18"/>
                <w:lang w:val="en-ID"/>
              </w:rPr>
              <w:t xml:space="preserve"> </w:t>
            </w:r>
            <w:r w:rsidR="00FC4B90">
              <w:rPr>
                <w:rFonts w:ascii="Arial" w:hAnsi="Arial" w:cs="Arial"/>
                <w:color w:val="000000"/>
                <w:sz w:val="18"/>
                <w:szCs w:val="18"/>
                <w:lang w:val="en-ID"/>
              </w:rPr>
              <w:t>each employee's job positions and roles</w:t>
            </w:r>
            <w:r w:rsidRPr="000638BA">
              <w:rPr>
                <w:rFonts w:ascii="Arial" w:hAnsi="Arial" w:cs="Arial"/>
                <w:color w:val="000000"/>
                <w:sz w:val="18"/>
                <w:szCs w:val="18"/>
                <w:lang w:val="en-ID"/>
              </w:rPr>
              <w:t xml:space="preserve"> </w:t>
            </w:r>
            <w:r w:rsidR="006221AC">
              <w:rPr>
                <w:rFonts w:ascii="Arial" w:hAnsi="Arial" w:cs="Arial"/>
                <w:color w:val="000000"/>
                <w:sz w:val="18"/>
                <w:szCs w:val="18"/>
                <w:lang w:val="en-ID"/>
              </w:rPr>
              <w:t>regarding</w:t>
            </w:r>
            <w:r w:rsidRPr="000638BA">
              <w:rPr>
                <w:rFonts w:ascii="Arial" w:hAnsi="Arial" w:cs="Arial"/>
                <w:color w:val="000000"/>
                <w:sz w:val="18"/>
                <w:szCs w:val="18"/>
                <w:lang w:val="en-ID"/>
              </w:rPr>
              <w:t xml:space="preserve"> government regulations regarding employment.</w:t>
            </w:r>
          </w:p>
          <w:p w14:paraId="3600C4C8" w14:textId="30CD05AE" w:rsidR="00B03099" w:rsidRPr="000638BA" w:rsidRDefault="000638BA" w:rsidP="000638BA">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Measuring employee Key Performance Indicators (KPIs) as an evaluation tool.</w:t>
            </w:r>
          </w:p>
        </w:tc>
      </w:tr>
      <w:tr w:rsidR="00B03099" w:rsidRPr="00B03099" w14:paraId="08FEABBE" w14:textId="77777777" w:rsidTr="007E0CA8">
        <w:trPr>
          <w:trHeight w:val="260"/>
        </w:trPr>
        <w:tc>
          <w:tcPr>
            <w:tcW w:w="5000" w:type="pct"/>
            <w:shd w:val="clear" w:color="auto" w:fill="auto"/>
            <w:vAlign w:val="center"/>
            <w:hideMark/>
          </w:tcPr>
          <w:p w14:paraId="05004C27" w14:textId="318F1633" w:rsidR="00B03099" w:rsidRPr="00995E4E" w:rsidRDefault="00B03099" w:rsidP="007E0CA8">
            <w:pPr>
              <w:spacing w:after="0" w:line="240" w:lineRule="auto"/>
              <w:ind w:left="0" w:hanging="2"/>
              <w:jc w:val="center"/>
              <w:rPr>
                <w:rFonts w:ascii="Arial" w:eastAsia="Times New Roman" w:hAnsi="Arial" w:cs="Arial"/>
                <w:b/>
                <w:bCs/>
                <w:color w:val="000000"/>
                <w:sz w:val="18"/>
                <w:szCs w:val="18"/>
                <w:lang w:val="en-ID"/>
              </w:rPr>
            </w:pPr>
            <w:r w:rsidRPr="00995E4E">
              <w:rPr>
                <w:rFonts w:ascii="Arial" w:eastAsia="Times New Roman" w:hAnsi="Arial" w:cs="Arial"/>
                <w:b/>
                <w:bCs/>
                <w:color w:val="000000"/>
                <w:sz w:val="18"/>
                <w:szCs w:val="18"/>
                <w:lang w:val="en-ID"/>
              </w:rPr>
              <w:t> </w:t>
            </w:r>
            <w:r w:rsidR="000638BA" w:rsidRPr="000638BA">
              <w:rPr>
                <w:rFonts w:ascii="Arial" w:eastAsia="Times New Roman" w:hAnsi="Arial" w:cs="Arial"/>
                <w:b/>
                <w:bCs/>
                <w:color w:val="000000"/>
                <w:sz w:val="18"/>
                <w:szCs w:val="18"/>
                <w:lang w:val="en-ID"/>
              </w:rPr>
              <w:t>Technology Development</w:t>
            </w:r>
          </w:p>
          <w:p w14:paraId="60672055" w14:textId="544D188A" w:rsidR="000638BA" w:rsidRDefault="000638BA" w:rsidP="000638BA">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 xml:space="preserve">Conducting research and development on alternative materials that </w:t>
            </w:r>
            <w:r w:rsidR="00FC4B90">
              <w:rPr>
                <w:rFonts w:ascii="Arial" w:hAnsi="Arial" w:cs="Arial"/>
                <w:color w:val="000000"/>
                <w:sz w:val="18"/>
                <w:szCs w:val="18"/>
                <w:lang w:val="en-ID"/>
              </w:rPr>
              <w:t>PV can use</w:t>
            </w:r>
            <w:r w:rsidRPr="000638BA">
              <w:rPr>
                <w:rFonts w:ascii="Arial" w:hAnsi="Arial" w:cs="Arial"/>
                <w:color w:val="000000"/>
                <w:sz w:val="18"/>
                <w:szCs w:val="18"/>
                <w:lang w:val="en-ID"/>
              </w:rPr>
              <w:t>.</w:t>
            </w:r>
          </w:p>
          <w:p w14:paraId="17922BA0" w14:textId="77777777" w:rsidR="000638BA" w:rsidRDefault="000638BA" w:rsidP="000638BA">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Undertaking business development efforts to gain a new market share in PV installation as an energy source.</w:t>
            </w:r>
          </w:p>
          <w:p w14:paraId="00744EC6" w14:textId="4EC5DBE8" w:rsidR="00B03099" w:rsidRPr="000638BA" w:rsidRDefault="000638BA" w:rsidP="000638BA">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Having an Enterprise Resource Planning (ERP) system to integrate various company activities.</w:t>
            </w:r>
          </w:p>
        </w:tc>
      </w:tr>
      <w:tr w:rsidR="00B03099" w:rsidRPr="00B03099" w14:paraId="4A3EC390" w14:textId="77777777" w:rsidTr="007E0CA8">
        <w:trPr>
          <w:trHeight w:val="260"/>
        </w:trPr>
        <w:tc>
          <w:tcPr>
            <w:tcW w:w="5000" w:type="pct"/>
            <w:shd w:val="clear" w:color="auto" w:fill="auto"/>
            <w:vAlign w:val="center"/>
            <w:hideMark/>
          </w:tcPr>
          <w:p w14:paraId="40DB7323" w14:textId="1228A9A4" w:rsidR="00B03099" w:rsidRPr="00995E4E" w:rsidRDefault="00B03099" w:rsidP="007E0CA8">
            <w:pPr>
              <w:spacing w:after="0" w:line="240" w:lineRule="auto"/>
              <w:ind w:left="0" w:hanging="2"/>
              <w:jc w:val="center"/>
              <w:rPr>
                <w:rFonts w:ascii="Arial" w:eastAsia="Times New Roman" w:hAnsi="Arial" w:cs="Arial"/>
                <w:b/>
                <w:bCs/>
                <w:color w:val="000000"/>
                <w:sz w:val="18"/>
                <w:szCs w:val="18"/>
                <w:lang w:val="en-ID"/>
              </w:rPr>
            </w:pPr>
            <w:r w:rsidRPr="00995E4E">
              <w:rPr>
                <w:rFonts w:ascii="Arial" w:eastAsia="Times New Roman" w:hAnsi="Arial" w:cs="Arial"/>
                <w:b/>
                <w:bCs/>
                <w:color w:val="000000"/>
                <w:sz w:val="18"/>
                <w:szCs w:val="18"/>
                <w:lang w:val="en-ID"/>
              </w:rPr>
              <w:t> </w:t>
            </w:r>
            <w:r w:rsidR="000638BA">
              <w:rPr>
                <w:rFonts w:ascii="Arial" w:eastAsia="Times New Roman" w:hAnsi="Arial" w:cs="Arial"/>
                <w:b/>
                <w:bCs/>
                <w:color w:val="000000"/>
                <w:sz w:val="18"/>
                <w:szCs w:val="18"/>
                <w:lang w:val="en-ID"/>
              </w:rPr>
              <w:t>Purchasing</w:t>
            </w:r>
          </w:p>
          <w:p w14:paraId="5206EA88" w14:textId="77777777" w:rsidR="000638BA" w:rsidRDefault="000638BA" w:rsidP="000638BA">
            <w:pPr>
              <w:pStyle w:val="ListParagraph"/>
              <w:numPr>
                <w:ilvl w:val="0"/>
                <w:numId w:val="3"/>
              </w:numPr>
              <w:suppressAutoHyphens w:val="0"/>
              <w:spacing w:after="0"/>
              <w:ind w:leftChars="0" w:left="313" w:firstLineChars="0" w:hanging="313"/>
              <w:contextualSpacing w:val="0"/>
              <w:jc w:val="left"/>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Procuring installation equipment to facilitate the workforce in PV installation.</w:t>
            </w:r>
          </w:p>
          <w:p w14:paraId="56BE48FD" w14:textId="77777777" w:rsidR="000638BA" w:rsidRDefault="000638BA" w:rsidP="000638BA">
            <w:pPr>
              <w:pStyle w:val="ListParagraph"/>
              <w:numPr>
                <w:ilvl w:val="0"/>
                <w:numId w:val="3"/>
              </w:numPr>
              <w:suppressAutoHyphens w:val="0"/>
              <w:spacing w:after="0"/>
              <w:ind w:leftChars="0" w:left="313" w:firstLineChars="0" w:hanging="313"/>
              <w:contextualSpacing w:val="0"/>
              <w:jc w:val="left"/>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Purchasing shelving units for storing PV products to be marketed.</w:t>
            </w:r>
          </w:p>
          <w:p w14:paraId="31CE166B" w14:textId="06C1E015" w:rsidR="000638BA" w:rsidRPr="000638BA" w:rsidRDefault="000638BA" w:rsidP="000638BA">
            <w:pPr>
              <w:pStyle w:val="ListParagraph"/>
              <w:numPr>
                <w:ilvl w:val="0"/>
                <w:numId w:val="3"/>
              </w:numPr>
              <w:suppressAutoHyphens w:val="0"/>
              <w:spacing w:after="0"/>
              <w:ind w:leftChars="0" w:left="313" w:firstLineChars="0" w:hanging="313"/>
              <w:contextualSpacing w:val="0"/>
              <w:jc w:val="left"/>
              <w:textDirection w:val="lrTb"/>
              <w:textAlignment w:val="auto"/>
              <w:outlineLvl w:val="9"/>
              <w:rPr>
                <w:rFonts w:ascii="Arial" w:hAnsi="Arial" w:cs="Arial"/>
                <w:color w:val="000000"/>
                <w:sz w:val="18"/>
                <w:szCs w:val="18"/>
                <w:lang w:val="en-ID"/>
              </w:rPr>
            </w:pPr>
            <w:r w:rsidRPr="000638BA">
              <w:rPr>
                <w:rFonts w:ascii="Arial" w:hAnsi="Arial" w:cs="Arial"/>
                <w:color w:val="000000"/>
                <w:sz w:val="18"/>
                <w:szCs w:val="18"/>
                <w:lang w:val="en-ID"/>
              </w:rPr>
              <w:t>Procuring transportation modes to support PV distribution.</w:t>
            </w:r>
          </w:p>
        </w:tc>
      </w:tr>
    </w:tbl>
    <w:p w14:paraId="259F0A45" w14:textId="77777777" w:rsidR="00A818BF" w:rsidRDefault="00A818BF" w:rsidP="006A3289">
      <w:pPr>
        <w:pBdr>
          <w:top w:val="nil"/>
          <w:left w:val="nil"/>
          <w:bottom w:val="nil"/>
          <w:right w:val="nil"/>
          <w:between w:val="nil"/>
        </w:pBdr>
        <w:spacing w:after="0" w:line="264" w:lineRule="auto"/>
        <w:ind w:left="0" w:hanging="2"/>
        <w:jc w:val="left"/>
        <w:rPr>
          <w:rFonts w:ascii="Arial" w:eastAsia="Times New Roman" w:hAnsi="Arial" w:cs="Arial"/>
          <w:b/>
          <w:color w:val="000000"/>
          <w:szCs w:val="20"/>
        </w:rPr>
      </w:pPr>
    </w:p>
    <w:p w14:paraId="285D5158" w14:textId="1534CC56" w:rsidR="006A3289" w:rsidRPr="00B03099" w:rsidRDefault="006A3289" w:rsidP="006A3289">
      <w:pPr>
        <w:pBdr>
          <w:top w:val="nil"/>
          <w:left w:val="nil"/>
          <w:bottom w:val="nil"/>
          <w:right w:val="nil"/>
          <w:between w:val="nil"/>
        </w:pBdr>
        <w:spacing w:after="0" w:line="264" w:lineRule="auto"/>
        <w:ind w:left="0" w:hanging="2"/>
        <w:jc w:val="left"/>
        <w:rPr>
          <w:rFonts w:ascii="Arial" w:eastAsia="Times New Roman" w:hAnsi="Arial" w:cs="Arial"/>
          <w:color w:val="000000"/>
          <w:szCs w:val="20"/>
        </w:rPr>
      </w:pPr>
      <w:r w:rsidRPr="00B03099">
        <w:rPr>
          <w:rFonts w:ascii="Arial" w:eastAsia="Times New Roman" w:hAnsi="Arial" w:cs="Arial"/>
          <w:b/>
          <w:color w:val="000000"/>
          <w:szCs w:val="20"/>
        </w:rPr>
        <w:t>Tab</w:t>
      </w:r>
      <w:r w:rsidR="006221AC">
        <w:rPr>
          <w:rFonts w:ascii="Arial" w:eastAsia="Times New Roman" w:hAnsi="Arial" w:cs="Arial"/>
          <w:b/>
          <w:color w:val="000000"/>
          <w:szCs w:val="20"/>
        </w:rPr>
        <w:t>le</w:t>
      </w:r>
      <w:r w:rsidRPr="00B03099">
        <w:rPr>
          <w:rFonts w:ascii="Arial" w:eastAsia="Times New Roman" w:hAnsi="Arial" w:cs="Arial"/>
          <w:b/>
          <w:color w:val="000000"/>
          <w:szCs w:val="20"/>
        </w:rPr>
        <w:t xml:space="preserve"> </w:t>
      </w:r>
      <w:r w:rsidR="006221AC">
        <w:rPr>
          <w:rFonts w:ascii="Arial" w:eastAsia="Times New Roman" w:hAnsi="Arial" w:cs="Arial"/>
          <w:b/>
          <w:color w:val="000000"/>
          <w:szCs w:val="20"/>
        </w:rPr>
        <w:t>2</w:t>
      </w:r>
      <w:r w:rsidRPr="00B03099">
        <w:rPr>
          <w:rFonts w:ascii="Arial" w:eastAsia="Times New Roman" w:hAnsi="Arial" w:cs="Arial"/>
          <w:color w:val="000000"/>
          <w:szCs w:val="20"/>
        </w:rPr>
        <w:t xml:space="preserve">. </w:t>
      </w:r>
      <w:r w:rsidR="004200D0" w:rsidRPr="00FC4B90">
        <w:rPr>
          <w:rFonts w:ascii="Arial" w:eastAsia="Times New Roman" w:hAnsi="Arial" w:cs="Arial"/>
          <w:iCs/>
          <w:color w:val="000000"/>
          <w:szCs w:val="20"/>
        </w:rPr>
        <w:t>Primary Activities in the PV Business Value Chain for Billboard Lighting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1755"/>
        <w:gridCol w:w="1756"/>
        <w:gridCol w:w="1756"/>
        <w:gridCol w:w="1756"/>
      </w:tblGrid>
      <w:tr w:rsidR="00586887" w:rsidRPr="00240624" w14:paraId="4290DE03" w14:textId="77777777" w:rsidTr="00586887">
        <w:trPr>
          <w:trHeight w:val="520"/>
        </w:trPr>
        <w:tc>
          <w:tcPr>
            <w:tcW w:w="1000" w:type="pct"/>
            <w:shd w:val="clear" w:color="auto" w:fill="auto"/>
            <w:vAlign w:val="center"/>
            <w:hideMark/>
          </w:tcPr>
          <w:p w14:paraId="64E14A18" w14:textId="5136BD20" w:rsidR="00B03099" w:rsidRPr="00240624" w:rsidRDefault="004200D0" w:rsidP="007E0CA8">
            <w:pPr>
              <w:spacing w:after="0" w:line="240" w:lineRule="auto"/>
              <w:ind w:left="0" w:hanging="2"/>
              <w:jc w:val="center"/>
              <w:rPr>
                <w:rFonts w:ascii="Arial" w:eastAsia="Times New Roman" w:hAnsi="Arial" w:cs="Arial"/>
                <w:b/>
                <w:bCs/>
                <w:color w:val="000000"/>
                <w:szCs w:val="20"/>
                <w:lang w:val="en-ID"/>
              </w:rPr>
            </w:pPr>
            <w:r>
              <w:rPr>
                <w:rFonts w:ascii="Arial" w:eastAsia="Times New Roman" w:hAnsi="Arial" w:cs="Arial"/>
                <w:b/>
                <w:bCs/>
                <w:color w:val="000000"/>
                <w:szCs w:val="20"/>
                <w:lang w:val="en-ID"/>
              </w:rPr>
              <w:t xml:space="preserve">Inbound </w:t>
            </w:r>
            <w:r w:rsidRPr="004200D0">
              <w:rPr>
                <w:rFonts w:ascii="Arial" w:eastAsia="Times New Roman" w:hAnsi="Arial" w:cs="Arial"/>
                <w:b/>
                <w:bCs/>
                <w:color w:val="000000"/>
                <w:szCs w:val="20"/>
                <w:lang w:val="en-ID"/>
              </w:rPr>
              <w:t>Logistics</w:t>
            </w:r>
          </w:p>
        </w:tc>
        <w:tc>
          <w:tcPr>
            <w:tcW w:w="1000" w:type="pct"/>
            <w:shd w:val="clear" w:color="auto" w:fill="auto"/>
            <w:vAlign w:val="center"/>
            <w:hideMark/>
          </w:tcPr>
          <w:p w14:paraId="31E4724E" w14:textId="20EA2182" w:rsidR="00B03099" w:rsidRPr="00240624" w:rsidRDefault="00B03099" w:rsidP="007E0CA8">
            <w:pPr>
              <w:spacing w:after="0" w:line="240" w:lineRule="auto"/>
              <w:ind w:left="0" w:hanging="2"/>
              <w:jc w:val="center"/>
              <w:rPr>
                <w:rFonts w:ascii="Arial" w:eastAsia="Times New Roman" w:hAnsi="Arial" w:cs="Arial"/>
                <w:b/>
                <w:bCs/>
                <w:color w:val="000000"/>
                <w:szCs w:val="20"/>
                <w:lang w:val="en-ID"/>
              </w:rPr>
            </w:pPr>
            <w:r w:rsidRPr="00240624">
              <w:rPr>
                <w:rFonts w:ascii="Arial" w:eastAsia="Times New Roman" w:hAnsi="Arial" w:cs="Arial"/>
                <w:b/>
                <w:bCs/>
                <w:color w:val="000000"/>
                <w:szCs w:val="20"/>
                <w:lang w:val="en-ID"/>
              </w:rPr>
              <w:t>Opera</w:t>
            </w:r>
            <w:r w:rsidR="004200D0">
              <w:rPr>
                <w:rFonts w:ascii="Arial" w:eastAsia="Times New Roman" w:hAnsi="Arial" w:cs="Arial"/>
                <w:b/>
                <w:bCs/>
                <w:color w:val="000000"/>
                <w:szCs w:val="20"/>
                <w:lang w:val="en-ID"/>
              </w:rPr>
              <w:t>tions</w:t>
            </w:r>
          </w:p>
        </w:tc>
        <w:tc>
          <w:tcPr>
            <w:tcW w:w="1000" w:type="pct"/>
            <w:shd w:val="clear" w:color="auto" w:fill="auto"/>
            <w:vAlign w:val="center"/>
            <w:hideMark/>
          </w:tcPr>
          <w:p w14:paraId="2401F048" w14:textId="0624FE63" w:rsidR="00B03099" w:rsidRPr="00240624" w:rsidRDefault="004200D0" w:rsidP="007E0CA8">
            <w:pPr>
              <w:spacing w:after="0" w:line="240" w:lineRule="auto"/>
              <w:ind w:left="0" w:hanging="2"/>
              <w:jc w:val="center"/>
              <w:rPr>
                <w:rFonts w:ascii="Arial" w:eastAsia="Times New Roman" w:hAnsi="Arial" w:cs="Arial"/>
                <w:b/>
                <w:bCs/>
                <w:color w:val="000000"/>
                <w:szCs w:val="20"/>
                <w:lang w:val="en-ID"/>
              </w:rPr>
            </w:pPr>
            <w:r>
              <w:rPr>
                <w:rFonts w:ascii="Arial" w:eastAsia="Times New Roman" w:hAnsi="Arial" w:cs="Arial"/>
                <w:b/>
                <w:bCs/>
                <w:color w:val="000000"/>
                <w:szCs w:val="20"/>
                <w:lang w:val="en-ID"/>
              </w:rPr>
              <w:t>Outbound Logistics</w:t>
            </w:r>
          </w:p>
        </w:tc>
        <w:tc>
          <w:tcPr>
            <w:tcW w:w="1000" w:type="pct"/>
            <w:shd w:val="clear" w:color="auto" w:fill="auto"/>
            <w:vAlign w:val="center"/>
            <w:hideMark/>
          </w:tcPr>
          <w:p w14:paraId="796BBABE" w14:textId="65283892" w:rsidR="00B03099" w:rsidRPr="00240624" w:rsidRDefault="004200D0" w:rsidP="007E0CA8">
            <w:pPr>
              <w:spacing w:after="0" w:line="240" w:lineRule="auto"/>
              <w:ind w:left="0" w:hanging="2"/>
              <w:jc w:val="center"/>
              <w:rPr>
                <w:rFonts w:ascii="Arial" w:eastAsia="Times New Roman" w:hAnsi="Arial" w:cs="Arial"/>
                <w:b/>
                <w:bCs/>
                <w:color w:val="000000"/>
                <w:szCs w:val="20"/>
                <w:lang w:val="en-ID"/>
              </w:rPr>
            </w:pPr>
            <w:r w:rsidRPr="004200D0">
              <w:rPr>
                <w:rFonts w:ascii="Arial" w:eastAsia="Times New Roman" w:hAnsi="Arial" w:cs="Arial"/>
                <w:b/>
                <w:bCs/>
                <w:color w:val="000000"/>
                <w:szCs w:val="20"/>
                <w:lang w:val="en-ID"/>
              </w:rPr>
              <w:t>Marketing and Sales</w:t>
            </w:r>
          </w:p>
        </w:tc>
        <w:tc>
          <w:tcPr>
            <w:tcW w:w="1000" w:type="pct"/>
            <w:shd w:val="clear" w:color="auto" w:fill="auto"/>
            <w:vAlign w:val="center"/>
            <w:hideMark/>
          </w:tcPr>
          <w:p w14:paraId="34E7FAE4" w14:textId="02B8F200" w:rsidR="00B03099" w:rsidRPr="00240624" w:rsidRDefault="00586887" w:rsidP="007E0CA8">
            <w:pPr>
              <w:spacing w:after="0" w:line="240" w:lineRule="auto"/>
              <w:ind w:left="0" w:hanging="2"/>
              <w:jc w:val="center"/>
              <w:rPr>
                <w:rFonts w:ascii="Arial" w:eastAsia="Times New Roman" w:hAnsi="Arial" w:cs="Arial"/>
                <w:b/>
                <w:bCs/>
                <w:color w:val="000000"/>
                <w:szCs w:val="20"/>
                <w:lang w:val="en-ID"/>
              </w:rPr>
            </w:pPr>
            <w:r>
              <w:rPr>
                <w:rFonts w:ascii="Arial" w:eastAsia="Times New Roman" w:hAnsi="Arial" w:cs="Arial"/>
                <w:b/>
                <w:bCs/>
                <w:color w:val="000000"/>
                <w:szCs w:val="20"/>
                <w:lang w:val="en-ID"/>
              </w:rPr>
              <w:t>Service</w:t>
            </w:r>
          </w:p>
        </w:tc>
      </w:tr>
      <w:tr w:rsidR="00586887" w:rsidRPr="00240624" w14:paraId="4EB15FB5" w14:textId="77777777" w:rsidTr="00586887">
        <w:trPr>
          <w:trHeight w:val="260"/>
        </w:trPr>
        <w:tc>
          <w:tcPr>
            <w:tcW w:w="1000" w:type="pct"/>
            <w:shd w:val="clear" w:color="auto" w:fill="auto"/>
            <w:hideMark/>
          </w:tcPr>
          <w:p w14:paraId="0B975160" w14:textId="742E3F2D" w:rsidR="004200D0" w:rsidRDefault="004200D0" w:rsidP="004200D0">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4200D0">
              <w:rPr>
                <w:rFonts w:ascii="Arial" w:hAnsi="Arial" w:cs="Arial"/>
                <w:color w:val="000000"/>
                <w:sz w:val="18"/>
                <w:szCs w:val="18"/>
                <w:lang w:val="en-ID"/>
              </w:rPr>
              <w:t xml:space="preserve">Procurement of the </w:t>
            </w:r>
            <w:r w:rsidR="00FC4B90">
              <w:rPr>
                <w:rFonts w:ascii="Arial" w:hAnsi="Arial" w:cs="Arial"/>
                <w:color w:val="000000"/>
                <w:sz w:val="18"/>
                <w:szCs w:val="18"/>
                <w:lang w:val="en-ID"/>
              </w:rPr>
              <w:t>primary</w:t>
            </w:r>
            <w:r w:rsidRPr="004200D0">
              <w:rPr>
                <w:rFonts w:ascii="Arial" w:hAnsi="Arial" w:cs="Arial"/>
                <w:color w:val="000000"/>
                <w:sz w:val="18"/>
                <w:szCs w:val="18"/>
                <w:lang w:val="en-ID"/>
              </w:rPr>
              <w:t xml:space="preserve"> raw material, PV, which is packed with wood and transported by truck or cargo for delivery.</w:t>
            </w:r>
          </w:p>
          <w:p w14:paraId="7B64CF76" w14:textId="70292E9A" w:rsidR="00B03099" w:rsidRPr="004200D0" w:rsidRDefault="00B03099" w:rsidP="00FC4B90">
            <w:pPr>
              <w:pStyle w:val="ListParagraph"/>
              <w:suppressAutoHyphens w:val="0"/>
              <w:spacing w:after="0"/>
              <w:ind w:leftChars="0" w:left="313" w:firstLineChars="0" w:firstLine="0"/>
              <w:contextualSpacing w:val="0"/>
              <w:textDirection w:val="lrTb"/>
              <w:textAlignment w:val="auto"/>
              <w:outlineLvl w:val="9"/>
              <w:rPr>
                <w:rFonts w:ascii="Arial" w:hAnsi="Arial" w:cs="Arial"/>
                <w:color w:val="000000"/>
                <w:sz w:val="18"/>
                <w:szCs w:val="18"/>
                <w:lang w:val="en-ID"/>
              </w:rPr>
            </w:pPr>
          </w:p>
        </w:tc>
        <w:tc>
          <w:tcPr>
            <w:tcW w:w="1000" w:type="pct"/>
            <w:shd w:val="clear" w:color="auto" w:fill="auto"/>
            <w:hideMark/>
          </w:tcPr>
          <w:p w14:paraId="432B899F" w14:textId="3D996CDE" w:rsidR="00B03099" w:rsidRPr="00240624" w:rsidRDefault="004200D0" w:rsidP="004200D0">
            <w:pPr>
              <w:pStyle w:val="ListParagraph"/>
              <w:numPr>
                <w:ilvl w:val="0"/>
                <w:numId w:val="3"/>
              </w:numPr>
              <w:ind w:leftChars="0" w:left="379" w:firstLineChars="0"/>
              <w:contextualSpacing w:val="0"/>
              <w:rPr>
                <w:rFonts w:ascii="Arial" w:hAnsi="Arial" w:cs="Arial"/>
                <w:color w:val="000000"/>
                <w:sz w:val="18"/>
                <w:szCs w:val="18"/>
                <w:lang w:val="en-ID"/>
              </w:rPr>
            </w:pPr>
            <w:r w:rsidRPr="004200D0">
              <w:rPr>
                <w:rFonts w:ascii="Arial" w:hAnsi="Arial" w:cs="Arial"/>
                <w:color w:val="000000"/>
                <w:sz w:val="18"/>
                <w:szCs w:val="18"/>
                <w:lang w:val="en-ID"/>
              </w:rPr>
              <w:t xml:space="preserve">PV testing processes are carried out to verify that the product can function </w:t>
            </w:r>
            <w:r w:rsidR="00FC4B90">
              <w:rPr>
                <w:rFonts w:ascii="Arial" w:hAnsi="Arial" w:cs="Arial"/>
                <w:color w:val="000000"/>
                <w:sz w:val="18"/>
                <w:szCs w:val="18"/>
                <w:lang w:val="en-ID"/>
              </w:rPr>
              <w:t>correct</w:t>
            </w:r>
            <w:r w:rsidRPr="004200D0">
              <w:rPr>
                <w:rFonts w:ascii="Arial" w:hAnsi="Arial" w:cs="Arial"/>
                <w:color w:val="000000"/>
                <w:sz w:val="18"/>
                <w:szCs w:val="18"/>
                <w:lang w:val="en-ID"/>
              </w:rPr>
              <w:t>ly.</w:t>
            </w:r>
          </w:p>
        </w:tc>
        <w:tc>
          <w:tcPr>
            <w:tcW w:w="1000" w:type="pct"/>
            <w:shd w:val="clear" w:color="auto" w:fill="auto"/>
            <w:hideMark/>
          </w:tcPr>
          <w:p w14:paraId="44F86AE7" w14:textId="77777777" w:rsidR="004200D0" w:rsidRDefault="004200D0" w:rsidP="002715E3">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4200D0">
              <w:rPr>
                <w:rFonts w:ascii="Arial" w:hAnsi="Arial" w:cs="Arial"/>
                <w:color w:val="000000"/>
                <w:sz w:val="18"/>
                <w:szCs w:val="18"/>
                <w:lang w:val="en-ID"/>
              </w:rPr>
              <w:t>Products to be distributed are retrieved from the warehouse with shelving units, including PV products that have undergone testing.</w:t>
            </w:r>
          </w:p>
          <w:p w14:paraId="00A0B952" w14:textId="35E9D94F" w:rsidR="00B03099" w:rsidRPr="00240624" w:rsidRDefault="00B03099" w:rsidP="00FC4B90">
            <w:pPr>
              <w:pStyle w:val="ListParagraph"/>
              <w:suppressAutoHyphens w:val="0"/>
              <w:spacing w:after="0"/>
              <w:ind w:leftChars="0" w:left="313" w:firstLineChars="0" w:firstLine="0"/>
              <w:contextualSpacing w:val="0"/>
              <w:textDirection w:val="lrTb"/>
              <w:textAlignment w:val="auto"/>
              <w:outlineLvl w:val="9"/>
              <w:rPr>
                <w:rFonts w:ascii="Arial" w:hAnsi="Arial" w:cs="Arial"/>
                <w:color w:val="000000"/>
                <w:sz w:val="18"/>
                <w:szCs w:val="18"/>
                <w:lang w:val="en-ID"/>
              </w:rPr>
            </w:pPr>
          </w:p>
        </w:tc>
        <w:tc>
          <w:tcPr>
            <w:tcW w:w="1000" w:type="pct"/>
            <w:shd w:val="clear" w:color="auto" w:fill="auto"/>
            <w:hideMark/>
          </w:tcPr>
          <w:p w14:paraId="3E703124" w14:textId="431DD689" w:rsidR="00B03099" w:rsidRPr="00FC4B90" w:rsidRDefault="00586887" w:rsidP="00FC4B90">
            <w:pPr>
              <w:pStyle w:val="ListParagraph"/>
              <w:numPr>
                <w:ilvl w:val="0"/>
                <w:numId w:val="3"/>
              </w:numPr>
              <w:suppressAutoHyphens w:val="0"/>
              <w:spacing w:after="0"/>
              <w:ind w:leftChars="0" w:left="318" w:firstLineChars="0"/>
              <w:textDirection w:val="lrTb"/>
              <w:textAlignment w:val="auto"/>
              <w:outlineLvl w:val="9"/>
              <w:rPr>
                <w:rFonts w:ascii="Arial" w:hAnsi="Arial" w:cs="Arial"/>
                <w:color w:val="000000"/>
                <w:sz w:val="18"/>
                <w:szCs w:val="18"/>
                <w:lang w:val="en-ID"/>
              </w:rPr>
            </w:pPr>
            <w:r w:rsidRPr="00586887">
              <w:rPr>
                <w:rFonts w:ascii="Arial" w:hAnsi="Arial" w:cs="Arial"/>
                <w:color w:val="000000"/>
                <w:sz w:val="18"/>
                <w:szCs w:val="18"/>
                <w:lang w:val="en-ID"/>
              </w:rPr>
              <w:t>Promoting PV through online and offline media, emphasizing its value as Renewable Energ</w:t>
            </w:r>
            <w:r>
              <w:rPr>
                <w:rFonts w:ascii="Arial" w:hAnsi="Arial" w:cs="Arial"/>
                <w:color w:val="000000"/>
                <w:sz w:val="18"/>
                <w:szCs w:val="18"/>
                <w:lang w:val="en-ID"/>
              </w:rPr>
              <w:t>y</w:t>
            </w:r>
            <w:r w:rsidRPr="00586887">
              <w:rPr>
                <w:rFonts w:ascii="Arial" w:hAnsi="Arial" w:cs="Arial"/>
                <w:color w:val="000000"/>
                <w:sz w:val="18"/>
                <w:szCs w:val="18"/>
                <w:lang w:val="en-ID"/>
              </w:rPr>
              <w:t xml:space="preserve"> to support the government's 2060 </w:t>
            </w:r>
            <w:r w:rsidR="00FC4B90">
              <w:rPr>
                <w:rFonts w:ascii="Arial" w:hAnsi="Arial" w:cs="Arial"/>
                <w:color w:val="000000"/>
                <w:sz w:val="18"/>
                <w:szCs w:val="18"/>
                <w:lang w:val="en-ID"/>
              </w:rPr>
              <w:t xml:space="preserve">NZE </w:t>
            </w:r>
            <w:r w:rsidRPr="00586887">
              <w:rPr>
                <w:rFonts w:ascii="Arial" w:hAnsi="Arial" w:cs="Arial"/>
                <w:color w:val="000000"/>
                <w:sz w:val="18"/>
                <w:szCs w:val="18"/>
                <w:lang w:val="en-ID"/>
              </w:rPr>
              <w:t>program.</w:t>
            </w:r>
          </w:p>
        </w:tc>
        <w:tc>
          <w:tcPr>
            <w:tcW w:w="1000" w:type="pct"/>
            <w:shd w:val="clear" w:color="auto" w:fill="auto"/>
            <w:hideMark/>
          </w:tcPr>
          <w:p w14:paraId="095DB6E2" w14:textId="4043C6E8" w:rsidR="00586887" w:rsidRDefault="006221AC" w:rsidP="002715E3">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Pr>
                <w:rFonts w:ascii="Arial" w:hAnsi="Arial" w:cs="Arial"/>
                <w:color w:val="000000"/>
                <w:sz w:val="18"/>
                <w:szCs w:val="18"/>
                <w:lang w:val="en-ID"/>
              </w:rPr>
              <w:t>Guiding</w:t>
            </w:r>
            <w:r w:rsidR="00586887" w:rsidRPr="00586887">
              <w:rPr>
                <w:rFonts w:ascii="Arial" w:hAnsi="Arial" w:cs="Arial"/>
                <w:color w:val="000000"/>
                <w:sz w:val="18"/>
                <w:szCs w:val="18"/>
                <w:lang w:val="en-ID"/>
              </w:rPr>
              <w:t xml:space="preserve"> how to maintain PV systems.</w:t>
            </w:r>
          </w:p>
          <w:p w14:paraId="5872226E" w14:textId="77777777" w:rsidR="00586887" w:rsidRDefault="00586887" w:rsidP="002715E3">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586887">
              <w:rPr>
                <w:rFonts w:ascii="Arial" w:hAnsi="Arial" w:cs="Arial"/>
                <w:color w:val="000000"/>
                <w:sz w:val="18"/>
                <w:szCs w:val="18"/>
                <w:lang w:val="en-ID"/>
              </w:rPr>
              <w:t>Monitoring the condition of installed PV systems as part of after-sales service.</w:t>
            </w:r>
          </w:p>
          <w:p w14:paraId="33B1FFDC" w14:textId="3F3B8F18" w:rsidR="00B03099" w:rsidRPr="00240624" w:rsidRDefault="00B03099" w:rsidP="00FC4B90">
            <w:pPr>
              <w:pStyle w:val="ListParagraph"/>
              <w:suppressAutoHyphens w:val="0"/>
              <w:spacing w:after="0"/>
              <w:ind w:leftChars="0" w:left="313" w:firstLineChars="0" w:firstLine="0"/>
              <w:contextualSpacing w:val="0"/>
              <w:textDirection w:val="lrTb"/>
              <w:textAlignment w:val="auto"/>
              <w:outlineLvl w:val="9"/>
              <w:rPr>
                <w:rFonts w:ascii="Arial" w:hAnsi="Arial" w:cs="Arial"/>
                <w:color w:val="000000"/>
                <w:sz w:val="18"/>
                <w:szCs w:val="18"/>
                <w:lang w:val="en-ID"/>
              </w:rPr>
            </w:pPr>
          </w:p>
        </w:tc>
      </w:tr>
    </w:tbl>
    <w:p w14:paraId="11471FDA" w14:textId="09CBF240" w:rsidR="00FC4B90" w:rsidRPr="00FC4B90" w:rsidRDefault="00FC4B90" w:rsidP="00FC4B90">
      <w:pPr>
        <w:pBdr>
          <w:top w:val="nil"/>
          <w:left w:val="nil"/>
          <w:bottom w:val="nil"/>
          <w:right w:val="nil"/>
          <w:between w:val="nil"/>
        </w:pBdr>
        <w:spacing w:after="0" w:line="264" w:lineRule="auto"/>
        <w:ind w:left="0" w:hanging="2"/>
        <w:jc w:val="left"/>
        <w:rPr>
          <w:rFonts w:ascii="Arial" w:eastAsia="Times New Roman" w:hAnsi="Arial" w:cs="Arial"/>
          <w:color w:val="000000"/>
          <w:szCs w:val="20"/>
        </w:rPr>
      </w:pPr>
      <w:r w:rsidRPr="00B03099">
        <w:rPr>
          <w:rFonts w:ascii="Arial" w:eastAsia="Times New Roman" w:hAnsi="Arial" w:cs="Arial"/>
          <w:b/>
          <w:color w:val="000000"/>
          <w:szCs w:val="20"/>
        </w:rPr>
        <w:lastRenderedPageBreak/>
        <w:t>Tab</w:t>
      </w:r>
      <w:r>
        <w:rPr>
          <w:rFonts w:ascii="Arial" w:eastAsia="Times New Roman" w:hAnsi="Arial" w:cs="Arial"/>
          <w:b/>
          <w:color w:val="000000"/>
          <w:szCs w:val="20"/>
        </w:rPr>
        <w:t>le</w:t>
      </w:r>
      <w:r w:rsidRPr="00B03099">
        <w:rPr>
          <w:rFonts w:ascii="Arial" w:eastAsia="Times New Roman" w:hAnsi="Arial" w:cs="Arial"/>
          <w:b/>
          <w:color w:val="000000"/>
          <w:szCs w:val="20"/>
        </w:rPr>
        <w:t xml:space="preserve"> </w:t>
      </w:r>
      <w:r>
        <w:rPr>
          <w:rFonts w:ascii="Arial" w:eastAsia="Times New Roman" w:hAnsi="Arial" w:cs="Arial"/>
          <w:b/>
          <w:color w:val="000000"/>
          <w:szCs w:val="20"/>
        </w:rPr>
        <w:t>2</w:t>
      </w:r>
      <w:r w:rsidRPr="00B03099">
        <w:rPr>
          <w:rFonts w:ascii="Arial" w:eastAsia="Times New Roman" w:hAnsi="Arial" w:cs="Arial"/>
          <w:color w:val="000000"/>
          <w:szCs w:val="20"/>
        </w:rPr>
        <w:t xml:space="preserve">. </w:t>
      </w:r>
      <w:r w:rsidRPr="00FC4B90">
        <w:rPr>
          <w:rFonts w:ascii="Arial" w:eastAsia="Times New Roman" w:hAnsi="Arial" w:cs="Arial"/>
          <w:iCs/>
          <w:color w:val="000000"/>
          <w:szCs w:val="20"/>
        </w:rPr>
        <w:t>Primary Activities in the PV Business Value Chain for Billboard Lighting</w:t>
      </w:r>
      <w:r>
        <w:rPr>
          <w:rFonts w:ascii="Arial" w:eastAsia="Times New Roman" w:hAnsi="Arial" w:cs="Arial"/>
          <w:i/>
          <w:iCs/>
          <w:color w:val="000000"/>
          <w:szCs w:val="20"/>
        </w:rPr>
        <w:t xml:space="preserve"> </w:t>
      </w:r>
      <w:r>
        <w:rPr>
          <w:rFonts w:ascii="Arial" w:eastAsia="Times New Roman" w:hAnsi="Arial" w:cs="Arial"/>
          <w:iCs/>
          <w:color w:val="000000"/>
          <w:szCs w:val="20"/>
        </w:rPr>
        <w:t>(Continue)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1755"/>
        <w:gridCol w:w="1756"/>
        <w:gridCol w:w="1756"/>
        <w:gridCol w:w="1756"/>
      </w:tblGrid>
      <w:tr w:rsidR="00FC4B90" w:rsidRPr="00240624" w14:paraId="5C85458F" w14:textId="77777777" w:rsidTr="00CB4A7C">
        <w:trPr>
          <w:trHeight w:val="520"/>
        </w:trPr>
        <w:tc>
          <w:tcPr>
            <w:tcW w:w="1000" w:type="pct"/>
            <w:shd w:val="clear" w:color="auto" w:fill="auto"/>
            <w:vAlign w:val="center"/>
            <w:hideMark/>
          </w:tcPr>
          <w:p w14:paraId="2E476BF2" w14:textId="77777777" w:rsidR="00FC4B90" w:rsidRPr="00240624" w:rsidRDefault="00FC4B90" w:rsidP="00CB4A7C">
            <w:pPr>
              <w:spacing w:after="0" w:line="240" w:lineRule="auto"/>
              <w:ind w:left="0" w:hanging="2"/>
              <w:jc w:val="center"/>
              <w:rPr>
                <w:rFonts w:ascii="Arial" w:eastAsia="Times New Roman" w:hAnsi="Arial" w:cs="Arial"/>
                <w:b/>
                <w:bCs/>
                <w:color w:val="000000"/>
                <w:szCs w:val="20"/>
                <w:lang w:val="en-ID"/>
              </w:rPr>
            </w:pPr>
            <w:r>
              <w:rPr>
                <w:rFonts w:ascii="Arial" w:eastAsia="Times New Roman" w:hAnsi="Arial" w:cs="Arial"/>
                <w:b/>
                <w:bCs/>
                <w:color w:val="000000"/>
                <w:szCs w:val="20"/>
                <w:lang w:val="en-ID"/>
              </w:rPr>
              <w:t xml:space="preserve">Inbound </w:t>
            </w:r>
            <w:r w:rsidRPr="004200D0">
              <w:rPr>
                <w:rFonts w:ascii="Arial" w:eastAsia="Times New Roman" w:hAnsi="Arial" w:cs="Arial"/>
                <w:b/>
                <w:bCs/>
                <w:color w:val="000000"/>
                <w:szCs w:val="20"/>
                <w:lang w:val="en-ID"/>
              </w:rPr>
              <w:t>Logistics</w:t>
            </w:r>
          </w:p>
        </w:tc>
        <w:tc>
          <w:tcPr>
            <w:tcW w:w="1000" w:type="pct"/>
            <w:shd w:val="clear" w:color="auto" w:fill="auto"/>
            <w:vAlign w:val="center"/>
            <w:hideMark/>
          </w:tcPr>
          <w:p w14:paraId="0504DE90" w14:textId="77777777" w:rsidR="00FC4B90" w:rsidRPr="00240624" w:rsidRDefault="00FC4B90" w:rsidP="00CB4A7C">
            <w:pPr>
              <w:spacing w:after="0" w:line="240" w:lineRule="auto"/>
              <w:ind w:left="0" w:hanging="2"/>
              <w:jc w:val="center"/>
              <w:rPr>
                <w:rFonts w:ascii="Arial" w:eastAsia="Times New Roman" w:hAnsi="Arial" w:cs="Arial"/>
                <w:b/>
                <w:bCs/>
                <w:color w:val="000000"/>
                <w:szCs w:val="20"/>
                <w:lang w:val="en-ID"/>
              </w:rPr>
            </w:pPr>
            <w:r w:rsidRPr="00240624">
              <w:rPr>
                <w:rFonts w:ascii="Arial" w:eastAsia="Times New Roman" w:hAnsi="Arial" w:cs="Arial"/>
                <w:b/>
                <w:bCs/>
                <w:color w:val="000000"/>
                <w:szCs w:val="20"/>
                <w:lang w:val="en-ID"/>
              </w:rPr>
              <w:t>Opera</w:t>
            </w:r>
            <w:r>
              <w:rPr>
                <w:rFonts w:ascii="Arial" w:eastAsia="Times New Roman" w:hAnsi="Arial" w:cs="Arial"/>
                <w:b/>
                <w:bCs/>
                <w:color w:val="000000"/>
                <w:szCs w:val="20"/>
                <w:lang w:val="en-ID"/>
              </w:rPr>
              <w:t>tions</w:t>
            </w:r>
          </w:p>
        </w:tc>
        <w:tc>
          <w:tcPr>
            <w:tcW w:w="1000" w:type="pct"/>
            <w:shd w:val="clear" w:color="auto" w:fill="auto"/>
            <w:vAlign w:val="center"/>
            <w:hideMark/>
          </w:tcPr>
          <w:p w14:paraId="26DADDE8" w14:textId="77777777" w:rsidR="00FC4B90" w:rsidRPr="00240624" w:rsidRDefault="00FC4B90" w:rsidP="00CB4A7C">
            <w:pPr>
              <w:spacing w:after="0" w:line="240" w:lineRule="auto"/>
              <w:ind w:left="0" w:hanging="2"/>
              <w:jc w:val="center"/>
              <w:rPr>
                <w:rFonts w:ascii="Arial" w:eastAsia="Times New Roman" w:hAnsi="Arial" w:cs="Arial"/>
                <w:b/>
                <w:bCs/>
                <w:color w:val="000000"/>
                <w:szCs w:val="20"/>
                <w:lang w:val="en-ID"/>
              </w:rPr>
            </w:pPr>
            <w:r>
              <w:rPr>
                <w:rFonts w:ascii="Arial" w:eastAsia="Times New Roman" w:hAnsi="Arial" w:cs="Arial"/>
                <w:b/>
                <w:bCs/>
                <w:color w:val="000000"/>
                <w:szCs w:val="20"/>
                <w:lang w:val="en-ID"/>
              </w:rPr>
              <w:t>Outbound Logistics</w:t>
            </w:r>
          </w:p>
        </w:tc>
        <w:tc>
          <w:tcPr>
            <w:tcW w:w="1000" w:type="pct"/>
            <w:shd w:val="clear" w:color="auto" w:fill="auto"/>
            <w:vAlign w:val="center"/>
            <w:hideMark/>
          </w:tcPr>
          <w:p w14:paraId="357FCB79" w14:textId="77777777" w:rsidR="00FC4B90" w:rsidRPr="00240624" w:rsidRDefault="00FC4B90" w:rsidP="00CB4A7C">
            <w:pPr>
              <w:spacing w:after="0" w:line="240" w:lineRule="auto"/>
              <w:ind w:left="0" w:hanging="2"/>
              <w:jc w:val="center"/>
              <w:rPr>
                <w:rFonts w:ascii="Arial" w:eastAsia="Times New Roman" w:hAnsi="Arial" w:cs="Arial"/>
                <w:b/>
                <w:bCs/>
                <w:color w:val="000000"/>
                <w:szCs w:val="20"/>
                <w:lang w:val="en-ID"/>
              </w:rPr>
            </w:pPr>
            <w:r w:rsidRPr="004200D0">
              <w:rPr>
                <w:rFonts w:ascii="Arial" w:eastAsia="Times New Roman" w:hAnsi="Arial" w:cs="Arial"/>
                <w:b/>
                <w:bCs/>
                <w:color w:val="000000"/>
                <w:szCs w:val="20"/>
                <w:lang w:val="en-ID"/>
              </w:rPr>
              <w:t>Marketing and Sales</w:t>
            </w:r>
          </w:p>
        </w:tc>
        <w:tc>
          <w:tcPr>
            <w:tcW w:w="1000" w:type="pct"/>
            <w:shd w:val="clear" w:color="auto" w:fill="auto"/>
            <w:vAlign w:val="center"/>
            <w:hideMark/>
          </w:tcPr>
          <w:p w14:paraId="02ADB1A9" w14:textId="77777777" w:rsidR="00FC4B90" w:rsidRPr="00240624" w:rsidRDefault="00FC4B90" w:rsidP="00CB4A7C">
            <w:pPr>
              <w:spacing w:after="0" w:line="240" w:lineRule="auto"/>
              <w:ind w:left="0" w:hanging="2"/>
              <w:jc w:val="center"/>
              <w:rPr>
                <w:rFonts w:ascii="Arial" w:eastAsia="Times New Roman" w:hAnsi="Arial" w:cs="Arial"/>
                <w:b/>
                <w:bCs/>
                <w:color w:val="000000"/>
                <w:szCs w:val="20"/>
                <w:lang w:val="en-ID"/>
              </w:rPr>
            </w:pPr>
            <w:r>
              <w:rPr>
                <w:rFonts w:ascii="Arial" w:eastAsia="Times New Roman" w:hAnsi="Arial" w:cs="Arial"/>
                <w:b/>
                <w:bCs/>
                <w:color w:val="000000"/>
                <w:szCs w:val="20"/>
                <w:lang w:val="en-ID"/>
              </w:rPr>
              <w:t>Service</w:t>
            </w:r>
          </w:p>
        </w:tc>
      </w:tr>
      <w:tr w:rsidR="00FC4B90" w:rsidRPr="00240624" w14:paraId="08644626" w14:textId="77777777" w:rsidTr="00586887">
        <w:trPr>
          <w:trHeight w:val="260"/>
        </w:trPr>
        <w:tc>
          <w:tcPr>
            <w:tcW w:w="1000" w:type="pct"/>
            <w:shd w:val="clear" w:color="auto" w:fill="auto"/>
          </w:tcPr>
          <w:p w14:paraId="76EDADAC" w14:textId="77777777" w:rsidR="00FC4B90" w:rsidRDefault="00FC4B90" w:rsidP="00FC4B90">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4200D0">
              <w:rPr>
                <w:rFonts w:ascii="Arial" w:hAnsi="Arial" w:cs="Arial"/>
                <w:color w:val="000000"/>
                <w:sz w:val="18"/>
                <w:szCs w:val="18"/>
                <w:lang w:val="en-ID"/>
              </w:rPr>
              <w:t>Procurement of auxiliary raw materials such as storage batteries and inverters.</w:t>
            </w:r>
          </w:p>
          <w:p w14:paraId="172C96B3" w14:textId="77777777" w:rsidR="00FC4B90" w:rsidRDefault="00FC4B90" w:rsidP="00FC4B90">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4200D0">
              <w:rPr>
                <w:rFonts w:ascii="Arial" w:hAnsi="Arial" w:cs="Arial"/>
                <w:color w:val="000000"/>
                <w:sz w:val="18"/>
                <w:szCs w:val="18"/>
                <w:lang w:val="en-ID"/>
              </w:rPr>
              <w:t xml:space="preserve">Raw material checking is done with a one hundred percent physical inspection to </w:t>
            </w:r>
            <w:r>
              <w:rPr>
                <w:rFonts w:ascii="Arial" w:hAnsi="Arial" w:cs="Arial"/>
                <w:color w:val="000000"/>
                <w:sz w:val="18"/>
                <w:szCs w:val="18"/>
                <w:lang w:val="en-ID"/>
              </w:rPr>
              <w:t>maintain the quality of raw materials</w:t>
            </w:r>
            <w:r w:rsidRPr="004200D0">
              <w:rPr>
                <w:rFonts w:ascii="Arial" w:hAnsi="Arial" w:cs="Arial"/>
                <w:color w:val="000000"/>
                <w:sz w:val="18"/>
                <w:szCs w:val="18"/>
                <w:lang w:val="en-ID"/>
              </w:rPr>
              <w:t>.</w:t>
            </w:r>
          </w:p>
          <w:p w14:paraId="279AE91D" w14:textId="249E0435" w:rsidR="00FC4B90" w:rsidRPr="004200D0" w:rsidRDefault="00FC4B90" w:rsidP="00FC4B90">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4200D0">
              <w:rPr>
                <w:rFonts w:ascii="Arial" w:hAnsi="Arial" w:cs="Arial"/>
                <w:color w:val="000000"/>
                <w:sz w:val="18"/>
                <w:szCs w:val="18"/>
                <w:lang w:val="en-ID"/>
              </w:rPr>
              <w:t xml:space="preserve">Raw material storage is organized in </w:t>
            </w:r>
            <w:r>
              <w:rPr>
                <w:rFonts w:ascii="Arial" w:hAnsi="Arial" w:cs="Arial"/>
                <w:color w:val="000000"/>
                <w:sz w:val="18"/>
                <w:szCs w:val="18"/>
                <w:lang w:val="en-ID"/>
              </w:rPr>
              <w:t>shelving units to prevent damage from stacking and</w:t>
            </w:r>
            <w:r w:rsidRPr="004200D0">
              <w:rPr>
                <w:rFonts w:ascii="Arial" w:hAnsi="Arial" w:cs="Arial"/>
                <w:color w:val="000000"/>
                <w:sz w:val="18"/>
                <w:szCs w:val="18"/>
                <w:lang w:val="en-ID"/>
              </w:rPr>
              <w:t xml:space="preserve"> save space.</w:t>
            </w:r>
          </w:p>
        </w:tc>
        <w:tc>
          <w:tcPr>
            <w:tcW w:w="1000" w:type="pct"/>
            <w:shd w:val="clear" w:color="auto" w:fill="auto"/>
          </w:tcPr>
          <w:p w14:paraId="7CEDD38D" w14:textId="77777777" w:rsidR="00FC4B90" w:rsidRPr="004200D0" w:rsidRDefault="00FC4B90" w:rsidP="009F670B">
            <w:pPr>
              <w:pStyle w:val="ListParagraph"/>
              <w:ind w:leftChars="0" w:left="379" w:firstLineChars="0" w:firstLine="0"/>
              <w:contextualSpacing w:val="0"/>
              <w:rPr>
                <w:rFonts w:ascii="Arial" w:hAnsi="Arial" w:cs="Arial"/>
                <w:color w:val="000000"/>
                <w:sz w:val="18"/>
                <w:szCs w:val="18"/>
                <w:lang w:val="en-ID"/>
              </w:rPr>
            </w:pPr>
            <w:bookmarkStart w:id="4" w:name="_GoBack"/>
            <w:bookmarkEnd w:id="4"/>
          </w:p>
        </w:tc>
        <w:tc>
          <w:tcPr>
            <w:tcW w:w="1000" w:type="pct"/>
            <w:shd w:val="clear" w:color="auto" w:fill="auto"/>
          </w:tcPr>
          <w:p w14:paraId="4AD9B624" w14:textId="67428589" w:rsidR="00FC4B90" w:rsidRPr="004200D0" w:rsidRDefault="00FC4B90" w:rsidP="002715E3">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4200D0">
              <w:rPr>
                <w:rFonts w:ascii="Arial" w:hAnsi="Arial" w:cs="Arial"/>
                <w:color w:val="000000"/>
                <w:sz w:val="18"/>
                <w:szCs w:val="18"/>
                <w:lang w:val="en-ID"/>
              </w:rPr>
              <w:t xml:space="preserve">PV product distribution will be carried out directly by technicians </w:t>
            </w:r>
            <w:r>
              <w:rPr>
                <w:rFonts w:ascii="Arial" w:hAnsi="Arial" w:cs="Arial"/>
                <w:color w:val="000000"/>
                <w:sz w:val="18"/>
                <w:szCs w:val="18"/>
                <w:lang w:val="en-ID"/>
              </w:rPr>
              <w:t>performing</w:t>
            </w:r>
            <w:r w:rsidRPr="004200D0">
              <w:rPr>
                <w:rFonts w:ascii="Arial" w:hAnsi="Arial" w:cs="Arial"/>
                <w:color w:val="000000"/>
                <w:sz w:val="18"/>
                <w:szCs w:val="18"/>
                <w:lang w:val="en-ID"/>
              </w:rPr>
              <w:t xml:space="preserve"> the installation. The transportation used for distribution is a vehicle capable of carrying all equipment, such as a box truck.</w:t>
            </w:r>
          </w:p>
        </w:tc>
        <w:tc>
          <w:tcPr>
            <w:tcW w:w="1000" w:type="pct"/>
            <w:shd w:val="clear" w:color="auto" w:fill="auto"/>
          </w:tcPr>
          <w:p w14:paraId="1D2D6EE7" w14:textId="17A0BA3C" w:rsidR="00FC4B90" w:rsidRPr="00586887" w:rsidRDefault="00FC4B90" w:rsidP="004200D0">
            <w:pPr>
              <w:pStyle w:val="ListParagraph"/>
              <w:numPr>
                <w:ilvl w:val="0"/>
                <w:numId w:val="3"/>
              </w:numPr>
              <w:suppressAutoHyphens w:val="0"/>
              <w:spacing w:after="0"/>
              <w:ind w:leftChars="0" w:left="318" w:firstLineChars="0"/>
              <w:textDirection w:val="lrTb"/>
              <w:textAlignment w:val="auto"/>
              <w:outlineLvl w:val="9"/>
              <w:rPr>
                <w:rFonts w:ascii="Arial" w:hAnsi="Arial" w:cs="Arial"/>
                <w:color w:val="000000"/>
                <w:sz w:val="18"/>
                <w:szCs w:val="18"/>
                <w:lang w:val="en-ID"/>
              </w:rPr>
            </w:pPr>
            <w:r w:rsidRPr="00586887">
              <w:rPr>
                <w:rFonts w:ascii="Arial" w:hAnsi="Arial" w:cs="Arial"/>
                <w:color w:val="000000"/>
                <w:sz w:val="18"/>
                <w:szCs w:val="18"/>
                <w:lang w:val="en-ID"/>
              </w:rPr>
              <w:t xml:space="preserve">Conducting socialization or seminars on PV as an energy source capable of reducing costs, particularly in </w:t>
            </w:r>
            <w:r>
              <w:rPr>
                <w:rFonts w:ascii="Arial" w:hAnsi="Arial" w:cs="Arial"/>
                <w:color w:val="000000"/>
                <w:sz w:val="18"/>
                <w:szCs w:val="18"/>
                <w:lang w:val="en-ID"/>
              </w:rPr>
              <w:t>billboard advertising</w:t>
            </w:r>
            <w:r w:rsidRPr="00586887">
              <w:rPr>
                <w:rFonts w:ascii="Arial" w:hAnsi="Arial" w:cs="Arial"/>
                <w:color w:val="000000"/>
                <w:sz w:val="18"/>
                <w:szCs w:val="18"/>
                <w:lang w:val="en-ID"/>
              </w:rPr>
              <w:t>.</w:t>
            </w:r>
          </w:p>
        </w:tc>
        <w:tc>
          <w:tcPr>
            <w:tcW w:w="1000" w:type="pct"/>
            <w:shd w:val="clear" w:color="auto" w:fill="auto"/>
          </w:tcPr>
          <w:p w14:paraId="73045600" w14:textId="6AED731E" w:rsidR="00FC4B90" w:rsidRDefault="00FC4B90" w:rsidP="002715E3">
            <w:pPr>
              <w:pStyle w:val="ListParagraph"/>
              <w:numPr>
                <w:ilvl w:val="0"/>
                <w:numId w:val="3"/>
              </w:numPr>
              <w:suppressAutoHyphens w:val="0"/>
              <w:spacing w:after="0"/>
              <w:ind w:leftChars="0" w:left="313" w:firstLineChars="0" w:hanging="313"/>
              <w:contextualSpacing w:val="0"/>
              <w:textDirection w:val="lrTb"/>
              <w:textAlignment w:val="auto"/>
              <w:outlineLvl w:val="9"/>
              <w:rPr>
                <w:rFonts w:ascii="Arial" w:hAnsi="Arial" w:cs="Arial"/>
                <w:color w:val="000000"/>
                <w:sz w:val="18"/>
                <w:szCs w:val="18"/>
                <w:lang w:val="en-ID"/>
              </w:rPr>
            </w:pPr>
            <w:r w:rsidRPr="00586887">
              <w:rPr>
                <w:rFonts w:ascii="Arial" w:hAnsi="Arial" w:cs="Arial"/>
                <w:color w:val="000000"/>
                <w:sz w:val="18"/>
                <w:szCs w:val="18"/>
                <w:lang w:val="en-ID"/>
              </w:rPr>
              <w:t>Offering maintenance and repair services as a follow-up to after-sales monitoring, with costs separate from PV installation.</w:t>
            </w:r>
          </w:p>
        </w:tc>
      </w:tr>
    </w:tbl>
    <w:p w14:paraId="01EAE6EB" w14:textId="77777777" w:rsidR="00586887" w:rsidRDefault="00586887" w:rsidP="00586887">
      <w:pPr>
        <w:pBdr>
          <w:top w:val="nil"/>
          <w:left w:val="nil"/>
          <w:bottom w:val="nil"/>
          <w:right w:val="nil"/>
          <w:between w:val="nil"/>
        </w:pBdr>
        <w:spacing w:after="0" w:line="264" w:lineRule="auto"/>
        <w:ind w:left="0" w:hanging="2"/>
        <w:rPr>
          <w:rFonts w:ascii="Arial" w:eastAsia="Times New Roman" w:hAnsi="Arial" w:cs="Arial"/>
          <w:b/>
          <w:bCs/>
          <w:color w:val="000000"/>
          <w:szCs w:val="20"/>
        </w:rPr>
      </w:pPr>
    </w:p>
    <w:p w14:paraId="43A4A6CF" w14:textId="13CEDC6C" w:rsidR="00586887" w:rsidRDefault="00586887" w:rsidP="00586887">
      <w:pPr>
        <w:pBdr>
          <w:top w:val="nil"/>
          <w:left w:val="nil"/>
          <w:bottom w:val="nil"/>
          <w:right w:val="nil"/>
          <w:between w:val="nil"/>
        </w:pBdr>
        <w:spacing w:after="0" w:line="264" w:lineRule="auto"/>
        <w:ind w:left="0" w:hanging="2"/>
        <w:rPr>
          <w:rFonts w:ascii="Arial" w:eastAsia="Times New Roman" w:hAnsi="Arial" w:cs="Arial"/>
          <w:b/>
          <w:bCs/>
          <w:color w:val="000000"/>
          <w:szCs w:val="20"/>
        </w:rPr>
      </w:pPr>
      <w:r w:rsidRPr="00586887">
        <w:rPr>
          <w:rFonts w:ascii="Arial" w:eastAsia="Times New Roman" w:hAnsi="Arial" w:cs="Arial"/>
          <w:b/>
          <w:bCs/>
          <w:color w:val="000000"/>
          <w:szCs w:val="20"/>
        </w:rPr>
        <w:t>PV Business Model Canvas (BMC) for Billboard Lighting.</w:t>
      </w:r>
    </w:p>
    <w:p w14:paraId="5D769974" w14:textId="2E2855B1" w:rsidR="00B03099" w:rsidRDefault="0019531B" w:rsidP="00586887">
      <w:pPr>
        <w:pBdr>
          <w:top w:val="nil"/>
          <w:left w:val="nil"/>
          <w:bottom w:val="nil"/>
          <w:right w:val="nil"/>
          <w:between w:val="nil"/>
        </w:pBdr>
        <w:spacing w:after="0" w:line="264" w:lineRule="auto"/>
        <w:ind w:left="0" w:hanging="2"/>
        <w:rPr>
          <w:rFonts w:ascii="Arial" w:eastAsia="Times New Roman" w:hAnsi="Arial" w:cs="Arial"/>
          <w:color w:val="000000"/>
          <w:szCs w:val="20"/>
        </w:rPr>
      </w:pPr>
      <w:r w:rsidRPr="0019531B">
        <w:rPr>
          <w:rFonts w:ascii="Arial" w:eastAsia="Times New Roman" w:hAnsi="Arial" w:cs="Arial"/>
          <w:color w:val="000000"/>
          <w:szCs w:val="20"/>
        </w:rPr>
        <w:t xml:space="preserve">Osterwalder </w:t>
      </w:r>
      <w:r w:rsidR="006221AC">
        <w:rPr>
          <w:rFonts w:ascii="Arial" w:eastAsia="Times New Roman" w:hAnsi="Arial" w:cs="Arial"/>
          <w:color w:val="000000"/>
          <w:szCs w:val="20"/>
        </w:rPr>
        <w:t>and</w:t>
      </w:r>
      <w:r w:rsidRPr="0019531B">
        <w:rPr>
          <w:rFonts w:ascii="Arial" w:eastAsia="Times New Roman" w:hAnsi="Arial" w:cs="Arial"/>
          <w:color w:val="000000"/>
          <w:szCs w:val="20"/>
        </w:rPr>
        <w:t xml:space="preserve"> </w:t>
      </w:r>
      <w:proofErr w:type="spellStart"/>
      <w:r w:rsidRPr="0019531B">
        <w:rPr>
          <w:rFonts w:ascii="Arial" w:eastAsia="Times New Roman" w:hAnsi="Arial" w:cs="Arial"/>
          <w:color w:val="000000"/>
          <w:szCs w:val="20"/>
        </w:rPr>
        <w:t>Pigneur</w:t>
      </w:r>
      <w:proofErr w:type="spellEnd"/>
      <w:r w:rsidRPr="0019531B">
        <w:rPr>
          <w:rFonts w:ascii="Arial" w:eastAsia="Times New Roman" w:hAnsi="Arial" w:cs="Arial"/>
          <w:color w:val="000000"/>
          <w:szCs w:val="20"/>
        </w:rPr>
        <w:t xml:space="preserve"> (2010) </w:t>
      </w:r>
      <w:r w:rsidR="00586887" w:rsidRPr="00586887">
        <w:rPr>
          <w:rFonts w:ascii="Arial" w:eastAsia="Times New Roman" w:hAnsi="Arial" w:cs="Arial"/>
          <w:color w:val="000000"/>
          <w:szCs w:val="20"/>
        </w:rPr>
        <w:t>introduced a highly structured and detailed model, the Business Model Canvas, which is very comprehensive. For PV, th</w:t>
      </w:r>
      <w:r w:rsidR="006221AC">
        <w:rPr>
          <w:rFonts w:ascii="Arial" w:eastAsia="Times New Roman" w:hAnsi="Arial" w:cs="Arial"/>
          <w:color w:val="000000"/>
          <w:szCs w:val="20"/>
        </w:rPr>
        <w:t>ree business models</w:t>
      </w:r>
      <w:r w:rsidR="00586887" w:rsidRPr="00586887">
        <w:rPr>
          <w:rFonts w:ascii="Arial" w:eastAsia="Times New Roman" w:hAnsi="Arial" w:cs="Arial"/>
          <w:color w:val="000000"/>
          <w:szCs w:val="20"/>
        </w:rPr>
        <w:t xml:space="preserve"> can be developed: the host-owned model, the Third-Party-Owned (TPO) model, and the Energy Management Contract (EMC) model</w:t>
      </w:r>
      <w:r w:rsidR="00586887">
        <w:rPr>
          <w:rFonts w:ascii="Arial" w:eastAsia="Times New Roman" w:hAnsi="Arial" w:cs="Arial"/>
          <w:color w:val="000000"/>
          <w:szCs w:val="20"/>
        </w:rPr>
        <w:t xml:space="preserve"> </w:t>
      </w:r>
      <w:r w:rsidR="00FD12E9">
        <w:rPr>
          <w:rFonts w:ascii="Arial" w:eastAsia="Times New Roman" w:hAnsi="Arial" w:cs="Arial"/>
          <w:color w:val="000000"/>
          <w:szCs w:val="20"/>
        </w:rPr>
        <w:fldChar w:fldCharType="begin" w:fldLock="1"/>
      </w:r>
      <w:r w:rsidR="00141E59">
        <w:rPr>
          <w:rFonts w:ascii="Arial" w:eastAsia="Times New Roman" w:hAnsi="Arial" w:cs="Arial"/>
          <w:color w:val="000000"/>
          <w:szCs w:val="20"/>
        </w:rPr>
        <w:instrText>ADDIN CSL_CITATION {"citationItems":[{"id":"ITEM-1","itemData":{"DOI":"10.3390/su11164322","ISSN":"20711050","abstract":"China is a world leader in the global solar photovoltaic industry, and has rapidly expanded its distributed solar photovoltaic (DSPV) power in recent years. However, China's DSPV power is still in its infancy. As such, its business model is still in the exploratory stage, and faces many developmental obstacles. This paper summarizes and analyzes the main obstacles that China's DSPV power is facing in its development, using a literature analysis methodology. Then, previous business models, such as host-owned, energy management contract (EMC), and third-party-owned (TPO), were studied using the Business Model Canvas (BMC) as an analytical tool. Moreover, the Lean Canvas (LC) method was used to further conduct a synthesis and comparative analysis with the three models, describing how and to what extent these models can overcome identified obstacles. Finally, the study highlighted the dominant position of EMC model.","author":[{"dropping-particle":"","family":"Cai","given":"Xiang","non-dropping-particle":"","parse-names":false,"suffix":""},{"dropping-particle":"","family":"Xie","given":"Meiying","non-dropping-particle":"","parse-names":false,"suffix":""},{"dropping-particle":"","family":"Zhang","given":"Haijing","non-dropping-particle":"","parse-names":false,"suffix":""},{"dropping-particle":"","family":"Xu","given":"Zhenli","non-dropping-particle":"","parse-names":false,"suffix":""},{"dropping-particle":"","family":"Cheng","given":"Faxin","non-dropping-particle":"","parse-names":false,"suffix":""}],"container-title":"Sustainability (Switzerland)","id":"ITEM-1","issue":"16","issued":{"date-parts":[["2019"]]},"title":"Business models of distributed solar photovoltaic power of China: The Business Model Canvas perspective","type":"article-journal","volume":"11"},"uris":["http://www.mendeley.com/documents/?uuid=71b71230-3618-4ea5-aedc-6263c338a02c"]}],"mendeley":{"formattedCitation":"(Cai et al., 2019)","plainTextFormattedCitation":"(Cai et al., 2019)","previouslyFormattedCitation":"(Cai et al., 2019)"},"properties":{"noteIndex":0},"schema":"https://github.com/citation-style-language/schema/raw/master/csl-citation.json"}</w:instrText>
      </w:r>
      <w:r w:rsidR="00FD12E9">
        <w:rPr>
          <w:rFonts w:ascii="Arial" w:eastAsia="Times New Roman" w:hAnsi="Arial" w:cs="Arial"/>
          <w:color w:val="000000"/>
          <w:szCs w:val="20"/>
        </w:rPr>
        <w:fldChar w:fldCharType="separate"/>
      </w:r>
      <w:r w:rsidR="00FD12E9" w:rsidRPr="00FD12E9">
        <w:rPr>
          <w:rFonts w:ascii="Arial" w:eastAsia="Times New Roman" w:hAnsi="Arial" w:cs="Arial"/>
          <w:noProof/>
          <w:color w:val="000000"/>
          <w:szCs w:val="20"/>
        </w:rPr>
        <w:t>(Cai et al., 2019)</w:t>
      </w:r>
      <w:r w:rsidR="00FD12E9">
        <w:rPr>
          <w:rFonts w:ascii="Arial" w:eastAsia="Times New Roman" w:hAnsi="Arial" w:cs="Arial"/>
          <w:color w:val="000000"/>
          <w:szCs w:val="20"/>
        </w:rPr>
        <w:fldChar w:fldCharType="end"/>
      </w:r>
      <w:r w:rsidR="00B03099" w:rsidRPr="00B03099">
        <w:rPr>
          <w:rFonts w:ascii="Arial" w:eastAsia="Times New Roman" w:hAnsi="Arial" w:cs="Arial"/>
          <w:color w:val="000000"/>
          <w:szCs w:val="20"/>
        </w:rPr>
        <w:t xml:space="preserve">. </w:t>
      </w:r>
      <w:r w:rsidR="00586887" w:rsidRPr="00586887">
        <w:rPr>
          <w:rFonts w:ascii="Arial" w:eastAsia="Times New Roman" w:hAnsi="Arial" w:cs="Arial"/>
          <w:color w:val="000000"/>
          <w:szCs w:val="20"/>
        </w:rPr>
        <w:t>EMC is a mechanism for energy-efficient emission reduction based on market-oriented project operations that began in the 1970s and have a medium-term outlook in Western developed countries</w:t>
      </w:r>
      <w:r w:rsidR="00586887">
        <w:rPr>
          <w:rFonts w:ascii="Arial" w:eastAsia="Times New Roman" w:hAnsi="Arial" w:cs="Arial"/>
          <w:color w:val="000000"/>
          <w:szCs w:val="20"/>
        </w:rPr>
        <w:t xml:space="preserve"> </w:t>
      </w:r>
      <w:r w:rsidR="00141E59">
        <w:rPr>
          <w:rFonts w:ascii="Arial" w:eastAsia="Times New Roman" w:hAnsi="Arial" w:cs="Arial"/>
          <w:color w:val="000000"/>
          <w:szCs w:val="20"/>
        </w:rPr>
        <w:fldChar w:fldCharType="begin" w:fldLock="1"/>
      </w:r>
      <w:r w:rsidR="00141E59">
        <w:rPr>
          <w:rFonts w:ascii="Arial" w:eastAsia="Times New Roman" w:hAnsi="Arial" w:cs="Arial"/>
          <w:color w:val="000000"/>
          <w:szCs w:val="20"/>
        </w:rPr>
        <w:instrText>ADDIN CSL_CITATION {"citationItems":[{"id":"ITEM-1","itemData":{"DOI":"10.1088/1755-1315/146/1/012033","ISSN":"17551315","abstract":"The operation of anti-poverty Photovoltaic project puts forward higher requirements on multi-participates cooperation. The cooperative behavior among different subjects has altruistic motivation, so based on the stakeholder theory, this paper analyzed the stakeholders' rights and interests, establishes the operation mode of multi-participates collaborative optimization under the altruistic preference. This paper discusses and analyzes the influence of altruistic preference on project performance and project participants. Finally, the model is verified.","author":[{"dropping-particle":"","family":"Sun","given":"Min","non-dropping-particle":"","parse-names":false,"suffix":""},{"dropping-particle":"","family":"Zeng","given":"Wei","non-dropping-particle":"","parse-names":false,"suffix":""},{"dropping-particle":"","family":"Zhang","given":"Wenning","non-dropping-particle":"","parse-names":false,"suffix":""},{"dropping-particle":"","family":"Li","given":"Cunbin","non-dropping-particle":"","parse-names":false,"suffix":""}],"container-title":"IOP Conference Series: Earth and Environmental Science","id":"ITEM-1","issue":"1","issued":{"date-parts":[["2018"]]},"title":"Study on Operation Mode of Anti-poverty Photovoltaic Project Based on Altruism Preference","type":"article-journal","volume":"146"},"uris":["http://www.mendeley.com/documents/?uuid=93611fef-91f3-434d-8ec4-77065f33cc95"]}],"mendeley":{"formattedCitation":"(Sun et al., 2018)","plainTextFormattedCitation":"(Sun et al., 2018)","previouslyFormattedCitation":"(Sun et al., 2018)"},"properties":{"noteIndex":0},"schema":"https://github.com/citation-style-language/schema/raw/master/csl-citation.json"}</w:instrText>
      </w:r>
      <w:r w:rsidR="00141E59">
        <w:rPr>
          <w:rFonts w:ascii="Arial" w:eastAsia="Times New Roman" w:hAnsi="Arial" w:cs="Arial"/>
          <w:color w:val="000000"/>
          <w:szCs w:val="20"/>
        </w:rPr>
        <w:fldChar w:fldCharType="separate"/>
      </w:r>
      <w:r w:rsidR="00141E59" w:rsidRPr="00141E59">
        <w:rPr>
          <w:rFonts w:ascii="Arial" w:eastAsia="Times New Roman" w:hAnsi="Arial" w:cs="Arial"/>
          <w:noProof/>
          <w:color w:val="000000"/>
          <w:szCs w:val="20"/>
        </w:rPr>
        <w:t>(Sun et al., 2018)</w:t>
      </w:r>
      <w:r w:rsidR="00141E59">
        <w:rPr>
          <w:rFonts w:ascii="Arial" w:eastAsia="Times New Roman" w:hAnsi="Arial" w:cs="Arial"/>
          <w:color w:val="000000"/>
          <w:szCs w:val="20"/>
        </w:rPr>
        <w:fldChar w:fldCharType="end"/>
      </w:r>
      <w:r w:rsidR="00141E59">
        <w:rPr>
          <w:rFonts w:ascii="Arial" w:eastAsia="Times New Roman" w:hAnsi="Arial" w:cs="Arial"/>
          <w:color w:val="000000"/>
          <w:szCs w:val="20"/>
        </w:rPr>
        <w:t xml:space="preserve">. </w:t>
      </w:r>
      <w:r w:rsidR="006221AC">
        <w:rPr>
          <w:rFonts w:ascii="Arial" w:eastAsia="Times New Roman" w:hAnsi="Arial" w:cs="Arial"/>
          <w:color w:val="000000"/>
          <w:szCs w:val="20"/>
        </w:rPr>
        <w:t>T</w:t>
      </w:r>
      <w:r w:rsidR="00586887" w:rsidRPr="00586887">
        <w:rPr>
          <w:rFonts w:ascii="Arial" w:eastAsia="Times New Roman" w:hAnsi="Arial" w:cs="Arial"/>
          <w:color w:val="000000"/>
          <w:szCs w:val="20"/>
        </w:rPr>
        <w:t>he case study of using PV for billboard lighting can be seen in Figure 4</w:t>
      </w:r>
      <w:r w:rsidR="00B03099" w:rsidRPr="00B03099">
        <w:rPr>
          <w:rFonts w:ascii="Arial" w:eastAsia="Times New Roman" w:hAnsi="Arial" w:cs="Arial"/>
          <w:color w:val="000000"/>
          <w:szCs w:val="20"/>
        </w:rPr>
        <w:t>.</w:t>
      </w:r>
    </w:p>
    <w:p w14:paraId="6B044BAF" w14:textId="66543AA4" w:rsidR="00240624" w:rsidRPr="00B03099" w:rsidRDefault="004A5B5C" w:rsidP="007551D2">
      <w:pPr>
        <w:pBdr>
          <w:top w:val="nil"/>
          <w:left w:val="nil"/>
          <w:bottom w:val="nil"/>
          <w:right w:val="nil"/>
          <w:between w:val="nil"/>
        </w:pBdr>
        <w:spacing w:after="0" w:line="264" w:lineRule="auto"/>
        <w:ind w:left="0" w:hanging="2"/>
        <w:jc w:val="center"/>
        <w:rPr>
          <w:rFonts w:ascii="Arial" w:eastAsia="Times New Roman" w:hAnsi="Arial" w:cs="Arial"/>
          <w:color w:val="000000"/>
          <w:szCs w:val="20"/>
        </w:rPr>
      </w:pPr>
      <w:r>
        <w:rPr>
          <w:rFonts w:ascii="Arial" w:eastAsia="Times New Roman" w:hAnsi="Arial" w:cs="Arial"/>
          <w:noProof/>
          <w:color w:val="000000"/>
          <w:szCs w:val="20"/>
        </w:rPr>
        <w:drawing>
          <wp:inline distT="0" distB="0" distL="0" distR="0" wp14:anchorId="3D8D8169" wp14:editId="77A3C739">
            <wp:extent cx="5589635" cy="33171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4" cstate="print">
                      <a:extLst>
                        <a:ext uri="{28A0092B-C50C-407E-A947-70E740481C1C}">
                          <a14:useLocalDpi xmlns:a14="http://schemas.microsoft.com/office/drawing/2010/main" val="0"/>
                        </a:ext>
                      </a:extLst>
                    </a:blip>
                    <a:srcRect l="4708" t="8630" r="971" b="12211"/>
                    <a:stretch/>
                  </pic:blipFill>
                  <pic:spPr bwMode="auto">
                    <a:xfrm>
                      <a:off x="0" y="0"/>
                      <a:ext cx="5601456" cy="3324147"/>
                    </a:xfrm>
                    <a:prstGeom prst="rect">
                      <a:avLst/>
                    </a:prstGeom>
                    <a:ln>
                      <a:noFill/>
                    </a:ln>
                    <a:extLst>
                      <a:ext uri="{53640926-AAD7-44D8-BBD7-CCE9431645EC}">
                        <a14:shadowObscured xmlns:a14="http://schemas.microsoft.com/office/drawing/2010/main"/>
                      </a:ext>
                    </a:extLst>
                  </pic:spPr>
                </pic:pic>
              </a:graphicData>
            </a:graphic>
          </wp:inline>
        </w:drawing>
      </w:r>
    </w:p>
    <w:p w14:paraId="51C830EF" w14:textId="30671D87" w:rsidR="00240624" w:rsidRDefault="00586887" w:rsidP="005264B9">
      <w:pPr>
        <w:pBdr>
          <w:top w:val="nil"/>
          <w:left w:val="nil"/>
          <w:bottom w:val="nil"/>
          <w:right w:val="nil"/>
          <w:between w:val="nil"/>
        </w:pBdr>
        <w:spacing w:after="0" w:line="264" w:lineRule="auto"/>
        <w:ind w:left="0" w:hanging="2"/>
        <w:jc w:val="center"/>
        <w:rPr>
          <w:rFonts w:ascii="Arial" w:eastAsia="Times New Roman" w:hAnsi="Arial" w:cs="Arial"/>
          <w:iCs/>
          <w:color w:val="000000"/>
          <w:sz w:val="18"/>
          <w:szCs w:val="18"/>
          <w:lang w:val="en-ID"/>
        </w:rPr>
      </w:pPr>
      <w:r>
        <w:rPr>
          <w:rFonts w:ascii="Arial" w:eastAsia="Times New Roman" w:hAnsi="Arial" w:cs="Arial"/>
          <w:b/>
          <w:color w:val="000000"/>
          <w:sz w:val="18"/>
          <w:szCs w:val="18"/>
        </w:rPr>
        <w:t>Figure</w:t>
      </w:r>
      <w:r w:rsidR="00240624" w:rsidRPr="00586887">
        <w:rPr>
          <w:rFonts w:ascii="Arial" w:eastAsia="Times New Roman" w:hAnsi="Arial" w:cs="Arial"/>
          <w:b/>
          <w:color w:val="000000"/>
          <w:sz w:val="18"/>
          <w:szCs w:val="18"/>
        </w:rPr>
        <w:t xml:space="preserve"> </w:t>
      </w:r>
      <w:r w:rsidR="002715E3" w:rsidRPr="00586887">
        <w:rPr>
          <w:rFonts w:ascii="Arial" w:eastAsia="Times New Roman" w:hAnsi="Arial" w:cs="Arial"/>
          <w:b/>
          <w:color w:val="000000"/>
          <w:sz w:val="18"/>
          <w:szCs w:val="18"/>
        </w:rPr>
        <w:t>4</w:t>
      </w:r>
      <w:r w:rsidR="00240624" w:rsidRPr="00586887">
        <w:rPr>
          <w:rFonts w:ascii="Arial" w:eastAsia="Times New Roman" w:hAnsi="Arial" w:cs="Arial"/>
          <w:b/>
          <w:color w:val="000000"/>
          <w:sz w:val="18"/>
          <w:szCs w:val="18"/>
        </w:rPr>
        <w:t xml:space="preserve">. </w:t>
      </w:r>
      <w:r w:rsidR="005264B9" w:rsidRPr="005264B9">
        <w:rPr>
          <w:rFonts w:ascii="Arial" w:eastAsia="Times New Roman" w:hAnsi="Arial" w:cs="Arial"/>
          <w:iCs/>
          <w:color w:val="000000"/>
          <w:sz w:val="18"/>
          <w:szCs w:val="18"/>
          <w:lang w:val="en-ID"/>
        </w:rPr>
        <w:t>Business Model Canvas (BMC) for PV Installation Business for Billboard Lighting</w:t>
      </w:r>
    </w:p>
    <w:p w14:paraId="7EE49530" w14:textId="77777777" w:rsidR="005264B9" w:rsidRDefault="005264B9" w:rsidP="005264B9">
      <w:pPr>
        <w:pBdr>
          <w:top w:val="nil"/>
          <w:left w:val="nil"/>
          <w:bottom w:val="nil"/>
          <w:right w:val="nil"/>
          <w:between w:val="nil"/>
        </w:pBdr>
        <w:spacing w:after="0" w:line="264" w:lineRule="auto"/>
        <w:ind w:left="0" w:hanging="2"/>
        <w:jc w:val="center"/>
        <w:rPr>
          <w:rFonts w:ascii="Arial" w:eastAsia="Times New Roman" w:hAnsi="Arial" w:cs="Arial"/>
          <w:color w:val="000000"/>
          <w:szCs w:val="20"/>
        </w:rPr>
      </w:pPr>
    </w:p>
    <w:p w14:paraId="29E9F04D" w14:textId="0A3696E6" w:rsidR="00B03099" w:rsidRPr="00B03099" w:rsidRDefault="005264B9" w:rsidP="00FC4B90">
      <w:pPr>
        <w:spacing w:after="0"/>
        <w:ind w:left="0" w:hanging="2"/>
        <w:rPr>
          <w:rFonts w:ascii="Arial" w:eastAsia="Times New Roman" w:hAnsi="Arial" w:cs="Arial"/>
          <w:color w:val="000000"/>
          <w:szCs w:val="20"/>
        </w:rPr>
      </w:pPr>
      <w:r w:rsidRPr="005264B9">
        <w:rPr>
          <w:rFonts w:ascii="Arial" w:eastAsia="Times New Roman" w:hAnsi="Arial" w:cs="Arial"/>
          <w:color w:val="000000"/>
          <w:szCs w:val="20"/>
        </w:rPr>
        <w:lastRenderedPageBreak/>
        <w:t xml:space="preserve">The conceptual BMC design </w:t>
      </w:r>
      <w:r w:rsidR="00FC4B90">
        <w:rPr>
          <w:rFonts w:ascii="Arial" w:eastAsia="Times New Roman" w:hAnsi="Arial" w:cs="Arial"/>
          <w:color w:val="000000"/>
          <w:szCs w:val="20"/>
        </w:rPr>
        <w:t>aims to provide</w:t>
      </w:r>
      <w:r w:rsidRPr="005264B9">
        <w:rPr>
          <w:rFonts w:ascii="Arial" w:eastAsia="Times New Roman" w:hAnsi="Arial" w:cs="Arial"/>
          <w:color w:val="000000"/>
          <w:szCs w:val="20"/>
        </w:rPr>
        <w:t xml:space="preserve"> maximum benefits to billboard advertising companies by offering a PV solution for billboard lighting to save on electricity costs and reduce emissions from conventional lighting. </w:t>
      </w:r>
      <w:r w:rsidR="00FC4B90">
        <w:rPr>
          <w:rFonts w:ascii="Arial" w:eastAsia="Times New Roman" w:hAnsi="Arial" w:cs="Arial"/>
          <w:color w:val="000000"/>
          <w:szCs w:val="20"/>
        </w:rPr>
        <w:t>The PV installation business is expected to thrive with the increasing use of PV</w:t>
      </w:r>
      <w:r w:rsidRPr="005264B9">
        <w:rPr>
          <w:rFonts w:ascii="Arial" w:eastAsia="Times New Roman" w:hAnsi="Arial" w:cs="Arial"/>
          <w:color w:val="000000"/>
          <w:szCs w:val="20"/>
        </w:rPr>
        <w:t>. Therefore, experts in PV installation are in high demand. This BMC concept supports workforce development in Indonesia, not only at the vocational school and vocational college levels but also at the bachelor's degree level. Here</w:t>
      </w:r>
      <w:r w:rsidR="00FC4B90">
        <w:rPr>
          <w:rFonts w:ascii="Arial" w:eastAsia="Times New Roman" w:hAnsi="Arial" w:cs="Arial"/>
          <w:color w:val="000000"/>
          <w:szCs w:val="20"/>
        </w:rPr>
        <w:t xml:space="preserve"> i</w:t>
      </w:r>
      <w:r w:rsidRPr="005264B9">
        <w:rPr>
          <w:rFonts w:ascii="Arial" w:eastAsia="Times New Roman" w:hAnsi="Arial" w:cs="Arial"/>
          <w:color w:val="000000"/>
          <w:szCs w:val="20"/>
        </w:rPr>
        <w:t>s an explanation of each element in the BMC:</w:t>
      </w:r>
    </w:p>
    <w:p w14:paraId="5A7F11DA" w14:textId="7378AC29" w:rsidR="002715E3" w:rsidRPr="005264B9" w:rsidRDefault="002715E3" w:rsidP="005264B9">
      <w:pPr>
        <w:pStyle w:val="ListParagraph"/>
        <w:numPr>
          <w:ilvl w:val="0"/>
          <w:numId w:val="4"/>
        </w:numPr>
        <w:ind w:leftChars="0" w:left="426" w:firstLineChars="0"/>
        <w:rPr>
          <w:rFonts w:ascii="Arial" w:eastAsia="Times New Roman" w:hAnsi="Arial" w:cs="Arial"/>
          <w:color w:val="000000"/>
          <w:szCs w:val="20"/>
        </w:rPr>
      </w:pPr>
      <w:r w:rsidRPr="005264B9">
        <w:rPr>
          <w:rFonts w:ascii="Arial" w:eastAsia="Times New Roman" w:hAnsi="Arial" w:cs="Arial"/>
          <w:b/>
          <w:i/>
          <w:color w:val="000000"/>
          <w:szCs w:val="20"/>
        </w:rPr>
        <w:t>Consumer Segments</w:t>
      </w:r>
      <w:r w:rsidRPr="005264B9">
        <w:rPr>
          <w:rFonts w:ascii="Arial" w:eastAsia="Times New Roman" w:hAnsi="Arial" w:cs="Arial"/>
          <w:color w:val="000000"/>
          <w:szCs w:val="20"/>
        </w:rPr>
        <w:t xml:space="preserve">, </w:t>
      </w:r>
      <w:r w:rsidR="005264B9">
        <w:rPr>
          <w:rFonts w:ascii="Arial" w:eastAsia="Times New Roman" w:hAnsi="Arial" w:cs="Arial"/>
          <w:color w:val="000000"/>
          <w:szCs w:val="20"/>
        </w:rPr>
        <w:t>t</w:t>
      </w:r>
      <w:r w:rsidR="005264B9" w:rsidRPr="005264B9">
        <w:rPr>
          <w:rFonts w:ascii="Arial" w:eastAsia="Times New Roman" w:hAnsi="Arial" w:cs="Arial"/>
          <w:color w:val="000000"/>
          <w:szCs w:val="20"/>
        </w:rPr>
        <w:t>he target businesses are focused on advertising companies and entities such as parks, schools, hospitals, and residential areas that use billboard advertising.</w:t>
      </w:r>
    </w:p>
    <w:p w14:paraId="2530361E" w14:textId="39DB6AAB" w:rsidR="002715E3" w:rsidRDefault="002715E3" w:rsidP="002715E3">
      <w:pPr>
        <w:pStyle w:val="ListParagraph"/>
        <w:numPr>
          <w:ilvl w:val="0"/>
          <w:numId w:val="4"/>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2715E3">
        <w:rPr>
          <w:rFonts w:ascii="Arial" w:eastAsia="Times New Roman" w:hAnsi="Arial" w:cs="Arial"/>
          <w:b/>
          <w:i/>
          <w:color w:val="000000"/>
          <w:szCs w:val="20"/>
        </w:rPr>
        <w:t>Channels</w:t>
      </w:r>
      <w:r w:rsidRPr="002715E3">
        <w:rPr>
          <w:rFonts w:ascii="Arial" w:eastAsia="Times New Roman" w:hAnsi="Arial" w:cs="Arial"/>
          <w:color w:val="000000"/>
          <w:szCs w:val="20"/>
        </w:rPr>
        <w:t xml:space="preserve">, </w:t>
      </w:r>
      <w:r w:rsidR="005264B9">
        <w:rPr>
          <w:rFonts w:ascii="Arial" w:eastAsia="Times New Roman" w:hAnsi="Arial" w:cs="Arial"/>
          <w:color w:val="000000"/>
          <w:szCs w:val="20"/>
        </w:rPr>
        <w:t>t</w:t>
      </w:r>
      <w:r w:rsidR="005264B9" w:rsidRPr="005264B9">
        <w:rPr>
          <w:rFonts w:ascii="Arial" w:eastAsia="Times New Roman" w:hAnsi="Arial" w:cs="Arial"/>
          <w:color w:val="000000"/>
          <w:szCs w:val="20"/>
        </w:rPr>
        <w:t>o market the product or service, academic journals</w:t>
      </w:r>
      <w:r w:rsidR="006221AC">
        <w:rPr>
          <w:rFonts w:ascii="Arial" w:eastAsia="Times New Roman" w:hAnsi="Arial" w:cs="Arial"/>
          <w:color w:val="000000"/>
          <w:szCs w:val="20"/>
        </w:rPr>
        <w:t>,</w:t>
      </w:r>
      <w:r w:rsidR="005264B9" w:rsidRPr="005264B9">
        <w:rPr>
          <w:rFonts w:ascii="Arial" w:eastAsia="Times New Roman" w:hAnsi="Arial" w:cs="Arial"/>
          <w:color w:val="000000"/>
          <w:szCs w:val="20"/>
        </w:rPr>
        <w:t xml:space="preserve"> and scientific articles are used as </w:t>
      </w:r>
      <w:r w:rsidR="00FC4B90">
        <w:rPr>
          <w:rFonts w:ascii="Arial" w:eastAsia="Times New Roman" w:hAnsi="Arial" w:cs="Arial"/>
          <w:color w:val="000000"/>
          <w:szCs w:val="20"/>
        </w:rPr>
        <w:t>consumer verification tool</w:t>
      </w:r>
      <w:r w:rsidR="005264B9" w:rsidRPr="005264B9">
        <w:rPr>
          <w:rFonts w:ascii="Arial" w:eastAsia="Times New Roman" w:hAnsi="Arial" w:cs="Arial"/>
          <w:color w:val="000000"/>
          <w:szCs w:val="20"/>
        </w:rPr>
        <w:t>s. Government promotions are also expected to increase consumer interest. Both online media (Facebook, Instagram, Website, etc.) and offline media (Newspapers, Brochures, Banners, etc.) are used to reach a wider audience</w:t>
      </w:r>
      <w:r w:rsidRPr="002715E3">
        <w:rPr>
          <w:rFonts w:ascii="Arial" w:eastAsia="Times New Roman" w:hAnsi="Arial" w:cs="Arial"/>
          <w:color w:val="000000"/>
          <w:szCs w:val="20"/>
        </w:rPr>
        <w:t>.</w:t>
      </w:r>
    </w:p>
    <w:p w14:paraId="088349D4" w14:textId="561BABF7" w:rsidR="002715E3" w:rsidRDefault="002715E3" w:rsidP="002715E3">
      <w:pPr>
        <w:pStyle w:val="ListParagraph"/>
        <w:numPr>
          <w:ilvl w:val="0"/>
          <w:numId w:val="4"/>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2715E3">
        <w:rPr>
          <w:rFonts w:ascii="Arial" w:eastAsia="Times New Roman" w:hAnsi="Arial" w:cs="Arial"/>
          <w:b/>
          <w:i/>
          <w:color w:val="000000"/>
          <w:szCs w:val="20"/>
        </w:rPr>
        <w:t>Customer Relationship</w:t>
      </w:r>
      <w:r w:rsidRPr="002715E3">
        <w:rPr>
          <w:rFonts w:ascii="Arial" w:eastAsia="Times New Roman" w:hAnsi="Arial" w:cs="Arial"/>
          <w:color w:val="000000"/>
          <w:szCs w:val="20"/>
        </w:rPr>
        <w:t xml:space="preserve">, </w:t>
      </w:r>
      <w:r w:rsidR="005264B9">
        <w:rPr>
          <w:rFonts w:ascii="Arial" w:eastAsia="Times New Roman" w:hAnsi="Arial" w:cs="Arial"/>
          <w:color w:val="000000"/>
          <w:szCs w:val="20"/>
        </w:rPr>
        <w:t>t</w:t>
      </w:r>
      <w:r w:rsidR="005264B9" w:rsidRPr="005264B9">
        <w:rPr>
          <w:rFonts w:ascii="Arial" w:eastAsia="Times New Roman" w:hAnsi="Arial" w:cs="Arial"/>
          <w:color w:val="000000"/>
          <w:szCs w:val="20"/>
        </w:rPr>
        <w:t>his is used to interact with consumers and build relationships. An online-accessible application is used for communication with consumers and providing after-sales service.</w:t>
      </w:r>
    </w:p>
    <w:p w14:paraId="62982A00" w14:textId="62583F68" w:rsidR="002715E3" w:rsidRDefault="002715E3" w:rsidP="002715E3">
      <w:pPr>
        <w:pStyle w:val="ListParagraph"/>
        <w:numPr>
          <w:ilvl w:val="0"/>
          <w:numId w:val="4"/>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2715E3">
        <w:rPr>
          <w:rFonts w:ascii="Arial" w:eastAsia="Times New Roman" w:hAnsi="Arial" w:cs="Arial"/>
          <w:b/>
          <w:i/>
          <w:color w:val="000000"/>
          <w:szCs w:val="20"/>
        </w:rPr>
        <w:t>Value Proposition</w:t>
      </w:r>
      <w:r w:rsidRPr="002715E3">
        <w:rPr>
          <w:rFonts w:ascii="Arial" w:eastAsia="Times New Roman" w:hAnsi="Arial" w:cs="Arial"/>
          <w:color w:val="000000"/>
          <w:szCs w:val="20"/>
        </w:rPr>
        <w:t xml:space="preserve">, </w:t>
      </w:r>
      <w:r w:rsidR="00C2079C">
        <w:rPr>
          <w:rFonts w:ascii="Arial" w:eastAsia="Times New Roman" w:hAnsi="Arial" w:cs="Arial"/>
          <w:color w:val="000000"/>
          <w:szCs w:val="20"/>
        </w:rPr>
        <w:t>i</w:t>
      </w:r>
      <w:r w:rsidR="005264B9" w:rsidRPr="005264B9">
        <w:rPr>
          <w:rFonts w:ascii="Arial" w:eastAsia="Times New Roman" w:hAnsi="Arial" w:cs="Arial"/>
          <w:color w:val="000000"/>
          <w:szCs w:val="20"/>
        </w:rPr>
        <w:t>ncludes offerings such as using PV for billboard lighting to reduce electricity bills, using green energy at a low cost, and making advertising companies "green jobs</w:t>
      </w:r>
      <w:r w:rsidR="00E22680">
        <w:rPr>
          <w:rFonts w:ascii="Arial" w:eastAsia="Times New Roman" w:hAnsi="Arial" w:cs="Arial"/>
          <w:color w:val="000000"/>
          <w:szCs w:val="20"/>
        </w:rPr>
        <w:t>”</w:t>
      </w:r>
      <w:r w:rsidR="005264B9" w:rsidRPr="005264B9">
        <w:rPr>
          <w:rFonts w:ascii="Arial" w:eastAsia="Times New Roman" w:hAnsi="Arial" w:cs="Arial"/>
          <w:color w:val="000000"/>
          <w:szCs w:val="20"/>
        </w:rPr>
        <w:t>.</w:t>
      </w:r>
    </w:p>
    <w:p w14:paraId="529007A8" w14:textId="6929ABF9" w:rsidR="002715E3" w:rsidRDefault="002715E3" w:rsidP="002715E3">
      <w:pPr>
        <w:pStyle w:val="ListParagraph"/>
        <w:numPr>
          <w:ilvl w:val="0"/>
          <w:numId w:val="4"/>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2715E3">
        <w:rPr>
          <w:rFonts w:ascii="Arial" w:eastAsia="Times New Roman" w:hAnsi="Arial" w:cs="Arial"/>
          <w:b/>
          <w:i/>
          <w:color w:val="000000"/>
          <w:szCs w:val="20"/>
        </w:rPr>
        <w:t>Revenue Stream</w:t>
      </w:r>
      <w:r w:rsidRPr="002715E3">
        <w:rPr>
          <w:rFonts w:ascii="Arial" w:eastAsia="Times New Roman" w:hAnsi="Arial" w:cs="Arial"/>
          <w:color w:val="000000"/>
          <w:szCs w:val="20"/>
        </w:rPr>
        <w:t xml:space="preserve">, </w:t>
      </w:r>
      <w:r w:rsidR="00C2079C">
        <w:rPr>
          <w:rFonts w:ascii="Arial" w:eastAsia="Times New Roman" w:hAnsi="Arial" w:cs="Arial"/>
          <w:color w:val="000000"/>
          <w:szCs w:val="20"/>
        </w:rPr>
        <w:t>c</w:t>
      </w:r>
      <w:r w:rsidR="00C2079C" w:rsidRPr="00C2079C">
        <w:rPr>
          <w:rFonts w:ascii="Arial" w:eastAsia="Times New Roman" w:hAnsi="Arial" w:cs="Arial"/>
          <w:color w:val="000000"/>
          <w:szCs w:val="20"/>
        </w:rPr>
        <w:t>omes from services such as installation, maintenance, repairs, and replacement of PV components in billboard lighting.</w:t>
      </w:r>
    </w:p>
    <w:p w14:paraId="7658FE69" w14:textId="307B8917" w:rsidR="002715E3" w:rsidRDefault="002715E3" w:rsidP="002715E3">
      <w:pPr>
        <w:pStyle w:val="ListParagraph"/>
        <w:numPr>
          <w:ilvl w:val="0"/>
          <w:numId w:val="4"/>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2715E3">
        <w:rPr>
          <w:rFonts w:ascii="Arial" w:eastAsia="Times New Roman" w:hAnsi="Arial" w:cs="Arial"/>
          <w:b/>
          <w:i/>
          <w:color w:val="000000"/>
          <w:szCs w:val="20"/>
        </w:rPr>
        <w:t>Key Activities</w:t>
      </w:r>
      <w:r w:rsidR="00FC4B90">
        <w:rPr>
          <w:rFonts w:ascii="Arial" w:eastAsia="Times New Roman" w:hAnsi="Arial" w:cs="Arial"/>
          <w:color w:val="000000"/>
          <w:szCs w:val="20"/>
        </w:rPr>
        <w:t xml:space="preserve"> include</w:t>
      </w:r>
      <w:r w:rsidR="00C2079C" w:rsidRPr="00C2079C">
        <w:rPr>
          <w:rFonts w:ascii="Arial" w:eastAsia="Times New Roman" w:hAnsi="Arial" w:cs="Arial"/>
          <w:color w:val="000000"/>
          <w:szCs w:val="20"/>
        </w:rPr>
        <w:t xml:space="preserve"> marketing the product idea, promoting it to advertising companies, installation, and PV maintenance. Collaboration with PV manufacturers is also crucial.</w:t>
      </w:r>
    </w:p>
    <w:p w14:paraId="27089B3E" w14:textId="24F26597" w:rsidR="002715E3" w:rsidRDefault="002715E3" w:rsidP="002715E3">
      <w:pPr>
        <w:pStyle w:val="ListParagraph"/>
        <w:numPr>
          <w:ilvl w:val="0"/>
          <w:numId w:val="4"/>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2715E3">
        <w:rPr>
          <w:rFonts w:ascii="Arial" w:eastAsia="Times New Roman" w:hAnsi="Arial" w:cs="Arial"/>
          <w:b/>
          <w:i/>
          <w:color w:val="000000"/>
          <w:szCs w:val="20"/>
        </w:rPr>
        <w:t>Key Resources</w:t>
      </w:r>
      <w:r w:rsidRPr="002715E3">
        <w:rPr>
          <w:rFonts w:ascii="Arial" w:eastAsia="Times New Roman" w:hAnsi="Arial" w:cs="Arial"/>
          <w:color w:val="000000"/>
          <w:szCs w:val="20"/>
        </w:rPr>
        <w:t>,</w:t>
      </w:r>
      <w:r w:rsidR="00C2079C">
        <w:rPr>
          <w:rFonts w:ascii="Arial" w:eastAsia="Times New Roman" w:hAnsi="Arial" w:cs="Arial"/>
          <w:color w:val="000000"/>
          <w:szCs w:val="20"/>
        </w:rPr>
        <w:t xml:space="preserve"> i</w:t>
      </w:r>
      <w:r w:rsidR="00C2079C" w:rsidRPr="00C2079C">
        <w:rPr>
          <w:rFonts w:ascii="Arial" w:eastAsia="Times New Roman" w:hAnsi="Arial" w:cs="Arial"/>
          <w:color w:val="000000"/>
          <w:szCs w:val="20"/>
        </w:rPr>
        <w:t xml:space="preserve">nclude networks with advertising companies, </w:t>
      </w:r>
      <w:r w:rsidR="006221AC">
        <w:rPr>
          <w:rFonts w:ascii="Arial" w:eastAsia="Times New Roman" w:hAnsi="Arial" w:cs="Arial"/>
          <w:color w:val="000000"/>
          <w:szCs w:val="20"/>
        </w:rPr>
        <w:t xml:space="preserve">a </w:t>
      </w:r>
      <w:r w:rsidR="00C2079C" w:rsidRPr="00C2079C">
        <w:rPr>
          <w:rFonts w:ascii="Arial" w:eastAsia="Times New Roman" w:hAnsi="Arial" w:cs="Arial"/>
          <w:color w:val="000000"/>
          <w:szCs w:val="20"/>
        </w:rPr>
        <w:t>competent workforce for installation, maintenance, and repairs, and resources related to PV manufacturers.</w:t>
      </w:r>
      <w:r w:rsidRPr="002715E3">
        <w:rPr>
          <w:rFonts w:ascii="Arial" w:eastAsia="Times New Roman" w:hAnsi="Arial" w:cs="Arial"/>
          <w:color w:val="000000"/>
          <w:szCs w:val="20"/>
        </w:rPr>
        <w:t xml:space="preserve"> </w:t>
      </w:r>
    </w:p>
    <w:p w14:paraId="12327042" w14:textId="53587195" w:rsidR="002715E3" w:rsidRDefault="002715E3" w:rsidP="002715E3">
      <w:pPr>
        <w:pStyle w:val="ListParagraph"/>
        <w:numPr>
          <w:ilvl w:val="0"/>
          <w:numId w:val="4"/>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2715E3">
        <w:rPr>
          <w:rFonts w:ascii="Arial" w:eastAsia="Times New Roman" w:hAnsi="Arial" w:cs="Arial"/>
          <w:b/>
          <w:i/>
          <w:color w:val="000000"/>
          <w:szCs w:val="20"/>
        </w:rPr>
        <w:t>Key Partners</w:t>
      </w:r>
      <w:r w:rsidRPr="002715E3">
        <w:rPr>
          <w:rFonts w:ascii="Arial" w:eastAsia="Times New Roman" w:hAnsi="Arial" w:cs="Arial"/>
          <w:color w:val="000000"/>
          <w:szCs w:val="20"/>
        </w:rPr>
        <w:t xml:space="preserve">, </w:t>
      </w:r>
      <w:r w:rsidR="00C2079C">
        <w:rPr>
          <w:rFonts w:ascii="Arial" w:eastAsia="Times New Roman" w:hAnsi="Arial" w:cs="Arial"/>
          <w:color w:val="000000"/>
          <w:szCs w:val="20"/>
        </w:rPr>
        <w:t>e</w:t>
      </w:r>
      <w:r w:rsidR="00C2079C" w:rsidRPr="00C2079C">
        <w:rPr>
          <w:rFonts w:ascii="Arial" w:eastAsia="Times New Roman" w:hAnsi="Arial" w:cs="Arial"/>
          <w:color w:val="000000"/>
          <w:szCs w:val="20"/>
        </w:rPr>
        <w:t>ncompass partners such as PV manufacturers, vocational schools, government agencies, and financial institutions to facilitate transactions and funding.</w:t>
      </w:r>
    </w:p>
    <w:p w14:paraId="0F0EC65A" w14:textId="5E2B8985" w:rsidR="002715E3" w:rsidRDefault="002715E3" w:rsidP="002715E3">
      <w:pPr>
        <w:pStyle w:val="ListParagraph"/>
        <w:numPr>
          <w:ilvl w:val="0"/>
          <w:numId w:val="4"/>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2715E3">
        <w:rPr>
          <w:rFonts w:ascii="Arial" w:eastAsia="Times New Roman" w:hAnsi="Arial" w:cs="Arial"/>
          <w:b/>
          <w:i/>
          <w:color w:val="000000"/>
          <w:szCs w:val="20"/>
        </w:rPr>
        <w:t>Cost Structure</w:t>
      </w:r>
      <w:r w:rsidRPr="002715E3">
        <w:rPr>
          <w:rFonts w:ascii="Arial" w:eastAsia="Times New Roman" w:hAnsi="Arial" w:cs="Arial"/>
          <w:color w:val="000000"/>
          <w:szCs w:val="20"/>
        </w:rPr>
        <w:t xml:space="preserve">, </w:t>
      </w:r>
      <w:r w:rsidR="00C2079C">
        <w:rPr>
          <w:rFonts w:ascii="Arial" w:eastAsia="Times New Roman" w:hAnsi="Arial" w:cs="Arial"/>
          <w:color w:val="000000"/>
          <w:szCs w:val="20"/>
        </w:rPr>
        <w:t>e</w:t>
      </w:r>
      <w:r w:rsidR="00C2079C" w:rsidRPr="00C2079C">
        <w:rPr>
          <w:rFonts w:ascii="Arial" w:eastAsia="Times New Roman" w:hAnsi="Arial" w:cs="Arial"/>
          <w:color w:val="000000"/>
          <w:szCs w:val="20"/>
        </w:rPr>
        <w:t>ncompasses costs such as PV equipment preparation, installation construction costs, and operational business expenses.</w:t>
      </w:r>
    </w:p>
    <w:p w14:paraId="65D2BE9C" w14:textId="77777777" w:rsidR="002715E3" w:rsidRPr="002715E3" w:rsidRDefault="002715E3" w:rsidP="002715E3">
      <w:pPr>
        <w:pStyle w:val="ListParagraph"/>
        <w:pBdr>
          <w:top w:val="nil"/>
          <w:left w:val="nil"/>
          <w:bottom w:val="nil"/>
          <w:right w:val="nil"/>
          <w:between w:val="nil"/>
        </w:pBdr>
        <w:suppressAutoHyphens w:val="0"/>
        <w:spacing w:after="0" w:line="264" w:lineRule="auto"/>
        <w:ind w:leftChars="0" w:left="426" w:firstLineChars="0" w:firstLine="0"/>
        <w:textDirection w:val="lrTb"/>
        <w:textAlignment w:val="auto"/>
        <w:outlineLvl w:val="9"/>
        <w:rPr>
          <w:rFonts w:ascii="Arial" w:eastAsia="Times New Roman" w:hAnsi="Arial" w:cs="Arial"/>
          <w:color w:val="000000"/>
          <w:szCs w:val="20"/>
        </w:rPr>
      </w:pPr>
    </w:p>
    <w:p w14:paraId="7EF28833" w14:textId="77777777" w:rsidR="00E22680" w:rsidRDefault="00E22680" w:rsidP="00E22680">
      <w:pPr>
        <w:pBdr>
          <w:top w:val="nil"/>
          <w:left w:val="nil"/>
          <w:bottom w:val="nil"/>
          <w:right w:val="nil"/>
          <w:between w:val="nil"/>
        </w:pBdr>
        <w:spacing w:after="0" w:line="264" w:lineRule="auto"/>
        <w:ind w:left="0" w:hanging="2"/>
        <w:rPr>
          <w:rFonts w:ascii="Arial" w:eastAsia="Times New Roman" w:hAnsi="Arial" w:cs="Arial"/>
          <w:b/>
          <w:bCs/>
          <w:i/>
          <w:iCs/>
          <w:color w:val="000000"/>
          <w:szCs w:val="20"/>
        </w:rPr>
      </w:pPr>
      <w:r w:rsidRPr="00E22680">
        <w:rPr>
          <w:rFonts w:ascii="Arial" w:eastAsia="Times New Roman" w:hAnsi="Arial" w:cs="Arial"/>
          <w:b/>
          <w:bCs/>
          <w:i/>
          <w:iCs/>
          <w:color w:val="000000"/>
          <w:szCs w:val="20"/>
        </w:rPr>
        <w:t>Lean Canvas for PV Billboard Lighting</w:t>
      </w:r>
      <w:r w:rsidR="00B03099" w:rsidRPr="00B03099">
        <w:rPr>
          <w:rFonts w:ascii="Arial" w:eastAsia="Times New Roman" w:hAnsi="Arial" w:cs="Arial"/>
          <w:b/>
          <w:bCs/>
          <w:i/>
          <w:iCs/>
          <w:color w:val="000000"/>
          <w:szCs w:val="20"/>
        </w:rPr>
        <w:t>.</w:t>
      </w:r>
    </w:p>
    <w:p w14:paraId="756FC58C" w14:textId="0D34B129" w:rsidR="00E22680" w:rsidRPr="00FC4B90" w:rsidRDefault="00E22680" w:rsidP="00E22680">
      <w:pPr>
        <w:pBdr>
          <w:top w:val="nil"/>
          <w:left w:val="nil"/>
          <w:bottom w:val="nil"/>
          <w:right w:val="nil"/>
          <w:between w:val="nil"/>
        </w:pBdr>
        <w:spacing w:after="0" w:line="264" w:lineRule="auto"/>
        <w:ind w:left="0" w:hanging="2"/>
        <w:rPr>
          <w:rFonts w:ascii="Arial" w:eastAsia="Times New Roman" w:hAnsi="Arial" w:cs="Arial"/>
          <w:color w:val="000000"/>
          <w:szCs w:val="20"/>
        </w:rPr>
      </w:pPr>
      <w:r w:rsidRPr="00E22680">
        <w:rPr>
          <w:rFonts w:ascii="Arial" w:eastAsia="Times New Roman" w:hAnsi="Arial" w:cs="Arial"/>
          <w:bCs/>
          <w:iCs/>
          <w:color w:val="000000"/>
          <w:szCs w:val="20"/>
        </w:rPr>
        <w:t>In 2010, Ash Maurya introduced Lean Canvas as an adaptation method of the BMC that is streamlined but has the same foundation</w:t>
      </w:r>
      <w:r>
        <w:rPr>
          <w:rFonts w:ascii="Arial" w:eastAsia="Times New Roman" w:hAnsi="Arial" w:cs="Arial"/>
          <w:bCs/>
          <w:iCs/>
          <w:color w:val="000000"/>
          <w:szCs w:val="20"/>
        </w:rPr>
        <w:t xml:space="preserve"> </w:t>
      </w:r>
      <w:r w:rsidR="00141E59">
        <w:rPr>
          <w:rFonts w:ascii="Arial" w:eastAsia="Times New Roman" w:hAnsi="Arial" w:cs="Arial"/>
          <w:bCs/>
          <w:iCs/>
          <w:color w:val="000000"/>
          <w:szCs w:val="20"/>
        </w:rPr>
        <w:fldChar w:fldCharType="begin" w:fldLock="1"/>
      </w:r>
      <w:r w:rsidR="00141E59">
        <w:rPr>
          <w:rFonts w:ascii="Arial" w:eastAsia="Times New Roman" w:hAnsi="Arial" w:cs="Arial"/>
          <w:bCs/>
          <w:iCs/>
          <w:color w:val="000000"/>
          <w:szCs w:val="20"/>
        </w:rPr>
        <w:instrText>ADDIN CSL_CITATION {"citationItems":[{"id":"ITEM-1","itemData":{"ISBN":"1098108728","abstract":"We're building more products today than ever before, but most of them fail--not because we can't complete what we want to build but because we waste time, money, and effort building …","author":[{"dropping-particle":"","family":"Maurya","given":"Ash","non-dropping-particle":"","parse-names":false,"suffix":""}],"id":"ITEM-1","issued":{"date-parts":[["2012"]]},"title":"Running Lean : A systematic process foriterating your web application from Plan A to a plan that works","type":"book"},"uris":["http://www.mendeley.com/documents/?uuid=3b60b6a1-d7be-4636-bdc9-8aac9d968425"]}],"mendeley":{"formattedCitation":"(Maurya, 2012)","plainTextFormattedCitation":"(Maurya, 2012)","previouslyFormattedCitation":"(Maurya, 2012)"},"properties":{"noteIndex":0},"schema":"https://github.com/citation-style-language/schema/raw/master/csl-citation.json"}</w:instrText>
      </w:r>
      <w:r w:rsidR="00141E59">
        <w:rPr>
          <w:rFonts w:ascii="Arial" w:eastAsia="Times New Roman" w:hAnsi="Arial" w:cs="Arial"/>
          <w:bCs/>
          <w:iCs/>
          <w:color w:val="000000"/>
          <w:szCs w:val="20"/>
        </w:rPr>
        <w:fldChar w:fldCharType="separate"/>
      </w:r>
      <w:r w:rsidR="00141E59" w:rsidRPr="00141E59">
        <w:rPr>
          <w:rFonts w:ascii="Arial" w:eastAsia="Times New Roman" w:hAnsi="Arial" w:cs="Arial"/>
          <w:bCs/>
          <w:iCs/>
          <w:noProof/>
          <w:color w:val="000000"/>
          <w:szCs w:val="20"/>
        </w:rPr>
        <w:t>(Maurya, 2012)</w:t>
      </w:r>
      <w:r w:rsidR="00141E59">
        <w:rPr>
          <w:rFonts w:ascii="Arial" w:eastAsia="Times New Roman" w:hAnsi="Arial" w:cs="Arial"/>
          <w:bCs/>
          <w:iCs/>
          <w:color w:val="000000"/>
          <w:szCs w:val="20"/>
        </w:rPr>
        <w:fldChar w:fldCharType="end"/>
      </w:r>
      <w:r w:rsidR="0019531B" w:rsidRPr="0019531B">
        <w:rPr>
          <w:rFonts w:ascii="Arial" w:eastAsia="Times New Roman" w:hAnsi="Arial" w:cs="Arial"/>
          <w:bCs/>
          <w:iCs/>
          <w:color w:val="000000"/>
          <w:szCs w:val="20"/>
        </w:rPr>
        <w:t xml:space="preserve">. </w:t>
      </w:r>
      <w:r w:rsidRPr="00E22680">
        <w:rPr>
          <w:rFonts w:ascii="Arial" w:eastAsia="Times New Roman" w:hAnsi="Arial" w:cs="Arial"/>
          <w:bCs/>
          <w:iCs/>
          <w:color w:val="000000"/>
          <w:szCs w:val="20"/>
        </w:rPr>
        <w:t xml:space="preserve">However, there are some differences in using Lean Canvas to achieve business targets </w:t>
      </w:r>
      <w:r w:rsidR="00141E59">
        <w:rPr>
          <w:rFonts w:ascii="Arial" w:eastAsia="Times New Roman" w:hAnsi="Arial" w:cs="Arial"/>
          <w:bCs/>
          <w:iCs/>
          <w:color w:val="000000"/>
          <w:szCs w:val="20"/>
        </w:rPr>
        <w:fldChar w:fldCharType="begin" w:fldLock="1"/>
      </w:r>
      <w:r w:rsidR="00141E59">
        <w:rPr>
          <w:rFonts w:ascii="Arial" w:eastAsia="Times New Roman" w:hAnsi="Arial" w:cs="Arial"/>
          <w:bCs/>
          <w:iCs/>
          <w:color w:val="000000"/>
          <w:szCs w:val="20"/>
        </w:rPr>
        <w:instrText>ADDIN CSL_CITATION {"citationItems":[{"id":"ITEM-1","itemData":{"DOI":"10.35957/jatisi.v9i3.2818","ISSN":"2407-4322","abstract":"Piecework merupakan sebuah startup yang bergerak dibidang social media agency yang berfokus untuk membantu usaha kecil mengembangkan bisnis di era globalisasi. Dalam pengembangan sebuah startup diperlukan sebuah bisnis model yang tepat untuk gambaran dasar ide bisnis sebuah perusahaan. Pada awalnya Business Model Canvas merupakan bisnis model yang sering digunakan oleh perusahaan rintisan namun setelah dikembangkannya Lean Canvas, perusahaan rintisan tertarik menggunakannya untuk pengembangan startup.  Perbandingn Business Model Canvas dan Lean Canvas dalam startup Piecework berfungsi untuk meningkatkan strategi pengembangan startup, mendapatkan posisi yang lebih baik di pasar, untuk lebih memahami tentang kerangka kerja bisnis berdasarkan kedua bisnis model. Metode yang digunakan adalah kualitatif dengan melakukan wawancara dengan 10 informan untuk melakukan validasi terhadap permasalahan yang dialami. Dari perbandingan bisnis model Business Model Canvas dan Lean Canvas dapat disimpulkan bahwa Lean Canvas dinilai lebih tepat untuk digunakan Piecework karena dengan Lean Canvas Piecework dapat merancang layanan yang lebih tepat untuk konsumen.","author":[{"dropping-particle":"","family":"Mahendra","given":"I Putu Deddy Surya","non-dropping-particle":"","parse-names":false,"suffix":""}],"container-title":"JATISI (Jurnal Teknik Informatika dan Sistem Informasi)","id":"ITEM-1","issue":"3","issued":{"date-parts":[["2022"]]},"page":"2412-2427","title":"Perbandingan Model Business Model Canvas Dengan Lean Canvas Pada Startup Piecework","type":"article-journal","volume":"9"},"uris":["http://www.mendeley.com/documents/?uuid=97539447-45c0-4d47-bff0-2dbd93fca04c"]}],"mendeley":{"formattedCitation":"(Mahendra, 2022)","plainTextFormattedCitation":"(Mahendra, 2022)"},"properties":{"noteIndex":0},"schema":"https://github.com/citation-style-language/schema/raw/master/csl-citation.json"}</w:instrText>
      </w:r>
      <w:r w:rsidR="00141E59">
        <w:rPr>
          <w:rFonts w:ascii="Arial" w:eastAsia="Times New Roman" w:hAnsi="Arial" w:cs="Arial"/>
          <w:bCs/>
          <w:iCs/>
          <w:color w:val="000000"/>
          <w:szCs w:val="20"/>
        </w:rPr>
        <w:fldChar w:fldCharType="separate"/>
      </w:r>
      <w:r w:rsidR="00141E59" w:rsidRPr="00141E59">
        <w:rPr>
          <w:rFonts w:ascii="Arial" w:eastAsia="Times New Roman" w:hAnsi="Arial" w:cs="Arial"/>
          <w:bCs/>
          <w:iCs/>
          <w:noProof/>
          <w:color w:val="000000"/>
          <w:szCs w:val="20"/>
        </w:rPr>
        <w:t>(Mahendra, 2022)</w:t>
      </w:r>
      <w:r w:rsidR="00141E59">
        <w:rPr>
          <w:rFonts w:ascii="Arial" w:eastAsia="Times New Roman" w:hAnsi="Arial" w:cs="Arial"/>
          <w:bCs/>
          <w:iCs/>
          <w:color w:val="000000"/>
          <w:szCs w:val="20"/>
        </w:rPr>
        <w:fldChar w:fldCharType="end"/>
      </w:r>
      <w:r w:rsidR="00141E59">
        <w:rPr>
          <w:rFonts w:ascii="Arial" w:eastAsia="Times New Roman" w:hAnsi="Arial" w:cs="Arial"/>
          <w:bCs/>
          <w:iCs/>
          <w:color w:val="000000"/>
          <w:szCs w:val="20"/>
        </w:rPr>
        <w:t xml:space="preserve">. </w:t>
      </w:r>
      <w:r w:rsidRPr="00E22680">
        <w:rPr>
          <w:rFonts w:ascii="Arial" w:eastAsia="Times New Roman" w:hAnsi="Arial" w:cs="Arial"/>
          <w:color w:val="000000"/>
          <w:szCs w:val="20"/>
        </w:rPr>
        <w:t xml:space="preserve">Lean Canvas, which has its basic design from the Business Model Canvas, has the same goal as the conceptual design created in this research. However, Lean Canvas is a streamlined </w:t>
      </w:r>
      <w:r w:rsidR="00FC4B90">
        <w:rPr>
          <w:rFonts w:ascii="Arial" w:eastAsia="Times New Roman" w:hAnsi="Arial" w:cs="Arial"/>
          <w:color w:val="000000"/>
          <w:szCs w:val="20"/>
        </w:rPr>
        <w:t>Business Model Canvas model with</w:t>
      </w:r>
      <w:r w:rsidRPr="00E22680">
        <w:rPr>
          <w:rFonts w:ascii="Arial" w:eastAsia="Times New Roman" w:hAnsi="Arial" w:cs="Arial"/>
          <w:color w:val="000000"/>
          <w:szCs w:val="20"/>
        </w:rPr>
        <w:t xml:space="preserve"> some different elements in its design. Explanations related to the different elements of the conceptual design of Lean Canvas in Figure 5 are described as follows:</w:t>
      </w:r>
    </w:p>
    <w:p w14:paraId="63B9AD99" w14:textId="133D2619" w:rsidR="00845908" w:rsidRDefault="00845908" w:rsidP="00845908">
      <w:pPr>
        <w:pStyle w:val="ListParagraph"/>
        <w:numPr>
          <w:ilvl w:val="0"/>
          <w:numId w:val="5"/>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845908">
        <w:rPr>
          <w:rFonts w:ascii="Arial" w:eastAsia="Times New Roman" w:hAnsi="Arial" w:cs="Arial"/>
          <w:b/>
          <w:i/>
          <w:color w:val="000000"/>
          <w:szCs w:val="20"/>
        </w:rPr>
        <w:t>Consumer Segments - Early Adopters</w:t>
      </w:r>
      <w:r w:rsidRPr="00845908">
        <w:rPr>
          <w:rFonts w:ascii="Arial" w:eastAsia="Times New Roman" w:hAnsi="Arial" w:cs="Arial"/>
          <w:color w:val="000000"/>
          <w:szCs w:val="20"/>
        </w:rPr>
        <w:t xml:space="preserve">, </w:t>
      </w:r>
      <w:r w:rsidR="00E22680" w:rsidRPr="00E22680">
        <w:rPr>
          <w:rFonts w:ascii="Arial" w:eastAsia="Times New Roman" w:hAnsi="Arial" w:cs="Arial"/>
          <w:color w:val="000000"/>
          <w:szCs w:val="20"/>
        </w:rPr>
        <w:t>are the ideal consumers for the business, in this case, advertising companies with billboards, who will use this business's product or service. This element is similar to consumers in the Business Model Canvas, but i</w:t>
      </w:r>
      <w:r w:rsidR="00FC4B90">
        <w:rPr>
          <w:rFonts w:ascii="Arial" w:eastAsia="Times New Roman" w:hAnsi="Arial" w:cs="Arial"/>
          <w:color w:val="000000"/>
          <w:szCs w:val="20"/>
        </w:rPr>
        <w:t>t is referred to as Early Adopters in Lean Canva</w:t>
      </w:r>
      <w:r w:rsidR="00E22680" w:rsidRPr="00E22680">
        <w:rPr>
          <w:rFonts w:ascii="Arial" w:eastAsia="Times New Roman" w:hAnsi="Arial" w:cs="Arial"/>
          <w:color w:val="000000"/>
          <w:szCs w:val="20"/>
        </w:rPr>
        <w:t>s.</w:t>
      </w:r>
    </w:p>
    <w:p w14:paraId="542CF4BA" w14:textId="3B9751A9" w:rsidR="00845908" w:rsidRDefault="00845908" w:rsidP="00845908">
      <w:pPr>
        <w:pStyle w:val="ListParagraph"/>
        <w:numPr>
          <w:ilvl w:val="0"/>
          <w:numId w:val="5"/>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845908">
        <w:rPr>
          <w:rFonts w:ascii="Arial" w:eastAsia="Times New Roman" w:hAnsi="Arial" w:cs="Arial"/>
          <w:b/>
          <w:i/>
          <w:color w:val="000000"/>
          <w:szCs w:val="20"/>
        </w:rPr>
        <w:t>Problem</w:t>
      </w:r>
      <w:r>
        <w:rPr>
          <w:rFonts w:ascii="Arial" w:eastAsia="Times New Roman" w:hAnsi="Arial" w:cs="Arial"/>
          <w:b/>
          <w:i/>
          <w:color w:val="000000"/>
          <w:szCs w:val="20"/>
        </w:rPr>
        <w:t xml:space="preserve"> -</w:t>
      </w:r>
      <w:r w:rsidRPr="00845908">
        <w:rPr>
          <w:rFonts w:ascii="Arial" w:eastAsia="Times New Roman" w:hAnsi="Arial" w:cs="Arial"/>
          <w:b/>
          <w:i/>
          <w:color w:val="000000"/>
          <w:szCs w:val="20"/>
        </w:rPr>
        <w:t xml:space="preserve"> Existing Alternatives</w:t>
      </w:r>
      <w:r w:rsidRPr="00845908">
        <w:rPr>
          <w:rFonts w:ascii="Arial" w:eastAsia="Times New Roman" w:hAnsi="Arial" w:cs="Arial"/>
          <w:color w:val="000000"/>
          <w:szCs w:val="20"/>
        </w:rPr>
        <w:t xml:space="preserve">, </w:t>
      </w:r>
      <w:r w:rsidR="00E22680">
        <w:rPr>
          <w:rFonts w:ascii="Arial" w:eastAsia="Times New Roman" w:hAnsi="Arial" w:cs="Arial"/>
          <w:color w:val="000000"/>
          <w:szCs w:val="20"/>
        </w:rPr>
        <w:t>t</w:t>
      </w:r>
      <w:r w:rsidR="00E22680" w:rsidRPr="00E22680">
        <w:rPr>
          <w:rFonts w:ascii="Arial" w:eastAsia="Times New Roman" w:hAnsi="Arial" w:cs="Arial"/>
          <w:color w:val="000000"/>
          <w:szCs w:val="20"/>
        </w:rPr>
        <w:t>his represents the problems faced in the business, such as high PV costs and uneven PV usage. To address this problem, the government provides subsidies for PV usage.</w:t>
      </w:r>
    </w:p>
    <w:p w14:paraId="7A1A8293" w14:textId="390A71EF" w:rsidR="00845908" w:rsidRDefault="00845908" w:rsidP="00845908">
      <w:pPr>
        <w:pStyle w:val="ListParagraph"/>
        <w:numPr>
          <w:ilvl w:val="0"/>
          <w:numId w:val="5"/>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845908">
        <w:rPr>
          <w:rFonts w:ascii="Arial" w:eastAsia="Times New Roman" w:hAnsi="Arial" w:cs="Arial"/>
          <w:b/>
          <w:i/>
          <w:color w:val="000000"/>
          <w:szCs w:val="20"/>
        </w:rPr>
        <w:t>Solution</w:t>
      </w:r>
      <w:r w:rsidRPr="00845908">
        <w:rPr>
          <w:rFonts w:ascii="Arial" w:eastAsia="Times New Roman" w:hAnsi="Arial" w:cs="Arial"/>
          <w:color w:val="000000"/>
          <w:szCs w:val="20"/>
        </w:rPr>
        <w:t xml:space="preserve">, </w:t>
      </w:r>
      <w:r w:rsidR="00E22680">
        <w:rPr>
          <w:rFonts w:ascii="Arial" w:eastAsia="Times New Roman" w:hAnsi="Arial" w:cs="Arial"/>
          <w:color w:val="000000"/>
          <w:szCs w:val="20"/>
        </w:rPr>
        <w:t>t</w:t>
      </w:r>
      <w:r w:rsidR="00E22680" w:rsidRPr="00E22680">
        <w:rPr>
          <w:rFonts w:ascii="Arial" w:eastAsia="Times New Roman" w:hAnsi="Arial" w:cs="Arial"/>
          <w:color w:val="000000"/>
          <w:szCs w:val="20"/>
        </w:rPr>
        <w:t>his is how to solve the problems in the business, such as researching to find cheaper PV raw material alternatives and making PV an asset for banks to increase companies' interest in using PV.</w:t>
      </w:r>
    </w:p>
    <w:p w14:paraId="6B8983E6" w14:textId="7BF2F5CA" w:rsidR="00E22680" w:rsidRDefault="00845908" w:rsidP="00E22680">
      <w:pPr>
        <w:pStyle w:val="ListParagraph"/>
        <w:numPr>
          <w:ilvl w:val="0"/>
          <w:numId w:val="5"/>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845908">
        <w:rPr>
          <w:rFonts w:ascii="Arial" w:eastAsia="Times New Roman" w:hAnsi="Arial" w:cs="Arial"/>
          <w:b/>
          <w:i/>
          <w:color w:val="000000"/>
          <w:szCs w:val="20"/>
        </w:rPr>
        <w:t>Key Metric</w:t>
      </w:r>
      <w:r w:rsidR="00FC4B90">
        <w:rPr>
          <w:rFonts w:ascii="Arial" w:eastAsia="Times New Roman" w:hAnsi="Arial" w:cs="Arial"/>
          <w:b/>
          <w:i/>
          <w:color w:val="000000"/>
          <w:szCs w:val="20"/>
        </w:rPr>
        <w:t>,</w:t>
      </w:r>
      <w:r w:rsidR="00E22680" w:rsidRPr="00E22680">
        <w:rPr>
          <w:rFonts w:ascii="Arial" w:eastAsia="Times New Roman" w:hAnsi="Arial" w:cs="Arial"/>
          <w:color w:val="000000"/>
          <w:szCs w:val="20"/>
        </w:rPr>
        <w:t xml:space="preserve"> includes activities that need to be measured, such as the number of billboards using PV, PV repair data, and customer satisfaction measured through questionnaires</w:t>
      </w:r>
      <w:r w:rsidRPr="00845908">
        <w:rPr>
          <w:rFonts w:ascii="Arial" w:eastAsia="Times New Roman" w:hAnsi="Arial" w:cs="Arial"/>
          <w:color w:val="000000"/>
          <w:szCs w:val="20"/>
        </w:rPr>
        <w:t>.</w:t>
      </w:r>
    </w:p>
    <w:p w14:paraId="3BE56AA4" w14:textId="0EC08DD9" w:rsidR="00E22680" w:rsidRPr="00E22680" w:rsidRDefault="00845908" w:rsidP="00E22680">
      <w:pPr>
        <w:pStyle w:val="ListParagraph"/>
        <w:numPr>
          <w:ilvl w:val="0"/>
          <w:numId w:val="5"/>
        </w:numPr>
        <w:pBdr>
          <w:top w:val="nil"/>
          <w:left w:val="nil"/>
          <w:bottom w:val="nil"/>
          <w:right w:val="nil"/>
          <w:between w:val="nil"/>
        </w:pBdr>
        <w:suppressAutoHyphens w:val="0"/>
        <w:spacing w:after="0" w:line="264" w:lineRule="auto"/>
        <w:ind w:leftChars="0" w:left="426" w:firstLineChars="0" w:hanging="426"/>
        <w:textDirection w:val="lrTb"/>
        <w:textAlignment w:val="auto"/>
        <w:outlineLvl w:val="9"/>
        <w:rPr>
          <w:rFonts w:ascii="Arial" w:eastAsia="Times New Roman" w:hAnsi="Arial" w:cs="Arial"/>
          <w:color w:val="000000"/>
          <w:szCs w:val="20"/>
        </w:rPr>
      </w:pPr>
      <w:r w:rsidRPr="00E22680">
        <w:rPr>
          <w:rFonts w:ascii="Arial" w:eastAsia="Times New Roman" w:hAnsi="Arial" w:cs="Arial"/>
          <w:b/>
          <w:i/>
          <w:color w:val="000000"/>
          <w:szCs w:val="20"/>
        </w:rPr>
        <w:t>Unfair Advantage</w:t>
      </w:r>
      <w:r w:rsidRPr="00E22680">
        <w:rPr>
          <w:rFonts w:ascii="Arial" w:eastAsia="Times New Roman" w:hAnsi="Arial" w:cs="Arial"/>
          <w:color w:val="000000"/>
          <w:szCs w:val="20"/>
        </w:rPr>
        <w:t xml:space="preserve">, </w:t>
      </w:r>
      <w:proofErr w:type="gramStart"/>
      <w:r w:rsidR="00E22680" w:rsidRPr="00E22680">
        <w:rPr>
          <w:rFonts w:ascii="Arial" w:eastAsia="Times New Roman" w:hAnsi="Arial" w:cs="Arial"/>
          <w:color w:val="000000"/>
          <w:szCs w:val="20"/>
        </w:rPr>
        <w:t>This</w:t>
      </w:r>
      <w:proofErr w:type="gramEnd"/>
      <w:r w:rsidR="00E22680" w:rsidRPr="00E22680">
        <w:rPr>
          <w:rFonts w:ascii="Arial" w:eastAsia="Times New Roman" w:hAnsi="Arial" w:cs="Arial"/>
          <w:color w:val="000000"/>
          <w:szCs w:val="20"/>
        </w:rPr>
        <w:t xml:space="preserve"> is the unique aspect of the business that is difficult to imitate, such as using PV as a source of energy from Renewable Energy </w:t>
      </w:r>
      <w:r w:rsidR="006221AC">
        <w:rPr>
          <w:rFonts w:ascii="Arial" w:eastAsia="Times New Roman" w:hAnsi="Arial" w:cs="Arial"/>
          <w:color w:val="000000"/>
          <w:szCs w:val="20"/>
        </w:rPr>
        <w:t xml:space="preserve">and </w:t>
      </w:r>
      <w:r w:rsidR="00E22680" w:rsidRPr="00E22680">
        <w:rPr>
          <w:rFonts w:ascii="Arial" w:eastAsia="Times New Roman" w:hAnsi="Arial" w:cs="Arial"/>
          <w:color w:val="000000"/>
          <w:szCs w:val="20"/>
        </w:rPr>
        <w:t>supporting the government's program to achieve Net Zero Emission by 2060.</w:t>
      </w:r>
    </w:p>
    <w:p w14:paraId="686D3B6F" w14:textId="75D287BA" w:rsidR="007551D2" w:rsidRDefault="004A5B5C" w:rsidP="007551D2">
      <w:pPr>
        <w:pBdr>
          <w:top w:val="nil"/>
          <w:left w:val="nil"/>
          <w:bottom w:val="nil"/>
          <w:right w:val="nil"/>
          <w:between w:val="nil"/>
        </w:pBdr>
        <w:spacing w:after="0" w:line="264" w:lineRule="auto"/>
        <w:ind w:left="0" w:hanging="2"/>
        <w:jc w:val="center"/>
        <w:rPr>
          <w:rFonts w:ascii="Arial" w:eastAsia="Times New Roman" w:hAnsi="Arial" w:cs="Arial"/>
          <w:color w:val="000000"/>
          <w:szCs w:val="20"/>
        </w:rPr>
      </w:pPr>
      <w:r>
        <w:rPr>
          <w:rFonts w:ascii="Arial" w:eastAsia="Times New Roman" w:hAnsi="Arial" w:cs="Arial"/>
          <w:noProof/>
          <w:color w:val="000000"/>
          <w:szCs w:val="20"/>
        </w:rPr>
        <w:lastRenderedPageBreak/>
        <w:drawing>
          <wp:inline distT="0" distB="0" distL="0" distR="0" wp14:anchorId="70D58E87" wp14:editId="0522B427">
            <wp:extent cx="5695952" cy="338522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5" cstate="print">
                      <a:extLst>
                        <a:ext uri="{28A0092B-C50C-407E-A947-70E740481C1C}">
                          <a14:useLocalDpi xmlns:a14="http://schemas.microsoft.com/office/drawing/2010/main" val="0"/>
                        </a:ext>
                      </a:extLst>
                    </a:blip>
                    <a:srcRect l="4882" t="9123" r="963" b="11740"/>
                    <a:stretch/>
                  </pic:blipFill>
                  <pic:spPr bwMode="auto">
                    <a:xfrm>
                      <a:off x="0" y="0"/>
                      <a:ext cx="5706248" cy="3391344"/>
                    </a:xfrm>
                    <a:prstGeom prst="rect">
                      <a:avLst/>
                    </a:prstGeom>
                    <a:ln>
                      <a:noFill/>
                    </a:ln>
                    <a:extLst>
                      <a:ext uri="{53640926-AAD7-44D8-BBD7-CCE9431645EC}">
                        <a14:shadowObscured xmlns:a14="http://schemas.microsoft.com/office/drawing/2010/main"/>
                      </a:ext>
                    </a:extLst>
                  </pic:spPr>
                </pic:pic>
              </a:graphicData>
            </a:graphic>
          </wp:inline>
        </w:drawing>
      </w:r>
    </w:p>
    <w:p w14:paraId="2417D5C6" w14:textId="4767F2B2" w:rsidR="007551D2" w:rsidRPr="00FC4B90" w:rsidRDefault="00E22680" w:rsidP="00FC4B90">
      <w:pPr>
        <w:pBdr>
          <w:top w:val="nil"/>
          <w:left w:val="nil"/>
          <w:bottom w:val="nil"/>
          <w:right w:val="nil"/>
          <w:between w:val="nil"/>
        </w:pBdr>
        <w:spacing w:line="240" w:lineRule="auto"/>
        <w:ind w:left="0" w:hanging="2"/>
        <w:jc w:val="center"/>
        <w:rPr>
          <w:rFonts w:ascii="Arial" w:eastAsia="Arial" w:hAnsi="Arial" w:cs="Arial"/>
          <w:color w:val="000000"/>
          <w:szCs w:val="20"/>
        </w:rPr>
      </w:pPr>
      <w:r>
        <w:rPr>
          <w:rFonts w:ascii="Arial" w:eastAsia="Times New Roman" w:hAnsi="Arial" w:cs="Arial"/>
          <w:b/>
          <w:color w:val="000000"/>
          <w:sz w:val="18"/>
          <w:szCs w:val="18"/>
        </w:rPr>
        <w:t>Figure</w:t>
      </w:r>
      <w:r w:rsidR="007551D2" w:rsidRPr="00E22680">
        <w:rPr>
          <w:rFonts w:ascii="Arial" w:eastAsia="Times New Roman" w:hAnsi="Arial" w:cs="Arial"/>
          <w:b/>
          <w:color w:val="000000"/>
          <w:sz w:val="18"/>
          <w:szCs w:val="18"/>
        </w:rPr>
        <w:t xml:space="preserve"> </w:t>
      </w:r>
      <w:r w:rsidR="0019531B" w:rsidRPr="00E22680">
        <w:rPr>
          <w:rFonts w:ascii="Arial" w:eastAsia="Times New Roman" w:hAnsi="Arial" w:cs="Arial"/>
          <w:b/>
          <w:color w:val="000000"/>
          <w:sz w:val="18"/>
          <w:szCs w:val="18"/>
        </w:rPr>
        <w:t>5</w:t>
      </w:r>
      <w:r w:rsidR="007551D2" w:rsidRPr="00E22680">
        <w:rPr>
          <w:rFonts w:ascii="Arial" w:eastAsia="Times New Roman" w:hAnsi="Arial" w:cs="Arial"/>
          <w:b/>
          <w:color w:val="000000"/>
          <w:sz w:val="18"/>
          <w:szCs w:val="18"/>
        </w:rPr>
        <w:t xml:space="preserve">. </w:t>
      </w:r>
      <w:r w:rsidR="00A41FED" w:rsidRPr="00FC4B90">
        <w:rPr>
          <w:rFonts w:ascii="Arial" w:eastAsia="Times New Roman" w:hAnsi="Arial" w:cs="Arial"/>
          <w:iCs/>
          <w:color w:val="000000"/>
          <w:sz w:val="18"/>
          <w:szCs w:val="18"/>
          <w:lang w:val="en-ID"/>
        </w:rPr>
        <w:t>Lean Canvas from PV Installation Business Design for Billboard Lighting</w:t>
      </w:r>
    </w:p>
    <w:p w14:paraId="48AA359B" w14:textId="77777777" w:rsidR="00B03099" w:rsidRDefault="00B03099" w:rsidP="00FC4B90">
      <w:pPr>
        <w:pBdr>
          <w:top w:val="nil"/>
          <w:left w:val="nil"/>
          <w:bottom w:val="nil"/>
          <w:right w:val="nil"/>
          <w:between w:val="nil"/>
        </w:pBdr>
        <w:spacing w:line="240" w:lineRule="auto"/>
        <w:ind w:left="0" w:hanging="2"/>
        <w:rPr>
          <w:rFonts w:ascii="Arial" w:eastAsia="Arial" w:hAnsi="Arial" w:cs="Arial"/>
          <w:color w:val="000000"/>
          <w:szCs w:val="20"/>
        </w:rPr>
      </w:pPr>
    </w:p>
    <w:p w14:paraId="7C2F6DBC" w14:textId="1640A56F" w:rsidR="0050683E" w:rsidRDefault="00A41FED" w:rsidP="00FC4B90">
      <w:pPr>
        <w:pStyle w:val="Heading1"/>
        <w:spacing w:before="120"/>
        <w:ind w:hanging="2"/>
        <w:rPr>
          <w:rFonts w:ascii="Arial" w:eastAsia="Arial" w:hAnsi="Arial" w:cs="Arial"/>
          <w:sz w:val="22"/>
          <w:szCs w:val="22"/>
        </w:rPr>
      </w:pPr>
      <w:r>
        <w:rPr>
          <w:rFonts w:ascii="Arial" w:eastAsia="Arial" w:hAnsi="Arial" w:cs="Arial"/>
          <w:sz w:val="22"/>
          <w:szCs w:val="22"/>
        </w:rPr>
        <w:t>Conclusions and Suggestions</w:t>
      </w:r>
      <w:r w:rsidR="00C63F8B">
        <w:rPr>
          <w:rFonts w:ascii="Arial" w:eastAsia="Arial" w:hAnsi="Arial" w:cs="Arial"/>
          <w:sz w:val="22"/>
          <w:szCs w:val="22"/>
        </w:rPr>
        <w:t xml:space="preserve"> </w:t>
      </w:r>
    </w:p>
    <w:p w14:paraId="7951CE48" w14:textId="60BA05E0" w:rsidR="00A41FED" w:rsidRPr="00A41FED" w:rsidRDefault="00A41FED" w:rsidP="00A41FED">
      <w:pPr>
        <w:pBdr>
          <w:top w:val="nil"/>
          <w:left w:val="nil"/>
          <w:bottom w:val="nil"/>
          <w:right w:val="nil"/>
          <w:between w:val="nil"/>
        </w:pBdr>
        <w:spacing w:line="240" w:lineRule="auto"/>
        <w:ind w:left="0" w:hanging="2"/>
        <w:rPr>
          <w:rFonts w:ascii="Arial" w:eastAsia="Arial" w:hAnsi="Arial" w:cs="Arial"/>
        </w:rPr>
      </w:pPr>
      <w:r w:rsidRPr="00A41FED">
        <w:rPr>
          <w:rFonts w:ascii="Arial" w:eastAsia="Arial" w:hAnsi="Arial" w:cs="Arial"/>
        </w:rPr>
        <w:t xml:space="preserve">The business related to </w:t>
      </w:r>
      <w:r w:rsidR="00FC4B90">
        <w:rPr>
          <w:rFonts w:ascii="Arial" w:eastAsia="Arial" w:hAnsi="Arial" w:cs="Arial"/>
        </w:rPr>
        <w:t>installing</w:t>
      </w:r>
      <w:r w:rsidRPr="00A41FED">
        <w:rPr>
          <w:rFonts w:ascii="Arial" w:eastAsia="Arial" w:hAnsi="Arial" w:cs="Arial"/>
        </w:rPr>
        <w:t xml:space="preserve"> PV as a source of energy for billboard lighting is an added value to support the Indonesian government's program of achieving Net Zero </w:t>
      </w:r>
      <w:r w:rsidR="006221AC">
        <w:rPr>
          <w:rFonts w:ascii="Arial" w:eastAsia="Arial" w:hAnsi="Arial" w:cs="Arial"/>
        </w:rPr>
        <w:t>Emissions</w:t>
      </w:r>
      <w:r w:rsidRPr="00A41FED">
        <w:rPr>
          <w:rFonts w:ascii="Arial" w:eastAsia="Arial" w:hAnsi="Arial" w:cs="Arial"/>
        </w:rPr>
        <w:t xml:space="preserve"> by 2060. The success of the conceptual PV business design for billboard lighting provides the advantage of minimizing electricity costs for companies using billboards as advertising media. The electricity generated from PV can meet the daily billboard usage, with any excess energy being stored in batteries.</w:t>
      </w:r>
    </w:p>
    <w:p w14:paraId="53CC5294" w14:textId="6664042B" w:rsidR="00A41FED" w:rsidRPr="00A41FED" w:rsidRDefault="00A41FED" w:rsidP="00A41FED">
      <w:pPr>
        <w:pBdr>
          <w:top w:val="nil"/>
          <w:left w:val="nil"/>
          <w:bottom w:val="nil"/>
          <w:right w:val="nil"/>
          <w:between w:val="nil"/>
        </w:pBdr>
        <w:spacing w:line="240" w:lineRule="auto"/>
        <w:ind w:left="0" w:hanging="2"/>
        <w:rPr>
          <w:rFonts w:ascii="Arial" w:eastAsia="Arial" w:hAnsi="Arial" w:cs="Arial"/>
        </w:rPr>
      </w:pPr>
      <w:r w:rsidRPr="00A41FED">
        <w:rPr>
          <w:rFonts w:ascii="Arial" w:eastAsia="Arial" w:hAnsi="Arial" w:cs="Arial"/>
        </w:rPr>
        <w:t xml:space="preserve">Another benefit of the success of this business is that it helps absorb skilled </w:t>
      </w:r>
      <w:proofErr w:type="spellStart"/>
      <w:r w:rsidRPr="00A41FED">
        <w:rPr>
          <w:rFonts w:ascii="Arial" w:eastAsia="Arial" w:hAnsi="Arial" w:cs="Arial"/>
        </w:rPr>
        <w:t>labo</w:t>
      </w:r>
      <w:r w:rsidR="00FC4B90">
        <w:rPr>
          <w:rFonts w:ascii="Arial" w:eastAsia="Arial" w:hAnsi="Arial" w:cs="Arial"/>
        </w:rPr>
        <w:t>u</w:t>
      </w:r>
      <w:r w:rsidRPr="00A41FED">
        <w:rPr>
          <w:rFonts w:ascii="Arial" w:eastAsia="Arial" w:hAnsi="Arial" w:cs="Arial"/>
        </w:rPr>
        <w:t>r</w:t>
      </w:r>
      <w:proofErr w:type="spellEnd"/>
      <w:r w:rsidRPr="00A41FED">
        <w:rPr>
          <w:rFonts w:ascii="Arial" w:eastAsia="Arial" w:hAnsi="Arial" w:cs="Arial"/>
        </w:rPr>
        <w:t>, especially vocational school graduates, to directly enter the workforce as PV installers and perform maintenance and repairs in case of PV damage. The absorption of vocational school graduates into this workforce can contribute to harnessing the demographic boom concerning human resources in Indonesia. Human resources ready to engage in this business opportunity can help expand the PV industry. Significant growth will also drive more extensive innovations in PV technology to address the challenges still in PV technology products.</w:t>
      </w:r>
    </w:p>
    <w:p w14:paraId="2A3485E4" w14:textId="57CBEEAF" w:rsidR="007551D2" w:rsidRDefault="00A41FED" w:rsidP="00A41FED">
      <w:pPr>
        <w:pBdr>
          <w:top w:val="nil"/>
          <w:left w:val="nil"/>
          <w:bottom w:val="nil"/>
          <w:right w:val="nil"/>
          <w:between w:val="nil"/>
        </w:pBdr>
        <w:spacing w:line="240" w:lineRule="auto"/>
        <w:ind w:left="0" w:hanging="2"/>
        <w:rPr>
          <w:rFonts w:ascii="Arial" w:eastAsia="Arial" w:hAnsi="Arial" w:cs="Arial"/>
          <w:color w:val="000000"/>
          <w:szCs w:val="20"/>
        </w:rPr>
      </w:pPr>
      <w:r w:rsidRPr="00A41FED">
        <w:rPr>
          <w:rFonts w:ascii="Arial" w:eastAsia="Arial" w:hAnsi="Arial" w:cs="Arial"/>
        </w:rPr>
        <w:t xml:space="preserve">This research is still in the conceptual design phase, so further examination is needed in techno-economic analysis and </w:t>
      </w:r>
      <w:proofErr w:type="spellStart"/>
      <w:r w:rsidRPr="00A41FED">
        <w:rPr>
          <w:rFonts w:ascii="Arial" w:eastAsia="Arial" w:hAnsi="Arial" w:cs="Arial"/>
        </w:rPr>
        <w:t>technopreneurship</w:t>
      </w:r>
      <w:proofErr w:type="spellEnd"/>
      <w:r w:rsidRPr="00A41FED">
        <w:rPr>
          <w:rFonts w:ascii="Arial" w:eastAsia="Arial" w:hAnsi="Arial" w:cs="Arial"/>
        </w:rPr>
        <w:t xml:space="preserve"> in </w:t>
      </w:r>
      <w:r w:rsidR="00FC4B90">
        <w:rPr>
          <w:rFonts w:ascii="Arial" w:eastAsia="Arial" w:hAnsi="Arial" w:cs="Arial"/>
        </w:rPr>
        <w:t>developing</w:t>
      </w:r>
      <w:r w:rsidRPr="00A41FED">
        <w:rPr>
          <w:rFonts w:ascii="Arial" w:eastAsia="Arial" w:hAnsi="Arial" w:cs="Arial"/>
        </w:rPr>
        <w:t xml:space="preserve"> the PV installation business as a source of energy for billboard lighting. The development of the PV installation business as a source of energy for billboard lighting is expected to be implemented soon to obtain empirical data from real-world business testing.</w:t>
      </w:r>
    </w:p>
    <w:p w14:paraId="5FDC7B1C" w14:textId="77777777" w:rsidR="00A41FED" w:rsidRDefault="00A41FED" w:rsidP="00A41FED">
      <w:pPr>
        <w:pBdr>
          <w:top w:val="nil"/>
          <w:left w:val="nil"/>
          <w:bottom w:val="nil"/>
          <w:right w:val="nil"/>
          <w:between w:val="nil"/>
        </w:pBdr>
        <w:spacing w:line="240" w:lineRule="auto"/>
        <w:ind w:leftChars="0" w:left="0" w:firstLineChars="0" w:firstLine="0"/>
        <w:rPr>
          <w:rFonts w:ascii="Arial" w:eastAsia="Arial" w:hAnsi="Arial" w:cs="Arial"/>
          <w:color w:val="000000"/>
          <w:szCs w:val="20"/>
        </w:rPr>
      </w:pPr>
    </w:p>
    <w:p w14:paraId="6BF046DA" w14:textId="2A9E9BE1" w:rsidR="00AF758D" w:rsidRDefault="00A41FED" w:rsidP="00FC4B90">
      <w:pPr>
        <w:pStyle w:val="Heading1"/>
        <w:spacing w:before="120"/>
        <w:ind w:hanging="2"/>
        <w:rPr>
          <w:rFonts w:ascii="Arial" w:eastAsia="Arial" w:hAnsi="Arial" w:cs="Arial"/>
          <w:sz w:val="22"/>
          <w:szCs w:val="22"/>
        </w:rPr>
      </w:pPr>
      <w:r>
        <w:rPr>
          <w:rFonts w:ascii="Arial" w:eastAsia="Arial" w:hAnsi="Arial" w:cs="Arial"/>
          <w:sz w:val="22"/>
          <w:szCs w:val="22"/>
        </w:rPr>
        <w:t>Acknowledgement</w:t>
      </w:r>
    </w:p>
    <w:p w14:paraId="788470DB" w14:textId="076BC314" w:rsidR="00AF758D" w:rsidRPr="00FC4B90" w:rsidRDefault="00A41FED" w:rsidP="00FC4B90">
      <w:pPr>
        <w:pBdr>
          <w:top w:val="nil"/>
          <w:left w:val="nil"/>
          <w:bottom w:val="nil"/>
          <w:right w:val="nil"/>
          <w:between w:val="nil"/>
        </w:pBdr>
        <w:spacing w:line="240" w:lineRule="auto"/>
        <w:ind w:left="0" w:hanging="2"/>
        <w:rPr>
          <w:rFonts w:ascii="Arial" w:eastAsia="Arial" w:hAnsi="Arial" w:cs="Arial"/>
          <w:color w:val="000000"/>
          <w:szCs w:val="20"/>
        </w:rPr>
      </w:pPr>
      <w:r w:rsidRPr="00FC4B90">
        <w:rPr>
          <w:rFonts w:ascii="Arial" w:eastAsia="Arial" w:hAnsi="Arial" w:cs="Arial"/>
        </w:rPr>
        <w:t>This research was funded by the Institute</w:t>
      </w:r>
      <w:r w:rsidRPr="00A41FED">
        <w:rPr>
          <w:rFonts w:ascii="Arial" w:eastAsia="Arial" w:hAnsi="Arial" w:cs="Arial"/>
        </w:rPr>
        <w:t xml:space="preserve"> for Research and Community Service at</w:t>
      </w:r>
      <w:r w:rsidR="00AF758D" w:rsidRPr="00AF758D">
        <w:rPr>
          <w:rFonts w:ascii="Arial" w:eastAsia="Arial" w:hAnsi="Arial" w:cs="Arial"/>
        </w:rPr>
        <w:t xml:space="preserve"> </w:t>
      </w:r>
      <w:proofErr w:type="spellStart"/>
      <w:r w:rsidR="00AF758D" w:rsidRPr="00AF758D">
        <w:rPr>
          <w:rFonts w:ascii="Arial" w:eastAsia="Arial" w:hAnsi="Arial" w:cs="Arial"/>
        </w:rPr>
        <w:t>Universitas</w:t>
      </w:r>
      <w:proofErr w:type="spellEnd"/>
      <w:r w:rsidR="00AF758D" w:rsidRPr="00AF758D">
        <w:rPr>
          <w:rFonts w:ascii="Arial" w:eastAsia="Arial" w:hAnsi="Arial" w:cs="Arial"/>
        </w:rPr>
        <w:t xml:space="preserve"> </w:t>
      </w:r>
      <w:proofErr w:type="spellStart"/>
      <w:r w:rsidR="00AF758D" w:rsidRPr="00AF758D">
        <w:rPr>
          <w:rFonts w:ascii="Arial" w:eastAsia="Arial" w:hAnsi="Arial" w:cs="Arial"/>
        </w:rPr>
        <w:t>Sebelas</w:t>
      </w:r>
      <w:proofErr w:type="spellEnd"/>
      <w:r w:rsidR="00AF758D" w:rsidRPr="00AF758D">
        <w:rPr>
          <w:rFonts w:ascii="Arial" w:eastAsia="Arial" w:hAnsi="Arial" w:cs="Arial"/>
        </w:rPr>
        <w:t xml:space="preserve"> </w:t>
      </w:r>
      <w:proofErr w:type="spellStart"/>
      <w:r w:rsidR="00AF758D" w:rsidRPr="00AF758D">
        <w:rPr>
          <w:rFonts w:ascii="Arial" w:eastAsia="Arial" w:hAnsi="Arial" w:cs="Arial"/>
        </w:rPr>
        <w:t>Maret</w:t>
      </w:r>
      <w:proofErr w:type="spellEnd"/>
      <w:r w:rsidR="00AF758D" w:rsidRPr="00AF758D">
        <w:rPr>
          <w:rFonts w:ascii="Arial" w:eastAsia="Arial" w:hAnsi="Arial" w:cs="Arial"/>
        </w:rPr>
        <w:t xml:space="preserve"> </w:t>
      </w:r>
      <w:r>
        <w:rPr>
          <w:rFonts w:ascii="Arial" w:eastAsia="Arial" w:hAnsi="Arial" w:cs="Arial"/>
        </w:rPr>
        <w:t>through the</w:t>
      </w:r>
      <w:r w:rsidR="00AF758D" w:rsidRPr="00AF758D">
        <w:rPr>
          <w:rFonts w:ascii="Arial" w:eastAsia="Arial" w:hAnsi="Arial" w:cs="Arial"/>
        </w:rPr>
        <w:t xml:space="preserve"> “</w:t>
      </w:r>
      <w:proofErr w:type="spellStart"/>
      <w:r w:rsidR="00AF758D" w:rsidRPr="00FC4B90">
        <w:rPr>
          <w:rFonts w:ascii="Arial" w:eastAsia="Arial" w:hAnsi="Arial" w:cs="Arial"/>
        </w:rPr>
        <w:t>Penelitian</w:t>
      </w:r>
      <w:proofErr w:type="spellEnd"/>
      <w:r w:rsidR="00AF758D" w:rsidRPr="00FC4B90">
        <w:rPr>
          <w:rFonts w:ascii="Arial" w:eastAsia="Arial" w:hAnsi="Arial" w:cs="Arial"/>
        </w:rPr>
        <w:t xml:space="preserve"> </w:t>
      </w:r>
      <w:proofErr w:type="spellStart"/>
      <w:r w:rsidR="00AF758D" w:rsidRPr="00FC4B90">
        <w:rPr>
          <w:rFonts w:ascii="Arial" w:eastAsia="Arial" w:hAnsi="Arial" w:cs="Arial"/>
        </w:rPr>
        <w:t>Hibah</w:t>
      </w:r>
      <w:proofErr w:type="spellEnd"/>
      <w:r w:rsidR="00AF758D" w:rsidRPr="00FC4B90">
        <w:rPr>
          <w:rFonts w:ascii="Arial" w:eastAsia="Arial" w:hAnsi="Arial" w:cs="Arial"/>
        </w:rPr>
        <w:t xml:space="preserve"> </w:t>
      </w:r>
      <w:proofErr w:type="spellStart"/>
      <w:r w:rsidR="00AF758D" w:rsidRPr="00FC4B90">
        <w:rPr>
          <w:rFonts w:ascii="Arial" w:eastAsia="Arial" w:hAnsi="Arial" w:cs="Arial"/>
        </w:rPr>
        <w:t>Grup</w:t>
      </w:r>
      <w:proofErr w:type="spellEnd"/>
      <w:r w:rsidR="00AF758D" w:rsidRPr="00FC4B90">
        <w:rPr>
          <w:rFonts w:ascii="Arial" w:eastAsia="Arial" w:hAnsi="Arial" w:cs="Arial"/>
        </w:rPr>
        <w:t xml:space="preserve"> </w:t>
      </w:r>
      <w:proofErr w:type="spellStart"/>
      <w:r w:rsidR="00AF758D" w:rsidRPr="00FC4B90">
        <w:rPr>
          <w:rFonts w:ascii="Arial" w:eastAsia="Arial" w:hAnsi="Arial" w:cs="Arial"/>
        </w:rPr>
        <w:t>Riset</w:t>
      </w:r>
      <w:proofErr w:type="spellEnd"/>
      <w:r w:rsidR="00AF758D" w:rsidRPr="00AF758D">
        <w:rPr>
          <w:rFonts w:ascii="Arial" w:eastAsia="Arial" w:hAnsi="Arial" w:cs="Arial"/>
        </w:rPr>
        <w:t>”</w:t>
      </w:r>
      <w:r>
        <w:rPr>
          <w:rFonts w:ascii="Arial" w:eastAsia="Arial" w:hAnsi="Arial" w:cs="Arial"/>
        </w:rPr>
        <w:t xml:space="preserve"> program</w:t>
      </w:r>
      <w:r w:rsidR="00AF758D" w:rsidRPr="00AF758D">
        <w:rPr>
          <w:rFonts w:ascii="Arial" w:eastAsia="Arial" w:hAnsi="Arial" w:cs="Arial"/>
        </w:rPr>
        <w:t xml:space="preserve">, </w:t>
      </w:r>
      <w:r>
        <w:rPr>
          <w:rFonts w:ascii="Arial" w:eastAsia="Arial" w:hAnsi="Arial" w:cs="Arial"/>
        </w:rPr>
        <w:t>grant number</w:t>
      </w:r>
      <w:r w:rsidR="00AF758D" w:rsidRPr="00AF758D">
        <w:rPr>
          <w:rFonts w:ascii="Arial" w:eastAsia="Arial" w:hAnsi="Arial" w:cs="Arial"/>
        </w:rPr>
        <w:t xml:space="preserve"> 28/UN27.22/PT.01.03/2023</w:t>
      </w:r>
      <w:r w:rsidR="00AF758D">
        <w:rPr>
          <w:rFonts w:ascii="Arial" w:eastAsia="Arial" w:hAnsi="Arial" w:cs="Arial"/>
        </w:rPr>
        <w:t xml:space="preserve">, </w:t>
      </w:r>
      <w:r>
        <w:rPr>
          <w:rFonts w:ascii="Arial" w:eastAsia="Arial" w:hAnsi="Arial" w:cs="Arial"/>
        </w:rPr>
        <w:t>14</w:t>
      </w:r>
      <w:r w:rsidRPr="00FC4B90">
        <w:rPr>
          <w:rFonts w:ascii="Arial" w:eastAsia="Arial" w:hAnsi="Arial" w:cs="Arial"/>
        </w:rPr>
        <w:t>th</w:t>
      </w:r>
      <w:r>
        <w:rPr>
          <w:rFonts w:ascii="Arial" w:eastAsia="Arial" w:hAnsi="Arial" w:cs="Arial"/>
        </w:rPr>
        <w:t xml:space="preserve"> March </w:t>
      </w:r>
      <w:r w:rsidR="00AF758D">
        <w:rPr>
          <w:rFonts w:ascii="Arial" w:eastAsia="Arial" w:hAnsi="Arial" w:cs="Arial"/>
        </w:rPr>
        <w:t>2023</w:t>
      </w:r>
      <w:r w:rsidR="00AF758D" w:rsidRPr="00AF758D">
        <w:rPr>
          <w:rFonts w:ascii="Arial" w:eastAsia="Arial" w:hAnsi="Arial" w:cs="Arial"/>
        </w:rPr>
        <w:t>.</w:t>
      </w:r>
    </w:p>
    <w:p w14:paraId="770C36C8" w14:textId="77777777" w:rsidR="00FC4B90" w:rsidRPr="00FC4B90" w:rsidRDefault="00FC4B90" w:rsidP="00FC4B90">
      <w:pPr>
        <w:pBdr>
          <w:top w:val="nil"/>
          <w:left w:val="nil"/>
          <w:bottom w:val="nil"/>
          <w:right w:val="nil"/>
          <w:between w:val="nil"/>
        </w:pBdr>
        <w:spacing w:line="240" w:lineRule="auto"/>
        <w:ind w:left="0" w:hanging="2"/>
        <w:rPr>
          <w:rFonts w:ascii="Arial" w:eastAsia="Arial" w:hAnsi="Arial" w:cs="Arial"/>
          <w:color w:val="000000"/>
          <w:szCs w:val="20"/>
        </w:rPr>
      </w:pPr>
    </w:p>
    <w:p w14:paraId="0EE8FE2D" w14:textId="4C3AA726" w:rsidR="0050683E" w:rsidRDefault="00514B20" w:rsidP="00FC4B90">
      <w:pPr>
        <w:pStyle w:val="Heading1"/>
        <w:spacing w:before="120"/>
        <w:ind w:hanging="2"/>
        <w:rPr>
          <w:rFonts w:ascii="Arial" w:eastAsia="Arial" w:hAnsi="Arial" w:cs="Arial"/>
          <w:sz w:val="22"/>
          <w:szCs w:val="22"/>
        </w:rPr>
      </w:pPr>
      <w:r>
        <w:rPr>
          <w:rFonts w:ascii="Arial" w:eastAsia="Arial" w:hAnsi="Arial" w:cs="Arial"/>
          <w:sz w:val="22"/>
          <w:szCs w:val="22"/>
        </w:rPr>
        <w:lastRenderedPageBreak/>
        <w:t>Referen</w:t>
      </w:r>
      <w:r w:rsidR="00A41FED">
        <w:rPr>
          <w:rFonts w:ascii="Arial" w:eastAsia="Arial" w:hAnsi="Arial" w:cs="Arial"/>
          <w:sz w:val="22"/>
          <w:szCs w:val="22"/>
        </w:rPr>
        <w:t>ces</w:t>
      </w:r>
    </w:p>
    <w:p w14:paraId="5B33D866" w14:textId="222C525B" w:rsidR="00141E59" w:rsidRPr="00141E59" w:rsidRDefault="00AE5838"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Pr>
          <w:rFonts w:ascii="Arial" w:eastAsia="Times New Roman" w:hAnsi="Arial" w:cs="Arial"/>
          <w:color w:val="000000"/>
          <w:position w:val="0"/>
          <w:szCs w:val="20"/>
          <w:lang w:val="en-ID"/>
        </w:rPr>
        <w:fldChar w:fldCharType="begin" w:fldLock="1"/>
      </w:r>
      <w:r>
        <w:rPr>
          <w:rFonts w:ascii="Arial" w:eastAsia="Times New Roman" w:hAnsi="Arial" w:cs="Arial"/>
          <w:color w:val="000000"/>
          <w:position w:val="0"/>
          <w:szCs w:val="20"/>
          <w:lang w:val="en-ID"/>
        </w:rPr>
        <w:instrText xml:space="preserve">ADDIN Mendeley Bibliography CSL_BIBLIOGRAPHY </w:instrText>
      </w:r>
      <w:r>
        <w:rPr>
          <w:rFonts w:ascii="Arial" w:eastAsia="Times New Roman" w:hAnsi="Arial" w:cs="Arial"/>
          <w:color w:val="000000"/>
          <w:position w:val="0"/>
          <w:szCs w:val="20"/>
          <w:lang w:val="en-ID"/>
        </w:rPr>
        <w:fldChar w:fldCharType="separate"/>
      </w:r>
      <w:r w:rsidR="00141E59" w:rsidRPr="00141E59">
        <w:rPr>
          <w:rFonts w:ascii="Arial" w:eastAsia="Times New Roman" w:hAnsi="Arial" w:cs="Arial"/>
          <w:color w:val="000000"/>
          <w:position w:val="0"/>
          <w:szCs w:val="20"/>
          <w:lang w:val="en-ID"/>
        </w:rPr>
        <w:t>Al-Ezzi, A. S., &amp; Ansari, M. N. M. (2022). Photovoltaic Solar Cells: A Review. Applied System Innovation, 5(4), 1–17. https://doi.org/10.3390/asi5040067</w:t>
      </w:r>
    </w:p>
    <w:p w14:paraId="6F01A53B"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Arena. (2014). Commercial Readiness Index for Renewable Energy Sectors. In Australian Renewable Energy Agency. https://arena.gov.au/assets/2014/02/Commercial-Readiness-Index.pdf</w:t>
      </w:r>
    </w:p>
    <w:p w14:paraId="2D2CC305"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Brenner, W., &amp; Adamovic, N. (2018). Standardization as a tool for promoting innovation and commercialization of a circular economy for PV waste - The example of the European H2020 project CABRISS. 2018 41st International Convention on Information and Communication Technology, Electronics and Microelectronics, MIPRO 2018 - Proceedings, 122–127. https://doi.org/10.23919/MIPRO.2018.8400024</w:t>
      </w:r>
    </w:p>
    <w:p w14:paraId="29425096"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Cai, X., Xie, M., Zhang, H., Xu, Z., &amp; Cheng, F. (2019). Business models of distributed solar photovoltaic power of China: The Business Model Canvas perspective. Sustainability (Switzerland), 11(16). https://doi.org/10.3390/su11164322</w:t>
      </w:r>
    </w:p>
    <w:p w14:paraId="701A660D"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Chirazi, J., Wanieck, K., Fayemi, P. E., Zollfrank, C., &amp; Jacobs, S. (2019). What do we learn from good practices of biologically inspired design in innovation? Applied Sciences (Switzerland), 9(4). https://doi.org/10.3390/app9040650</w:t>
      </w:r>
    </w:p>
    <w:p w14:paraId="3FC9FF94"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Chopra, S., &amp; Meindl, P. (2007). Supply Chain Management. Strategy, Planning &amp; Operation. In Das Summa Summarum des Management. https://doi.org/10.1007/978-3-8349-9320-5_22</w:t>
      </w:r>
    </w:p>
    <w:p w14:paraId="435E982C"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Christyono, F. (2017). ANALISIS SUPPLY CHAIN PADA PT . CAHAYA INDO PERSADA Fendy Christyono. AGORA, 5(3), 1–6. https://publication.petra.ac.id/index.php/manajemen-bisnis/article/view/6093</w:t>
      </w:r>
    </w:p>
    <w:p w14:paraId="1F00ADCC"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Dang, M.-Q. (2017). Potential of Solar Energy in Indonesia Solar Energy in Indonesia View project Potential of Solar Energy in Indonesia (Issue April). https://www.researchgate.net/publication/324840611</w:t>
      </w:r>
    </w:p>
    <w:p w14:paraId="78182E78"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Ferdous, S. M., Moin Oninda, M. A., Maruf, H., Islam, A., &amp; Rahman, F. (2018). Energy Efficiency Constraints in Photovoltaic Power Generation Systems. Journal of Research in Engineering and Applied Sciences, 03(02), 41–47. https://doi.org/10.46565/jreas.2018.v03i02.001</w:t>
      </w:r>
    </w:p>
    <w:p w14:paraId="52BB96BF"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Franco, M. A., &amp; Groesser, S. N. (2021). A systematic literature review of the solar photovoltaic value chain for a circular economy. Sustainability (Switzerland), 13(17), 1–35. https://doi.org/10.3390/su13179615</w:t>
      </w:r>
    </w:p>
    <w:p w14:paraId="0192FF9F"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Glachant, M., &amp; Dechezleprêtre, A. (2017). What role for climate negotiations on technology transfer? Climate Policy, 17(8), 962–981. https://doi.org/10.1080/14693062.2016.1222257</w:t>
      </w:r>
    </w:p>
    <w:p w14:paraId="7F652F41"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Hansen, E. G., Lüdeke-Freund, F., Quan, X. I., &amp; West, J. (2019). Cross-National Complementarity of Technology Push, Demand Pull, and Manufacturing Push Policies: The Case of Photovoltaics. IEEE Transactions on Engineering Management, 66(3), 381–397. https://doi.org/10.1109/TEM.2018.2833878</w:t>
      </w:r>
    </w:p>
    <w:p w14:paraId="67D2CF2B" w14:textId="16C088A0"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Hindle, K., &amp; Yencken, J. (2004). Public research commerciali</w:t>
      </w:r>
      <w:r w:rsidR="006221AC">
        <w:rPr>
          <w:rFonts w:ascii="Arial" w:eastAsia="Times New Roman" w:hAnsi="Arial" w:cs="Arial"/>
          <w:color w:val="000000"/>
          <w:position w:val="0"/>
          <w:szCs w:val="20"/>
          <w:lang w:val="en-ID"/>
        </w:rPr>
        <w:t>z</w:t>
      </w:r>
      <w:r w:rsidRPr="00141E59">
        <w:rPr>
          <w:rFonts w:ascii="Arial" w:eastAsia="Times New Roman" w:hAnsi="Arial" w:cs="Arial"/>
          <w:color w:val="000000"/>
          <w:position w:val="0"/>
          <w:szCs w:val="20"/>
          <w:lang w:val="en-ID"/>
        </w:rPr>
        <w:t>ation, entrepreneurship</w:t>
      </w:r>
      <w:r w:rsidR="006221AC">
        <w:rPr>
          <w:rFonts w:ascii="Arial" w:eastAsia="Times New Roman" w:hAnsi="Arial" w:cs="Arial"/>
          <w:color w:val="000000"/>
          <w:position w:val="0"/>
          <w:szCs w:val="20"/>
          <w:lang w:val="en-ID"/>
        </w:rPr>
        <w:t>,</w:t>
      </w:r>
      <w:r w:rsidRPr="00141E59">
        <w:rPr>
          <w:rFonts w:ascii="Arial" w:eastAsia="Times New Roman" w:hAnsi="Arial" w:cs="Arial"/>
          <w:color w:val="000000"/>
          <w:position w:val="0"/>
          <w:szCs w:val="20"/>
          <w:lang w:val="en-ID"/>
        </w:rPr>
        <w:t xml:space="preserve"> and new technology</w:t>
      </w:r>
      <w:r w:rsidR="006221AC">
        <w:rPr>
          <w:rFonts w:ascii="Arial" w:eastAsia="Times New Roman" w:hAnsi="Arial" w:cs="Arial"/>
          <w:color w:val="000000"/>
          <w:position w:val="0"/>
          <w:szCs w:val="20"/>
          <w:lang w:val="en-ID"/>
        </w:rPr>
        <w:t>-</w:t>
      </w:r>
      <w:r w:rsidRPr="00141E59">
        <w:rPr>
          <w:rFonts w:ascii="Arial" w:eastAsia="Times New Roman" w:hAnsi="Arial" w:cs="Arial"/>
          <w:color w:val="000000"/>
          <w:position w:val="0"/>
          <w:szCs w:val="20"/>
          <w:lang w:val="en-ID"/>
        </w:rPr>
        <w:t>based firms: An integrated model. Technovation, 24(10), 793–803. https://doi.org/10.1016/S0166-4972(03)00023-3</w:t>
      </w:r>
    </w:p>
    <w:p w14:paraId="1D62820F"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Horváth, D., &amp; Szabó, R. Z. (2018). Evolution of photovoltaic business models: Overcoming the main barriers of distributed energy deployment. Renewable and Sustainable Energy Reviews, 90(July), 623–635. https://doi.org/10.1016/j.rser.2018.03.101</w:t>
      </w:r>
    </w:p>
    <w:p w14:paraId="67244054"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Jaffe, P., Borders, K., Browne, C., DePuma, C., Longbottom, L., Nisar, H., &amp; Simlot, V. (2019). Opportunities and challenges for space solar for remote installations. https://apps.dtic.mil/sti/pdfs/AD1082903.pdf</w:t>
      </w:r>
    </w:p>
    <w:p w14:paraId="74C4D045"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 xml:space="preserve">Kencana, B., Prasetyo, B., Berchmans, H., Agustina, I., Myrasandri, P., Richard, R. B., Panjaitan, R., &amp; Winne. (2018). Panduan Studi Kelayakan Pembangkit Listrik Tenaga Surya (PLTS). In </w:t>
      </w:r>
      <w:r w:rsidRPr="00141E59">
        <w:rPr>
          <w:rFonts w:ascii="Arial" w:eastAsia="Times New Roman" w:hAnsi="Arial" w:cs="Arial"/>
          <w:color w:val="000000"/>
          <w:position w:val="0"/>
          <w:szCs w:val="20"/>
          <w:lang w:val="en-ID"/>
        </w:rPr>
        <w:lastRenderedPageBreak/>
        <w:t>Tetra Tech ES Inc. (Ed.), Indonesia Clean Energy Development II (Issue November). Lembaga Pembangunan Internasional Amerika Serikat.</w:t>
      </w:r>
    </w:p>
    <w:p w14:paraId="3D76EDA3"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Laajimi, M., &amp; Go, Y. I. (2021). Energy storage system design for large-scale solar PV in Malaysia: techno-economic analysis. Renewables: Wind, Water, and Solar, 8(1). https://doi.org/10.1186/s40807-020-00064-5</w:t>
      </w:r>
    </w:p>
    <w:p w14:paraId="168768C0"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Lilipaly, E. R. M. A. P., &amp; Dharmawan, E. A. (2021). Penggunaan Fan Type Hologram Dengan Solar Cell Sebagai Pilihan Alternatif Billboard Di Kota Ambon. Jurnal Simetrik, 11(1), 422–431. https://doi.org/10.31959/js.v11i1.621</w:t>
      </w:r>
    </w:p>
    <w:p w14:paraId="63CA3BC1"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Mahendra, I. P. D. S. (2022). Perbandingan Model Business Model Canvas Dengan Lean Canvas Pada Startup Piecework. JATISI (Jurnal Teknik Informatika Dan Sistem Informasi), 9(3), 2412–2427. https://doi.org/10.35957/jatisi.v9i3.2818</w:t>
      </w:r>
    </w:p>
    <w:p w14:paraId="6063492E" w14:textId="734616DF"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Maurya, A. (2012). Running Lean : A systematic process for</w:t>
      </w:r>
      <w:r w:rsidR="006221AC">
        <w:rPr>
          <w:rFonts w:ascii="Arial" w:eastAsia="Times New Roman" w:hAnsi="Arial" w:cs="Arial"/>
          <w:color w:val="000000"/>
          <w:position w:val="0"/>
          <w:szCs w:val="20"/>
          <w:lang w:val="en-ID"/>
        </w:rPr>
        <w:t xml:space="preserve"> </w:t>
      </w:r>
      <w:r w:rsidRPr="00141E59">
        <w:rPr>
          <w:rFonts w:ascii="Arial" w:eastAsia="Times New Roman" w:hAnsi="Arial" w:cs="Arial"/>
          <w:color w:val="000000"/>
          <w:position w:val="0"/>
          <w:szCs w:val="20"/>
          <w:lang w:val="en-ID"/>
        </w:rPr>
        <w:t>iterating your web application from Plan A to a plan that works. https://books.google.com/books?hl=en%5C&amp;lr=%5C&amp;id=4s1gEAAAQBAJ%5C&amp;oi=fnd%5C&amp;pg=PT29%5C&amp;dq=value+based+marketing%5C&amp;ots=o1yL3mcGZx%5C&amp;sig=n1WwH18VS7mYO9xx_8xEg_DaENU</w:t>
      </w:r>
    </w:p>
    <w:p w14:paraId="5BFB6365"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Osadolor, A. O., Olagbegi, P., &amp; Osifo, T. I. (2022). Design and Implementation of a Solar Powered Three Phase Automatic Mini Billboard. Advances in Engineering Design Technology, 4(3), 1–8. https://portal.issn.org/resource/ISSN-L/2682-5848</w:t>
      </w:r>
    </w:p>
    <w:p w14:paraId="5620F2EE"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Osawa, Y., &amp; Miyazaki, K. (2006). An empirical analysis of the valley of death: Large</w:t>
      </w:r>
      <w:r w:rsidRPr="00141E59">
        <w:rPr>
          <w:rFonts w:ascii="Cambria Math" w:eastAsia="Times New Roman" w:hAnsi="Cambria Math" w:cs="Cambria Math"/>
          <w:color w:val="000000"/>
          <w:position w:val="0"/>
          <w:szCs w:val="20"/>
          <w:lang w:val="en-ID"/>
        </w:rPr>
        <w:t>‐</w:t>
      </w:r>
      <w:r w:rsidRPr="00141E59">
        <w:rPr>
          <w:rFonts w:ascii="Arial" w:eastAsia="Times New Roman" w:hAnsi="Arial" w:cs="Arial"/>
          <w:color w:val="000000"/>
          <w:position w:val="0"/>
          <w:szCs w:val="20"/>
          <w:lang w:val="en-ID"/>
        </w:rPr>
        <w:t>scale R&amp;D project performance in a Japanese diversified company. Asian Journal of Technology Innovation, 14(2), 93–116. https://doi.org/10.1080/19761597.2006.9668620</w:t>
      </w:r>
    </w:p>
    <w:p w14:paraId="49147B1D"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Pigato, M. A., Black, S. J., Dussaux, D., Mao, Z., Mckenna, M., Rafaty, R., &amp; Touboul, S. (2020). Enabling Environments for Sustainable Energy Transitions: The Diffusion of Technology, Innovation and Investment in Low-Carbon Societies In the Book : Technology Transfer and Innovation for Low-Carbon Development. https://openknowledge.worldbank.org/bitstream/handle/10986/33474/9781464815003.pdf?sequence=2</w:t>
      </w:r>
    </w:p>
    <w:p w14:paraId="31C3DB88"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Purwanto, I. (2020). Solar Cell(Photovoltaic/Pv)Solusi Menuju Pulau Mandiri Listrik. Jurnal Penelitian Dan Karya Ilmiah Lembaga Penelitian Universitas Trisakti, 5(2), 117–126. https://doi.org/10.25105/pdk.v5i2.7410</w:t>
      </w:r>
    </w:p>
    <w:p w14:paraId="41C9BBA2"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Rigo, P. D., Siluk, J. C. M., Lacerda, D. P., &amp; Spellmeier, J. P. (2022). Competitive business model of photovoltaic solar energy installers in Brazil. Renewable Energy, 181(August 2021), 39–50. https://doi.org/10.1016/j.renene.2021.09.031</w:t>
      </w:r>
    </w:p>
    <w:p w14:paraId="73301DC6" w14:textId="156E2AEE"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 xml:space="preserve">Rose, A. De, Buna, M., Strazza, C., Olivier, N., Stevens, T., &amp; Tawil-Jamault, D. (2017). Technology Readiness Level: Guidance Principles for Renewable Energy </w:t>
      </w:r>
      <w:r w:rsidR="006221AC">
        <w:rPr>
          <w:rFonts w:ascii="Arial" w:eastAsia="Times New Roman" w:hAnsi="Arial" w:cs="Arial"/>
          <w:color w:val="000000"/>
          <w:position w:val="0"/>
          <w:szCs w:val="20"/>
          <w:lang w:val="en-ID"/>
        </w:rPr>
        <w:t>T</w:t>
      </w:r>
      <w:r w:rsidRPr="00141E59">
        <w:rPr>
          <w:rFonts w:ascii="Arial" w:eastAsia="Times New Roman" w:hAnsi="Arial" w:cs="Arial"/>
          <w:color w:val="000000"/>
          <w:position w:val="0"/>
          <w:szCs w:val="20"/>
          <w:lang w:val="en-ID"/>
        </w:rPr>
        <w:t>echnologies - Final Report. In Eur 27988 En. European Co</w:t>
      </w:r>
      <w:r w:rsidR="006221AC">
        <w:rPr>
          <w:rFonts w:ascii="Arial" w:eastAsia="Times New Roman" w:hAnsi="Arial" w:cs="Arial"/>
          <w:color w:val="000000"/>
          <w:position w:val="0"/>
          <w:szCs w:val="20"/>
          <w:lang w:val="en-ID"/>
        </w:rPr>
        <w:t>m</w:t>
      </w:r>
      <w:r w:rsidRPr="00141E59">
        <w:rPr>
          <w:rFonts w:ascii="Arial" w:eastAsia="Times New Roman" w:hAnsi="Arial" w:cs="Arial"/>
          <w:color w:val="000000"/>
          <w:position w:val="0"/>
          <w:szCs w:val="20"/>
          <w:lang w:val="en-ID"/>
        </w:rPr>
        <w:t>mission. https://www.gransking.fo/media/2900/trl-orka.pdf</w:t>
      </w:r>
    </w:p>
    <w:p w14:paraId="17F332AA"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Sun, M., Zeng, W., Zhang, W., &amp; Li, C. (2018). Study on Operation Mode of Anti-poverty Photovoltaic Project Based on Altruism Preference. IOP Conference Series: Earth and Environmental Science, 146(1). https://doi.org/10.1088/1755-1315/146/1/012033</w:t>
      </w:r>
    </w:p>
    <w:p w14:paraId="67EB4F70" w14:textId="77777777" w:rsidR="00141E59" w:rsidRPr="00141E59" w:rsidRDefault="00141E59" w:rsidP="00141E59">
      <w:pPr>
        <w:pBdr>
          <w:top w:val="nil"/>
          <w:left w:val="nil"/>
          <w:bottom w:val="nil"/>
          <w:right w:val="nil"/>
          <w:between w:val="nil"/>
        </w:pBdr>
        <w:suppressAutoHyphens w:val="0"/>
        <w:spacing w:line="240" w:lineRule="auto"/>
        <w:ind w:leftChars="0" w:left="425" w:firstLineChars="0" w:hanging="425"/>
        <w:textAlignment w:val="auto"/>
        <w:outlineLvl w:val="9"/>
        <w:rPr>
          <w:rFonts w:ascii="Arial" w:eastAsia="Times New Roman" w:hAnsi="Arial" w:cs="Arial"/>
          <w:color w:val="000000"/>
          <w:position w:val="0"/>
          <w:szCs w:val="20"/>
          <w:lang w:val="en-ID"/>
        </w:rPr>
      </w:pPr>
      <w:r w:rsidRPr="00141E59">
        <w:rPr>
          <w:rFonts w:ascii="Arial" w:eastAsia="Times New Roman" w:hAnsi="Arial" w:cs="Arial"/>
          <w:color w:val="000000"/>
          <w:position w:val="0"/>
          <w:szCs w:val="20"/>
          <w:lang w:val="en-ID"/>
        </w:rPr>
        <w:t>Sutopo, W., Khofiyah, N. A., Hisjam, M., &amp; Ma’aram, A. (2022). Performance Efficiency Measurement Model Development of a Technology Transfer Office (TTO) to Accelerate Technology Commercialization in Universities. Applied System Innovation, 5(1). https://doi.org/10.3390/asi5010021</w:t>
      </w:r>
    </w:p>
    <w:p w14:paraId="2EDDC20A" w14:textId="0CC5E630" w:rsidR="0050683E" w:rsidRPr="00141E59" w:rsidRDefault="00AE5838" w:rsidP="00C6162F">
      <w:pPr>
        <w:pBdr>
          <w:top w:val="nil"/>
          <w:left w:val="nil"/>
          <w:bottom w:val="nil"/>
          <w:right w:val="nil"/>
          <w:between w:val="nil"/>
        </w:pBdr>
        <w:suppressAutoHyphens w:val="0"/>
        <w:spacing w:line="240" w:lineRule="auto"/>
        <w:ind w:leftChars="0" w:left="425" w:firstLineChars="0" w:hanging="425"/>
        <w:textDirection w:val="lrTb"/>
        <w:textAlignment w:val="auto"/>
        <w:outlineLvl w:val="9"/>
        <w:rPr>
          <w:rFonts w:ascii="Arial" w:eastAsia="Times New Roman" w:hAnsi="Arial" w:cs="Arial"/>
          <w:color w:val="000000"/>
          <w:position w:val="0"/>
          <w:szCs w:val="20"/>
          <w:lang w:val="en-ID"/>
        </w:rPr>
      </w:pPr>
      <w:r>
        <w:rPr>
          <w:rFonts w:ascii="Arial" w:eastAsia="Times New Roman" w:hAnsi="Arial" w:cs="Arial"/>
          <w:color w:val="000000"/>
          <w:position w:val="0"/>
          <w:szCs w:val="20"/>
          <w:lang w:val="en-ID"/>
        </w:rPr>
        <w:fldChar w:fldCharType="end"/>
      </w:r>
    </w:p>
    <w:sectPr w:rsidR="0050683E" w:rsidRPr="00141E59" w:rsidSect="00C6162F">
      <w:headerReference w:type="even" r:id="rId16"/>
      <w:headerReference w:type="default" r:id="rId17"/>
      <w:footerReference w:type="even" r:id="rId18"/>
      <w:footerReference w:type="default" r:id="rId19"/>
      <w:headerReference w:type="first" r:id="rId20"/>
      <w:footerReference w:type="first" r:id="rId21"/>
      <w:pgSz w:w="11907" w:h="16839"/>
      <w:pgMar w:top="1418" w:right="1418" w:bottom="1418" w:left="1701" w:header="720" w:footer="28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CCD98" w14:textId="77777777" w:rsidR="00DA4522" w:rsidRDefault="00DA4522">
      <w:pPr>
        <w:spacing w:after="0" w:line="240" w:lineRule="auto"/>
        <w:ind w:left="0" w:hanging="2"/>
      </w:pPr>
      <w:r>
        <w:separator/>
      </w:r>
    </w:p>
  </w:endnote>
  <w:endnote w:type="continuationSeparator" w:id="0">
    <w:p w14:paraId="5DB7355B" w14:textId="77777777" w:rsidR="00DA4522" w:rsidRDefault="00DA452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hnschrift">
    <w:altName w:val="Segoe UI"/>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BE938" w14:textId="77777777" w:rsidR="00B03099" w:rsidRDefault="00B03099">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6F540" w14:textId="77777777" w:rsidR="0050683E" w:rsidRDefault="00514B20">
    <w:pPr>
      <w:pBdr>
        <w:top w:val="nil"/>
        <w:left w:val="nil"/>
        <w:bottom w:val="nil"/>
        <w:right w:val="nil"/>
        <w:between w:val="nil"/>
      </w:pBdr>
      <w:tabs>
        <w:tab w:val="center" w:pos="4680"/>
        <w:tab w:val="right" w:pos="9360"/>
        <w:tab w:val="center" w:pos="4680"/>
        <w:tab w:val="right" w:pos="9360"/>
      </w:tabs>
      <w:spacing w:after="0" w:line="240" w:lineRule="auto"/>
      <w:ind w:left="0" w:hanging="2"/>
      <w:jc w:val="right"/>
      <w:rPr>
        <w:color w:val="000000"/>
        <w:szCs w:val="20"/>
      </w:rPr>
    </w:pPr>
    <w:r>
      <w:rPr>
        <w:color w:val="000000"/>
        <w:szCs w:val="20"/>
      </w:rPr>
      <w:fldChar w:fldCharType="begin"/>
    </w:r>
    <w:r>
      <w:rPr>
        <w:color w:val="000000"/>
        <w:szCs w:val="20"/>
      </w:rPr>
      <w:instrText>PAGE</w:instrText>
    </w:r>
    <w:r>
      <w:rPr>
        <w:color w:val="000000"/>
        <w:szCs w:val="20"/>
      </w:rPr>
      <w:fldChar w:fldCharType="separate"/>
    </w:r>
    <w:r w:rsidR="00AF758D">
      <w:rPr>
        <w:noProof/>
        <w:color w:val="000000"/>
        <w:szCs w:val="20"/>
      </w:rPr>
      <w:t>16</w:t>
    </w:r>
    <w:r>
      <w:rPr>
        <w:color w:val="00000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BF088" w14:textId="77777777" w:rsidR="00B03099" w:rsidRDefault="00B03099">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6CC00" w14:textId="77777777" w:rsidR="00DA4522" w:rsidRDefault="00DA4522">
      <w:pPr>
        <w:spacing w:after="0" w:line="240" w:lineRule="auto"/>
        <w:ind w:left="0" w:hanging="2"/>
      </w:pPr>
      <w:r>
        <w:separator/>
      </w:r>
    </w:p>
  </w:footnote>
  <w:footnote w:type="continuationSeparator" w:id="0">
    <w:p w14:paraId="6B380280" w14:textId="77777777" w:rsidR="00DA4522" w:rsidRDefault="00DA452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47AC4" w14:textId="77777777" w:rsidR="00B03099" w:rsidRDefault="00B03099">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31E56" w14:textId="7E762997" w:rsidR="00B026AD" w:rsidRPr="00B03099" w:rsidRDefault="00514B20" w:rsidP="00B03099">
    <w:pPr>
      <w:pBdr>
        <w:top w:val="nil"/>
        <w:left w:val="nil"/>
        <w:bottom w:val="single" w:sz="4" w:space="1" w:color="000000"/>
        <w:right w:val="nil"/>
        <w:between w:val="nil"/>
      </w:pBdr>
      <w:tabs>
        <w:tab w:val="center" w:pos="4680"/>
        <w:tab w:val="right" w:pos="9360"/>
        <w:tab w:val="center" w:pos="4680"/>
        <w:tab w:val="right" w:pos="9360"/>
      </w:tabs>
      <w:spacing w:after="0" w:line="240" w:lineRule="auto"/>
      <w:ind w:left="0" w:hanging="2"/>
      <w:jc w:val="right"/>
      <w:rPr>
        <w:rFonts w:ascii="Comic Sans MS" w:eastAsia="Comic Sans MS" w:hAnsi="Comic Sans MS" w:cs="Comic Sans MS"/>
        <w:i/>
        <w:color w:val="A6A6A6"/>
        <w:sz w:val="16"/>
        <w:szCs w:val="16"/>
      </w:rPr>
    </w:pPr>
    <w:r>
      <w:rPr>
        <w:rFonts w:ascii="Comic Sans MS" w:eastAsia="Comic Sans MS" w:hAnsi="Comic Sans MS" w:cs="Comic Sans MS"/>
        <w:i/>
        <w:color w:val="A6A6A6"/>
        <w:sz w:val="16"/>
        <w:szCs w:val="16"/>
      </w:rPr>
      <w:t xml:space="preserve">Operations Excellence: Journal of Applied Industrial Engineering </w:t>
    </w:r>
    <w:r>
      <w:rPr>
        <w:rFonts w:ascii="Comic Sans MS" w:eastAsia="Comic Sans MS" w:hAnsi="Comic Sans MS" w:cs="Comic Sans MS"/>
        <w:color w:val="A6A6A6"/>
        <w:sz w:val="16"/>
        <w:szCs w:val="16"/>
      </w:rPr>
      <w:t>20xx, xx(x),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01FE6" w14:textId="77777777" w:rsidR="00B03099" w:rsidRDefault="00B03099">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0258B"/>
    <w:multiLevelType w:val="multilevel"/>
    <w:tmpl w:val="3EB065D0"/>
    <w:lvl w:ilvl="0">
      <w:start w:val="1"/>
      <w:numFmt w:val="decimal"/>
      <w:lvlText w:val="%1."/>
      <w:lvlJc w:val="left"/>
      <w:pPr>
        <w:ind w:left="785" w:hanging="360"/>
      </w:pPr>
      <w:rPr>
        <w:rFonts w:ascii="Arial" w:eastAsia="Times New Roman" w:hAnsi="Arial" w:cs="Arial"/>
        <w:b/>
        <w:bCs/>
        <w:i w:val="0"/>
        <w:iCs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 w15:restartNumberingAfterBreak="0">
    <w:nsid w:val="10AA6C46"/>
    <w:multiLevelType w:val="multilevel"/>
    <w:tmpl w:val="1632E46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15FE549D"/>
    <w:multiLevelType w:val="multilevel"/>
    <w:tmpl w:val="1FBA687C"/>
    <w:lvl w:ilvl="0">
      <w:start w:val="1"/>
      <w:numFmt w:val="decimal"/>
      <w:lvlText w:val="%1."/>
      <w:lvlJc w:val="left"/>
      <w:pPr>
        <w:ind w:left="785" w:hanging="360"/>
      </w:pPr>
      <w:rPr>
        <w:rFonts w:ascii="Arial" w:eastAsia="Times New Roman" w:hAnsi="Arial" w:cs="Arial"/>
        <w:b/>
        <w:bCs/>
        <w:i w:val="0"/>
        <w:iCs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 w15:restartNumberingAfterBreak="0">
    <w:nsid w:val="1711272E"/>
    <w:multiLevelType w:val="hybridMultilevel"/>
    <w:tmpl w:val="99EC6CEE"/>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4" w15:restartNumberingAfterBreak="0">
    <w:nsid w:val="2A292B46"/>
    <w:multiLevelType w:val="hybridMultilevel"/>
    <w:tmpl w:val="451E147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5" w15:restartNumberingAfterBreak="0">
    <w:nsid w:val="51E33B44"/>
    <w:multiLevelType w:val="hybridMultilevel"/>
    <w:tmpl w:val="B2A6205E"/>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6" w15:restartNumberingAfterBreak="0">
    <w:nsid w:val="63E630F3"/>
    <w:multiLevelType w:val="hybridMultilevel"/>
    <w:tmpl w:val="64DCCE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8A0ADB"/>
    <w:multiLevelType w:val="hybridMultilevel"/>
    <w:tmpl w:val="36CEE9EA"/>
    <w:lvl w:ilvl="0" w:tplc="38090001">
      <w:start w:val="1"/>
      <w:numFmt w:val="bullet"/>
      <w:lvlText w:val=""/>
      <w:lvlJc w:val="left"/>
      <w:pPr>
        <w:ind w:left="766" w:hanging="360"/>
      </w:pPr>
      <w:rPr>
        <w:rFonts w:ascii="Symbol" w:hAnsi="Symbol" w:hint="default"/>
      </w:rPr>
    </w:lvl>
    <w:lvl w:ilvl="1" w:tplc="38090003" w:tentative="1">
      <w:start w:val="1"/>
      <w:numFmt w:val="bullet"/>
      <w:lvlText w:val="o"/>
      <w:lvlJc w:val="left"/>
      <w:pPr>
        <w:ind w:left="1486" w:hanging="360"/>
      </w:pPr>
      <w:rPr>
        <w:rFonts w:ascii="Courier New" w:hAnsi="Courier New" w:cs="Courier New" w:hint="default"/>
      </w:rPr>
    </w:lvl>
    <w:lvl w:ilvl="2" w:tplc="38090005" w:tentative="1">
      <w:start w:val="1"/>
      <w:numFmt w:val="bullet"/>
      <w:lvlText w:val=""/>
      <w:lvlJc w:val="left"/>
      <w:pPr>
        <w:ind w:left="2206" w:hanging="360"/>
      </w:pPr>
      <w:rPr>
        <w:rFonts w:ascii="Wingdings" w:hAnsi="Wingdings" w:hint="default"/>
      </w:rPr>
    </w:lvl>
    <w:lvl w:ilvl="3" w:tplc="38090001" w:tentative="1">
      <w:start w:val="1"/>
      <w:numFmt w:val="bullet"/>
      <w:lvlText w:val=""/>
      <w:lvlJc w:val="left"/>
      <w:pPr>
        <w:ind w:left="2926" w:hanging="360"/>
      </w:pPr>
      <w:rPr>
        <w:rFonts w:ascii="Symbol" w:hAnsi="Symbol" w:hint="default"/>
      </w:rPr>
    </w:lvl>
    <w:lvl w:ilvl="4" w:tplc="38090003" w:tentative="1">
      <w:start w:val="1"/>
      <w:numFmt w:val="bullet"/>
      <w:lvlText w:val="o"/>
      <w:lvlJc w:val="left"/>
      <w:pPr>
        <w:ind w:left="3646" w:hanging="360"/>
      </w:pPr>
      <w:rPr>
        <w:rFonts w:ascii="Courier New" w:hAnsi="Courier New" w:cs="Courier New" w:hint="default"/>
      </w:rPr>
    </w:lvl>
    <w:lvl w:ilvl="5" w:tplc="38090005" w:tentative="1">
      <w:start w:val="1"/>
      <w:numFmt w:val="bullet"/>
      <w:lvlText w:val=""/>
      <w:lvlJc w:val="left"/>
      <w:pPr>
        <w:ind w:left="4366" w:hanging="360"/>
      </w:pPr>
      <w:rPr>
        <w:rFonts w:ascii="Wingdings" w:hAnsi="Wingdings" w:hint="default"/>
      </w:rPr>
    </w:lvl>
    <w:lvl w:ilvl="6" w:tplc="38090001" w:tentative="1">
      <w:start w:val="1"/>
      <w:numFmt w:val="bullet"/>
      <w:lvlText w:val=""/>
      <w:lvlJc w:val="left"/>
      <w:pPr>
        <w:ind w:left="5086" w:hanging="360"/>
      </w:pPr>
      <w:rPr>
        <w:rFonts w:ascii="Symbol" w:hAnsi="Symbol" w:hint="default"/>
      </w:rPr>
    </w:lvl>
    <w:lvl w:ilvl="7" w:tplc="38090003" w:tentative="1">
      <w:start w:val="1"/>
      <w:numFmt w:val="bullet"/>
      <w:lvlText w:val="o"/>
      <w:lvlJc w:val="left"/>
      <w:pPr>
        <w:ind w:left="5806" w:hanging="360"/>
      </w:pPr>
      <w:rPr>
        <w:rFonts w:ascii="Courier New" w:hAnsi="Courier New" w:cs="Courier New" w:hint="default"/>
      </w:rPr>
    </w:lvl>
    <w:lvl w:ilvl="8" w:tplc="38090005" w:tentative="1">
      <w:start w:val="1"/>
      <w:numFmt w:val="bullet"/>
      <w:lvlText w:val=""/>
      <w:lvlJc w:val="left"/>
      <w:pPr>
        <w:ind w:left="6526" w:hanging="360"/>
      </w:pPr>
      <w:rPr>
        <w:rFonts w:ascii="Wingdings" w:hAnsi="Wingdings" w:hint="default"/>
      </w:rPr>
    </w:lvl>
  </w:abstractNum>
  <w:abstractNum w:abstractNumId="8" w15:restartNumberingAfterBreak="0">
    <w:nsid w:val="7B652CE5"/>
    <w:multiLevelType w:val="multilevel"/>
    <w:tmpl w:val="E78806EA"/>
    <w:lvl w:ilvl="0">
      <w:start w:val="1"/>
      <w:numFmt w:val="decimal"/>
      <w:lvlText w:val="%1."/>
      <w:lvlJc w:val="left"/>
      <w:pPr>
        <w:ind w:left="785" w:hanging="360"/>
      </w:pPr>
      <w:rPr>
        <w:i w:val="0"/>
        <w:iCs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1"/>
  </w:num>
  <w:num w:numId="2">
    <w:abstractNumId w:val="8"/>
  </w:num>
  <w:num w:numId="3">
    <w:abstractNumId w:val="7"/>
  </w:num>
  <w:num w:numId="4">
    <w:abstractNumId w:val="0"/>
  </w:num>
  <w:num w:numId="5">
    <w:abstractNumId w:val="2"/>
  </w:num>
  <w:num w:numId="6">
    <w:abstractNumId w:val="4"/>
  </w:num>
  <w:num w:numId="7">
    <w:abstractNumId w:val="3"/>
  </w:num>
  <w:num w:numId="8">
    <w:abstractNumId w:val="5"/>
  </w:num>
  <w:num w:numId="9">
    <w:abstractNumId w:val="6"/>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S2MDA1tbQwMjA0MzBS0lEKTi0uzszPAykwrgUAjwQOZSwAAAA="/>
  </w:docVars>
  <w:rsids>
    <w:rsidRoot w:val="0050683E"/>
    <w:rsid w:val="0002156A"/>
    <w:rsid w:val="00032DBD"/>
    <w:rsid w:val="00042A77"/>
    <w:rsid w:val="000638BA"/>
    <w:rsid w:val="00074700"/>
    <w:rsid w:val="00094D0F"/>
    <w:rsid w:val="000B0C16"/>
    <w:rsid w:val="00141E59"/>
    <w:rsid w:val="0018780B"/>
    <w:rsid w:val="0019531B"/>
    <w:rsid w:val="001A71F0"/>
    <w:rsid w:val="001C0628"/>
    <w:rsid w:val="002026AB"/>
    <w:rsid w:val="002055F9"/>
    <w:rsid w:val="00210367"/>
    <w:rsid w:val="002202BA"/>
    <w:rsid w:val="00240624"/>
    <w:rsid w:val="0025031E"/>
    <w:rsid w:val="00266AA5"/>
    <w:rsid w:val="002715E3"/>
    <w:rsid w:val="00346395"/>
    <w:rsid w:val="003503F7"/>
    <w:rsid w:val="0036095B"/>
    <w:rsid w:val="0038023C"/>
    <w:rsid w:val="003B2633"/>
    <w:rsid w:val="003C3A23"/>
    <w:rsid w:val="003E7C61"/>
    <w:rsid w:val="003F3DE9"/>
    <w:rsid w:val="004200D0"/>
    <w:rsid w:val="00424C11"/>
    <w:rsid w:val="0048270C"/>
    <w:rsid w:val="00482D73"/>
    <w:rsid w:val="004A5B5C"/>
    <w:rsid w:val="004D6B93"/>
    <w:rsid w:val="004F39DD"/>
    <w:rsid w:val="0050683E"/>
    <w:rsid w:val="00514B20"/>
    <w:rsid w:val="005264B9"/>
    <w:rsid w:val="00585502"/>
    <w:rsid w:val="00586887"/>
    <w:rsid w:val="005B4CBA"/>
    <w:rsid w:val="006221AC"/>
    <w:rsid w:val="00623A94"/>
    <w:rsid w:val="006728C8"/>
    <w:rsid w:val="00684750"/>
    <w:rsid w:val="006A3289"/>
    <w:rsid w:val="006E7D01"/>
    <w:rsid w:val="006F293C"/>
    <w:rsid w:val="0071568A"/>
    <w:rsid w:val="00726B5C"/>
    <w:rsid w:val="007348BE"/>
    <w:rsid w:val="007551D2"/>
    <w:rsid w:val="007B7FCC"/>
    <w:rsid w:val="007C58F4"/>
    <w:rsid w:val="007D62C8"/>
    <w:rsid w:val="00802E6A"/>
    <w:rsid w:val="00803325"/>
    <w:rsid w:val="00845908"/>
    <w:rsid w:val="008B19C5"/>
    <w:rsid w:val="008C347A"/>
    <w:rsid w:val="008C63C5"/>
    <w:rsid w:val="009639EA"/>
    <w:rsid w:val="00995E4E"/>
    <w:rsid w:val="009D10AF"/>
    <w:rsid w:val="009E2C41"/>
    <w:rsid w:val="009F670B"/>
    <w:rsid w:val="00A010E9"/>
    <w:rsid w:val="00A13D70"/>
    <w:rsid w:val="00A21B9F"/>
    <w:rsid w:val="00A41FED"/>
    <w:rsid w:val="00A818BF"/>
    <w:rsid w:val="00A902F5"/>
    <w:rsid w:val="00AD7C21"/>
    <w:rsid w:val="00AE5838"/>
    <w:rsid w:val="00AF1F6F"/>
    <w:rsid w:val="00AF758D"/>
    <w:rsid w:val="00B026AD"/>
    <w:rsid w:val="00B03099"/>
    <w:rsid w:val="00B10D88"/>
    <w:rsid w:val="00B902B3"/>
    <w:rsid w:val="00C2079C"/>
    <w:rsid w:val="00C6162F"/>
    <w:rsid w:val="00C63F8B"/>
    <w:rsid w:val="00C76C98"/>
    <w:rsid w:val="00C864DD"/>
    <w:rsid w:val="00CF3246"/>
    <w:rsid w:val="00D335A4"/>
    <w:rsid w:val="00D67AB0"/>
    <w:rsid w:val="00D76529"/>
    <w:rsid w:val="00D8454D"/>
    <w:rsid w:val="00DA4522"/>
    <w:rsid w:val="00E160C9"/>
    <w:rsid w:val="00E20A59"/>
    <w:rsid w:val="00E22680"/>
    <w:rsid w:val="00E45C01"/>
    <w:rsid w:val="00ED5EE1"/>
    <w:rsid w:val="00EE1D39"/>
    <w:rsid w:val="00EE735E"/>
    <w:rsid w:val="00F10011"/>
    <w:rsid w:val="00F371B5"/>
    <w:rsid w:val="00F72CE5"/>
    <w:rsid w:val="00F7409A"/>
    <w:rsid w:val="00FC4B90"/>
    <w:rsid w:val="00FD12E9"/>
    <w:rsid w:val="00FF0555"/>
    <w:rsid w:val="00FF16E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F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US" w:eastAsia="en-ID" w:bidi="ar-SA"/>
      </w:rPr>
    </w:rPrDefault>
    <w:pPrDefault>
      <w:pPr>
        <w:spacing w:after="160" w:line="288"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B90"/>
    <w:pPr>
      <w:suppressAutoHyphens/>
      <w:ind w:leftChars="-1" w:left="-1" w:hangingChars="1" w:hanging="1"/>
      <w:textDirection w:val="btLr"/>
      <w:textAlignment w:val="top"/>
      <w:outlineLvl w:val="0"/>
    </w:pPr>
    <w:rPr>
      <w:position w:val="-1"/>
      <w:szCs w:val="22"/>
      <w:lang w:eastAsia="en-US"/>
    </w:rPr>
  </w:style>
  <w:style w:type="paragraph" w:styleId="Heading1">
    <w:name w:val="heading 1"/>
    <w:basedOn w:val="Normal"/>
    <w:next w:val="Normal"/>
    <w:uiPriority w:val="9"/>
    <w:qFormat/>
    <w:pPr>
      <w:keepNext/>
      <w:keepLines/>
      <w:numPr>
        <w:numId w:val="1"/>
      </w:numPr>
      <w:spacing w:before="240" w:after="120" w:line="240" w:lineRule="auto"/>
      <w:ind w:leftChars="0" w:left="0" w:firstLineChars="0" w:firstLine="0"/>
    </w:pPr>
    <w:rPr>
      <w:rFonts w:ascii="Calibri Light" w:eastAsia="Times New Roman" w:hAnsi="Calibri Light" w:cs="Times New Roman"/>
      <w:b/>
      <w:szCs w:val="32"/>
    </w:rPr>
  </w:style>
  <w:style w:type="paragraph" w:styleId="Heading2">
    <w:name w:val="heading 2"/>
    <w:basedOn w:val="Heading1"/>
    <w:next w:val="Normal"/>
    <w:uiPriority w:val="9"/>
    <w:semiHidden/>
    <w:unhideWhenUsed/>
    <w:qFormat/>
    <w:pPr>
      <w:numPr>
        <w:ilvl w:val="1"/>
      </w:numPr>
      <w:spacing w:before="120"/>
      <w:ind w:left="578" w:hanging="578"/>
      <w:outlineLvl w:val="1"/>
    </w:pPr>
    <w:rPr>
      <w:szCs w:val="26"/>
    </w:rPr>
  </w:style>
  <w:style w:type="paragraph" w:styleId="Heading3">
    <w:name w:val="heading 3"/>
    <w:basedOn w:val="Normal"/>
    <w:next w:val="Normal"/>
    <w:uiPriority w:val="9"/>
    <w:semiHidden/>
    <w:unhideWhenUsed/>
    <w:qFormat/>
    <w:pPr>
      <w:keepNext/>
      <w:keepLines/>
      <w:numPr>
        <w:ilvl w:val="2"/>
        <w:numId w:val="1"/>
      </w:numPr>
      <w:spacing w:before="120" w:after="120" w:line="240" w:lineRule="auto"/>
      <w:ind w:left="-1" w:hanging="1"/>
      <w:outlineLvl w:val="2"/>
    </w:pPr>
    <w:rPr>
      <w:rFonts w:ascii="Calibri Light" w:eastAsia="Times New Roman" w:hAnsi="Calibri Light" w:cs="Times New Roman"/>
      <w:i/>
      <w:szCs w:val="24"/>
    </w:rPr>
  </w:style>
  <w:style w:type="paragraph" w:styleId="Heading4">
    <w:name w:val="heading 4"/>
    <w:basedOn w:val="Normal"/>
    <w:next w:val="Normal"/>
    <w:uiPriority w:val="9"/>
    <w:semiHidden/>
    <w:unhideWhenUsed/>
    <w:qFormat/>
    <w:pPr>
      <w:keepNext/>
      <w:keepLines/>
      <w:numPr>
        <w:ilvl w:val="3"/>
        <w:numId w:val="1"/>
      </w:numPr>
      <w:spacing w:before="40" w:after="0"/>
      <w:ind w:left="-1" w:hanging="1"/>
      <w:outlineLvl w:val="3"/>
    </w:pPr>
    <w:rPr>
      <w:rFonts w:ascii="Calibri Light" w:eastAsia="Times New Roman" w:hAnsi="Calibri Light" w:cs="Times New Roman"/>
      <w:i/>
      <w:iCs/>
      <w:color w:val="2E74B5"/>
    </w:rPr>
  </w:style>
  <w:style w:type="paragraph" w:styleId="Heading5">
    <w:name w:val="heading 5"/>
    <w:basedOn w:val="Normal"/>
    <w:next w:val="Normal"/>
    <w:uiPriority w:val="9"/>
    <w:semiHidden/>
    <w:unhideWhenUsed/>
    <w:qFormat/>
    <w:pPr>
      <w:keepNext/>
      <w:keepLines/>
      <w:numPr>
        <w:ilvl w:val="4"/>
        <w:numId w:val="1"/>
      </w:numPr>
      <w:spacing w:before="40" w:after="0"/>
      <w:ind w:left="-1" w:hanging="1"/>
      <w:outlineLvl w:val="4"/>
    </w:pPr>
    <w:rPr>
      <w:rFonts w:ascii="Calibri Light" w:eastAsia="Times New Roman" w:hAnsi="Calibri Light" w:cs="Times New Roman"/>
      <w:color w:val="2E74B5"/>
    </w:rPr>
  </w:style>
  <w:style w:type="paragraph" w:styleId="Heading6">
    <w:name w:val="heading 6"/>
    <w:basedOn w:val="Normal"/>
    <w:next w:val="Normal"/>
    <w:uiPriority w:val="9"/>
    <w:semiHidden/>
    <w:unhideWhenUsed/>
    <w:qFormat/>
    <w:pPr>
      <w:keepNext/>
      <w:keepLines/>
      <w:numPr>
        <w:ilvl w:val="5"/>
        <w:numId w:val="1"/>
      </w:numPr>
      <w:spacing w:before="40" w:after="0"/>
      <w:ind w:left="-1" w:hanging="1"/>
      <w:outlineLvl w:val="5"/>
    </w:pPr>
    <w:rPr>
      <w:rFonts w:ascii="Calibri Light" w:eastAsia="Times New Roman" w:hAnsi="Calibri Light" w:cs="Times New Roman"/>
      <w:color w:val="1F4D78"/>
    </w:rPr>
  </w:style>
  <w:style w:type="paragraph" w:styleId="Heading7">
    <w:name w:val="heading 7"/>
    <w:basedOn w:val="Normal"/>
    <w:next w:val="Normal"/>
    <w:qFormat/>
    <w:pPr>
      <w:keepNext/>
      <w:keepLines/>
      <w:numPr>
        <w:ilvl w:val="6"/>
        <w:numId w:val="1"/>
      </w:numPr>
      <w:spacing w:before="40" w:after="0"/>
      <w:ind w:left="-1" w:hanging="1"/>
      <w:outlineLvl w:val="6"/>
    </w:pPr>
    <w:rPr>
      <w:rFonts w:ascii="Calibri Light" w:eastAsia="Times New Roman" w:hAnsi="Calibri Light" w:cs="Times New Roman"/>
      <w:i/>
      <w:iCs/>
      <w:color w:val="1F4D78"/>
    </w:rPr>
  </w:style>
  <w:style w:type="paragraph" w:styleId="Heading8">
    <w:name w:val="heading 8"/>
    <w:basedOn w:val="Normal"/>
    <w:next w:val="Normal"/>
    <w:qFormat/>
    <w:pPr>
      <w:keepNext/>
      <w:keepLines/>
      <w:numPr>
        <w:ilvl w:val="7"/>
        <w:numId w:val="1"/>
      </w:numPr>
      <w:spacing w:before="40" w:after="0"/>
      <w:ind w:left="-1" w:hanging="1"/>
      <w:outlineLvl w:val="7"/>
    </w:pPr>
    <w:rPr>
      <w:rFonts w:ascii="Calibri Light" w:eastAsia="Times New Roman" w:hAnsi="Calibri Light" w:cs="Times New Roman"/>
      <w:color w:val="272727"/>
      <w:sz w:val="21"/>
      <w:szCs w:val="21"/>
    </w:rPr>
  </w:style>
  <w:style w:type="paragraph" w:styleId="Heading9">
    <w:name w:val="heading 9"/>
    <w:basedOn w:val="Normal"/>
    <w:next w:val="Normal"/>
    <w:qFormat/>
    <w:pPr>
      <w:keepNext/>
      <w:keepLines/>
      <w:numPr>
        <w:ilvl w:val="8"/>
        <w:numId w:val="1"/>
      </w:numPr>
      <w:spacing w:before="40" w:after="0"/>
      <w:ind w:left="-1" w:hanging="1"/>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jc w:val="center"/>
    </w:pPr>
    <w:rPr>
      <w:rFonts w:ascii="Calibri Light" w:eastAsia="Times New Roman" w:hAnsi="Calibri Light" w:cs="Times New Roman"/>
      <w:b/>
      <w:spacing w:val="-10"/>
      <w:kern w:val="28"/>
      <w:sz w:val="28"/>
      <w:szCs w:val="56"/>
    </w:rPr>
  </w:style>
  <w:style w:type="character" w:customStyle="1" w:styleId="Heading1Char">
    <w:name w:val="Heading 1 Char"/>
    <w:rPr>
      <w:rFonts w:ascii="Calibri Light" w:eastAsia="Times New Roman" w:hAnsi="Calibri Light" w:cs="Times New Roman"/>
      <w:b/>
      <w:w w:val="100"/>
      <w:position w:val="-1"/>
      <w:sz w:val="20"/>
      <w:szCs w:val="32"/>
      <w:effect w:val="none"/>
      <w:vertAlign w:val="baseline"/>
      <w:cs w:val="0"/>
      <w:em w:val="none"/>
    </w:rPr>
  </w:style>
  <w:style w:type="character" w:customStyle="1" w:styleId="Heading2Char">
    <w:name w:val="Heading 2 Char"/>
    <w:rPr>
      <w:rFonts w:ascii="Calibri Light" w:eastAsia="Times New Roman" w:hAnsi="Calibri Light" w:cs="Times New Roman"/>
      <w:b/>
      <w:w w:val="100"/>
      <w:position w:val="-1"/>
      <w:sz w:val="20"/>
      <w:szCs w:val="26"/>
      <w:effect w:val="none"/>
      <w:vertAlign w:val="baseline"/>
      <w:cs w:val="0"/>
      <w:em w:val="none"/>
    </w:rPr>
  </w:style>
  <w:style w:type="character" w:customStyle="1" w:styleId="Heading3Char">
    <w:name w:val="Heading 3 Char"/>
    <w:rPr>
      <w:rFonts w:ascii="Calibri Light" w:eastAsia="Times New Roman" w:hAnsi="Calibri Light" w:cs="Times New Roman"/>
      <w:i/>
      <w:w w:val="100"/>
      <w:position w:val="-1"/>
      <w:sz w:val="20"/>
      <w:szCs w:val="24"/>
      <w:effect w:val="none"/>
      <w:vertAlign w:val="baseline"/>
      <w:cs w:val="0"/>
      <w:em w:val="none"/>
    </w:rPr>
  </w:style>
  <w:style w:type="character" w:customStyle="1" w:styleId="Heading4Char">
    <w:name w:val="Heading 4 Char"/>
    <w:rPr>
      <w:rFonts w:ascii="Calibri Light" w:eastAsia="Times New Roman" w:hAnsi="Calibri Light" w:cs="Times New Roman"/>
      <w:i/>
      <w:iCs/>
      <w:color w:val="2E74B5"/>
      <w:w w:val="100"/>
      <w:position w:val="-1"/>
      <w:effect w:val="none"/>
      <w:vertAlign w:val="baseline"/>
      <w:cs w:val="0"/>
      <w:em w:val="none"/>
    </w:rPr>
  </w:style>
  <w:style w:type="character" w:customStyle="1" w:styleId="Heading5Char">
    <w:name w:val="Heading 5 Char"/>
    <w:rPr>
      <w:rFonts w:ascii="Calibri Light" w:eastAsia="Times New Roman" w:hAnsi="Calibri Light" w:cs="Times New Roman"/>
      <w:color w:val="2E74B5"/>
      <w:w w:val="100"/>
      <w:position w:val="-1"/>
      <w:effect w:val="none"/>
      <w:vertAlign w:val="baseline"/>
      <w:cs w:val="0"/>
      <w:em w:val="none"/>
    </w:rPr>
  </w:style>
  <w:style w:type="character" w:customStyle="1" w:styleId="Heading6Char">
    <w:name w:val="Heading 6 Char"/>
    <w:rPr>
      <w:rFonts w:ascii="Calibri Light" w:eastAsia="Times New Roman" w:hAnsi="Calibri Light" w:cs="Times New Roman"/>
      <w:color w:val="1F4D78"/>
      <w:w w:val="100"/>
      <w:position w:val="-1"/>
      <w:effect w:val="none"/>
      <w:vertAlign w:val="baseline"/>
      <w:cs w:val="0"/>
      <w:em w:val="none"/>
    </w:rPr>
  </w:style>
  <w:style w:type="character" w:customStyle="1" w:styleId="Heading7Char">
    <w:name w:val="Heading 7 Char"/>
    <w:rPr>
      <w:rFonts w:ascii="Calibri Light" w:eastAsia="Times New Roman" w:hAnsi="Calibri Light" w:cs="Times New Roman"/>
      <w:i/>
      <w:iCs/>
      <w:color w:val="1F4D78"/>
      <w:w w:val="100"/>
      <w:position w:val="-1"/>
      <w:effect w:val="none"/>
      <w:vertAlign w:val="baseline"/>
      <w:cs w:val="0"/>
      <w:em w:val="none"/>
    </w:rPr>
  </w:style>
  <w:style w:type="character" w:customStyle="1" w:styleId="Heading8Char">
    <w:name w:val="Heading 8 Char"/>
    <w:rPr>
      <w:rFonts w:ascii="Calibri Light" w:eastAsia="Times New Roman" w:hAnsi="Calibri Light" w:cs="Times New Roman"/>
      <w:color w:val="272727"/>
      <w:w w:val="100"/>
      <w:position w:val="-1"/>
      <w:sz w:val="21"/>
      <w:szCs w:val="21"/>
      <w:effect w:val="none"/>
      <w:vertAlign w:val="baseline"/>
      <w:cs w:val="0"/>
      <w:em w:val="none"/>
    </w:rPr>
  </w:style>
  <w:style w:type="character" w:customStyle="1" w:styleId="Heading9Char">
    <w:name w:val="Heading 9 Char"/>
    <w:rPr>
      <w:rFonts w:ascii="Calibri Light" w:eastAsia="Times New Roman" w:hAnsi="Calibri Light" w:cs="Times New Roman"/>
      <w:i/>
      <w:iCs/>
      <w:color w:val="272727"/>
      <w:w w:val="100"/>
      <w:position w:val="-1"/>
      <w:sz w:val="21"/>
      <w:szCs w:val="21"/>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Caption">
    <w:name w:val="caption"/>
    <w:basedOn w:val="Normal"/>
    <w:next w:val="Normal"/>
    <w:qFormat/>
    <w:pPr>
      <w:spacing w:before="120" w:after="120" w:line="240" w:lineRule="auto"/>
      <w:jc w:val="center"/>
    </w:pPr>
    <w:rPr>
      <w:iCs/>
      <w:sz w:val="18"/>
      <w:szCs w:val="18"/>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Header">
    <w:name w:val="header"/>
    <w:basedOn w:val="Normal"/>
    <w:qFormat/>
    <w:pPr>
      <w:tabs>
        <w:tab w:val="center" w:pos="4680"/>
        <w:tab w:val="right" w:pos="9360"/>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character" w:styleId="Hyperlink">
    <w:name w:val="Hyperlink"/>
    <w:basedOn w:val="DefaultParagraphFont"/>
    <w:qFormat/>
    <w:rPr>
      <w:color w:val="0000FF"/>
      <w:w w:val="100"/>
      <w:position w:val="-1"/>
      <w:u w:val="single"/>
      <w:effect w:val="none"/>
      <w:vertAlign w:val="baseline"/>
      <w:cs w:val="0"/>
      <w:em w:val="none"/>
    </w:rPr>
  </w:style>
  <w:style w:type="character" w:customStyle="1" w:styleId="TitleChar">
    <w:name w:val="Title Char"/>
    <w:rPr>
      <w:rFonts w:ascii="Calibri Light" w:eastAsia="Times New Roman" w:hAnsi="Calibri Light" w:cs="Times New Roman"/>
      <w:b/>
      <w:spacing w:val="-10"/>
      <w:w w:val="100"/>
      <w:kern w:val="28"/>
      <w:position w:val="-1"/>
      <w:sz w:val="28"/>
      <w:szCs w:val="56"/>
      <w:effect w:val="none"/>
      <w:vertAlign w:val="baseline"/>
      <w:cs w:val="0"/>
      <w:em w:val="none"/>
    </w:rPr>
  </w:style>
  <w:style w:type="paragraph" w:customStyle="1" w:styleId="Penulis">
    <w:name w:val="Penulis"/>
    <w:basedOn w:val="Normal"/>
    <w:pPr>
      <w:spacing w:after="0" w:line="240" w:lineRule="auto"/>
      <w:jc w:val="center"/>
    </w:pPr>
  </w:style>
  <w:style w:type="paragraph" w:customStyle="1" w:styleId="Alamat">
    <w:name w:val="Alamat"/>
    <w:basedOn w:val="Penulis"/>
    <w:pPr>
      <w:pBdr>
        <w:bottom w:val="single" w:sz="4" w:space="1" w:color="auto"/>
      </w:pBdr>
      <w:contextualSpacing/>
    </w:pPr>
  </w:style>
  <w:style w:type="paragraph" w:customStyle="1" w:styleId="Abstrak">
    <w:name w:val="Abstrak"/>
    <w:basedOn w:val="Normal"/>
    <w:pPr>
      <w:spacing w:before="120" w:after="120"/>
      <w:jc w:val="center"/>
    </w:pPr>
    <w:rPr>
      <w:b/>
    </w:rPr>
  </w:style>
  <w:style w:type="paragraph" w:customStyle="1" w:styleId="Isiabstrak">
    <w:name w:val="Isi abstrak"/>
    <w:basedOn w:val="Abstrak"/>
    <w:pPr>
      <w:spacing w:before="0" w:after="240" w:line="240" w:lineRule="auto"/>
      <w:jc w:val="both"/>
    </w:pPr>
    <w:rPr>
      <w:b w:val="0"/>
    </w:rPr>
  </w:style>
  <w:style w:type="paragraph" w:customStyle="1" w:styleId="Katakunci">
    <w:name w:val="Kata kunci"/>
    <w:basedOn w:val="Isiabstrak"/>
  </w:style>
  <w:style w:type="paragraph" w:customStyle="1" w:styleId="Abstract">
    <w:name w:val="Abstract"/>
    <w:basedOn w:val="Abstrak"/>
    <w:rPr>
      <w:i/>
    </w:rPr>
  </w:style>
  <w:style w:type="paragraph" w:customStyle="1" w:styleId="Isiabstract">
    <w:name w:val="Isi abstract"/>
    <w:basedOn w:val="Isiabstrak"/>
    <w:rPr>
      <w:i/>
    </w:rPr>
  </w:style>
  <w:style w:type="paragraph" w:customStyle="1" w:styleId="Keywords">
    <w:name w:val="Keywords"/>
    <w:basedOn w:val="Katakunci"/>
    <w:pPr>
      <w:pBdr>
        <w:bottom w:val="single" w:sz="4" w:space="1" w:color="auto"/>
      </w:pBdr>
      <w:spacing w:line="288" w:lineRule="auto"/>
    </w:pPr>
    <w:rPr>
      <w:i/>
    </w:rPr>
  </w:style>
  <w:style w:type="paragraph" w:styleId="ListParagraph">
    <w:name w:val="List Paragraph"/>
    <w:basedOn w:val="Normal"/>
    <w:uiPriority w:val="34"/>
    <w:qFormat/>
    <w:pPr>
      <w:spacing w:line="240" w:lineRule="auto"/>
      <w:ind w:left="720"/>
      <w:contextualSpacing/>
    </w:pPr>
  </w:style>
  <w:style w:type="paragraph" w:customStyle="1" w:styleId="Teks">
    <w:name w:val="Teks"/>
    <w:basedOn w:val="Normal"/>
    <w:pPr>
      <w:spacing w:line="240" w:lineRule="auto"/>
    </w:pPr>
  </w:style>
  <w:style w:type="character" w:styleId="PlaceholderText">
    <w:name w:val="Placeholder Text"/>
    <w:rPr>
      <w:color w:val="808080"/>
      <w:w w:val="100"/>
      <w:position w:val="-1"/>
      <w:effect w:val="none"/>
      <w:vertAlign w:val="baseline"/>
      <w:cs w:val="0"/>
      <w:em w:val="none"/>
    </w:rPr>
  </w:style>
  <w:style w:type="paragraph" w:customStyle="1" w:styleId="Rumus">
    <w:name w:val="Rumus"/>
    <w:basedOn w:val="Teks"/>
    <w:pPr>
      <w:tabs>
        <w:tab w:val="right" w:pos="8789"/>
      </w:tabs>
    </w:pPr>
  </w:style>
  <w:style w:type="paragraph" w:customStyle="1" w:styleId="Referensi">
    <w:name w:val="Referensi"/>
    <w:basedOn w:val="Normal"/>
    <w:pPr>
      <w:ind w:left="567" w:hanging="567"/>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styleId="TableGrid">
    <w:name w:val="Table Grid"/>
    <w:basedOn w:val="TableNormal"/>
    <w:uiPriority w:val="59"/>
    <w:rsid w:val="00585502"/>
    <w:pPr>
      <w:spacing w:after="0" w:line="240" w:lineRule="auto"/>
      <w:jc w:val="left"/>
    </w:pPr>
    <w:rPr>
      <w:rFonts w:ascii="Times New Roman" w:eastAsia="Times New Roman" w:hAnsi="Times New Roman"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C0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wahyudisutopo@staff.uns.ac.id"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b/by0l51aW0WOofI1RFYHfYfg==">AMUW2mVjEvNQIvYhY9S12hgr6BD4CyOBlLx/6gmnfe5y0Uymi9q4C/dAttla4DFqJD6rtuE6RPXOQjLZRlUhGlAPLqY7mvUi6i2fe6VTAxpUw8XIcjDW96D1apk2PFF57v5dXHooyWzK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5390B0-C10D-4C89-A314-8F1031726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17075</Words>
  <Characters>97330</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2023-10-10T03:00:00Z</dcterms:created>
  <dcterms:modified xsi:type="dcterms:W3CDTF">2023-10-10T08:10:00Z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39e594fc-3a24-35a5-b0dc-db9708d10577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f529a126f04835ddc67b5dbf7178101c10a4fb6266049caa27b18312815f9a28</vt:lpwstr>
  </property>
</Properties>
</file>