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54" w:rsidRPr="00CC1F54" w:rsidRDefault="00CC1F54" w:rsidP="00CC1F54">
      <w:pPr>
        <w:spacing w:after="0" w:line="240" w:lineRule="auto"/>
        <w:jc w:val="center"/>
        <w:rPr>
          <w:rFonts w:ascii="Times New Roman" w:eastAsia="Times New Roman" w:hAnsi="Times New Roman" w:cs="Times New Roman"/>
          <w:b/>
          <w:sz w:val="28"/>
          <w:szCs w:val="28"/>
          <w:lang w:val="en-GB"/>
        </w:rPr>
      </w:pPr>
      <w:r w:rsidRPr="00CC1F54">
        <w:rPr>
          <w:rFonts w:ascii="Times New Roman" w:eastAsia="Times New Roman" w:hAnsi="Times New Roman" w:cs="Times New Roman"/>
          <w:b/>
          <w:sz w:val="28"/>
          <w:szCs w:val="28"/>
          <w:lang w:val="en-GB"/>
        </w:rPr>
        <w:t xml:space="preserve">Analysis of Factors Affecting Purchase Intention to Use:  A Study on </w:t>
      </w:r>
      <w:proofErr w:type="gramStart"/>
      <w:r w:rsidRPr="00CC1F54">
        <w:rPr>
          <w:rFonts w:ascii="Times New Roman" w:eastAsia="Times New Roman" w:hAnsi="Times New Roman" w:cs="Times New Roman"/>
          <w:b/>
          <w:sz w:val="28"/>
          <w:szCs w:val="28"/>
          <w:lang w:val="en-GB"/>
        </w:rPr>
        <w:t>The</w:t>
      </w:r>
      <w:proofErr w:type="gramEnd"/>
      <w:r w:rsidRPr="00CC1F54">
        <w:rPr>
          <w:rFonts w:ascii="Times New Roman" w:eastAsia="Times New Roman" w:hAnsi="Times New Roman" w:cs="Times New Roman"/>
          <w:b/>
          <w:sz w:val="28"/>
          <w:szCs w:val="28"/>
          <w:lang w:val="en-GB"/>
        </w:rPr>
        <w:t xml:space="preserve"> Swoop Transportation Application</w:t>
      </w:r>
    </w:p>
    <w:p w:rsidR="00CC1F54" w:rsidRPr="00CC1F54" w:rsidRDefault="00CC1F54" w:rsidP="00CC1F54">
      <w:pPr>
        <w:spacing w:after="0" w:line="240" w:lineRule="auto"/>
        <w:jc w:val="center"/>
        <w:rPr>
          <w:rFonts w:ascii="Times New Roman" w:eastAsia="Times New Roman" w:hAnsi="Times New Roman" w:cs="Times New Roman"/>
          <w:sz w:val="24"/>
          <w:szCs w:val="24"/>
          <w:lang w:val="en-GB"/>
        </w:rPr>
      </w:pPr>
    </w:p>
    <w:p w:rsidR="00CC1F54" w:rsidRPr="00CC1F54" w:rsidRDefault="00CC1F54" w:rsidP="00CC1F54">
      <w:pPr>
        <w:spacing w:after="0" w:line="240" w:lineRule="auto"/>
        <w:jc w:val="center"/>
        <w:rPr>
          <w:rFonts w:ascii="Times New Roman" w:eastAsia="Times New Roman" w:hAnsi="Times New Roman" w:cs="Times New Roman"/>
          <w:b/>
          <w:lang w:val="en-GB"/>
        </w:rPr>
      </w:pPr>
      <w:proofErr w:type="spellStart"/>
      <w:r w:rsidRPr="00CC1F54">
        <w:rPr>
          <w:rFonts w:ascii="Times New Roman" w:eastAsia="Cambria" w:hAnsi="Times New Roman" w:cs="Times New Roman"/>
          <w:b/>
          <w:lang w:val="en-GB"/>
        </w:rPr>
        <w:t>Tazqia</w:t>
      </w:r>
      <w:proofErr w:type="spellEnd"/>
      <w:r w:rsidRPr="00CC1F54">
        <w:rPr>
          <w:rFonts w:ascii="Times New Roman" w:eastAsia="Cambria" w:hAnsi="Times New Roman" w:cs="Times New Roman"/>
          <w:b/>
          <w:lang w:val="en-GB"/>
        </w:rPr>
        <w:t xml:space="preserve"> Nabila Lazuardi</w:t>
      </w:r>
      <w:r w:rsidRPr="00CC1F54">
        <w:rPr>
          <w:rFonts w:ascii="Times New Roman" w:eastAsia="Cambria" w:hAnsi="Times New Roman" w:cs="Times New Roman"/>
          <w:b/>
          <w:vertAlign w:val="superscript"/>
          <w:lang w:val="en-GB"/>
        </w:rPr>
        <w:t>1</w:t>
      </w:r>
      <w:r w:rsidRPr="00CC1F54">
        <w:rPr>
          <w:rFonts w:ascii="Times New Roman" w:eastAsia="Cambria" w:hAnsi="Times New Roman" w:cs="Times New Roman"/>
          <w:b/>
          <w:lang w:val="en-GB"/>
        </w:rPr>
        <w:br/>
      </w:r>
      <w:proofErr w:type="spellStart"/>
      <w:r w:rsidRPr="00CC1F54">
        <w:rPr>
          <w:rFonts w:ascii="Times New Roman" w:eastAsia="Cambria" w:hAnsi="Times New Roman" w:cs="Times New Roman"/>
          <w:b/>
          <w:lang w:val="en-GB"/>
        </w:rPr>
        <w:t>Tantri</w:t>
      </w:r>
      <w:proofErr w:type="spellEnd"/>
      <w:r w:rsidRPr="00CC1F54">
        <w:rPr>
          <w:rFonts w:ascii="Times New Roman" w:eastAsia="Cambria" w:hAnsi="Times New Roman" w:cs="Times New Roman"/>
          <w:b/>
          <w:lang w:val="en-GB"/>
        </w:rPr>
        <w:t xml:space="preserve"> </w:t>
      </w:r>
      <w:proofErr w:type="spellStart"/>
      <w:r w:rsidRPr="00CC1F54">
        <w:rPr>
          <w:rFonts w:ascii="Times New Roman" w:eastAsia="Cambria" w:hAnsi="Times New Roman" w:cs="Times New Roman"/>
          <w:b/>
          <w:lang w:val="en-GB"/>
        </w:rPr>
        <w:t>Yanuar</w:t>
      </w:r>
      <w:proofErr w:type="spellEnd"/>
      <w:r w:rsidRPr="00CC1F54">
        <w:rPr>
          <w:rFonts w:ascii="Times New Roman" w:eastAsia="Cambria" w:hAnsi="Times New Roman" w:cs="Times New Roman"/>
          <w:b/>
          <w:lang w:val="en-GB"/>
        </w:rPr>
        <w:t xml:space="preserve"> </w:t>
      </w:r>
      <w:proofErr w:type="spellStart"/>
      <w:r w:rsidRPr="00CC1F54">
        <w:rPr>
          <w:rFonts w:ascii="Times New Roman" w:eastAsia="Cambria" w:hAnsi="Times New Roman" w:cs="Times New Roman"/>
          <w:b/>
          <w:lang w:val="en-GB"/>
        </w:rPr>
        <w:t>Rahmat</w:t>
      </w:r>
      <w:proofErr w:type="spellEnd"/>
      <w:r w:rsidRPr="00CC1F54">
        <w:rPr>
          <w:rFonts w:ascii="Times New Roman" w:eastAsia="Cambria" w:hAnsi="Times New Roman" w:cs="Times New Roman"/>
          <w:b/>
          <w:lang w:val="en-GB"/>
        </w:rPr>
        <w:t xml:space="preserve"> Syah</w:t>
      </w:r>
      <w:r w:rsidRPr="00CC1F54">
        <w:rPr>
          <w:rFonts w:ascii="Times New Roman" w:eastAsia="Cambria" w:hAnsi="Times New Roman" w:cs="Times New Roman"/>
          <w:b/>
          <w:vertAlign w:val="superscript"/>
          <w:lang w:val="en-GB"/>
        </w:rPr>
        <w:t>2</w:t>
      </w:r>
      <w:r w:rsidRPr="00CC1F54">
        <w:rPr>
          <w:rFonts w:ascii="Times New Roman" w:eastAsia="Cambria" w:hAnsi="Times New Roman" w:cs="Times New Roman"/>
          <w:b/>
          <w:lang w:val="en-GB"/>
        </w:rPr>
        <w:t xml:space="preserve"> </w:t>
      </w:r>
      <w:r w:rsidRPr="00CC1F54">
        <w:rPr>
          <w:rFonts w:ascii="Times New Roman" w:eastAsia="Cambria" w:hAnsi="Times New Roman" w:cs="Times New Roman"/>
          <w:b/>
          <w:lang w:val="en-GB"/>
        </w:rPr>
        <w:br/>
      </w:r>
    </w:p>
    <w:p w:rsidR="00CC1F54" w:rsidRPr="00CC1F54" w:rsidRDefault="00CC1F54" w:rsidP="00CC1F54">
      <w:pPr>
        <w:spacing w:after="0" w:line="240" w:lineRule="auto"/>
        <w:jc w:val="center"/>
        <w:rPr>
          <w:rFonts w:ascii="Times New Roman" w:eastAsia="Times New Roman" w:hAnsi="Times New Roman" w:cs="Times New Roman"/>
          <w:sz w:val="20"/>
          <w:szCs w:val="20"/>
          <w:lang w:val="en-GB"/>
        </w:rPr>
      </w:pPr>
      <w:r w:rsidRPr="00CC1F54">
        <w:rPr>
          <w:rFonts w:ascii="Times New Roman" w:eastAsia="Times New Roman" w:hAnsi="Times New Roman" w:cs="Times New Roman"/>
          <w:sz w:val="20"/>
          <w:szCs w:val="20"/>
          <w:vertAlign w:val="superscript"/>
          <w:lang w:val="en-GB"/>
        </w:rPr>
        <w:t>1</w:t>
      </w:r>
      <w:proofErr w:type="gramStart"/>
      <w:r w:rsidRPr="00CC1F54">
        <w:rPr>
          <w:rFonts w:ascii="Times New Roman" w:eastAsia="Times New Roman" w:hAnsi="Times New Roman" w:cs="Times New Roman"/>
          <w:sz w:val="20"/>
          <w:szCs w:val="20"/>
          <w:vertAlign w:val="superscript"/>
          <w:lang w:val="en-GB"/>
        </w:rPr>
        <w:t>,2</w:t>
      </w:r>
      <w:proofErr w:type="gramEnd"/>
      <w:r w:rsidRPr="00CC1F54">
        <w:rPr>
          <w:rFonts w:ascii="Times New Roman" w:eastAsia="Times New Roman" w:hAnsi="Times New Roman" w:cs="Times New Roman"/>
          <w:sz w:val="20"/>
          <w:szCs w:val="20"/>
          <w:vertAlign w:val="superscript"/>
          <w:lang w:val="en-GB"/>
        </w:rPr>
        <w:t>)</w:t>
      </w:r>
      <w:r w:rsidRPr="00CC1F54">
        <w:rPr>
          <w:rFonts w:ascii="Times New Roman" w:eastAsia="Times New Roman" w:hAnsi="Times New Roman" w:cs="Times New Roman"/>
          <w:sz w:val="20"/>
          <w:szCs w:val="20"/>
          <w:lang w:val="en-GB"/>
        </w:rPr>
        <w:t xml:space="preserve">Faculty of Economics, </w:t>
      </w:r>
      <w:proofErr w:type="spellStart"/>
      <w:r w:rsidRPr="00CC1F54">
        <w:rPr>
          <w:rFonts w:ascii="Times New Roman" w:eastAsia="Times New Roman" w:hAnsi="Times New Roman" w:cs="Times New Roman"/>
          <w:sz w:val="20"/>
          <w:szCs w:val="20"/>
          <w:lang w:val="en-GB"/>
        </w:rPr>
        <w:t>Esa</w:t>
      </w:r>
      <w:proofErr w:type="spellEnd"/>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Unggul</w:t>
      </w:r>
      <w:proofErr w:type="spellEnd"/>
      <w:r w:rsidRPr="00CC1F54">
        <w:rPr>
          <w:rFonts w:ascii="Times New Roman" w:eastAsia="Times New Roman" w:hAnsi="Times New Roman" w:cs="Times New Roman"/>
          <w:sz w:val="20"/>
          <w:szCs w:val="20"/>
          <w:lang w:val="en-GB"/>
        </w:rPr>
        <w:t xml:space="preserve"> University</w:t>
      </w:r>
    </w:p>
    <w:p w:rsidR="00CC1F54" w:rsidRPr="00CC1F54" w:rsidRDefault="00CC1F54" w:rsidP="00CC1F54">
      <w:pPr>
        <w:spacing w:after="0" w:line="240" w:lineRule="auto"/>
        <w:jc w:val="center"/>
        <w:rPr>
          <w:rFonts w:ascii="Times New Roman" w:eastAsia="Times New Roman" w:hAnsi="Times New Roman" w:cs="Times New Roman"/>
          <w:sz w:val="20"/>
          <w:szCs w:val="20"/>
          <w:lang w:val="en-GB"/>
        </w:rPr>
      </w:pPr>
      <w:proofErr w:type="spellStart"/>
      <w:proofErr w:type="gramStart"/>
      <w:r w:rsidRPr="00CC1F54">
        <w:rPr>
          <w:rFonts w:ascii="Times New Roman" w:eastAsia="Times New Roman" w:hAnsi="Times New Roman" w:cs="Times New Roman"/>
          <w:sz w:val="20"/>
          <w:szCs w:val="20"/>
          <w:lang w:val="en-GB"/>
        </w:rPr>
        <w:t>Jl</w:t>
      </w:r>
      <w:proofErr w:type="spellEnd"/>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Arjuna</w:t>
      </w:r>
      <w:proofErr w:type="spellEnd"/>
      <w:r w:rsidRPr="00CC1F54">
        <w:rPr>
          <w:rFonts w:ascii="Times New Roman" w:eastAsia="Times New Roman" w:hAnsi="Times New Roman" w:cs="Times New Roman"/>
          <w:sz w:val="20"/>
          <w:szCs w:val="20"/>
          <w:lang w:val="en-GB"/>
        </w:rPr>
        <w:t xml:space="preserve"> Utara No.</w:t>
      </w:r>
      <w:proofErr w:type="gramEnd"/>
      <w:r w:rsidRPr="00CC1F54">
        <w:rPr>
          <w:rFonts w:ascii="Times New Roman" w:eastAsia="Times New Roman" w:hAnsi="Times New Roman" w:cs="Times New Roman"/>
          <w:sz w:val="20"/>
          <w:szCs w:val="20"/>
          <w:lang w:val="en-GB"/>
        </w:rPr>
        <w:t xml:space="preserve">  9</w:t>
      </w:r>
      <w:proofErr w:type="gramStart"/>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Duri</w:t>
      </w:r>
      <w:proofErr w:type="spellEnd"/>
      <w:proofErr w:type="gramEnd"/>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Kepa</w:t>
      </w:r>
      <w:proofErr w:type="spellEnd"/>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Kebon</w:t>
      </w:r>
      <w:proofErr w:type="spellEnd"/>
      <w:r w:rsidRPr="00CC1F54">
        <w:rPr>
          <w:rFonts w:ascii="Times New Roman" w:eastAsia="Times New Roman" w:hAnsi="Times New Roman" w:cs="Times New Roman"/>
          <w:sz w:val="20"/>
          <w:szCs w:val="20"/>
          <w:lang w:val="en-GB"/>
        </w:rPr>
        <w:t xml:space="preserve"> </w:t>
      </w:r>
      <w:proofErr w:type="spellStart"/>
      <w:r w:rsidRPr="00CC1F54">
        <w:rPr>
          <w:rFonts w:ascii="Times New Roman" w:eastAsia="Times New Roman" w:hAnsi="Times New Roman" w:cs="Times New Roman"/>
          <w:sz w:val="20"/>
          <w:szCs w:val="20"/>
          <w:lang w:val="en-GB"/>
        </w:rPr>
        <w:t>Jeruk</w:t>
      </w:r>
      <w:proofErr w:type="spellEnd"/>
      <w:r w:rsidRPr="00CC1F54">
        <w:rPr>
          <w:rFonts w:ascii="Times New Roman" w:eastAsia="Times New Roman" w:hAnsi="Times New Roman" w:cs="Times New Roman"/>
          <w:sz w:val="20"/>
          <w:szCs w:val="20"/>
          <w:lang w:val="en-GB"/>
        </w:rPr>
        <w:t>, Kota Jakarta Barat</w:t>
      </w:r>
    </w:p>
    <w:p w:rsidR="00CC1F54" w:rsidRPr="00CC1F54" w:rsidRDefault="00CC1F54" w:rsidP="00CC1F54">
      <w:pPr>
        <w:spacing w:after="0" w:line="240" w:lineRule="auto"/>
        <w:jc w:val="center"/>
        <w:rPr>
          <w:rFonts w:ascii="Times New Roman" w:eastAsia="Times New Roman" w:hAnsi="Times New Roman" w:cs="Times New Roman"/>
          <w:sz w:val="20"/>
          <w:szCs w:val="20"/>
          <w:lang w:val="en-GB"/>
        </w:rPr>
      </w:pPr>
      <w:r w:rsidRPr="00CC1F54">
        <w:rPr>
          <w:rFonts w:ascii="Times New Roman" w:eastAsia="Times New Roman" w:hAnsi="Times New Roman" w:cs="Times New Roman"/>
          <w:sz w:val="20"/>
          <w:szCs w:val="20"/>
          <w:lang w:val="en-GB"/>
        </w:rPr>
        <w:t>Email: tazqianabilaa@student.esaunggul.ac.id</w:t>
      </w:r>
    </w:p>
    <w:p w:rsidR="00737C05" w:rsidRDefault="00737C05" w:rsidP="00737C05">
      <w:pPr>
        <w:spacing w:before="60" w:after="60"/>
        <w:ind w:left="2268" w:right="1701"/>
        <w:jc w:val="center"/>
        <w:rPr>
          <w:rFonts w:ascii="Times New Roman" w:eastAsia="Calibri" w:hAnsi="Times New Roman" w:cs="Times New Roman"/>
          <w:b/>
          <w:sz w:val="28"/>
          <w:szCs w:val="28"/>
        </w:rPr>
      </w:pPr>
    </w:p>
    <w:p w:rsidR="00737C05" w:rsidRPr="00737C05" w:rsidRDefault="004368A9" w:rsidP="00856DCA">
      <w:pPr>
        <w:spacing w:after="0" w:line="240" w:lineRule="auto"/>
        <w:jc w:val="center"/>
        <w:rPr>
          <w:rFonts w:ascii="Times New Roman" w:eastAsia="Cambria" w:hAnsi="Times New Roman" w:cs="Times New Roman"/>
          <w:b/>
          <w:sz w:val="24"/>
          <w:szCs w:val="24"/>
        </w:rPr>
      </w:pPr>
      <w:r w:rsidRPr="00737C05">
        <w:rPr>
          <w:rFonts w:ascii="Times New Roman" w:eastAsia="Cambria" w:hAnsi="Times New Roman" w:cs="Times New Roman"/>
          <w:b/>
          <w:sz w:val="24"/>
          <w:szCs w:val="24"/>
        </w:rPr>
        <w:t>ABSTRACT</w:t>
      </w:r>
    </w:p>
    <w:p w:rsidR="00662C8A" w:rsidRDefault="00E81989" w:rsidP="00662C8A">
      <w:pPr>
        <w:pStyle w:val="NormalWeb"/>
        <w:jc w:val="both"/>
      </w:pPr>
      <w:r>
        <w:t>This study investigates the factors influencing purchase intentions for environmentally friendly online transportation services, focusing on Environmental Concern, Perceived Service Value, Brand Familiarity, and Willingness to Pay. By analyzing these elements, the research aims to u</w:t>
      </w:r>
      <w:bookmarkStart w:id="0" w:name="_GoBack"/>
      <w:bookmarkEnd w:id="0"/>
      <w:r>
        <w:t>nderstand their role in fostering sustained interest and usage of eco-friendly transportation options.</w:t>
      </w:r>
      <w:r>
        <w:t xml:space="preserve"> </w:t>
      </w:r>
      <w:r>
        <w:t xml:space="preserve">Utilizing an exploratory approach, we surveyed customers familiar with or who have utilized environmentally friendly transportation in the </w:t>
      </w:r>
      <w:proofErr w:type="spellStart"/>
      <w:r>
        <w:t>Jabodetabek</w:t>
      </w:r>
      <w:proofErr w:type="spellEnd"/>
      <w:r>
        <w:t xml:space="preserve"> area. Our target population includes employees who engage with these services. The findings are anticipated to contribute to marketing management theories by offering insights into consumer behavior related to sustainable purchasing.</w:t>
      </w:r>
      <w:r>
        <w:t xml:space="preserve"> </w:t>
      </w:r>
      <w:r>
        <w:t xml:space="preserve">Data were collected through an online questionnaire, employing purposive sampling to select respondents. Statistical analysis was conducted using SPSS and </w:t>
      </w:r>
      <w:proofErr w:type="spellStart"/>
      <w:r>
        <w:t>Lisrel</w:t>
      </w:r>
      <w:proofErr w:type="spellEnd"/>
      <w:r>
        <w:t xml:space="preserve"> for structural equation modeling (SEM).</w:t>
      </w:r>
      <w:r>
        <w:t xml:space="preserve"> </w:t>
      </w:r>
      <w:r>
        <w:t>Results reveal significant relationships among environmental friendliness, perceived value, brand familiarity, ongoing purchase intentions, and the willingness to pay a premium. This research highlights the application of signaling theory in the context of environmental sustainability, providing valuable insights into how customer perceptions of value drive their intentions to engage with eco-friendly transportation services. These findings can inform effective marketing strategies for promoting sustainable transportation solutions.</w:t>
      </w:r>
    </w:p>
    <w:p w:rsidR="004368A9" w:rsidRPr="00662C8A" w:rsidRDefault="00737C05" w:rsidP="00662C8A">
      <w:pPr>
        <w:pStyle w:val="NormalWeb"/>
        <w:jc w:val="both"/>
      </w:pPr>
      <w:r w:rsidRPr="00737C05">
        <w:rPr>
          <w:rFonts w:eastAsia="Cambria"/>
          <w:b/>
        </w:rPr>
        <w:t>Keywords</w:t>
      </w:r>
      <w:r w:rsidRPr="00737C05">
        <w:rPr>
          <w:rFonts w:eastAsia="Cambria"/>
        </w:rPr>
        <w:t xml:space="preserve">: </w:t>
      </w:r>
      <w:r w:rsidRPr="00737C05">
        <w:rPr>
          <w:rFonts w:eastAsia="Calibri"/>
        </w:rPr>
        <w:t>Environmental concern</w:t>
      </w:r>
      <w:r w:rsidR="00662C8A">
        <w:rPr>
          <w:rFonts w:eastAsia="Calibri"/>
        </w:rPr>
        <w:t xml:space="preserve">, </w:t>
      </w:r>
      <w:r w:rsidRPr="00737C05">
        <w:rPr>
          <w:rFonts w:eastAsia="Calibri"/>
        </w:rPr>
        <w:t>Perceived value,</w:t>
      </w:r>
      <w:r w:rsidR="00662C8A">
        <w:rPr>
          <w:rFonts w:eastAsia="Calibri"/>
        </w:rPr>
        <w:t xml:space="preserve"> </w:t>
      </w:r>
      <w:r w:rsidRPr="00737C05">
        <w:rPr>
          <w:rFonts w:eastAsia="Calibri"/>
        </w:rPr>
        <w:t xml:space="preserve">Brand Familiarity, </w:t>
      </w:r>
      <w:proofErr w:type="spellStart"/>
      <w:proofErr w:type="gramStart"/>
      <w:r w:rsidRPr="00737C05">
        <w:rPr>
          <w:rFonts w:eastAsia="Calibri"/>
        </w:rPr>
        <w:t>Puchase</w:t>
      </w:r>
      <w:proofErr w:type="spellEnd"/>
      <w:r w:rsidRPr="00737C05">
        <w:rPr>
          <w:rFonts w:eastAsia="Calibri"/>
        </w:rPr>
        <w:t xml:space="preserve"> </w:t>
      </w:r>
      <w:r w:rsidR="00662C8A">
        <w:rPr>
          <w:rFonts w:eastAsia="Calibri"/>
        </w:rPr>
        <w:t xml:space="preserve"> </w:t>
      </w:r>
      <w:r w:rsidRPr="00737C05">
        <w:rPr>
          <w:rFonts w:eastAsia="Calibri"/>
        </w:rPr>
        <w:t>Intention</w:t>
      </w:r>
      <w:proofErr w:type="gramEnd"/>
      <w:r w:rsidRPr="00737C05">
        <w:rPr>
          <w:rFonts w:eastAsia="Calibri"/>
        </w:rPr>
        <w:t xml:space="preserve"> </w:t>
      </w:r>
      <w:proofErr w:type="spellStart"/>
      <w:r w:rsidRPr="00737C05">
        <w:rPr>
          <w:rFonts w:eastAsia="Calibri"/>
        </w:rPr>
        <w:t>Willingnes</w:t>
      </w:r>
      <w:proofErr w:type="spellEnd"/>
      <w:r w:rsidRPr="00737C05">
        <w:rPr>
          <w:rFonts w:eastAsia="Calibri"/>
        </w:rPr>
        <w:t xml:space="preserve"> To Pay.</w:t>
      </w:r>
    </w:p>
    <w:p w:rsidR="00662C8A" w:rsidRDefault="00662C8A" w:rsidP="00856DCA">
      <w:pPr>
        <w:spacing w:after="0" w:line="240" w:lineRule="auto"/>
        <w:rPr>
          <w:rFonts w:ascii="Times New Roman" w:eastAsia="Calibri" w:hAnsi="Times New Roman" w:cs="Times New Roman"/>
          <w:b/>
          <w:sz w:val="24"/>
          <w:szCs w:val="24"/>
        </w:rPr>
      </w:pPr>
    </w:p>
    <w:p w:rsidR="00662C8A" w:rsidRDefault="00662C8A" w:rsidP="00856DCA">
      <w:pPr>
        <w:spacing w:after="0" w:line="240" w:lineRule="auto"/>
        <w:rPr>
          <w:rFonts w:ascii="Times New Roman" w:eastAsia="Calibri" w:hAnsi="Times New Roman" w:cs="Times New Roman"/>
          <w:b/>
          <w:sz w:val="24"/>
          <w:szCs w:val="24"/>
        </w:rPr>
      </w:pPr>
    </w:p>
    <w:p w:rsidR="00A468E8" w:rsidRPr="00856DCA" w:rsidRDefault="004368A9" w:rsidP="00856DCA">
      <w:pPr>
        <w:spacing w:after="0" w:line="240" w:lineRule="auto"/>
        <w:rPr>
          <w:rFonts w:ascii="Times New Roman" w:eastAsia="Calibri" w:hAnsi="Times New Roman" w:cs="Times New Roman"/>
          <w:b/>
          <w:sz w:val="24"/>
          <w:szCs w:val="24"/>
        </w:rPr>
      </w:pPr>
      <w:r w:rsidRPr="00856DCA">
        <w:rPr>
          <w:rFonts w:ascii="Times New Roman" w:eastAsia="Calibri" w:hAnsi="Times New Roman" w:cs="Times New Roman"/>
          <w:b/>
          <w:sz w:val="24"/>
          <w:szCs w:val="24"/>
        </w:rPr>
        <w:t>INTRDUCTION</w:t>
      </w:r>
    </w:p>
    <w:p w:rsidR="00A817B3"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sectPr w:rsidR="00A817B3" w:rsidSect="00003230">
          <w:headerReference w:type="even" r:id="rId9"/>
          <w:headerReference w:type="default" r:id="rId10"/>
          <w:pgSz w:w="11907" w:h="16839" w:code="9"/>
          <w:pgMar w:top="1701" w:right="1559" w:bottom="1418" w:left="1701" w:header="709" w:footer="709" w:gutter="0"/>
          <w:cols w:space="708"/>
          <w:docGrid w:linePitch="360"/>
        </w:sectPr>
      </w:pPr>
      <w:r w:rsidRPr="00856DCA">
        <w:rPr>
          <w:rFonts w:ascii="Times New Roman" w:eastAsia="Times New Roman" w:hAnsi="Times New Roman" w:cs="Times New Roman"/>
          <w:color w:val="000000"/>
          <w:sz w:val="24"/>
          <w:szCs w:val="24"/>
          <w:lang w:eastAsia="en-ID"/>
        </w:rPr>
        <w:t xml:space="preserve">Nowadays, the number of increases in public transportation is increasing for daily travel conditions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{"citationItems":[{"id":"ITEM-1","itemData":{"DOI":"10.1016/j.trpro.2022.06.025","ISSN":"23521465","abstract":"The development of the region's economy and social sphere is promoted by the effective functioning of public transport, which contributes to the reduction of traffic jams as a result of the reduced use of personal vehicles; solving the problem of parking spaces in city centers; and reducing emissions of pollutants into the atmosphere. To find out the prospects of plans to introduce mechanisms of economic stimulation of the influx of the population in public transport, it is important to conduct research on the attitude of residents of large Russian cities to the possibility of abandoning the use of private cars as the main means of transportation in their municipalities. The purpose of the study is to develop recommendations to address the reasons that may make urban residents want to own and use private cars for their movements and to popularize the idea of using public transport services by urban residents. During the study a number of hypotheses were formulated, the confirmation or non-confirmation of which was checked in the analysis of the results of the sociological survey with the help of two- and three-dimensional tables. The practical significance of the study lies in the fact that the developed recommendations to popularize the idea of using public transport services by city residents can be used by local authorities.","author":[{"dropping-particle":"","family":"Klychova","given":"Guzaliya","non-dropping-particle":"","parse-names":false,"suffix":""},{"dropping-particle":"","family":"Zakirova","given":"Alsou","non-dropping-particle":"","parse-names":false,"suffix":""},{"dropping-particle":"","family":"Aidosova","given":"Bakhitzhamal","non-dropping-particle":"","parse-names":false,"suffix":""},{"dropping-particle":"","family":"Bukharbayeva","given":"Akmaral","non-dropping-particle":"","parse-names":false,"suffix":""},{"dropping-particle":"","family":"Makenova","given":"Aigul","non-dropping-particle":"","parse-names":false,"suffix":""},{"dropping-particle":"","family":"Zakirov","given":"Ayaz","non-dropping-particle":"","parse-names":false,"suffix":""}],"container-title":"Transportation Research Procedia","id":"ITEM-1","issued":{"date-parts":[["2022"]]},"page":"377-385","publisher":"Elsevier B.V.","title":"Development of recommendations to popularize the idea of using public transport services by city residents","type":"article-journal","volume":"63"},"uris":["http://www.mendeley.com/documents/?uuid=fd48a4c1-cd18-456b-ba6d-d747034a6731"]}],"mendeley":{"formattedCitation":"(Klychova et al., 2022)","plainTextFormattedCitation":"(Klychova et al., 2022)","previouslyFormattedCitation":"(Klychova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(Klychova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Due to the use of private cars as a means of transportation for daily trips, more and more private vehicle owners experience several obstacles in investment matters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{"citationItems":[{"id":"ITEM-1","itemData":{"DOI":"10.1016/j.trpro.2022.06.025","ISSN":"23521465","abstract":"The development of the region's economy and social sphere is promoted by the effective functioning of public transport, which contributes to the reduction of traffic jams as a result of the reduced use of personal vehicles; solving the problem of parking spaces in city centers; and reducing emissions of pollutants into the atmosphere. To find out the prospects of plans to introduce mechanisms of economic stimulation of the influx of the population in public transport, it is important to conduct research on the attitude of residents of large Russian cities to the possibility of abandoning the use of private cars as the main means of transportation in their municipalities. The purpose of the study is to develop recommendations to address the reasons that may make urban residents want to own and use private cars for their movements and to popularize the idea of using public transport services by urban residents. During the study a number of hypotheses were formulated, the confirmation or non-confirmation of which was checked in the analysis of the results of the sociological survey with the help of two- and three-dimensional tables. The practical significance of the study lies in the fact that the developed recommendations to popularize the idea of using public transport services by city residents can be used by local authorities.","author":[{"dropping-particle":"","family":"Klychova","given":"Guzaliya","non-dropping-particle":"","parse-names":false,"suffix":""},{"dropping-particle":"","family":"Zakirova","given":"Alsou","non-dropping-particle":"","parse-names":false,"suffix":""},{"dropping-particle":"","family":"Aidosova","given":"Bakhitzhamal","non-dropping-particle":"","parse-names":false,"suffix":""},{"dropping-particle":"","family":"Bukharbayeva","given":"Akmaral","non-dropping-particle":"","parse-names":false,"suffix":""},{"dropping-particle":"","family":"Makenova","given":"Aigul","non-dropping-particle":"","parse-names":false,"suffix":""},{"dropping-particle":"","family":"Zakirov","given":"Ayaz","non-dropping-particle":"","parse-names":false,"suffix":""}],"container-title":"Transportation Research Procedia","id":"ITEM-1","issued":{"date-parts":[["2022"]]},"page":"377-385","publisher":"Elsevier B.V.","title":"Development of recommendations to popularize the idea of using public transport services by city residents","type":"article-journal","volume":"63"},"uris":["http://www.mendeley.com/documents/?uuid=fd48a4c1-cd18-456b-ba6d-d747034a6731"]}],"mendeley":{"formattedCitation":"(Klychova et al., 2022)","plainTextFormattedCitation":"(Klychova et al., 2022)","previouslyFormattedCitation":"(Klychova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(Klychova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Private vehicle owners themselves face a number of problems including financial investments related to the need for insurance registration, payment of transportation taxes, repairs and maintenance, purchasing fuel, replacing car parts. Not only that, private vehicle owners also experience awareness of the risk of traffic jams and accidents on a large scale.</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{"citationItems":[{"id":"ITEM-1","itemData":{"DOI":"10.1016/j.trpro.2022.06.025","ISSN":"23521465","abstract":"The development of the region's economy and social sphere is promoted by the effective functioning of public transport, which contributes to the reduction of traffic jams as a result of the reduced use of personal vehicles; solving the problem of parking spaces in city centers; and reducing emissions of pollutants into the atmosphere. To find out the prospects of plans to introduce mechanisms of economic stimulation of the influx of the population in public transport, it is important to conduct research on the attitude of residents of large Russian cities to the possibility of abandoning the use of private cars as the main means of transportation in their municipalities. The purpose of the study is to develop recommendations to address the reasons that may make urban residents want to own and use private cars for their movements and to popularize the idea of using public transport services by urban residents. During the study a number of hypotheses were formulated, the confirmation or non-confirmation of which was checked in the analysis of the results of the sociological survey with the help of two- and three-dimensional tables. The practical significance of the study lies in the fact that the developed recommendations to popularize the idea of using public transport services by city residents can be used by local authorities.","author":[{"dropping-particle":"","family":"Klychova","given":"Guzaliya","non-dropping-particle":"","parse-names":false,"suffix":""},{"dropping-particle":"","family":"Zakirova","given":"Alsou","non-dropping-particle":"","parse-names":false,"suffix":""},{"dropping-particle":"","family":"Aidosova","given":"Bakhitzhamal","non-dropping-particle":"","parse-names":false,"suffix":""},{"dropping-particle":"","family":"Bukharbayeva","given":"Akmaral","non-dropping-particle":"","parse-names":false,"suffix":""},{"dropping-particle":"","family":"Makenova","given":"Aigul","non-dropping-particle":"","parse-names":false,"suffix":""},{"dropping-particle":"","family":"Zakirov","given":"Ayaz","non-dropping-particle":"","parse-names":false,"suffix":""}],"container-title":"Transportation Research Procedia","id":"ITEM-1","issued":{"date-parts":[["2022"]]},"page":"377-385","publisher":"Elsevier B.V.","title":"Development of recommendations to popularize the idea of using public transport services by city residents","type":"article-journal","volume":"63"},"uris":["http://www.mendeley.com/documents/?uuid=fd48a4c1-cd18-456b-ba6d-d747034a6731"]}],"mendeley":{"formattedCitation":"(Klychova et al., 2022)","plainTextFormattedCitation":"(Klychova et al., 2022)","previouslyFormattedCitation":"(Klychova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proofErr w:type="gramStart"/>
      <w:r w:rsidRPr="00856DCA">
        <w:rPr>
          <w:rFonts w:ascii="Times New Roman" w:eastAsia="Times New Roman" w:hAnsi="Times New Roman" w:cs="Times New Roman"/>
          <w:noProof/>
          <w:color w:val="000000"/>
          <w:sz w:val="24"/>
          <w:szCs w:val="24"/>
          <w:lang w:eastAsia="en-ID"/>
        </w:rPr>
        <w:t>(Klychova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roofErr w:type="gramEnd"/>
      <w:r w:rsidRPr="00856DCA">
        <w:rPr>
          <w:rFonts w:ascii="Times New Roman" w:eastAsia="Times New Roman" w:hAnsi="Times New Roman" w:cs="Times New Roman"/>
          <w:color w:val="000000"/>
          <w:sz w:val="24"/>
          <w:szCs w:val="24"/>
          <w:lang w:eastAsia="en-ID"/>
        </w:rPr>
        <w:t xml:space="preserve"> Therefore, online transportation has become one of people's choices for traveling and feels more flexible in traveling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Applications and products in the field of smart transportation are gradually becoming a critical position for public </w:t>
      </w:r>
      <w:proofErr w:type="gramStart"/>
      <w:r w:rsidRPr="00856DCA">
        <w:rPr>
          <w:rFonts w:ascii="Times New Roman" w:eastAsia="Times New Roman" w:hAnsi="Times New Roman" w:cs="Times New Roman"/>
          <w:color w:val="000000"/>
          <w:sz w:val="24"/>
          <w:szCs w:val="24"/>
          <w:lang w:eastAsia="en-ID"/>
        </w:rPr>
        <w:t>transportation,</w:t>
      </w:r>
      <w:proofErr w:type="gramEnd"/>
      <w:r w:rsidRPr="00856DCA">
        <w:rPr>
          <w:rFonts w:ascii="Times New Roman" w:eastAsia="Times New Roman" w:hAnsi="Times New Roman" w:cs="Times New Roman"/>
          <w:color w:val="000000"/>
          <w:sz w:val="24"/>
          <w:szCs w:val="24"/>
          <w:lang w:eastAsia="en-ID"/>
        </w:rPr>
        <w:t xml:space="preserve"> the existence of public transportation applications is useful for providing </w:t>
      </w:r>
    </w:p>
    <w:p w:rsidR="004368A9" w:rsidRPr="004368A9" w:rsidRDefault="004368A9" w:rsidP="00A81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lastRenderedPageBreak/>
        <w:t xml:space="preserve">information and services to consumers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Availability of facilities and ease of using the application can also be a determining factor for consumers in using online transportation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.Meanwhile, there are still concerns from some consumers regarding online transportation. One of the consumer concerns regarding online transportation is the price, conditions and facilities of the public transportation service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{"citationItems":[{"id":"ITEM-1","itemData":{"DOI":"10.1016/j.deveng.2022.100096","ISSN":"23527285","abstract":"This paper analyzes users’ willingness to pay (WTP) for safe drinking water in a resource-poor region in West Bengal, India, with dangerously high groundwater arsenic concentrations. The study was carried out during the installation of an Electro Chemical Arsenic Remediation (ECAR) water treatment plant at the site. Using a contingent valuation method, the study elicits WTP, based on a stratified random sample of 1003 households. Arsenic is invisible and odorless, and related health risks have a prolonged latency period. As a result, awareness about arsenic and the perceived benefits of any arsenic remediation technology are low. In the study area, only 21% of respondents were aware of the danger of high arsenic concentrations in groundwater, however, a large number of the respondents reported irregularity of drinking water supply and a lack of quality assurance. About 64% of the respondents were willing to pay for ECAR-treated safe drinking water. Participants opting for home delivery were willing to pay more than those willing to collect water from the plant. The average WTP was high enough to recover the operational cost of the plant. Households with higher income and educational attainment, more awareness about arsenic contamination, and living in proximity to the plant were willing to pay more than the others. Regular interaction with the community, maintaining transparency, and interacting closely with the local administration created a sense of local ownership for the technology that was found to be crucial for the societal embedding of the technology.","author":[{"dropping-particle":"","family":"Dasgupta","given":"Shyamasree","non-dropping-particle":"","parse-names":false,"suffix":""},{"dropping-particle":"","family":"Roy","given":"Joyashree","non-dropping-particle":"","parse-names":false,"suffix":""},{"dropping-particle":"","family":"Ghosh","given":"Monalisa","non-dropping-particle":"","parse-names":false,"suffix":""},{"dropping-particle":"","family":"Talukder","given":"Jayanta","non-dropping-particle":"","parse-names":false,"suffix":""}],"container-title":"Development Engineering","id":"ITEM-1","issue":"September 2021","issued":{"date-parts":[["2022"]]},"page":"100096","publisher":"Elsevier Ltd","title":"Willingness to pay (WTP) for arsenic-safe drinking water: A case study to understand societal embedding of ECAR technology in rural West Bengal, India","type":"article-journal","volume":"7"},"uris":["http://www.mendeley.com/documents/?uuid=331e92b8-2300-4f2a-b3d3-c3f452837158"]}],"mendeley":{"formattedCitation":"(Dasgupta et al., 2022)","plainTextFormattedCitation":"(Dasgupta et al., 2022)","previouslyFormattedCitation":"(Dasgupta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(Dasgupta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prices offered by service providers are usually more expensive than conventional transportation. This concern arises because people pay more to use online transportation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{"citationItems":[{"id":"ITEM-1","itemData":{"DOI":"10.1016/j.deveng.2022.100096","ISSN":"23527285","abstract":"This paper analyzes users’ willingness to pay (WTP) for safe drinking water in a resource-poor region in West Bengal, India, with dangerously high groundwater arsenic concentrations. The study was carried out during the installation of an Electro Chemical Arsenic Remediation (ECAR) water treatment plant at the site. Using a contingent valuation method, the study elicits WTP, based on a stratified random sample of 1003 households. Arsenic is invisible and odorless, and related health risks have a prolonged latency period. As a result, awareness about arsenic and the perceived benefits of any arsenic remediation technology are low. In the study area, only 21% of respondents were aware of the danger of high arsenic concentrations in groundwater, however, a large number of the respondents reported irregularity of drinking water supply and a lack of quality assurance. About 64% of the respondents were willing to pay for ECAR-treated safe drinking water. Participants opting for home delivery were willing to pay more than those willing to collect water from the plant. The average WTP was high enough to recover the operational cost of the plant. Households with higher income and educational attainment, more awareness about arsenic contamination, and living in proximity to the plant were willing to pay more than the others. Regular interaction with the community, maintaining transparency, and interacting closely with the local administration created a sense of local ownership for the technology that was found to be crucial for the societal embedding of the technology.","author":[{"dropping-particle":"","family":"Dasgupta","given":"Shyamasree","non-dropping-particle":"","parse-names":false,"suffix":""},{"dropping-particle":"","family":"Roy","given":"Joyashree","non-dropping-particle":"","parse-names":false,"suffix":""},{"dropping-particle":"","family":"Ghosh","given":"Monalisa","non-dropping-particle":"","parse-names":false,"suffix":""},{"dropping-particle":"","family":"Talukder","given":"Jayanta","non-dropping-particle":"","parse-names":false,"suffix":""}],"container-title":"Development Engineering","id":"ITEM-1","issue":"September 2021","issued":{"date-parts":[["2022"]]},"page":"100096","publisher":"Elsevier Ltd","title":"Willingness to pay (WTP) for arsenic-safe drinking water: A case study to understand societal embedding of ECAR technology in rural West Bengal, India","type":"article-journal","volume":"7"},"uris":["http://www.mendeley.com/documents/?uuid=331e92b8-2300-4f2a-b3d3-c3f452837158"]}],"mendeley":{"formattedCitation":"(Dasgupta et al., 2022)","plainTextFormattedCitation":"(Dasgupta et al., 2022)","previouslyFormattedCitation":"(Dasgupta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(Dasgupta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willingness of online transportation users to pay more to get much better facilities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{"citationItems":[{"id":"ITEM-1","itemData":{"DOI":"10.1016/j.deveng.2022.100096","ISSN":"23527285","abstract":"This paper analyzes users’ willingness to pay (WTP) for safe drinking water in a resource-poor region in West Bengal, India, with dangerously high groundwater arsenic concentrations. The study was carried out during the installation of an Electro Chemical Arsenic Remediation (ECAR) water treatment plant at the site. Using a contingent valuation method, the study elicits WTP, based on a stratified random sample of 1003 households. Arsenic is invisible and odorless, and related health risks have a prolonged latency period. As a result, awareness about arsenic and the perceived benefits of any arsenic remediation technology are low. In the study area, only 21% of respondents were aware of the danger of high arsenic concentrations in groundwater, however, a large number of the respondents reported irregularity of drinking water supply and a lack of quality assurance. About 64% of the respondents were willing to pay for ECAR-treated safe drinking water. Participants opting for home delivery were willing to pay more than those willing to collect water from the plant. The average WTP was high enough to recover the operational cost of the plant. Households with higher income and educational attainment, more awareness about arsenic contamination, and living in proximity to the plant were willing to pay more than the others. Regular interaction with the community, maintaining transparency, and interacting closely with the local administration created a sense of local ownership for the technology that was found to be crucial for the societal embedding of the technology.","author":[{"dropping-particle":"","family":"Dasgupta","given":"Shyamasree","non-dropping-particle":"","parse-names":false,"suffix":""},{"dropping-particle":"","family":"Roy","given":"Joyashree","non-dropping-particle":"","parse-names":false,"suffix":""},{"dropping-particle":"","family":"Ghosh","given":"Monalisa","non-dropping-particle":"","parse-names":false,"suffix":""},{"dropping-particle":"","family":"Talukder","given":"Jayanta","non-dropping-particle":"","parse-names":false,"suffix":""}],"container-title":"Development Engineering","id":"ITEM-1","issue":"September 2021","issued":{"date-parts":[["2022"]]},"page":"100096","publisher":"Elsevier Ltd","title":"Willingness to pay (WTP) for arsenic-safe drinking water: A case study to understand societal embedding of ECAR technology in rural West Bengal, India","type":"article-journal","volume":"7"},"uris":["http://www.mendeley.com/documents/?uuid=331e92b8-2300-4f2a-b3d3-c3f452837158"]}],"mendeley":{"formattedCitation":"(Dasgupta et al., 2022)","plainTextFormattedCitation":"(Dasgupta et al., 2022)","previouslyFormattedCitation":"(Dasgupta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(Dasgupta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This is one of the factors in consumers' willingness to pay or availability to pay for environmental conditions or an assessment of a product to create purchase intention or intention to buy or use a service or product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{"citationItems":[{"id":"ITEM-1","itemData":{"DOI":"10.1016/j.deveng.2022.100096","ISSN":"23527285","abstract":"This paper analyzes users’ willingness to pay (WTP) for safe drinking water in a resource-poor region in West Bengal, India, with dangerously high groundwater arsenic concentrations. The study was carried out during the installation of an Electro Chemical Arsenic Remediation (ECAR) water treatment plant at the site. Using a contingent valuation method, the study elicits WTP, based on a stratified random sample of 1003 households. Arsenic is invisible and odorless, and related health risks have a prolonged latency period. As a result, awareness about arsenic and the perceived benefits of any arsenic remediation technology are low. In the study area, only 21% of respondents were aware of the danger of high arsenic concentrations in groundwater, however, a large number of the respondents reported irregularity of drinking water supply and a lack of quality assurance. About 64% of the respondents were willing to pay for ECAR-treated safe drinking water. Participants opting for home delivery were willing to pay more than those willing to collect water from the plant. The average WTP was high enough to recover the operational cost of the plant. Households with higher income and educational attainment, more awareness about arsenic contamination, and living in proximity to the plant were willing to pay more than the others. Regular interaction with the community, maintaining transparency, and interacting closely with the local administration created a sense of local ownership for the technology that was found to be crucial for the societal embedding of the technology.","author":[{"dropping-particle":"","family":"Dasgupta","given":"Shyamasree","non-dropping-particle":"","parse-names":false,"suffix":""},{"dropping-particle":"","family":"Roy","given":"Joyashree","non-dropping-particle":"","parse-names":false,"suffix":""},{"dropping-particle":"","family":"Ghosh","given":"Monalisa","non-dropping-particle":"","parse-names":false,"suffix":""},{"dropping-particle":"","family":"Talukder","given":"Jayanta","non-dropping-particle":"","parse-names":false,"suffix":""}],"container-title":"Development Engineering","id":"ITEM-1","issue":"September 2021","issued":{"date-parts":[["2022"]]},"page":"100096","publisher":"Elsevier Ltd","title":"Willingness to pay (WTP) for arsenic-safe drinking water: A case study to understand societal embedding of ECAR technology in rural West Bengal, India","type":"article-journal","volume":"7"},"uris":["http://www.mendeley.com/documents/?uuid=331e92b8-2300-4f2a-b3d3-c3f452837158"]}],"mendeley":{"formattedCitation":"(Dasgupta et al., 2022)","plainTextFormattedCitation":"(Dasgupta et al., 2022)","previouslyFormattedCitation":"(Dasgupta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(Dasgupta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Currently, what consumers need is security, comfort and timeliness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Facilities and ease of using the application can also be a determining factor for consumers in using online transportation, therefore one of the factors that contribute to a company is Environmental Concern, Perceived Value, Brand Familiarity, </w:t>
      </w:r>
      <w:proofErr w:type="gramStart"/>
      <w:r w:rsidRPr="00856DCA">
        <w:rPr>
          <w:rFonts w:ascii="Times New Roman" w:eastAsia="Times New Roman" w:hAnsi="Times New Roman" w:cs="Times New Roman"/>
          <w:color w:val="000000"/>
          <w:sz w:val="24"/>
          <w:szCs w:val="24"/>
          <w:lang w:eastAsia="en-ID"/>
        </w:rPr>
        <w:t>Willingness</w:t>
      </w:r>
      <w:proofErr w:type="gramEnd"/>
      <w:r w:rsidRPr="00856DCA">
        <w:rPr>
          <w:rFonts w:ascii="Times New Roman" w:eastAsia="Times New Roman" w:hAnsi="Times New Roman" w:cs="Times New Roman"/>
          <w:color w:val="000000"/>
          <w:sz w:val="24"/>
          <w:szCs w:val="24"/>
          <w:lang w:eastAsia="en-ID"/>
        </w:rPr>
        <w:t xml:space="preserve"> to pay. From this point of view Theoretically, perceived value has a very high impact on a product service and the quality of transportation services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creation of quality and good service will create commitment to the brand due to the trust that consumers feel towards transportation services on the Swoop application, which in turn will be a good assessment of word of mouth promotion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en-ID" w:eastAsia="en-ID"/>
        </w:rPr>
      </w:pPr>
      <w:r w:rsidRPr="00856DCA">
        <w:rPr>
          <w:rFonts w:ascii="Times New Roman" w:eastAsia="Times New Roman" w:hAnsi="Times New Roman" w:cs="Times New Roman"/>
          <w:color w:val="000000"/>
          <w:sz w:val="24"/>
          <w:szCs w:val="24"/>
          <w:lang w:eastAsia="en-ID"/>
        </w:rPr>
        <w:t xml:space="preserve">There is word of mouth promotion which can ultimately lead to purchase intention or experience of use or previous buyers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{"citationItems":[{"id":"ITEM-1","itemData":{"DOI":"10.1016/j.heliyon.2023.e13069","ISSN":"2405-8440","author":[{"dropping-particle":"","family":"Nguyen","given":"Ngoc Ha","non-dropping-particle":"","parse-names":false,"suffix":""},{"dropping-particle":"","family":"Dao","given":"Trung Kien","non-dropping-particle":"","parse-names":false,"suffix":""},{"dropping-particle":"","family":"Duong","given":"Thanh Thuy","non-dropping-particle":"","parse-names":false,"suffix":""},{"dropping-particle":"","family":"Nguyen","given":"Tuan Thanh","non-dropping-particle":"","parse-names":false,"suffix":""},{"dropping-particle":"","family":"Nguyen","given":"Van Ky","non-dropping-particle":"","parse-names":false,"suffix":""},{"dropping-particle":"","family":"Dao","given":"Thi Lanh","non-dropping-particle":"","parse-names":false,"suffix":""}],"container-title":"Heliyon","id":"ITEM-1","issue":"2","issued":{"date-parts":[["2023"]]},"page":"e13069","publisher":"Elsevier Ltd","title":"Heliyon Role of consumer ethnocentrism on purchase intention toward foreign products : Evidence from data of Vietnamese consumers with Chinese products","type":"article-journal","volume":"9"},"uris":["http://www.mendeley.com/documents/?uuid=5a5d946f-97eb-403e-a28a-8013c2690764"]}],"mendeley":{"formattedCitation":"(Nguyen et al., 2023)","plainTextFormattedCitation":"(Nguyen et al., 2023)","previouslyFormattedCitation":"(Nguyen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(Nguyen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Research related to the variables Environmental Concern, Perceived Value, Brand Familiarity, </w:t>
      </w:r>
      <w:proofErr w:type="gramStart"/>
      <w:r w:rsidRPr="00856DCA">
        <w:rPr>
          <w:rFonts w:ascii="Times New Roman" w:eastAsia="Times New Roman" w:hAnsi="Times New Roman" w:cs="Times New Roman"/>
          <w:color w:val="000000"/>
          <w:sz w:val="24"/>
          <w:szCs w:val="24"/>
          <w:lang w:eastAsia="en-ID"/>
        </w:rPr>
        <w:t>Willingness</w:t>
      </w:r>
      <w:proofErr w:type="gramEnd"/>
      <w:r w:rsidRPr="00856DCA">
        <w:rPr>
          <w:rFonts w:ascii="Times New Roman" w:eastAsia="Times New Roman" w:hAnsi="Times New Roman" w:cs="Times New Roman"/>
          <w:color w:val="000000"/>
          <w:sz w:val="24"/>
          <w:szCs w:val="24"/>
          <w:lang w:eastAsia="en-ID"/>
        </w:rPr>
        <w:t xml:space="preserve"> to pay. In this research Purchase intention is used as a moderator that strengthens the relationship between perceptions of Environmental Concern, Perceived Value, Brand Familiarity, </w:t>
      </w:r>
      <w:proofErr w:type="gramStart"/>
      <w:r w:rsidRPr="00856DCA">
        <w:rPr>
          <w:rFonts w:ascii="Times New Roman" w:eastAsia="Times New Roman" w:hAnsi="Times New Roman" w:cs="Times New Roman"/>
          <w:color w:val="000000"/>
          <w:sz w:val="24"/>
          <w:szCs w:val="24"/>
          <w:lang w:eastAsia="en-ID"/>
        </w:rPr>
        <w:t>Willingness</w:t>
      </w:r>
      <w:proofErr w:type="gramEnd"/>
      <w:r w:rsidRPr="00856DCA">
        <w:rPr>
          <w:rFonts w:ascii="Times New Roman" w:eastAsia="Times New Roman" w:hAnsi="Times New Roman" w:cs="Times New Roman"/>
          <w:color w:val="000000"/>
          <w:sz w:val="24"/>
          <w:szCs w:val="24"/>
          <w:lang w:eastAsia="en-ID"/>
        </w:rPr>
        <w:t xml:space="preserve"> to pay. Research related to purchase intention was previously carried out by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{"citationItems":[{"id":"ITEM-1","itemData":{"DOI":"10.1016/j.apmrv.2022.07.007","ISSN":"10293132","abstract":"Global data has indicated prevalent growth of online purchases of consumer goods where multiple purchase decisions have been influenced by peer reviews by web users particularly from the influence of social media. Social media has replaced traditional word-of-mouth and introduced a new phenomenon i.e. electronic word-of-mouth (eWOM). TikTok has become one of the trending social media platforms with beauty content within its application. Somethinc is one of the brands that is being viewed mostly on this application. This study aims to better understand the influence of eWOM by virtue of the TikTok application on purchase intention of Somethinc. To understand the influence of eWOM, we applied the information adoption model as the model had been widely used in previous eWOM studies. The information quantity variable was added to the information adoption model. We collected data from 403 respondents administered through a Google Form survey that had several criteria. PLS-SEM using Smart PLS was chosen for data analysis. We found that information adoption positively and significantly influences purchase intention. The model was able to predict the purchase intention of Somethinc accurately by 21.1%.","author":[{"dropping-particle":"","family":"Indrawati","given":"","non-dropping-particle":"","parse-names":false,"suffix":""},{"dropping-particle":"","family":"Putri Yones","given":"Prily Calista","non-dropping-particle":"","parse-names":false,"suffix":""},{"dropping-particle":"","family":"Muthaiyah","given":"Saravanan","non-dropping-particle":"","parse-names":false,"suffix":""}],"container-title":"Asia Pacific Management Review","id":"ITEM-1","issue":"xxxx","issued":{"date-parts":[["2022"]]},"publisher":"The Authors","title":"eWOM via the TikTok application and its influence on the purchase intention of somethinc products","type":"article-journal"},"uris":["http://www.mendeley.com/documents/?uuid=4332c4b8-d01b-4fec-8c5e-e1962f657395"]}],"mendeley":{"formattedCitation":"(Indrawati et al., 2022)","plainTextFormattedCitation":"(Indrawati et al., 2022)","previouslyFormattedCitation":"(Indrawati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(Indrawati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but only focuses on word of mouth in applications, especially for the millennial target market, where as this research was conducted on all employees who work every day using public transportation services whose orders are via online transportation applications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{"citationItems":[{"id":"ITEM-1","itemData":{"DOI":"10.1016/j.apmrv.2022.07.007","ISSN":"10293132","abstract":"Global data has indicated prevalent growth of online purchases of consumer goods where multiple purchase decisions have been influenced by peer reviews by web users particularly from the influence of social media. Social media has replaced traditional word-of-mouth and introduced a new phenomenon i.e. electronic word-of-mouth (eWOM). TikTok has become one of the trending social media platforms with beauty content within its application. Somethinc is one of the brands that is being viewed mostly on this application. This study aims to better understand the influence of eWOM by virtue of the TikTok application on purchase intention of Somethinc. To understand the influence of eWOM, we applied the information adoption model as the model had been widely used in previous eWOM studies. The information quantity variable was added to the information adoption model. We collected data from 403 respondents administered through a Google Form survey that had several criteria. PLS-SEM using Smart PLS was chosen for data analysis. We found that information adoption positively and significantly influences purchase intention. The model was able to predict the purchase intention of Somethinc accurately by 21.1%.","author":[{"dropping-particle":"","family":"Indrawati","given":"","non-dropping-particle":"","parse-names":false,"suffix":""},{"dropping-particle":"","family":"Putri Yones","given":"Prily Calista","non-dropping-particle":"","parse-names":false,"suffix":""},{"dropping-particle":"","family":"Muthaiyah","given":"Saravanan","non-dropping-particle":"","parse-names":false,"suffix":""}],"container-title":"Asia Pacific Management Review","id":"ITEM-1","issue":"xxxx","issued":{"date-parts":[["2022"]]},"publisher":"The Authors","title":"eWOM via the TikTok application and its influence on the purchase intention of somethinc products","type":"article-journal"},"uris":["http://www.mendeley.com/documents/?uuid=4332c4b8-d01b-4fec-8c5e-e1962f657395"]}],"mendeley":{"formattedCitation":"(Indrawati et al., 2022)","plainTextFormattedCitation":"(Indrawati et al., 2022)","previouslyFormattedCitation":"(Indrawati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(Indrawati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.Transportation patterns using public transportation are much more widely used in big cities, because the supply of public transportation in urban areas is much more adequate than in small regions or cities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et.2022.100537","ISSN":"2666-7908","author":[{"dropping-particle":"","family":"Vazquez","given":"Elaine","non-dropping-particle":"","parse-names":false,"suffix":""},{"dropping-particle":"","family":"Rodrigues","given":"Beatriz","non-dropping-particle":"","parse-names":false,"suffix":""},{"dropping-particle":"","family":"Najjar","given":"Mohammad K","non-dropping-particle":"","parse-names":false,"suffix":""},{"dropping-particle":"","family":"Haddad","given":"Assed","non-dropping-particle":"","parse-names":false,"suffix":""},{"dropping-particle":"","family":"Wa","given":"Ahmed","non-dropping-particle":"","parse-names":false,"suffix":""}],"container-title":"Cleaner Engineering and Technology","id":"ITEM-1","issue":"November 2020","issued":{"date-parts":[["2022"]]},"page":"100537","publisher":"Elsevier Ltd","title":"A framework to locate new medium and high capacity stations for public transportation modes of transport in Rio de Janeiro","type":"article-journal","volume":"10"},"uris":["http://www.mendeley.com/documents/?uuid=0b1dd19d-f31a-48a9-9c96-360944b987e5"]}],"mendeley":{"formattedCitation":"(Vazquez et al., 2022)","plainTextFormattedCitation":"(Vazquez et al., 2022)","previouslyFormattedCitation":"(Vazquez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(Vazquez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Therefore, the lack of public transportation hinders the general population's accessibility for recreation, culture, social or economic activities as well as other daily productivity.</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et.2022.100537","ISSN":"2666-7908","author":[{"dropping-particle":"","family":"Vazquez","given":"Elaine","non-dropping-particle":"","parse-names":false,"suffix":""},{"dropping-particle":"","family":"Rodrigues","given":"Beatriz","non-dropping-particle":"","parse-names":false,"suffix":""},{"dropping-particle":"","family":"Najjar","given":"Mohammad K","non-dropping-particle":"","parse-names":false,"suffix":""},{"dropping-particle":"","family":"Haddad","given":"Assed","non-dropping-particle":"","parse-names":false,"suffix":""},{"dropping-particle":"","family":"Wa","given":"Ahmed","non-dropping-particle":"","parse-names":false,"suffix":""}],"container-title":"Cleaner Engineering and Technology","id":"ITEM-1","issue":"November 2020","issued":{"date-parts":[["2022"]]},"page":"100537","publisher":"Elsevier Ltd","title":"A framework to locate new medium and high capacity stations for public transportation modes of transport in Rio de Janeiro","type":"article-journal","volume":"10"},"uris":["http://www.mendeley.com/documents/?uuid=0b1dd19d-f31a-48a9-9c96-360944b987e5"]}],"mendeley":{"formattedCitation":"(Vazquez et al., 2022)","plainTextFormattedCitation":"(Vazquez et al., 2022)","previouslyFormattedCitation":"(Vazquez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proofErr w:type="gramStart"/>
      <w:r w:rsidRPr="00856DCA">
        <w:rPr>
          <w:rFonts w:ascii="Times New Roman" w:eastAsia="Times New Roman" w:hAnsi="Times New Roman" w:cs="Times New Roman"/>
          <w:noProof/>
          <w:color w:val="000000"/>
          <w:sz w:val="24"/>
          <w:szCs w:val="24"/>
          <w:lang w:eastAsia="en-ID"/>
        </w:rPr>
        <w:t>(Vazquez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w:t>
      </w:r>
      <w:proofErr w:type="gramEnd"/>
      <w:r w:rsidRPr="00856DCA">
        <w:rPr>
          <w:rFonts w:ascii="Times New Roman" w:eastAsia="Times New Roman" w:hAnsi="Times New Roman" w:cs="Times New Roman"/>
          <w:color w:val="000000"/>
          <w:sz w:val="24"/>
          <w:szCs w:val="24"/>
          <w:lang w:eastAsia="en-ID"/>
        </w:rPr>
        <w:t xml:space="preserve"> As for congestion from urban population income, in 2020, real-time monitoring of traffic flow and congestion index delay index through intelligent transportation systems (ITS) can reduce traffic congestion, increase traffic efficiency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The social dimension is taken into consideration when measuring the services provided by public transportation, especially those with medium and high capacity. This depends on the occupation of the urban space.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proofErr w:type="gramStart"/>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roofErr w:type="gramEnd"/>
      <w:r w:rsidRPr="00856DCA">
        <w:rPr>
          <w:rFonts w:ascii="Times New Roman" w:eastAsia="Times New Roman" w:hAnsi="Times New Roman" w:cs="Times New Roman"/>
          <w:color w:val="000000"/>
          <w:sz w:val="24"/>
          <w:szCs w:val="24"/>
          <w:lang w:eastAsia="en-ID"/>
        </w:rPr>
        <w:t xml:space="preserve"> It is therefore very important for urban mobility that transport planning evaluates transport positions such as stations and terminals, to understand how they are connected to existing jobs in urban areas and in particular how they access such transport.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proofErr w:type="gramStart"/>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roofErr w:type="gramEnd"/>
      <w:r w:rsidRPr="00856DCA">
        <w:rPr>
          <w:rFonts w:ascii="Times New Roman" w:eastAsia="Times New Roman" w:hAnsi="Times New Roman" w:cs="Times New Roman"/>
          <w:color w:val="000000"/>
          <w:sz w:val="24"/>
          <w:szCs w:val="24"/>
          <w:lang w:eastAsia="en-ID"/>
        </w:rPr>
        <w:t xml:space="preserve"> The proposed analysis is related to system accessibility, by measuring the distance and travel time between places from the residence to the station or terminal, the focus is on public transportation modes that make accommodation easier in terms of time efficiency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grets.2022.100002","ISSN":"29497361","author":[{"dropping-particle":"","family":"Lv","given":"Zhihan","non-dropping-particle":"","parse-names":false,"suffix":""},{"dropping-particle":"","family":"Shang","given":"Wenlong","non-dropping-particle":"","parse-names":false,"suffix":""}],"container-title":"Green Technologies and Sustainability","id":"ITEM-1","issue":"September 2022","issued":{"date-parts":[["2022"]]},"page":"100002","publisher":"Elsevier B.V.","title":"Impacts of intelligent transportation systems on energy conservation and emission reduction of transport systems: A comprehensive review","type":"article-journal","volume":"1"},"uris":["http://www.mendeley.com/documents/?uuid=a7d27b56-e689-483c-bad9-48aca88bd09e"]}],"mendeley":{"formattedCitation":"(Lv &amp; Shang, 2022)","plainTextFormattedCitation":"(Lv &amp; Shang, 2022)","previouslyFormattedCitation":"(Lv &amp; Shang,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(Lv &amp; Shang, 2022)</w:t>
      </w:r>
      <w:r w:rsidRPr="00856DCA">
        <w:rPr>
          <w:rFonts w:ascii="Times New Roman" w:eastAsia="Times New Roman" w:hAnsi="Times New Roman" w:cs="Times New Roman"/>
          <w:color w:val="000000"/>
          <w:sz w:val="24"/>
          <w:szCs w:val="24"/>
          <w:lang w:eastAsia="en-ID"/>
        </w:rPr>
        <w:fldChar w:fldCharType="end"/>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lastRenderedPageBreak/>
        <w:t xml:space="preserve">To examine the impact on consumer behavior regarding the quality of transportation services, this study focuses on the influence of purchase intention. However, this is because purchase intention has a strong impact on the decision intention of transportation service users to make decisions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{"citationItems":[{"id":"ITEM-1","itemData":{"DOI":"10.1016/j.clrc.2022.100065","ISSN":"26667843","abstract":"Pakistan's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conclusion.","author":[{"dropping-particle":"","family":"Shakeel","given":"Usamah","non-dropping-particle":"","parse-names":false,"suffix":""}],"container-title":"Cleaner and Responsible Consumption","id":"ITEM-1","issue":"November 2021","issued":{"date-parts":[["2022"]]},"page":"100065","publisher":"Elsevier Ltd","title":"Electric vehicle development in Pakistan: Predicting consumer purchase intention","type":"article-journal","volume":"5"},"uris":["http://www.mendeley.com/documents/?uuid=a5e1edaf-62d0-499c-a8af-c26bd9e8303a"]}],"mendeley":{"formattedCitation":"(Shakeel, 2022)","plainTextFormattedCitation":"(Shakeel, 2022)","previouslyFormattedCitation":"(Shakeel,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(Shakeel,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This research uses mixed methods which can have a greater impact on research findings, however, in terms of research design, this researcher will only use quantitative research methods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{"citationItems":[{"id":"ITEM-1","itemData":{"DOI":"10.1016/j.clrc.2022.100065","ISSN":"26667843","abstract":"Pakistan's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conclusion.","author":[{"dropping-particle":"","family":"Shakeel","given":"Usamah","non-dropping-particle":"","parse-names":false,"suffix":""}],"container-title":"Cleaner and Responsible Consumption","id":"ITEM-1","issue":"November 2021","issued":{"date-parts":[["2022"]]},"page":"100065","publisher":"Elsevier Ltd","title":"Electric vehicle development in Pakistan: Predicting consumer purchase intention","type":"article-journal","volume":"5"},"uris":["http://www.mendeley.com/documents/?uuid=a5e1edaf-62d0-499c-a8af-c26bd9e8303a"]}],"mendeley":{"formattedCitation":"(Shakeel, 2022)","plainTextFormattedCitation":"(Shakeel, 2022)","previouslyFormattedCitation":"(Shakeel,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(Shakeel,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This research only selected employees who had used Swoop online transportation and employees who knew Swoop transportation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{"citationItems":[{"id":"ITEM-1","itemData":{"DOI":"10.1016/j.clrc.2022.100065","ISSN":"26667843","abstract":"Pakistan's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conclusion.","author":[{"dropping-particle":"","family":"Shakeel","given":"Usamah","non-dropping-particle":"","parse-names":false,"suffix":""}],"container-title":"Cleaner and Responsible Consumption","id":"ITEM-1","issue":"November 2021","issued":{"date-parts":[["2022"]]},"page":"100065","publisher":"Elsevier Ltd","title":"Electric vehicle development in Pakistan: Predicting consumer purchase intention","type":"article-journal","volume":"5"},"uris":["http://www.mendeley.com/documents/?uuid=a5e1edaf-62d0-499c-a8af-c26bd9e8303a"]}],"mendeley":{"formattedCitation":"(Shakeel, 2022)","plainTextFormattedCitation":"(Shakeel, 2022)","previouslyFormattedCitation":"(Shakeel,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(Shakeel,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.Based on the importance of consumer behavior towards online transportation, the aim of this research is also to fill the existing gaps by exploring the influence of Environmental Concern, Brand Familiarity, perceived value, Willingness to pay, Brand loyalty moderated by Purchase intention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{"citationItems":[{"id":"ITEM-1","itemData":{"DOI":"10.1016/j.clrc.2022.100065","ISSN":"26667843","abstract":"Pakistan's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conclusion.","author":[{"dropping-particle":"","family":"Shakeel","given":"Usamah","non-dropping-particle":"","parse-names":false,"suffix":""}],"container-title":"Cleaner and Responsible Consumption","id":"ITEM-1","issue":"November 2021","issued":{"date-parts":[["2022"]]},"page":"100065","publisher":"Elsevier Ltd","title":"Electric vehicle development in Pakistan: Predicting consumer purchase intention","type":"article-journal","volume":"5"},"uris":["http://www.mendeley.com/documents/?uuid=a5e1edaf-62d0-499c-a8af-c26bd9e8303a"]}],"mendeley":{"formattedCitation":"(Shakeel, 2022)","plainTextFormattedCitation":"(Shakeel, 2022)","previouslyFormattedCitation":"(Shakeel,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(Shakeel,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 It is hoped that this research can contribute to the scientific level of marketing management in developing a better theoretical understanding of the variables studied and can provide positive managerial implications for the application of the Swoop Transportation Application in the public transportation service industry sector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{"citationItems":[{"id":"ITEM-1","itemData":{"DOI":"10.1016/j.clrc.2022.100065","ISSN":"26667843","abstract":"Pakistan's government has been pushing for electric vehicles adoption to decrease energy consumption and pollution. Acceptance of large numbers of electric vehicles will undoubtedly help to ease important issues such as carbon pollution and fuel reliance and to improve economic success. Pakistan is now considering switching from non-Electric vehicle to Electric vehicle (EVs) in spite of numerous cross-sectoral and multifaceted roadblocks. The theory of planned behavior (TPB) model was utilized in this study to construct a model of purchase intention impact mechanism for electric vehicles (EVs). It considered consumer attitude (AT) and subjective norms (SN), cognitive states (CS), product perception (PA), perceived behavioral control (PBC), non-monetary incentive policy (NMIP), as well as monetary policy (MIP). In Pakistan, a questionnaire was administered to potential customers. A total 511 valid survey responses were collected. The factors affecting EV buying intent were examined by Structural equation modeling (SEM) using SPSS AMOS. According to the results no factors tested negative, most of the factors were significant beneficial outcome on consumers' intents to buy electric vehicles (EVs). These findings were discussed with policy recommendations and conclusion.","author":[{"dropping-particle":"","family":"Shakeel","given":"Usamah","non-dropping-particle":"","parse-names":false,"suffix":""}],"container-title":"Cleaner and Responsible Consumption","id":"ITEM-1","issue":"November 2021","issued":{"date-parts":[["2022"]]},"page":"100065","publisher":"Elsevier Ltd","title":"Electric vehicle development in Pakistan: Predicting consumer purchase intention","type":"article-journal","volume":"5"},"uris":["http://www.mendeley.com/documents/?uuid=a5e1edaf-62d0-499c-a8af-c26bd9e8303a"]}],"mendeley":{"formattedCitation":"(Shakeel, 2022)","plainTextFormattedCitation":"(Shakeel, 2022)","previouslyFormattedCitation":"(Shakeel,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(Shakeel,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856DCA" w:rsidRDefault="004368A9">
      <w:pPr>
        <w:rPr>
          <w:rFonts w:ascii="Times New Roman" w:hAnsi="Times New Roman" w:cs="Times New Roman"/>
          <w:sz w:val="24"/>
          <w:szCs w:val="24"/>
        </w:rPr>
      </w:pPr>
    </w:p>
    <w:p w:rsidR="004368A9" w:rsidRPr="00856DCA" w:rsidRDefault="004368A9" w:rsidP="00856DCA">
      <w:pPr>
        <w:spacing w:after="0" w:line="240" w:lineRule="auto"/>
        <w:jc w:val="both"/>
        <w:rPr>
          <w:rFonts w:ascii="Times New Roman" w:eastAsia="Cambria" w:hAnsi="Times New Roman" w:cs="Times New Roman"/>
          <w:b/>
          <w:sz w:val="24"/>
          <w:szCs w:val="24"/>
        </w:rPr>
      </w:pPr>
      <w:r w:rsidRPr="00856DCA">
        <w:rPr>
          <w:rFonts w:ascii="Times New Roman" w:eastAsia="Cambria" w:hAnsi="Times New Roman" w:cs="Times New Roman"/>
          <w:b/>
          <w:sz w:val="24"/>
          <w:szCs w:val="24"/>
        </w:rPr>
        <w:t>HYPOTHESES DEVELOPMENT</w:t>
      </w:r>
    </w:p>
    <w:p w:rsidR="00CC1F54" w:rsidRDefault="00CC1F54" w:rsidP="00856DCA">
      <w:pPr>
        <w:spacing w:after="0" w:line="240" w:lineRule="auto"/>
        <w:jc w:val="both"/>
        <w:rPr>
          <w:rFonts w:ascii="Times New Roman" w:eastAsia="Cambria" w:hAnsi="Times New Roman" w:cs="Times New Roman"/>
          <w:b/>
          <w:bCs/>
          <w:sz w:val="24"/>
          <w:szCs w:val="24"/>
        </w:rPr>
      </w:pPr>
    </w:p>
    <w:p w:rsidR="004368A9" w:rsidRPr="00CC1F54" w:rsidRDefault="004368A9" w:rsidP="00856DCA">
      <w:pPr>
        <w:spacing w:after="0" w:line="240" w:lineRule="auto"/>
        <w:jc w:val="both"/>
        <w:rPr>
          <w:rFonts w:ascii="Times New Roman" w:eastAsia="Cambria" w:hAnsi="Times New Roman" w:cs="Times New Roman"/>
          <w:b/>
          <w:bCs/>
          <w:sz w:val="24"/>
          <w:szCs w:val="24"/>
        </w:rPr>
      </w:pPr>
      <w:r w:rsidRPr="004368A9">
        <w:rPr>
          <w:rFonts w:ascii="Times New Roman" w:eastAsia="Cambria" w:hAnsi="Times New Roman" w:cs="Times New Roman"/>
          <w:b/>
          <w:bCs/>
          <w:sz w:val="24"/>
          <w:szCs w:val="24"/>
        </w:rPr>
        <w:t xml:space="preserve">Relationship </w:t>
      </w:r>
      <w:proofErr w:type="gramStart"/>
      <w:r w:rsidRPr="004368A9">
        <w:rPr>
          <w:rFonts w:ascii="Times New Roman" w:eastAsia="Cambria" w:hAnsi="Times New Roman" w:cs="Times New Roman"/>
          <w:b/>
          <w:bCs/>
          <w:sz w:val="24"/>
          <w:szCs w:val="24"/>
        </w:rPr>
        <w:t>Between</w:t>
      </w:r>
      <w:proofErr w:type="gramEnd"/>
      <w:r w:rsidRPr="004368A9">
        <w:rPr>
          <w:rFonts w:ascii="Times New Roman" w:eastAsia="Cambria" w:hAnsi="Times New Roman" w:cs="Times New Roman"/>
          <w:b/>
          <w:bCs/>
          <w:sz w:val="24"/>
          <w:szCs w:val="24"/>
        </w:rPr>
        <w:t xml:space="preserve"> Variables</w:t>
      </w:r>
    </w:p>
    <w:p w:rsidR="004368A9" w:rsidRPr="004368A9" w:rsidRDefault="004368A9" w:rsidP="00856DCA">
      <w:pPr>
        <w:spacing w:after="0" w:line="240" w:lineRule="auto"/>
        <w:jc w:val="both"/>
        <w:rPr>
          <w:rFonts w:ascii="Times New Roman" w:eastAsia="Cambria" w:hAnsi="Times New Roman" w:cs="Times New Roman"/>
          <w:sz w:val="24"/>
          <w:szCs w:val="24"/>
        </w:rPr>
      </w:pPr>
      <w:r w:rsidRPr="004368A9">
        <w:rPr>
          <w:rFonts w:ascii="Times New Roman" w:eastAsia="Cambria" w:hAnsi="Times New Roman" w:cs="Times New Roman"/>
          <w:sz w:val="24"/>
          <w:szCs w:val="24"/>
        </w:rPr>
        <w:t xml:space="preserve">The relationship between Environmental Concern and Purchase Intention </w:t>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2022)","manualFormatting":"Dangelico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Dangelico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argue that consumer concern for the environment can be explained as consumers paying attention to environmental problems and support and therefore to overcome them by purchasing environmentally friendly products. Environmental Concern refers to concern for the environment which is an important determinant of certain environmental behavior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{"citationItems":[{"id":"ITEM-1","itemData":{"DOI":"10.1016/j.clrc.2023.100120","ISSN":"26667843","abstract":"The apparel industry has been a significant area of concern for the environment; hence there is an emphasis on the production and marketing of green apparel. The apparel industry is responsible for 10% of global carbon emissions and 20% of global water waste. The present study examined the effect of individual concern on the consumption attitude and its impact on consumer's purchase intention of green apparel. The study also explored the mediating role of consumer involvement between attitude and intention. The moderating role of Gen Y &amp; Z was investigated to understand their effect on green purchase intention. Data were collected using a structured questionnaire from the respondents at different malls and supermarkets. A total of 692 buyers participated in the survey. A structural equation modeling approach is used for data analysis using Smart PLS. The study results indicated a positive relationship of individual concerns (social, environmental &amp; political) and perceived value with consumption attitude toward green apparel. The study's results also showed a positive effect of consumption attitude towards purchase intention of green apparel, both direct and indirect relationships through consumer involvement. Further, the study has also established the moderating role of generation (Z&amp;Y) between consumer attitude and purchase intention. Marketers can utilize individual concerns to propagate the additional utility of green apparel, increasing the value for the consumer. Also, marketers and government can involve customers, especially Gen Z&amp;Y, through various public participation drives and contests to generate consumer attitude and involvement, which will further result in the purchase intention of green apparel. The study provided insights into green apparel consumption and contributes to a cleaner and responsible consumption for a sustainable society.","author":[{"dropping-particle":"","family":"Pandey","given":"Mithilesh","non-dropping-particle":"","parse-names":false,"suffix":""},{"dropping-particle":"","family":"Yadav","given":"Pinnika Syam","non-dropping-particle":"","parse-names":false,"suffix":""}],"container-title":"Cleaner and Responsible Consumption","id":"ITEM-1","issue":"April","issued":{"date-parts":[["2023"]]},"page":"100120","publisher":"Elsevier Ltd","title":"Understanding the role of individual concerns, attitude, and perceived value in green apparel purchase intention; the mediating effect of consumer involvement and moderating role of generation Z&amp;Y","type":"article-journal","volume":"9"},"uris":["http://www.mendeley.com/documents/?uuid=3305da28-615b-41ec-91c2-ac6aed068958"]}],"mendeley":{"formattedCitation":"(Pandey &amp; Yadav, 2023)","plainTextFormattedCitation":"(Pandey &amp; Yadav, 2023)","previouslyFormattedCitation":"(Pandey &amp; Yadav,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(Pandey &amp; Yadav,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.Therefore, the increasing demand for Environmental Concern means that individuals who care about the environment show a positive environmentally friendly consumption attitude towards consuming a range of products. or environmentally friendly services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author":[{"dropping-particle":"","family":"Pechu","given":"Martin","non-dropping-particle":"","parse-names":false,"suffix":""},{"dropping-particle":"","family":"Vrchota","given":"Jaroslav","non-dropping-particle":"","parse-names":false,"suffix":""}],"id":"ITEM-1","issued":{"date-parts":[["2022"]]},"title":"proses","type":"article-journal"},"uris":["http://www.mendeley.com/documents/?uuid=0010b66e-c4fc-4dca-911b-8e5e1fc289e1"]}],"mendeley":{"formattedCitation":"(Pechu &amp; Vrchota, 2022)","plainTextFormattedCitation":"(Pechu &amp; Vrchota, 2022)","previouslyFormattedCitation":"(Pechu &amp; Vrchota,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(Pechu &amp; Vrchota,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Therefore, there is a link between the Environmental Concern variable which is positively related to the Purchase Intention variable</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(Dangelico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2022)","manualFormatting":"Dangelico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Dangelico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explains that Environmental Concern is linked customer relationship with concern for environmentally friendly products</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{"citationItems":[{"id":"ITEM-1","itemData":{"DOI":"10.1016/j.sbspro.2016.11.063","ISSN":"18770428","abstract":"The relationships between Environmental Concern and Ecological Purchase Intentions were tried to analyze with a structural equation model in this study. A random sample survey of 304 individuals from Mustafa Kemal University in Turkey was used to verify the conceptual model and framework. This model was assessed initially by confirmatory factor analysis and subsequently by structural equation modelling. Structural equation modeling confirmed a good fit of the data with the proposed model. The study came up with the result that there were significant relations among collectivism, environmental concern and ecological purchase intention. Collectivist individuals were more concerned on environmental issues, environmental concern had effect on environmental purchase intention of the individuals and, furthermore, the gender differences had effect on individuals’ ecological purchase intention.","author":[{"dropping-particle":"","family":"Arısal","given":"İbrahim","non-dropping-particle":"","parse-names":false,"suffix":""},{"dropping-particle":"","family":"Atalar","given":"Tarık","non-dropping-particle":"","parse-names":false,"suffix":""}],"container-title":"Procedia - Social and Behavioral Sciences","id":"ITEM-1","issue":"October","issued":{"date-parts":[["2016"]]},"page":"514-521","title":"The Exploring Relationships between Environmental Concern, Collectivism and Ecological Purchase Intention","type":"article-journal","volume":"235"},"uris":["http://www.mendeley.com/documents/?uuid=36a42f43-6e94-4226-bed2-c61cec6aec84"]}],"mendeley":{"formattedCitation":"(Arısal &amp; Atalar, 2016)","plainTextFormattedCitation":"(Arısal &amp; Atalar, 2016)","previouslyFormattedCitation":"(Arısal &amp; Atalar, 2016)"},"properties":{"noteIndex":0},"schema":"https://github.com/citation-style-language/schema/raw/master/csl-citation.json"}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(Arısal &amp; Atalar, 2016)</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emphasized that the positive effect of environmentally friendly behavior is green consumerism and utilizing environmentally friendly products.</w:t>
      </w:r>
    </w:p>
    <w:p w:rsidR="004368A9" w:rsidRPr="004368A9"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Meanwhile, using environmentally friendly products for daily needs that consume environmentally friendly energy, goods that can be used outside or reused, energy-saving lamps and energy-saving transportation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{"citationItems":[{"id":"ITEM-1","itemData":{"DOI":"10.1016/j.sbspro.2016.11.063","ISSN":"18770428","abstract":"The relationships between Environmental Concern and Ecological Purchase Intentions were tried to analyze with a structural equation model in this study. A random sample survey of 304 individuals from Mustafa Kemal University in Turkey was used to verify the conceptual model and framework. This model was assessed initially by confirmatory factor analysis and subsequently by structural equation modelling. Structural equation modeling confirmed a good fit of the data with the proposed model. The study came up with the result that there were significant relations among collectivism, environmental concern and ecological purchase intention. Collectivist individuals were more concerned on environmental issues, environmental concern had effect on environmental purchase intention of the individuals and, furthermore, the gender differences had effect on individuals’ ecological purchase intention.","author":[{"dropping-particle":"","family":"Arısal","given":"İbrahim","non-dropping-particle":"","parse-names":false,"suffix":""},{"dropping-particle":"","family":"Atalar","given":"Tarık","non-dropping-particle":"","parse-names":false,"suffix":""}],"container-title":"Procedia - Social and Behavioral Sciences","id":"ITEM-1","issue":"October","issued":{"date-parts":[["2016"]]},"page":"514-521","title":"The Exploring Relationships between Environmental Concern, Collectivism and Ecological Purchase Intention","type":"article-journal","volume":"235"},"uris":["http://www.mendeley.com/documents/?uuid=36a42f43-6e94-4226-bed2-c61cec6aec84"]}],"mendeley":{"formattedCitation":"(Arısal &amp; Atalar, 2016)","plainTextFormattedCitation":"(Arısal &amp; Atalar, 2016)","previouslyFormattedCitation":"(Arısal &amp; Atalar, 2016)"},"properties":{"noteIndex":0},"schema":"https://github.com/citation-style-language/schema/raw/master/csl-citation.json"}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(Arısal &amp; Atalar, 2016)</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The use of such items has been identified as being able to advance the Long Number goal of ensuring and preserving environmental habitat</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{"citationItems":[{"id":"ITEM-1","itemData":{"DOI":"10.1016/j.sbspro.2016.11.063","ISSN":"18770428","abstract":"The relationships between Environmental Concern and Ecological Purchase Intentions were tried to analyze with a structural equation model in this study. A random sample survey of 304 individuals from Mustafa Kemal University in Turkey was used to verify the conceptual model and framework. This model was assessed initially by confirmatory factor analysis and subsequently by structural equation modelling. Structural equation modeling confirmed a good fit of the data with the proposed model. The study came up with the result that there were significant relations among collectivism, environmental concern and ecological purchase intention. Collectivist individuals were more concerned on environmental issues, environmental concern had effect on environmental purchase intention of the individuals and, furthermore, the gender differences had effect on individuals’ ecological purchase intention.","author":[{"dropping-particle":"","family":"Arısal","given":"İbrahim","non-dropping-particle":"","parse-names":false,"suffix":""},{"dropping-particle":"","family":"Atalar","given":"Tarık","non-dropping-particle":"","parse-names":false,"suffix":""}],"container-title":"Procedia - Social and Behavioral Sciences","id":"ITEM-1","issue":"October","issued":{"date-parts":[["2016"]]},"page":"514-521","title":"The Exploring Relationships between Environmental Concern, Collectivism and Ecological Purchase Intention","type":"article-journal","volume":"235"},"uris":["http://www.mendeley.com/documents/?uuid=36a42f43-6e94-4226-bed2-c61cec6aec84"]}],"mendeley":{"formattedCitation":"(Arısal &amp; Atalar, 2016)","plainTextFormattedCitation":"(Arısal &amp; Atalar, 2016)","previouslyFormattedCitation":"(Arısal &amp; Atalar, 2016)"},"properties":{"noteIndex":0},"schema":"https://github.com/citation-style-language/schema/raw/master/csl-citation.json"}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(Arısal &amp; Atalar, 2016)</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{"citationItems":[{"id":"ITEM-1","itemData":{"DOI":"10.1016/j.clrc.2023.100120","ISSN":"26667843","abstract":"The apparel industry has been a significant area of concern for the environment; hence there is an emphasis on the production and marketing of green apparel. The apparel industry is responsible for 10% of global carbon emissions and 20% of global water waste. The present study examined the effect of individual concern on the consumption attitude and its impact on consumer's purchase intention of green apparel. The study also explored the mediating role of consumer involvement between attitude and intention. The moderating role of Gen Y &amp; Z was investigated to understand their effect on green purchase intention. Data were collected using a structured questionnaire from the respondents at different malls and supermarkets. A total of 692 buyers participated in the survey. A structural equation modeling approach is used for data analysis using Smart PLS. The study results indicated a positive relationship of individual concerns (social, environmental &amp; political) and perceived value with consumption attitude toward green apparel. The study's results also showed a positive effect of consumption attitude towards purchase intention of green apparel, both direct and indirect relationships through consumer involvement. Further, the study has also established the moderating role of generation (Z&amp;Y) between consumer attitude and purchase intention. Marketers can utilize individual concerns to propagate the additional utility of green apparel, increasing the value for the consumer. Also, marketers and government can involve customers, especially Gen Z&amp;Y, through various public participation drives and contests to generate consumer attitude and involvement, which will further result in the purchase intention of green apparel. The study provided insights into green apparel consumption and contributes to a cleaner and responsible consumption for a sustainable society.","author":[{"dropping-particle":"","family":"Pandey","given":"Mithilesh","non-dropping-particle":"","parse-names":false,"suffix":""},{"dropping-particle":"","family":"Yadav","given":"Pinnika Syam","non-dropping-particle":"","parse-names":false,"suffix":""}],"container-title":"Cleaner and Responsible Consumption","id":"ITEM-1","issue":"April","issued":{"date-parts":[["2023"]]},"page":"100120","publisher":"Elsevier Ltd","title":"Understanding the role of individual concerns, attitude, and perceived value in green apparel purchase intention; the mediating effect of consumer involvement and moderating role of generation Z&amp;Y","type":"article-journal","volume":"9"},"uris":["http://www.mendeley.com/documents/?uuid=3305da28-615b-41ec-91c2-ac6aed068958"]}],"mendeley":{"formattedCitation":"(Pandey &amp; Yadav, 2023)","manualFormatting":"Pandey &amp; Yadav, (2023)","plainTextFormattedCitation":"(Pandey &amp; Yadav, 2023)","previouslyFormattedCitation":"(Pandey &amp; Yadav,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Pandey &amp; Yadav,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argue that social concern as part of society encourages people to choose environmentally friendly products that can improve social appearance. Individuals' concern for the environment has a positive influence on their consumption attitudes towards environmentally friendly products. Therefore,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{"citationItems":[{"id":"ITEM-1","itemData":{"DOI":"10.1016/j.clrc.2023.100120","ISSN":"26667843","abstract":"The apparel industry has been a significant area of concern for the environment; hence there is an emphasis on the production and marketing of green apparel. The apparel industry is responsible for 10% of global carbon emissions and 20% of global water waste. The present study examined the effect of individual concern on the consumption attitude and its impact on consumer's purchase intention of green apparel. The study also explored the mediating role of consumer involvement between attitude and intention. The moderating role of Gen Y &amp; Z was investigated to understand their effect on green purchase intention. Data were collected using a structured questionnaire from the respondents at different malls and supermarkets. A total of 692 buyers participated in the survey. A structural equation modeling approach is used for data analysis using Smart PLS. The study results indicated a positive relationship of individual concerns (social, environmental &amp; political) and perceived value with consumption attitude toward green apparel. The study's results also showed a positive effect of consumption attitude towards purchase intention of green apparel, both direct and indirect relationships through consumer involvement. Further, the study has also established the moderating role of generation (Z&amp;Y) between consumer attitude and purchase intention. Marketers can utilize individual concerns to propagate the additional utility of green apparel, increasing the value for the consumer. Also, marketers and government can involve customers, especially Gen Z&amp;Y, through various public participation drives and contests to generate consumer attitude and involvement, which will further result in the purchase intention of green apparel. The study provided insights into green apparel consumption and contributes to a cleaner and responsible consumption for a sustainable society.","author":[{"dropping-particle":"","family":"Pandey","given":"Mithilesh","non-dropping-particle":"","parse-names":false,"suffix":""},{"dropping-particle":"","family":"Yadav","given":"Pinnika Syam","non-dropping-particle":"","parse-names":false,"suffix":""}],"container-title":"Cleaner and Responsible Consumption","id":"ITEM-1","issue":"April","issued":{"date-parts":[["2023"]]},"page":"100120","publisher":"Elsevier Ltd","title":"Understanding the role of individual concerns, attitude, and perceived value in green apparel purchase intention; the mediating effect of consumer involvement and moderating role of generation Z&amp;Y","type":"article-journal","volume":"9"},"uris":["http://www.mendeley.com/documents/?uuid=3305da28-615b-41ec-91c2-ac6aed068958"]}],"mendeley":{"formattedCitation":"(Pandey &amp; Yadav, 2023)","plainTextFormattedCitation":"(Pandey &amp; Yadav, 2023)","previouslyFormattedCitation":"(Pandey &amp; Yadav,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(Pandey &amp; Yadav,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determined that environmentally friendly concern has a positive influence on the intention to purchase environmentally friendly products. Meanwhile, social concern as part of society encourages them to do this. choose environmentally friendly products, which can improve social appearance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{"citationItems":[{"id":"ITEM-1","itemData":{"DOI":"10.1016/j.clrc.2023.100120","ISSN":"26667843","abstract":"The apparel industry has been a significant area of concern for the environment; hence there is an emphasis on the production and marketing of green apparel. The apparel industry is responsible for 10% of global carbon emissions and 20% of global water waste. The present study examined the effect of individual concern on the consumption attitude and its impact on consumer's purchase intention of green apparel. The study also explored the mediating role of consumer involvement between attitude and intention. The moderating role of Gen Y &amp; Z was investigated to understand their effect on green purchase intention. Data were collected using a structured questionnaire from the respondents at different malls and supermarkets. A total of 692 buyers participated in the survey. A structural equation modeling approach is used for data analysis using Smart PLS. The study results indicated a positive relationship of individual concerns (social, environmental &amp; political) and perceived value with consumption attitude toward green apparel. The study's results also showed a positive effect of consumption attitude towards purchase intention of green apparel, both direct and indirect relationships through consumer involvement. Further, the study has also established the moderating role of generation (Z&amp;Y) between consumer attitude and purchase intention. Marketers can utilize individual concerns to propagate the additional utility of green apparel, increasing the value for the consumer. Also, marketers and government can involve customers, especially Gen Z&amp;Y, through various public participation drives and contests to generate consumer attitude and involvement, which will further result in the purchase intention of green apparel. The study provided insights into green apparel consumption and contributes to a cleaner and responsible consumption for a sustainable society.","author":[{"dropping-particle":"","family":"Pandey","given":"Mithilesh","non-dropping-particle":"","parse-names":false,"suffix":""},{"dropping-particle":"","family":"Yadav","given":"Pinnika Syam","non-dropping-particle":"","parse-names":false,"suffix":""}],"container-title":"Cleaner and Responsible Consumption","id":"ITEM-1","issue":"April","issued":{"date-parts":[["2023"]]},"page":"100120","publisher":"Elsevier Ltd","title":"Understanding the role of individual concerns, attitude, and perceived value in green apparel purchase intention; the mediating effect of consumer involvement and moderating role of generation Z&amp;Y","type":"article-journal","volume":"9"},"uris":["http://www.mendeley.com/documents/?uuid=3305da28-615b-41ec-91c2-ac6aed068958"]}],"mendeley":{"formattedCitation":"(Pandey &amp; Yadav, 2023)","plainTextFormattedCitation":"(Pandey &amp; Yadav, 2023)","previouslyFormattedCitation":"(Pandey &amp; Yadav,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(Pandey &amp; Yadav,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Increasing social awareness causes </w:t>
      </w:r>
      <w:r w:rsidRPr="00856DCA">
        <w:rPr>
          <w:rFonts w:ascii="Times New Roman" w:eastAsia="Times New Roman" w:hAnsi="Times New Roman" w:cs="Times New Roman"/>
          <w:color w:val="000000"/>
          <w:sz w:val="24"/>
          <w:szCs w:val="24"/>
          <w:lang w:eastAsia="en-ID"/>
        </w:rPr>
        <w:lastRenderedPageBreak/>
        <w:t xml:space="preserve">an increase in the greening of consumption attitudes and subsequent consumer purchasing intentions, therefore Environmental Concern has a positive influence on Purchase Intention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(Dangelico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4368A9" w:rsidRDefault="004368A9" w:rsidP="00856DCA">
      <w:pPr>
        <w:spacing w:after="0" w:line="240" w:lineRule="auto"/>
        <w:jc w:val="both"/>
        <w:rPr>
          <w:rFonts w:ascii="Times New Roman" w:eastAsia="Calibri" w:hAnsi="Times New Roman" w:cs="Times New Roman"/>
          <w:i/>
          <w:sz w:val="24"/>
          <w:szCs w:val="24"/>
        </w:rPr>
      </w:pPr>
      <w:r w:rsidRPr="004368A9">
        <w:rPr>
          <w:rFonts w:ascii="Times New Roman" w:eastAsia="Calibri" w:hAnsi="Times New Roman" w:cs="Times New Roman"/>
          <w:b/>
          <w:sz w:val="24"/>
          <w:szCs w:val="24"/>
        </w:rPr>
        <w:t>H1:</w:t>
      </w:r>
      <w:r w:rsidRPr="004368A9">
        <w:rPr>
          <w:rFonts w:ascii="Times New Roman" w:eastAsia="Calibri" w:hAnsi="Times New Roman" w:cs="Times New Roman"/>
          <w:b/>
          <w:spacing w:val="-1"/>
          <w:sz w:val="24"/>
          <w:szCs w:val="24"/>
        </w:rPr>
        <w:t xml:space="preserve"> </w:t>
      </w:r>
      <w:r w:rsidRPr="004368A9">
        <w:rPr>
          <w:rFonts w:ascii="Times New Roman" w:eastAsia="Calibri" w:hAnsi="Times New Roman" w:cs="Times New Roman"/>
          <w:sz w:val="24"/>
          <w:szCs w:val="24"/>
        </w:rPr>
        <w:t>Environmental Concern</w:t>
      </w:r>
      <w:r w:rsidRPr="004368A9">
        <w:rPr>
          <w:rFonts w:ascii="Times New Roman" w:eastAsia="Calibri" w:hAnsi="Times New Roman" w:cs="Times New Roman"/>
          <w:spacing w:val="52"/>
          <w:sz w:val="24"/>
          <w:szCs w:val="24"/>
        </w:rPr>
        <w:t xml:space="preserve"> </w:t>
      </w:r>
      <w:r w:rsidRPr="004368A9">
        <w:rPr>
          <w:rFonts w:ascii="Times New Roman" w:eastAsia="Calibri" w:hAnsi="Times New Roman" w:cs="Times New Roman"/>
          <w:sz w:val="24"/>
          <w:szCs w:val="24"/>
        </w:rPr>
        <w:t>has a positive effect on Purchase</w:t>
      </w:r>
      <w:r w:rsidRPr="004368A9">
        <w:rPr>
          <w:rFonts w:ascii="Times New Roman" w:eastAsia="Calibri" w:hAnsi="Times New Roman" w:cs="Times New Roman"/>
          <w:spacing w:val="-3"/>
          <w:sz w:val="24"/>
          <w:szCs w:val="24"/>
        </w:rPr>
        <w:t xml:space="preserve"> </w:t>
      </w:r>
      <w:r w:rsidRPr="004368A9">
        <w:rPr>
          <w:rFonts w:ascii="Times New Roman" w:eastAsia="Calibri" w:hAnsi="Times New Roman" w:cs="Times New Roman"/>
          <w:sz w:val="24"/>
          <w:szCs w:val="24"/>
        </w:rPr>
        <w:t>Intention</w:t>
      </w:r>
    </w:p>
    <w:p w:rsidR="00856DCA" w:rsidRDefault="00856DCA" w:rsidP="004368A9">
      <w:pPr>
        <w:spacing w:after="0"/>
        <w:jc w:val="both"/>
        <w:rPr>
          <w:rFonts w:ascii="Times New Roman" w:eastAsia="Cambria" w:hAnsi="Times New Roman" w:cs="Times New Roman"/>
          <w:sz w:val="24"/>
          <w:szCs w:val="24"/>
        </w:rPr>
      </w:pPr>
    </w:p>
    <w:p w:rsidR="004368A9" w:rsidRPr="004368A9" w:rsidRDefault="004368A9" w:rsidP="00856DCA">
      <w:pPr>
        <w:spacing w:after="0" w:line="240" w:lineRule="auto"/>
        <w:jc w:val="both"/>
        <w:rPr>
          <w:rFonts w:ascii="Times New Roman" w:eastAsia="Cambria" w:hAnsi="Times New Roman" w:cs="Times New Roman"/>
          <w:sz w:val="24"/>
          <w:szCs w:val="24"/>
        </w:rPr>
      </w:pPr>
      <w:r w:rsidRPr="004368A9">
        <w:rPr>
          <w:rFonts w:ascii="Times New Roman" w:eastAsia="Cambria" w:hAnsi="Times New Roman" w:cs="Times New Roman"/>
          <w:sz w:val="24"/>
          <w:szCs w:val="24"/>
        </w:rPr>
        <w:t xml:space="preserve">The relationship between Environmental concern </w:t>
      </w:r>
      <w:proofErr w:type="gramStart"/>
      <w:r w:rsidRPr="004368A9">
        <w:rPr>
          <w:rFonts w:ascii="Times New Roman" w:eastAsia="Cambria" w:hAnsi="Times New Roman" w:cs="Times New Roman"/>
          <w:sz w:val="24"/>
          <w:szCs w:val="24"/>
        </w:rPr>
        <w:t xml:space="preserve">and  </w:t>
      </w:r>
      <w:proofErr w:type="spellStart"/>
      <w:r w:rsidRPr="004368A9">
        <w:rPr>
          <w:rFonts w:ascii="Times New Roman" w:eastAsia="Cambria" w:hAnsi="Times New Roman" w:cs="Times New Roman"/>
          <w:sz w:val="24"/>
          <w:szCs w:val="24"/>
        </w:rPr>
        <w:t>Willingnes</w:t>
      </w:r>
      <w:proofErr w:type="spellEnd"/>
      <w:proofErr w:type="gramEnd"/>
      <w:r w:rsidRPr="004368A9">
        <w:rPr>
          <w:rFonts w:ascii="Times New Roman" w:eastAsia="Cambria" w:hAnsi="Times New Roman" w:cs="Times New Roman"/>
          <w:sz w:val="24"/>
          <w:szCs w:val="24"/>
        </w:rPr>
        <w:t xml:space="preserve"> To Pay </w:t>
      </w:r>
    </w:p>
    <w:p w:rsidR="004368A9" w:rsidRPr="004368A9"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Customer willingness to join and willingness to pay are two important things to understand a customer's potential demand for the product or service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{"citationItems":[{"id":"ITEM-1","itemData":{"DOI":"10.1016/j.hpopen.2022.100076","ISSN":"25902296","abstract":"The study assessed willingness to join and willingness to pay for health-insurance in Afghanistan and identified associated determinants. A household survey was conducted. Two health-insurance and two medicine-insurance packages were explained to respondents, who were then asked if they would be willing to join the packages and pay for them. The double-bounded dichotomous choice contingent valuation method was used to elicit the maximum amount respondents would be willing to pay for the various benefit packages. Logistic and linear regression models were used to examine determinants of willingness to join and willingness to pay. Most respondents had never heard of health insurance. And yet, when they were told about it, the vast majority of respondents said they would be willing to join one of the four benefit packages and pay for them, ranging from 70.7% for a medicine-only package that included only essential medicines, to 92.4% for a health-insurance package that would cover only primary and secondary care. The average willingness to pay cost was 1,236 (US$21.3), 1,512 (US$26.0), 778 (US$13.4) and 430 (US$7.4) Afghani per person, per year for the primary and secondary; comprehensive primary, secondary and some tertiary; all medicine; and essential medicine packages; respectively. Key determinants of willingness to join, and to pay were similar, including the provinces where respondents were located, wealth status, health expenditures and some demographic characteristics.","author":[{"dropping-particle":"","family":"Behzad","given":"Ajmal","non-dropping-particle":"","parse-names":false,"suffix":""},{"dropping-particle":"","family":"Sinai","given":"Irit","non-dropping-particle":"","parse-names":false,"suffix":""},{"dropping-particle":"","family":"Sayedi","given":"Omarizaman","non-dropping-particle":"","parse-names":false,"suffix":""},{"dropping-particle":"","family":"Alawi","given":"Karim","non-dropping-particle":"","parse-names":false,"suffix":""},{"dropping-particle":"","family":"Farewar","given":"Farhad","non-dropping-particle":"","parse-names":false,"suffix":""},{"dropping-particle":"","family":"Zeng","given":"Wu","non-dropping-particle":"","parse-names":false,"suffix":""}],"container-title":"Health Policy OPEN","id":"ITEM-1","issue":"April","issued":{"date-parts":[["2022"]]},"page":"100076","publisher":"Elsevier","title":"Willingness and ability to pay for health insurance in Afghanistan","type":"article-journal","volume":"3"},"uris":["http://www.mendeley.com/documents/?uuid=80802768-07f3-4a5b-8e22-244071fd5b6c"]}],"mendeley":{"formattedCitation":"(Behzad et al., 2022)","plainTextFormattedCitation":"(Behzad et al., 2022)","previouslyFormattedCitation":"(Behzad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(Behzad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Measuring willingness to join and willingness to pay in estimating willingness to pay is by assessing a customer's intention to join or pay more for a brand image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{"citationItems":[{"id":"ITEM-1","itemData":{"DOI":"10.1016/j.hpopen.2022.100076","ISSN":"25902296","abstract":"The study assessed willingness to join and willingness to pay for health-insurance in Afghanistan and identified associated determinants. A household survey was conducted. Two health-insurance and two medicine-insurance packages were explained to respondents, who were then asked if they would be willing to join the packages and pay for them. The double-bounded dichotomous choice contingent valuation method was used to elicit the maximum amount respondents would be willing to pay for the various benefit packages. Logistic and linear regression models were used to examine determinants of willingness to join and willingness to pay. Most respondents had never heard of health insurance. And yet, when they were told about it, the vast majority of respondents said they would be willing to join one of the four benefit packages and pay for them, ranging from 70.7% for a medicine-only package that included only essential medicines, to 92.4% for a health-insurance package that would cover only primary and secondary care. The average willingness to pay cost was 1,236 (US$21.3), 1,512 (US$26.0), 778 (US$13.4) and 430 (US$7.4) Afghani per person, per year for the primary and secondary; comprehensive primary, secondary and some tertiary; all medicine; and essential medicine packages; respectively. Key determinants of willingness to join, and to pay were similar, including the provinces where respondents were located, wealth status, health expenditures and some demographic characteristics.","author":[{"dropping-particle":"","family":"Behzad","given":"Ajmal","non-dropping-particle":"","parse-names":false,"suffix":""},{"dropping-particle":"","family":"Sinai","given":"Irit","non-dropping-particle":"","parse-names":false,"suffix":""},{"dropping-particle":"","family":"Sayedi","given":"Omarizaman","non-dropping-particle":"","parse-names":false,"suffix":""},{"dropping-particle":"","family":"Alawi","given":"Karim","non-dropping-particle":"","parse-names":false,"suffix":""},{"dropping-particle":"","family":"Farewar","given":"Farhad","non-dropping-particle":"","parse-names":false,"suffix":""},{"dropping-particle":"","family":"Zeng","given":"Wu","non-dropping-particle":"","parse-names":false,"suffix":""}],"container-title":"Health Policy OPEN","id":"ITEM-1","issue":"April","issued":{"date-parts":[["2022"]]},"page":"100076","publisher":"Elsevier","title":"Willingness and ability to pay for health insurance in Afghanistan","type":"article-journal","volume":"3"},"uris":["http://www.mendeley.com/documents/?uuid=80802768-07f3-4a5b-8e22-244071fd5b6c"]}],"mendeley":{"formattedCitation":"(Behzad et al., 2022)","plainTextFormattedCitation":"(Behzad et al., 2022)","previouslyFormattedCitation":"(Behzad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(Behzad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{"citationItems":[{"id":"ITEM-1","itemData":{"DOI":"10.1016/j.hpopen.2022.100076","ISSN":"25902296","abstract":"The study assessed willingness to join and willingness to pay for health-insurance in Afghanistan and identified associated determinants. A household survey was conducted. Two health-insurance and two medicine-insurance packages were explained to respondents, who were then asked if they would be willing to join the packages and pay for them. The double-bounded dichotomous choice contingent valuation method was used to elicit the maximum amount respondents would be willing to pay for the various benefit packages. Logistic and linear regression models were used to examine determinants of willingness to join and willingness to pay. Most respondents had never heard of health insurance. And yet, when they were told about it, the vast majority of respondents said they would be willing to join one of the four benefit packages and pay for them, ranging from 70.7% for a medicine-only package that included only essential medicines, to 92.4% for a health-insurance package that would cover only primary and secondary care. The average willingness to pay cost was 1,236 (US$21.3), 1,512 (US$26.0), 778 (US$13.4) and 430 (US$7.4) Afghani per person, per year for the primary and secondary; comprehensive primary, secondary and some tertiary; all medicine; and essential medicine packages; respectively. Key determinants of willingness to join, and to pay were similar, including the provinces where respondents were located, wealth status, health expenditures and some demographic characteristics.","author":[{"dropping-particle":"","family":"Behzad","given":"Ajmal","non-dropping-particle":"","parse-names":false,"suffix":""},{"dropping-particle":"","family":"Sinai","given":"Irit","non-dropping-particle":"","parse-names":false,"suffix":""},{"dropping-particle":"","family":"Sayedi","given":"Omarizaman","non-dropping-particle":"","parse-names":false,"suffix":""},{"dropping-particle":"","family":"Alawi","given":"Karim","non-dropping-particle":"","parse-names":false,"suffix":""},{"dropping-particle":"","family":"Farewar","given":"Farhad","non-dropping-particle":"","parse-names":false,"suffix":""},{"dropping-particle":"","family":"Zeng","given":"Wu","non-dropping-particle":"","parse-names":false,"suffix":""}],"container-title":"Health Policy OPEN","id":"ITEM-1","issue":"April","issued":{"date-parts":[["2022"]]},"page":"100076","publisher":"Elsevier","title":"Willingness and ability to pay for health insurance in Afghanistan","type":"article-journal","volume":"3"},"uris":["http://www.mendeley.com/documents/?uuid=80802768-07f3-4a5b-8e22-244071fd5b6c"]}],"mendeley":{"formattedCitation":"(Behzad et al., 2022)","manualFormatting":"Behzad et al., (2022)","plainTextFormattedCitation":"(Behzad et al., 2022)","previouslyFormattedCitation":"(Behzad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Behzad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many factors influence the </w:t>
      </w:r>
      <w:r w:rsidRPr="00856DCA">
        <w:rPr>
          <w:rFonts w:ascii="Times New Roman" w:eastAsia="Times New Roman" w:hAnsi="Times New Roman" w:cs="Times New Roman"/>
          <w:color w:val="000000"/>
          <w:sz w:val="24"/>
          <w:szCs w:val="24"/>
          <w:shd w:val="clear" w:color="auto" w:fill="FFFFFF"/>
          <w:lang w:eastAsia="en-ID"/>
        </w:rPr>
        <w:t>willingness to pay, including differences in the characteristics, demographics and economics of different</w:t>
      </w:r>
      <w:r w:rsidRPr="00856DCA">
        <w:rPr>
          <w:rFonts w:ascii="Times New Roman" w:eastAsia="Times New Roman" w:hAnsi="Times New Roman" w:cs="Times New Roman"/>
          <w:color w:val="000000"/>
          <w:sz w:val="24"/>
          <w:szCs w:val="24"/>
          <w:lang w:eastAsia="en-ID"/>
        </w:rPr>
        <w:t xml:space="preserve"> respondents. These differences can also be seen from the wage rates or funds owned by a customer for a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{"citationItems":[{"id":"ITEM-1","itemData":{"DOI":"10.1016/j.eap.2022.06.014","ISSN":"03135926","abstract":"Land burning has long been used as an effective means of land management. Used in a controlled manner, the burning of vegetation to clear land can have minimal effects on the natural environment. However, uncontrolled land burning, where fires are allowed to spread beyond the intended area, can have severe and detrimental effects on ecosystem functioning. This paper examines the premium residents of the Cantabria region of Spain are willing to pay for beef that has been reared without the use of uncontrolled land burning. Using the single bounded contingent valuation method, the result indicates that the average respondent is willing to pay an 84% price premium (€11.31 more per kilogram) for beef that has been farmed using a more environmentally means of land management. Willingness to pay is influenced by several factors including; price, age of the consumer, level of education, number of dependants in the respondents household and historical beef consumption preferences. Further to this, the results of the bivariate probit model suggest that not all factors influencing the decision to enter the hypothetical market, influence willingness to pay. This demand-side analysis suggests that there is a viable market for Pasiego beef in the Cantabria region with more environmentally favourable production credentials.","author":[{"dropping-particle":"","family":"Deely","given":"John","non-dropping-particle":"","parse-names":false,"suffix":""},{"dropping-particle":"","family":"Hynes","given":"Stephen","non-dropping-particle":"","parse-names":false,"suffix":""},{"dropping-particle":"","family":"Barquín","given":"José","non-dropping-particle":"","parse-names":false,"suffix":""},{"dropping-particle":"","family":"Burgess","given":"Diane","non-dropping-particle":"","parse-names":false,"suffix":""},{"dropping-particle":"","family":"Álvarez-Martínez","given":"Jose Manuel","non-dropping-particle":"","parse-names":false,"suffix":""},{"dropping-particle":"","family":"Silió","given":"Ana","non-dropping-particle":"","parse-names":false,"suffix":""},{"dropping-particle":"","family":"Finney","given":"Graham","non-dropping-particle":"","parse-names":false,"suffix":""}],"container-title":"Economic Analysis and Policy","id":"ITEM-1","issued":{"date-parts":[["2022"]]},"page":"577-590","publisher":"Elsevier B.V.","title":"Are consumers willing to pay for beef that has been produced without the use of uncontrolled burning methods? A contingent valuation study in North-West Spain","type":"article-journal","volume":"75"},"uris":["http://www.mendeley.com/documents/?uuid=a884d4ce-256e-4895-88e7-e7fe42d72b9d"]}],"mendeley":{"formattedCitation":"(Deely et al., 2022)","manualFormatting":"Deely et al., (2022)","plainTextFormattedCitation":"(Deely et al., 2022)","previouslyFormattedCitation":"(Deely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Deely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argue that the willingness to pay for a particular product is also assessed by a customer's sincere intention towards that product. The customer's willingness to pay is seen from the price of a product or service from that brand, then the age of the consumer, the level of education, the number of dependents of the customer, up to with household consumption preferences and the customer's purchase or consumption history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{"citationItems":[{"id":"ITEM-1","itemData":{"DOI":"10.1016/j.eap.2022.06.014","ISSN":"03135926","abstract":"Land burning has long been used as an effective means of land management. Used in a controlled manner, the burning of vegetation to clear land can have minimal effects on the natural environment. However, uncontrolled land burning, where fires are allowed to spread beyond the intended area, can have severe and detrimental effects on ecosystem functioning. This paper examines the premium residents of the Cantabria region of Spain are willing to pay for beef that has been reared without the use of uncontrolled land burning. Using the single bounded contingent valuation method, the result indicates that the average respondent is willing to pay an 84% price premium (€11.31 more per kilogram) for beef that has been farmed using a more environmentally means of land management. Willingness to pay is influenced by several factors including; price, age of the consumer, level of education, number of dependants in the respondents household and historical beef consumption preferences. Further to this, the results of the bivariate probit model suggest that not all factors influencing the decision to enter the hypothetical market, influence willingness to pay. This demand-side analysis suggests that there is a viable market for Pasiego beef in the Cantabria region with more environmentally favourable production credentials.","author":[{"dropping-particle":"","family":"Deely","given":"John","non-dropping-particle":"","parse-names":false,"suffix":""},{"dropping-particle":"","family":"Hynes","given":"Stephen","non-dropping-particle":"","parse-names":false,"suffix":""},{"dropping-particle":"","family":"Barquín","given":"José","non-dropping-particle":"","parse-names":false,"suffix":""},{"dropping-particle":"","family":"Burgess","given":"Diane","non-dropping-particle":"","parse-names":false,"suffix":""},{"dropping-particle":"","family":"Álvarez-Martínez","given":"Jose Manuel","non-dropping-particle":"","parse-names":false,"suffix":""},{"dropping-particle":"","family":"Silió","given":"Ana","non-dropping-particle":"","parse-names":false,"suffix":""},{"dropping-particle":"","family":"Finney","given":"Graham","non-dropping-particle":"","parse-names":false,"suffix":""}],"container-title":"Economic Analysis and Policy","id":"ITEM-1","issued":{"date-parts":[["2022"]]},"page":"577-590","publisher":"Elsevier B.V.","title":"Are consumers willing to pay for beef that has been produced without the use of uncontrolled burning methods? A contingent valuation study in North-West Spain","type":"article-journal","volume":"75"},"uris":["http://www.mendeley.com/documents/?uuid=a884d4ce-256e-4895-88e7-e7fe42d72b9d"]}],"mendeley":{"formattedCitation":"(Deely et al., 2022)","plainTextFormattedCitation":"(Deely et al., 2022)","previouslyFormattedCitation":"(Deely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(Deely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.Factors that influence customers' willingness to pay for a product or service are also from the customer's demand side and the available market as well as from the specific demand for a product or service for the company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{"citationItems":[{"id":"ITEM-1","itemData":{"DOI":"10.1016/j.eap.2022.06.014","ISSN":"03135926","abstract":"Land burning has long been used as an effective means of land management. Used in a controlled manner, the burning of vegetation to clear land can have minimal effects on the natural environment. However, uncontrolled land burning, where fires are allowed to spread beyond the intended area, can have severe and detrimental effects on ecosystem functioning. This paper examines the premium residents of the Cantabria region of Spain are willing to pay for beef that has been reared without the use of uncontrolled land burning. Using the single bounded contingent valuation method, the result indicates that the average respondent is willing to pay an 84% price premium (€11.31 more per kilogram) for beef that has been farmed using a more environmentally means of land management. Willingness to pay is influenced by several factors including; price, age of the consumer, level of education, number of dependants in the respondents household and historical beef consumption preferences. Further to this, the results of the bivariate probit model suggest that not all factors influencing the decision to enter the hypothetical market, influence willingness to pay. This demand-side analysis suggests that there is a viable market for Pasiego beef in the Cantabria region with more environmentally favourable production credentials.","author":[{"dropping-particle":"","family":"Deely","given":"John","non-dropping-particle":"","parse-names":false,"suffix":""},{"dropping-particle":"","family":"Hynes","given":"Stephen","non-dropping-particle":"","parse-names":false,"suffix":""},{"dropping-particle":"","family":"Barquín","given":"José","non-dropping-particle":"","parse-names":false,"suffix":""},{"dropping-particle":"","family":"Burgess","given":"Diane","non-dropping-particle":"","parse-names":false,"suffix":""},{"dropping-particle":"","family":"Álvarez-Martínez","given":"Jose Manuel","non-dropping-particle":"","parse-names":false,"suffix":""},{"dropping-particle":"","family":"Silió","given":"Ana","non-dropping-particle":"","parse-names":false,"suffix":""},{"dropping-particle":"","family":"Finney","given":"Graham","non-dropping-particle":"","parse-names":false,"suffix":""}],"container-title":"Economic Analysis and Policy","id":"ITEM-1","issued":{"date-parts":[["2022"]]},"page":"577-590","publisher":"Elsevier B.V.","title":"Are consumers willing to pay for beef that has been produced without the use of uncontrolled burning methods? A contingent valuation study in North-West Spain","type":"article-journal","volume":"75"},"uris":["http://www.mendeley.com/documents/?uuid=a884d4ce-256e-4895-88e7-e7fe42d72b9d"]}],"mendeley":{"formattedCitation":"(Deely et al., 2022)","plainTextFormattedCitation":"(Deely et al., 2022)","previouslyFormattedCitation":"(Deely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(Deely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{"citationItems":[{"id":"ITEM-1","itemData":{"DOI":"10.1016/j.fufo.2022.100214","ISSN":"26668335","abstract":"Urban consumers’ concerns have focused attention on whether a food traceability system should be implemented in Bangladesh to minimize the production and distribution of unsafe and poor-quality food products. A cross-sectional survey was conducted among 220 consumers in two main cities Dhaka and Mymensingh of Bangladesh to examine the traceability system in the vegetable supply chain from an ex-ante perspective. The objective is to identify the preferences and willingness to pay (WTP) for the traceability attributes and examine the factors influencing their WTP for traceable vegetables. The results show that over 90% of the consumers put their emphasis on traceability attributes associated with: pesticides and last date of spraying information, fertilizer information, and harvest date. On the other hand, over 85% of consumers showed interest in GM information of vegetables. The mean WTP is found to be 5.84 Tk. (US$0.068) and 5.90 Tk. (US$0.069) per kg respectively for brinjal and tomatoes. This reflects a 19.5% and 19.7% additional monetary payment over and above the purchase price for conventional brinjal and tomatoes respectively. The empirical findings indicate that income and quality perception scores have positive and significant effects on consumer WTP for traceable brinjal and tomatoes.","author":[{"dropping-particle":"","family":"Kabir","given":"A. N.M.Faijul","non-dropping-particle":"","parse-names":false,"suffix":""},{"dropping-particle":"","family":"Alam","given":"Mohammad Jahangir","non-dropping-particle":"","parse-names":false,"suffix":""},{"dropping-particle":"","family":"Begum","given":"Ismat Ara","non-dropping-particle":"","parse-names":false,"suffix":""},{"dropping-particle":"","family":"McKenzie","given":"Andrew M.","non-dropping-particle":"","parse-names":false,"suffix":""}],"container-title":"Future Foods","id":"ITEM-1","issue":"October 2022","issued":{"date-parts":[["2023"]]},"publisher":"Elsevier B.V.","title":"Consumers’ interest and willingness to pay for traceable vegetables- An empirical evidence from Bangladesh","type":"article-journal","volume":"7"},"uris":["http://www.mendeley.com/documents/?uuid=2a8189d4-8ce5-4ba8-9cd2-4db9265c7101"]}],"mendeley":{"formattedCitation":"(Kabir et al., 2023)","plainTextFormattedCitation":"(Kabir et al., 2023)","previouslyFormattedCitation":"(Kabir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(Kabir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approach used in the willingness to pay analysis is based on the user's perception of a </w:t>
      </w:r>
      <w:proofErr w:type="spellStart"/>
      <w:r w:rsidRPr="00856DCA">
        <w:rPr>
          <w:rFonts w:ascii="Times New Roman" w:eastAsia="Times New Roman" w:hAnsi="Times New Roman" w:cs="Times New Roman"/>
          <w:color w:val="000000"/>
          <w:sz w:val="24"/>
          <w:szCs w:val="24"/>
          <w:lang w:eastAsia="en-ID"/>
        </w:rPr>
        <w:t>tarif</w:t>
      </w:r>
      <w:proofErr w:type="spellEnd"/>
      <w:r w:rsidRPr="004368A9">
        <w:rPr>
          <w:rFonts w:ascii="Times New Roman" w:eastAsia="Times New Roman" w:hAnsi="Times New Roman" w:cs="Times New Roman"/>
          <w:color w:val="000000"/>
          <w:sz w:val="24"/>
          <w:szCs w:val="24"/>
          <w:lang w:eastAsia="en-ID"/>
        </w:rPr>
        <w:t>..</w:t>
      </w:r>
      <w:proofErr w:type="gramStart"/>
      <w:r w:rsidRPr="004368A9">
        <w:rPr>
          <w:rFonts w:ascii="Times New Roman" w:eastAsia="Times New Roman" w:hAnsi="Times New Roman" w:cs="Times New Roman"/>
          <w:color w:val="000000"/>
          <w:sz w:val="24"/>
          <w:szCs w:val="24"/>
          <w:lang w:eastAsia="en-ID"/>
        </w:rPr>
        <w:t>P</w:t>
      </w:r>
      <w:r w:rsidRPr="00856DCA">
        <w:rPr>
          <w:rFonts w:ascii="Times New Roman" w:eastAsia="Times New Roman" w:hAnsi="Times New Roman" w:cs="Times New Roman"/>
          <w:color w:val="000000"/>
          <w:sz w:val="24"/>
          <w:szCs w:val="24"/>
          <w:lang w:eastAsia="en-ID"/>
        </w:rPr>
        <w:t>roducts or services under a brand.</w:t>
      </w:r>
      <w:proofErr w:type="gramEnd"/>
      <w:r w:rsidRPr="00856DCA">
        <w:rPr>
          <w:rFonts w:ascii="Times New Roman" w:eastAsia="Times New Roman" w:hAnsi="Times New Roman" w:cs="Times New Roman"/>
          <w:color w:val="000000"/>
          <w:sz w:val="24"/>
          <w:szCs w:val="24"/>
          <w:lang w:eastAsia="en-ID"/>
        </w:rPr>
        <w:t xml:space="preserve"> In transportation problems, willingness to pay is influenced by several factors, such as the products offered or provided by transportation service operators, then the quality and quantity of services provided, the user's utility for the transportation and also the user's behavior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{"citationItems":[{"id":"ITEM-1","itemData":{"DOI":"10.1016/j.fufo.2022.100214","ISSN":"26668335","abstract":"Urban consumers’ concerns have focused attention on whether a food traceability system should be implemented in Bangladesh to minimize the production and distribution of unsafe and poor-quality food products. A cross-sectional survey was conducted among 220 consumers in two main cities Dhaka and Mymensingh of Bangladesh to examine the traceability system in the vegetable supply chain from an ex-ante perspective. The objective is to identify the preferences and willingness to pay (WTP) for the traceability attributes and examine the factors influencing their WTP for traceable vegetables. The results show that over 90% of the consumers put their emphasis on traceability attributes associated with: pesticides and last date of spraying information, fertilizer information, and harvest date. On the other hand, over 85% of consumers showed interest in GM information of vegetables. The mean WTP is found to be 5.84 Tk. (US$0.068) and 5.90 Tk. (US$0.069) per kg respectively for brinjal and tomatoes. This reflects a 19.5% and 19.7% additional monetary payment over and above the purchase price for conventional brinjal and tomatoes respectively. The empirical findings indicate that income and quality perception scores have positive and significant effects on consumer WTP for traceable brinjal and tomatoes.","author":[{"dropping-particle":"","family":"Kabir","given":"A. N.M.Faijul","non-dropping-particle":"","parse-names":false,"suffix":""},{"dropping-particle":"","family":"Alam","given":"Mohammad Jahangir","non-dropping-particle":"","parse-names":false,"suffix":""},{"dropping-particle":"","family":"Begum","given":"Ismat Ara","non-dropping-particle":"","parse-names":false,"suffix":""},{"dropping-particle":"","family":"McKenzie","given":"Andrew M.","non-dropping-particle":"","parse-names":false,"suffix":""}],"container-title":"Future Foods","id":"ITEM-1","issue":"October 2022","issued":{"date-parts":[["2023"]]},"publisher":"Elsevier B.V.","title":"Consumers’ interest and willingness to pay for traceable vegetables- An empirical evidence from Bangladesh","type":"article-journal","volume":"7"},"uris":["http://www.mendeley.com/documents/?uuid=2a8189d4-8ce5-4ba8-9cd2-4db9265c7101"]}],"mendeley":{"formattedCitation":"(Kabir et al., 2023)","plainTextFormattedCitation":"(Kabir et al., 2023)","previouslyFormattedCitation":"(Kabir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(Kabir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 Therefore, product customization on willingness to pay has a positive influence on a product or service for a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{"citationItems":[{"id":"ITEM-1","itemData":{"DOI":"10.1016/j.hpopen.2022.100076","ISSN":"25902296","abstract":"The study assessed willingness to join and willingness to pay for health-insurance in Afghanistan and identified associated determinants. A household survey was conducted. Two health-insurance and two medicine-insurance packages were explained to respondents, who were then asked if they would be willing to join the packages and pay for them. The double-bounded dichotomous choice contingent valuation method was used to elicit the maximum amount respondents would be willing to pay for the various benefit packages. Logistic and linear regression models were used to examine determinants of willingness to join and willingness to pay. Most respondents had never heard of health insurance. And yet, when they were told about it, the vast majority of respondents said they would be willing to join one of the four benefit packages and pay for them, ranging from 70.7% for a medicine-only package that included only essential medicines, to 92.4% for a health-insurance package that would cover only primary and secondary care. The average willingness to pay cost was 1,236 (US$21.3), 1,512 (US$26.0), 778 (US$13.4) and 430 (US$7.4) Afghani per person, per year for the primary and secondary; comprehensive primary, secondary and some tertiary; all medicine; and essential medicine packages; respectively. Key determinants of willingness to join, and to pay were similar, including the provinces where respondents were located, wealth status, health expenditures and some demographic characteristics.","author":[{"dropping-particle":"","family":"Behzad","given":"Ajmal","non-dropping-particle":"","parse-names":false,"suffix":""},{"dropping-particle":"","family":"Sinai","given":"Irit","non-dropping-particle":"","parse-names":false,"suffix":""},{"dropping-particle":"","family":"Sayedi","given":"Omarizaman","non-dropping-particle":"","parse-names":false,"suffix":""},{"dropping-particle":"","family":"Alawi","given":"Karim","non-dropping-particle":"","parse-names":false,"suffix":""},{"dropping-particle":"","family":"Farewar","given":"Farhad","non-dropping-particle":"","parse-names":false,"suffix":""},{"dropping-particle":"","family":"Zeng","given":"Wu","non-dropping-particle":"","parse-names":false,"suffix":""}],"container-title":"Health Policy OPEN","id":"ITEM-1","issue":"April","issued":{"date-parts":[["2022"]]},"page":"100076","publisher":"Elsevier","title":"Willingness and ability to pay for health insurance in Afghanistan","type":"article-journal","volume":"3"},"uris":["http://www.mendeley.com/documents/?uuid=80802768-07f3-4a5b-8e22-244071fd5b6c"]}],"mendeley":{"formattedCitation":"(Behzad et al., 2022)","plainTextFormattedCitation":"(Behzad et al., 2022)","previouslyFormattedCitation":"(Behzad et al.,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(Behzad et al.,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{"citationItems":[{"id":"ITEM-1","itemData":{"DOI":"10.1016/j.fufo.2022.100214","ISSN":"26668335","abstract":"Urban consumers’ concerns have focused attention on whether a food traceability system should be implemented in Bangladesh to minimize the production and distribution of unsafe and poor-quality food products. A cross-sectional survey was conducted among 220 consumers in two main cities Dhaka and Mymensingh of Bangladesh to examine the traceability system in the vegetable supply chain from an ex-ante perspective. The objective is to identify the preferences and willingness to pay (WTP) for the traceability attributes and examine the factors influencing their WTP for traceable vegetables. The results show that over 90% of the consumers put their emphasis on traceability attributes associated with: pesticides and last date of spraying information, fertilizer information, and harvest date. On the other hand, over 85% of consumers showed interest in GM information of vegetables. The mean WTP is found to be 5.84 Tk. (US$0.068) and 5.90 Tk. (US$0.069) per kg respectively for brinjal and tomatoes. This reflects a 19.5% and 19.7% additional monetary payment over and above the purchase price for conventional brinjal and tomatoes respectively. The empirical findings indicate that income and quality perception scores have positive and significant effects on consumer WTP for traceable brinjal and tomatoes.","author":[{"dropping-particle":"","family":"Kabir","given":"A. N.M.Faijul","non-dropping-particle":"","parse-names":false,"suffix":""},{"dropping-particle":"","family":"Alam","given":"Mohammad Jahangir","non-dropping-particle":"","parse-names":false,"suffix":""},{"dropping-particle":"","family":"Begum","given":"Ismat Ara","non-dropping-particle":"","parse-names":false,"suffix":""},{"dropping-particle":"","family":"McKenzie","given":"Andrew M.","non-dropping-particle":"","parse-names":false,"suffix":""}],"container-title":"Future Foods","id":"ITEM-1","issue":"October 2022","issued":{"date-parts":[["2023"]]},"publisher":"Elsevier B.V.","title":"Consumers’ interest and willingness to pay for traceable vegetables- An empirical evidence from Bangladesh","type":"article-journal","volume":"7"},"uris":["http://www.mendeley.com/documents/?uuid=2a8189d4-8ce5-4ba8-9cd2-4db9265c7101"]}],"mendeley":{"formattedCitation":"(Kabir et al., 2023)","manualFormatting":"Kabir et al., (2023)","plainTextFormattedCitation":"(Kabir et al., 2023)","previouslyFormattedCitation":"(Kabir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Kabir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explained that setting tariffs is intended to ensure the continuity of transportation services with service quality that meets safety standards, taking into account people's purchasing power and its influence on production prices. This research aims to find out how the characteristics of users or customers calculate how much people are able to pay for service rates. a special form of transportation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{"citationItems":[{"id":"ITEM-1","itemData":{"DOI":"10.1016/j.fufo.2022.100214","ISSN":"26668335","abstract":"Urban consumers’ concerns have focused attention on whether a food traceability system should be implemented in Bangladesh to minimize the production and distribution of unsafe and poor-quality food products. A cross-sectional survey was conducted among 220 consumers in two main cities Dhaka and Mymensingh of Bangladesh to examine the traceability system in the vegetable supply chain from an ex-ante perspective. The objective is to identify the preferences and willingness to pay (WTP) for the traceability attributes and examine the factors influencing their WTP for traceable vegetables. The results show that over 90% of the consumers put their emphasis on traceability attributes associated with: pesticides and last date of spraying information, fertilizer information, and harvest date. On the other hand, over 85% of consumers showed interest in GM information of vegetables. The mean WTP is found to be 5.84 Tk. (US$0.068) and 5.90 Tk. (US$0.069) per kg respectively for brinjal and tomatoes. This reflects a 19.5% and 19.7% additional monetary payment over and above the purchase price for conventional brinjal and tomatoes respectively. The empirical findings indicate that income and quality perception scores have positive and significant effects on consumer WTP for traceable brinjal and tomatoes.","author":[{"dropping-particle":"","family":"Kabir","given":"A. N.M.Faijul","non-dropping-particle":"","parse-names":false,"suffix":""},{"dropping-particle":"","family":"Alam","given":"Mohammad Jahangir","non-dropping-particle":"","parse-names":false,"suffix":""},{"dropping-particle":"","family":"Begum","given":"Ismat Ara","non-dropping-particle":"","parse-names":false,"suffix":""},{"dropping-particle":"","family":"McKenzie","given":"Andrew M.","non-dropping-particle":"","parse-names":false,"suffix":""}],"container-title":"Future Foods","id":"ITEM-1","issue":"October 2022","issued":{"date-parts":[["2023"]]},"publisher":"Elsevier B.V.","title":"Consumers’ interest and willingness to pay for traceable vegetables- An empirical evidence from Bangladesh","type":"article-journal","volume":"7"},"uris":["http://www.mendeley.com/documents/?uuid=2a8189d4-8ce5-4ba8-9cd2-4db9265c7101"]}],"mendeley":{"formattedCitation":"(Kabir et al., 2023)","plainTextFormattedCitation":"(Kabir et al., 2023)","previouslyFormattedCitation":"(Kabir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(Kabir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4368A9"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ID" w:eastAsia="en-ID"/>
        </w:rPr>
      </w:pPr>
      <w:r w:rsidRPr="004368A9">
        <w:rPr>
          <w:rFonts w:ascii="Times New Roman" w:eastAsia="Times New Roman" w:hAnsi="Times New Roman" w:cs="Times New Roman"/>
          <w:b/>
          <w:sz w:val="24"/>
          <w:szCs w:val="24"/>
          <w:lang w:val="en-ID" w:eastAsia="en-ID"/>
        </w:rPr>
        <w:t>H2</w:t>
      </w:r>
      <w:r w:rsidRPr="004368A9">
        <w:rPr>
          <w:rFonts w:ascii="Times New Roman" w:eastAsia="Times New Roman" w:hAnsi="Times New Roman" w:cs="Times New Roman"/>
          <w:b/>
          <w:spacing w:val="-2"/>
          <w:sz w:val="24"/>
          <w:szCs w:val="24"/>
          <w:lang w:val="en-ID" w:eastAsia="en-ID"/>
        </w:rPr>
        <w:t xml:space="preserve"> </w:t>
      </w:r>
      <w:r w:rsidRPr="004368A9">
        <w:rPr>
          <w:rFonts w:ascii="Times New Roman" w:eastAsia="Times New Roman" w:hAnsi="Times New Roman" w:cs="Times New Roman"/>
          <w:sz w:val="24"/>
          <w:szCs w:val="24"/>
          <w:lang w:val="en-ID" w:eastAsia="en-ID"/>
        </w:rPr>
        <w:t>=</w:t>
      </w:r>
      <w:r w:rsidRPr="004368A9">
        <w:rPr>
          <w:rFonts w:ascii="Times New Roman" w:eastAsia="Times New Roman" w:hAnsi="Times New Roman" w:cs="Times New Roman"/>
          <w:spacing w:val="50"/>
          <w:sz w:val="24"/>
          <w:szCs w:val="24"/>
          <w:lang w:val="en-ID" w:eastAsia="en-ID"/>
        </w:rPr>
        <w:t xml:space="preserve"> </w:t>
      </w:r>
      <w:r w:rsidRPr="004368A9">
        <w:rPr>
          <w:rFonts w:ascii="Times New Roman" w:eastAsia="Times New Roman" w:hAnsi="Times New Roman" w:cs="Times New Roman"/>
          <w:sz w:val="24"/>
          <w:szCs w:val="24"/>
          <w:lang w:eastAsia="en-ID"/>
        </w:rPr>
        <w:t xml:space="preserve">Environmental Concern </w:t>
      </w:r>
      <w:r w:rsidRPr="004368A9">
        <w:rPr>
          <w:rFonts w:ascii="Times New Roman" w:eastAsia="Times New Roman" w:hAnsi="Times New Roman" w:cs="Times New Roman"/>
          <w:sz w:val="24"/>
          <w:szCs w:val="24"/>
          <w:lang w:val="en-ID" w:eastAsia="en-ID"/>
        </w:rPr>
        <w:t>has a positive influence on willingness</w:t>
      </w:r>
      <w:r w:rsidRPr="004368A9">
        <w:rPr>
          <w:rFonts w:ascii="Times New Roman" w:eastAsia="Times New Roman" w:hAnsi="Times New Roman" w:cs="Times New Roman"/>
          <w:spacing w:val="-1"/>
          <w:sz w:val="24"/>
          <w:szCs w:val="24"/>
          <w:lang w:val="en-ID" w:eastAsia="en-ID"/>
        </w:rPr>
        <w:t xml:space="preserve"> </w:t>
      </w:r>
      <w:r w:rsidRPr="004368A9">
        <w:rPr>
          <w:rFonts w:ascii="Times New Roman" w:eastAsia="Times New Roman" w:hAnsi="Times New Roman" w:cs="Times New Roman"/>
          <w:sz w:val="24"/>
          <w:szCs w:val="24"/>
          <w:lang w:val="en-ID" w:eastAsia="en-ID"/>
        </w:rPr>
        <w:t>to</w:t>
      </w:r>
      <w:r w:rsidRPr="004368A9">
        <w:rPr>
          <w:rFonts w:ascii="Times New Roman" w:eastAsia="Times New Roman" w:hAnsi="Times New Roman" w:cs="Times New Roman"/>
          <w:spacing w:val="-2"/>
          <w:sz w:val="24"/>
          <w:szCs w:val="24"/>
          <w:lang w:val="en-ID" w:eastAsia="en-ID"/>
        </w:rPr>
        <w:t xml:space="preserve"> </w:t>
      </w:r>
      <w:r w:rsidRPr="004368A9">
        <w:rPr>
          <w:rFonts w:ascii="Times New Roman" w:eastAsia="Times New Roman" w:hAnsi="Times New Roman" w:cs="Times New Roman"/>
          <w:sz w:val="24"/>
          <w:szCs w:val="24"/>
          <w:lang w:val="en-ID" w:eastAsia="en-ID"/>
        </w:rPr>
        <w:t>pay</w:t>
      </w:r>
    </w:p>
    <w:p w:rsidR="004368A9" w:rsidRPr="004368A9"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ID" w:eastAsia="en-ID"/>
        </w:rPr>
      </w:pPr>
    </w:p>
    <w:p w:rsidR="004368A9" w:rsidRPr="004368A9" w:rsidRDefault="004368A9" w:rsidP="00856DCA">
      <w:pPr>
        <w:spacing w:after="0" w:line="240" w:lineRule="auto"/>
        <w:jc w:val="both"/>
        <w:rPr>
          <w:rFonts w:ascii="Times New Roman" w:eastAsia="Cambria" w:hAnsi="Times New Roman" w:cs="Times New Roman"/>
          <w:sz w:val="24"/>
          <w:szCs w:val="24"/>
        </w:rPr>
      </w:pPr>
      <w:r w:rsidRPr="004368A9">
        <w:rPr>
          <w:rFonts w:ascii="Times New Roman" w:eastAsia="Cambria" w:hAnsi="Times New Roman" w:cs="Times New Roman"/>
          <w:sz w:val="24"/>
          <w:szCs w:val="24"/>
        </w:rPr>
        <w:t xml:space="preserve">The relationship between Perceived value and Purchase Intention </w:t>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anpol.2023.03.015","ISSN":"0967-070X","author":[{"dropping-particle":"","family":"Chen","given":"Ching-fu","non-dropping-particle":"","parse-names":false,"suffix":""},{"dropping-particle":"","family":"Lee","given":"Chia-han","non-dropping-particle":"","parse-names":false,"suffix":""}],"container-title":"Transport Policy","id":"ITEM-1","issue":"November 2022","issued":{"date-parts":[["2023"]]},"page":"147-154","publisher":"Elsevier Ltd","title":"Investigating shared e-scooter users ’ customer value co-creation behaviors and their antecedents : Perceived service quality and perceived value","type":"article-journal","volume":"136"},"uris":["http://www.mendeley.com/documents/?uuid=36437375-a73d-425e-943d-7cf9aed9fefb"]}],"mendeley":{"formattedCitation":"(Chen &amp; Lee, 2023)","manualFormatting":"Chen &amp; Lee, (2023)","plainTextFormattedCitation":"(Chen &amp; Lee, 2023)","previouslyFormattedCitation":"(Chen &amp; Lee,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Chen &amp; Lee,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perception that consumers have of a product can play an important role in their purchasing decision process. Therefore, a good perception regarding a product will give a positive impression of the use of that product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anpol.2023.03.015","ISSN":"0967-070X","author":[{"dropping-particle":"","family":"Chen","given":"Ching-fu","non-dropping-particle":"","parse-names":false,"suffix":""},{"dropping-particle":"","family":"Lee","given":"Chia-han","non-dropping-particle":"","parse-names":false,"suffix":""}],"container-title":"Transport Policy","id":"ITEM-1","issue":"November 2022","issued":{"date-parts":[["2023"]]},"page":"147-154","publisher":"Elsevier Ltd","title":"Investigating shared e-scooter users ’ customer value co-creation behaviors and their antecedents : Perceived service quality and perceived value","type":"article-journal","volume":"136"},"uris":["http://www.mendeley.com/documents/?uuid=36437375-a73d-425e-943d-7cf9aed9fefb"]}],"mendeley":{"formattedCitation":"(Chen &amp; Lee, 2023)","plainTextFormattedCitation":"(Chen &amp; Lee, 2023)","previouslyFormattedCitation":"(Chen &amp; Lee,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(Chen &amp; Lee,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The perceived value of a product is much more comprehensive than the concept of "value for price"</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Perceived value is defined as the consumer's overall assessment of the usefulness of a product based on what is received and what is given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{"citationItems":[{"id":"ITEM-1","itemData":{"DOI":"10.1016/j.im.2019.103197","ISSN":"03787206","abstract":"Citizens’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author":[{"dropping-particle":"","family":"Li","given":"Yan","non-dropping-particle":"","parse-names":false,"suffix":""},{"dropping-particle":"","family":"Shang","given":"Huping","non-dropping-particle":"","parse-names":false,"suffix":""}],"container-title":"Information and Management","id":"ITEM-1","issue":"3","issued":{"date-parts":[["2020"]]},"page":"103197","publisher":"Elsevier","title":"Service quality, perceived value, and citizens’ continuous-use intention regarding e-government: Empirical evidence from China","type":"article-journal","volume":"57"},"uris":["http://www.mendeley.com/documents/?uuid=d39638c3-fad5-443d-bada-58c9d6b10201"]}],"mendeley":{"formattedCitation":"(Li &amp; Shang, 2020)","manualFormatting":"Li &amp; Shang, (2020)","plainTextFormattedCitation":"(Li &amp; Shang, 2020)","previouslyFormattedCitation":"(Li &amp; Shang, 2020)"},"properties":{"noteIndex":0},"schema":"https://github.com/citation-style-language/schema/raw/master/csl-citation.json"}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&amp; Shang, (2020)</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Service Perceived value is perception, view and understanding which consists of components that can be measured so that it is a function of delivery, product features, then service, quality. 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anpol.2023.03.015","ISSN":"0967-070X","author":[{"dropping-particle":"","family":"Chen","given":"Ching-fu","non-dropping-particle":"","parse-names":false,"suffix":""},{"dropping-particle":"","family":"Lee","given":"Chia-han","non-dropping-particle":"","parse-names":false,"suffix":""}],"container-title":"Transport Policy","id":"ITEM-1","issue":"November 2022","issued":{"date-parts":[["2023"]]},"page":"147-154","publisher":"Elsevier Ltd","title":"Investigating shared e-scooter users ’ customer value co-creation behaviors and their antecedents : Perceived service quality and perceived value","type":"article-journal","volume":"136"},"uris":["http://www.mendeley.com/documents/?uuid=36437375-a73d-425e-943d-7cf9aed9fefb"]}],"mendeley":{"formattedCitation":"(Chen &amp; Lee, 2023)","manualFormatting":"Chen &amp; Lee, (2023)","plainTextFormattedCitation":"(Chen &amp; Lee, 2023)","previouslyFormattedCitation":"(Chen &amp; Lee,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Chen &amp; Lee,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value, quality, price, emotions and environment felt by consumers significantly and positively influence consumer purchasing attitudes. Thus, the more positive the perceived value of a product, the higher the consumer's desire to </w:t>
      </w:r>
      <w:r w:rsidRPr="00856DCA">
        <w:rPr>
          <w:rFonts w:ascii="Times New Roman" w:eastAsia="Times New Roman" w:hAnsi="Times New Roman" w:cs="Times New Roman"/>
          <w:color w:val="000000"/>
          <w:sz w:val="24"/>
          <w:szCs w:val="24"/>
          <w:lang w:eastAsia="en-ID"/>
        </w:rPr>
        <w:lastRenderedPageBreak/>
        <w:t xml:space="preserve">buy a particular product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anpol.2023.03.015","ISSN":"0967-070X","author":[{"dropping-particle":"","family":"Chen","given":"Ching-fu","non-dropping-particle":"","parse-names":false,"suffix":""},{"dropping-particle":"","family":"Lee","given":"Chia-han","non-dropping-particle":"","parse-names":false,"suffix":""}],"container-title":"Transport Policy","id":"ITEM-1","issue":"November 2022","issued":{"date-parts":[["2023"]]},"page":"147-154","publisher":"Elsevier Ltd","title":"Investigating shared e-scooter users ’ customer value co-creation behaviors and their antecedents : Perceived service quality and perceived value","type":"article-journal","volume":"136"},"uris":["http://www.mendeley.com/documents/?uuid=36437375-a73d-425e-943d-7cf9aed9fefb"]}],"mendeley":{"formattedCitation":"(Chen &amp; Lee, 2023)","plainTextFormattedCitation":"(Chen &amp; Lee, 2023)","previouslyFormattedCitation":"(Chen &amp; Lee,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(Chen &amp; Lee,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.Platform and mobility service quality are positively related to both perceived values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ranpol.2023.03.015","ISSN":"0967-070X","author":[{"dropping-particle":"","family":"Chen","given":"Ching-fu","non-dropping-particle":"","parse-names":false,"suffix":""},{"dropping-particle":"","family":"Lee","given":"Chia-han","non-dropping-particle":"","parse-names":false,"suffix":""}],"container-title":"Transport Policy","id":"ITEM-1","issue":"November 2022","issued":{"date-parts":[["2023"]]},"page":"147-154","publisher":"Elsevier Ltd","title":"Investigating shared e-scooter users ’ customer value co-creation behaviors and their antecedents : Perceived service quality and perceived value","type":"article-journal","volume":"136"},"uris":["http://www.mendeley.com/documents/?uuid=36437375-a73d-425e-943d-7cf9aed9fefb"]}],"mendeley":{"formattedCitation":"(Chen &amp; Lee, 2023)","plainTextFormattedCitation":"(Chen &amp; Lee, 2023)","previouslyFormattedCitation":"(Chen &amp; Lee,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(Chen &amp; Lee,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level of acceptance of product quality with perceived value will provide a sense of satisfaction because there is consumer hope that the company's performance will be achieved well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 good impression or image of a product or service from a brand based on the experience felt and received by customers will be the key to loyalty in purchasing or using a product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explains that customers who are loyal to a brand include making repeat purchases from a business entity and telling other people about the satisfaction they get from the company. Good service quality arises from the existence of a service strategy that is related to company policies. The service strategy must continue to be developed to be maintained and improved, especially to achieve customer loyalty and purchase intention by customers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.Therefore, a service strategy that must meet customer expectations will motivate customers to remain loyal to a product or service from a company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856DCA"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2023)","manualFormatting":"Bulndi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,perceived value is a form that underlies perceived service quality, as a material value, perceived service quality can be conceptualized as a result and exchange or customer sale between perceived quality sacrifices in financial and non-financial terms. Therefore, the results obtained and the difference in service quality and sacrifices made by customers will influence the assessment of customer satisfaction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{"citationItems":[{"id":"ITEM-1","itemData":{"DOI":"10.1016/j.wombi.2023.02.007","ISSN":"18715192","PMID":"36868989","author":[{"dropping-particle":"","family":"Bulndi","given":"Lydia Babatunde","non-dropping-particle":"","parse-names":false,"suffix":""},{"dropping-particle":"","family":"Bayes","given":"Sara","non-dropping-particle":"","parse-names":false,"suffix":""},{"dropping-particle":"","family":"Adama","given":"Esther","non-dropping-particle":"","parse-names":false,"suffix":""},{"dropping-particle":"","family":"Ireson","given":"Deborah","non-dropping-particle":"","parse-names":false,"suffix":""}],"container-title":"Women and Birth","id":"ITEM-1","issue":"February","issued":{"date-parts":[["2023"]]},"publisher":"Elsevier Ltd","title":"North-central Nigerian women’s experiences of obstetric fistula risk factors and their perceived treatment services: An Interpretive Description","type":"article-journal"},"uris":["http://www.mendeley.com/documents/?uuid=cfd4a0be-df1e-4805-96ab-c66bde5873ac"]}],"mendeley":{"formattedCitation":"(Bulndi et al., 2023)","plainTextFormattedCitation":"(Bulndi et al., 2023)","previouslyFormattedCitation":"(Bulndi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(Bulndi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4368A9" w:rsidRPr="004368A9" w:rsidRDefault="004368A9"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en-ID" w:eastAsia="en-ID"/>
        </w:rPr>
      </w:pPr>
      <w:r w:rsidRPr="004368A9">
        <w:rPr>
          <w:rFonts w:ascii="Times New Roman" w:eastAsia="Times New Roman" w:hAnsi="Times New Roman" w:cs="Times New Roman"/>
          <w:b/>
          <w:color w:val="000000"/>
          <w:sz w:val="24"/>
          <w:szCs w:val="24"/>
          <w:lang w:val="en-ID" w:eastAsia="en-ID"/>
        </w:rPr>
        <w:t xml:space="preserve">H3: </w:t>
      </w:r>
      <w:r w:rsidRPr="004368A9">
        <w:rPr>
          <w:rFonts w:ascii="Times New Roman" w:eastAsia="Times New Roman" w:hAnsi="Times New Roman" w:cs="Times New Roman"/>
          <w:color w:val="000000"/>
          <w:sz w:val="24"/>
          <w:szCs w:val="24"/>
          <w:lang w:val="en-ID" w:eastAsia="en-ID"/>
        </w:rPr>
        <w:t xml:space="preserve">Perceived value has a positive </w:t>
      </w:r>
      <w:proofErr w:type="gramStart"/>
      <w:r w:rsidRPr="004368A9">
        <w:rPr>
          <w:rFonts w:ascii="Times New Roman" w:eastAsia="Times New Roman" w:hAnsi="Times New Roman" w:cs="Times New Roman"/>
          <w:color w:val="000000"/>
          <w:sz w:val="24"/>
          <w:szCs w:val="24"/>
          <w:lang w:val="en-ID" w:eastAsia="en-ID"/>
        </w:rPr>
        <w:t>influence  on</w:t>
      </w:r>
      <w:proofErr w:type="gramEnd"/>
      <w:r w:rsidRPr="004368A9">
        <w:rPr>
          <w:rFonts w:ascii="Times New Roman" w:eastAsia="Times New Roman" w:hAnsi="Times New Roman" w:cs="Times New Roman"/>
          <w:color w:val="000000"/>
          <w:sz w:val="24"/>
          <w:szCs w:val="24"/>
          <w:lang w:val="en-ID" w:eastAsia="en-ID"/>
        </w:rPr>
        <w:t xml:space="preserve"> purchase intention</w:t>
      </w:r>
    </w:p>
    <w:p w:rsidR="004368A9" w:rsidRPr="004368A9" w:rsidRDefault="004368A9" w:rsidP="004368A9">
      <w:pPr>
        <w:spacing w:after="0"/>
        <w:jc w:val="both"/>
        <w:rPr>
          <w:rFonts w:ascii="Times New Roman" w:eastAsia="Cambria" w:hAnsi="Times New Roman" w:cs="Times New Roman"/>
          <w:sz w:val="24"/>
          <w:szCs w:val="24"/>
        </w:rPr>
      </w:pPr>
    </w:p>
    <w:p w:rsidR="004368A9" w:rsidRPr="004368A9" w:rsidRDefault="004368A9" w:rsidP="00856DCA">
      <w:pPr>
        <w:spacing w:after="0" w:line="240" w:lineRule="auto"/>
        <w:jc w:val="both"/>
        <w:rPr>
          <w:rFonts w:ascii="Times New Roman" w:eastAsia="Cambria" w:hAnsi="Times New Roman" w:cs="Times New Roman"/>
          <w:sz w:val="24"/>
          <w:szCs w:val="24"/>
        </w:rPr>
      </w:pPr>
      <w:r w:rsidRPr="004368A9">
        <w:rPr>
          <w:rFonts w:ascii="Times New Roman" w:eastAsia="Cambria" w:hAnsi="Times New Roman" w:cs="Times New Roman"/>
          <w:sz w:val="24"/>
          <w:szCs w:val="24"/>
        </w:rPr>
        <w:t xml:space="preserve">The relationship between Perceived Value and </w:t>
      </w:r>
      <w:proofErr w:type="spellStart"/>
      <w:r w:rsidRPr="004368A9">
        <w:rPr>
          <w:rFonts w:ascii="Times New Roman" w:eastAsia="Cambria" w:hAnsi="Times New Roman" w:cs="Times New Roman"/>
          <w:sz w:val="24"/>
          <w:szCs w:val="24"/>
        </w:rPr>
        <w:t>Willingnes</w:t>
      </w:r>
      <w:proofErr w:type="spellEnd"/>
      <w:r w:rsidRPr="004368A9">
        <w:rPr>
          <w:rFonts w:ascii="Times New Roman" w:eastAsia="Cambria" w:hAnsi="Times New Roman" w:cs="Times New Roman"/>
          <w:sz w:val="24"/>
          <w:szCs w:val="24"/>
        </w:rPr>
        <w:t xml:space="preserve"> </w:t>
      </w:r>
      <w:proofErr w:type="gramStart"/>
      <w:r w:rsidRPr="004368A9">
        <w:rPr>
          <w:rFonts w:ascii="Times New Roman" w:eastAsia="Cambria" w:hAnsi="Times New Roman" w:cs="Times New Roman"/>
          <w:sz w:val="24"/>
          <w:szCs w:val="24"/>
        </w:rPr>
        <w:t>To</w:t>
      </w:r>
      <w:proofErr w:type="gramEnd"/>
      <w:r w:rsidRPr="004368A9">
        <w:rPr>
          <w:rFonts w:ascii="Times New Roman" w:eastAsia="Cambria" w:hAnsi="Times New Roman" w:cs="Times New Roman"/>
          <w:sz w:val="24"/>
          <w:szCs w:val="24"/>
        </w:rPr>
        <w:t xml:space="preserve"> Pay </w:t>
      </w:r>
    </w:p>
    <w:p w:rsidR="004368A9" w:rsidRPr="00856DCA" w:rsidRDefault="004368A9" w:rsidP="00856DCA">
      <w:pPr>
        <w:spacing w:after="0" w:line="240" w:lineRule="auto"/>
        <w:ind w:firstLine="709"/>
        <w:jc w:val="both"/>
        <w:rPr>
          <w:rFonts w:ascii="Times New Roman" w:eastAsia="Calibri" w:hAnsi="Times New Roman" w:cs="Times New Roman"/>
          <w:color w:val="000000"/>
          <w:sz w:val="24"/>
          <w:szCs w:val="24"/>
        </w:rPr>
      </w:pPr>
      <w:r w:rsidRPr="004368A9">
        <w:rPr>
          <w:rFonts w:ascii="Times New Roman" w:eastAsia="Calibri" w:hAnsi="Times New Roman" w:cs="Times New Roman"/>
          <w:sz w:val="24"/>
          <w:szCs w:val="24"/>
        </w:rPr>
        <w:fldChar w:fldCharType="begin" w:fldLock="1"/>
      </w:r>
      <w:r w:rsidRPr="004368A9">
        <w:rPr>
          <w:rFonts w:ascii="Times New Roman" w:eastAsia="Calibri" w:hAnsi="Times New Roman" w:cs="Times New Roman"/>
          <w:sz w:val="24"/>
          <w:szCs w:val="24"/>
        </w:rPr>
        <w:instrText>ADDIN CSL_CITATION {"citationItems":[{"id":"ITEM-1","itemData":{"DOI":"10.1016/j.multra.2023.100069","ISSN":"27725863","abstract":"ABSTRACT\nExploring approaches for improving the service quality (SQ) of the urban multimodal transportation hub (MMTH) and alluring new passengers for providing seamless and sustainable mobility are the major concerns and objectives for transport planners and operating agencies in the contemporary world. Considering the fact, the present study endeavours to identify the association of users’ socio-demographics and travel characteristics with different service quality levels developed for a MMTH. The data was collected from 515 users of Anand Vihar MMTH, Delhi. K-means clustering categorized SQ in three levels: low, medium, and high. Association Rules Mining approach was used to generate various interesting rules, which also highlighted the disparity among users’ perceptions on the basis of three different SQ levels. Results demonstrated that the ‘passengers travelling 3 to 5 times per week’, ‘those who were having the availability of driving license’, ‘users with more than 15 minutes of transfer time’, and ‘the female users’ were the least satisfied with the SQ of MMTH. Interestingly, ‘the graduates with high-income travelling for work purpose’ and ‘users who were retired from their jobs’ were highly convinced with SQ. The research outcomes will be advantageous to the transport policy makers while implementing the user-based policies in the MMTH for embellishing the public transport infrastructure and to make the urban cities inclusive, resilient, safe and sustainable.","author":[{"dropping-particle":"","family":"Chauhan","given":"Vivek","non-dropping-particle":"","parse-names":false,"suffix":""},{"dropping-particle":"","family":"Gupta","given":"Akshay","non-dropping-particle":"","parse-names":false,"suffix":""},{"dropping-particle":"","family":"Parida","given":"Manoranjan","non-dropping-particle":"","parse-names":false,"suffix":""}],"container-title":"Multimodal Transportation","id":"ITEM-1","issue":"2","issued":{"date-parts":[["2023"]]},"page":"100069","publisher":"Elsevier Ltd","title":"Do users' characteristics really influence the perceived service quality of Multimodal Transportation Hub (MMTH)? An association rules mining approach","type":"article-journal","volume":"2"},"uris":["http://www.mendeley.com/documents/?uuid=e2bca5e3-c35c-45b5-9a59-80a5d27e0b53"]}],"mendeley":{"formattedCitation":"(Chauhan et al., 2023)","manualFormatting":"Chauhan et al., (2023)","plainTextFormattedCitation":"(Chauhan et al., 2023)","previouslyFormattedCitation":"(Chauhan et al., 2023)"},"properties":{"noteIndex":0},"schema":"https://github.com/citation-style-language/schema/raw/master/csl-citation.json"}</w:instrText>
      </w:r>
      <w:r w:rsidRPr="004368A9">
        <w:rPr>
          <w:rFonts w:ascii="Times New Roman" w:eastAsia="Calibri" w:hAnsi="Times New Roman" w:cs="Times New Roman"/>
          <w:sz w:val="24"/>
          <w:szCs w:val="24"/>
        </w:rPr>
        <w:fldChar w:fldCharType="separate"/>
      </w:r>
      <w:r w:rsidRPr="004368A9">
        <w:rPr>
          <w:rFonts w:ascii="Times New Roman" w:eastAsia="Calibri" w:hAnsi="Times New Roman" w:cs="Times New Roman"/>
          <w:noProof/>
          <w:sz w:val="24"/>
          <w:szCs w:val="24"/>
        </w:rPr>
        <w:t>Chauhan et al., (2023)</w:t>
      </w:r>
      <w:r w:rsidRPr="004368A9">
        <w:rPr>
          <w:rFonts w:ascii="Times New Roman" w:eastAsia="Calibri" w:hAnsi="Times New Roman" w:cs="Times New Roman"/>
          <w:sz w:val="24"/>
          <w:szCs w:val="24"/>
        </w:rPr>
        <w:fldChar w:fldCharType="end"/>
      </w:r>
      <w:r w:rsidRPr="004368A9">
        <w:rPr>
          <w:rFonts w:ascii="Times New Roman" w:eastAsia="Calibri" w:hAnsi="Times New Roman" w:cs="Times New Roman"/>
          <w:sz w:val="24"/>
          <w:szCs w:val="24"/>
        </w:rPr>
        <w:t xml:space="preserve"> </w:t>
      </w:r>
      <w:r w:rsidRPr="00856DCA">
        <w:rPr>
          <w:rFonts w:ascii="Times New Roman" w:eastAsia="Calibri" w:hAnsi="Times New Roman" w:cs="Times New Roman"/>
          <w:color w:val="000000"/>
          <w:sz w:val="24"/>
          <w:szCs w:val="24"/>
        </w:rPr>
        <w:t xml:space="preserve">argue that passenger perception is identified as a fundamental aspect in investigating the quality of service or the quality of a product. Social, demographic and travel characteristics are considered as important factors while influencing the user's or customer's decision to pay for a service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{"citationItems":[{"id":"ITEM-1","itemData":{"DOI":"10.1016/j.multra.2023.100069","ISSN":"27725863","abstract":"ABSTRACT\nExploring approaches for improving the service quality (SQ) of the urban multimodal transportation hub (MMTH) and alluring new passengers for providing seamless and sustainable mobility are the major concerns and objectives for transport planners and operating agencies in the contemporary world. Considering the fact, the present study endeavours to identify the association of users’ socio-demographics and travel characteristics with different service quality levels developed for a MMTH. The data was collected from 515 users of Anand Vihar MMTH, Delhi. K-means clustering categorized SQ in three levels: low, medium, and high. Association Rules Mining approach was used to generate various interesting rules, which also highlighted the disparity among users’ perceptions on the basis of three different SQ levels. Results demonstrated that the ‘passengers travelling 3 to 5 times per week’, ‘those who were having the availability of driving license’, ‘users with more than 15 minutes of transfer time’, and ‘the female users’ were the least satisfied with the SQ of MMTH. Interestingly, ‘the graduates with high-income travelling for work purpose’ and ‘users who were retired from their jobs’ were highly convinced with SQ. The research outcomes will be advantageous to the transport policy makers while implementing the user-based policies in the MMTH for embellishing the public transport infrastructure and to make the urban cities inclusive, resilient, safe and sustainable.","author":[{"dropping-particle":"","family":"Chauhan","given":"Vivek","non-dropping-particle":"","parse-names":false,"suffix":""},{"dropping-particle":"","family":"Gupta","given":"Akshay","non-dropping-particle":"","parse-names":false,"suffix":""},{"dropping-particle":"","family":"Parida","given":"Manoranjan","non-dropping-particle":"","parse-names":false,"suffix":""}],"container-title":"Multimodal Transportation","id":"ITEM-1","issue":"2","issued":{"date-parts":[["2023"]]},"page":"100069","publisher":"Elsevier Ltd","title":"Do users' characteristics really influence the perceived service quality of Multimodal Transportation Hub (MMTH)? An association rules mining approach","type":"article-journal","volume":"2"},"uris":["http://www.mendeley.com/documents/?uuid=e2bca5e3-c35c-45b5-9a59-80a5d27e0b53"]}],"mendeley":{"formattedCitation":"(Chauhan et al., 2023)","plainTextFormattedCitation":"(Chauhan et al., 2023)","previouslyFormattedCitation":"(Chauhan et al., 2023)"},"properties":{"noteIndex":0},"schema":"https://github.com/citation-style-language/schema/raw/master/csl-citation.json"}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(Chauhan et al., 2023)</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Most of the factors that influence a user's decision to use a service or product, namely the quality of the service, are factors that influence a decision to make a payment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{"citationItems":[{"id":"ITEM-1","itemData":{"DOI":"10.1016/j.multra.2023.100069","ISSN":"27725863","abstract":"ABSTRACT\nExploring approaches for improving the service quality (SQ) of the urban multimodal transportation hub (MMTH) and alluring new passengers for providing seamless and sustainable mobility are the major concerns and objectives for transport planners and operating agencies in the contemporary world. Considering the fact, the present study endeavours to identify the association of users’ socio-demographics and travel characteristics with different service quality levels developed for a MMTH. The data was collected from 515 users of Anand Vihar MMTH, Delhi. K-means clustering categorized SQ in three levels: low, medium, and high. Association Rules Mining approach was used to generate various interesting rules, which also highlighted the disparity among users’ perceptions on the basis of three different SQ levels. Results demonstrated that the ‘passengers travelling 3 to 5 times per week’, ‘those who were having the availability of driving license’, ‘users with more than 15 minutes of transfer time’, and ‘the female users’ were the least satisfied with the SQ of MMTH. Interestingly, ‘the graduates with high-income travelling for work purpose’ and ‘users who were retired from their jobs’ were highly convinced with SQ. The research outcomes will be advantageous to the transport policy makers while implementing the user-based policies in the MMTH for embellishing the public transport infrastructure and to make the urban cities inclusive, resilient, safe and sustainable.","author":[{"dropping-particle":"","family":"Chauhan","given":"Vivek","non-dropping-particle":"","parse-names":false,"suffix":""},{"dropping-particle":"","family":"Gupta","given":"Akshay","non-dropping-particle":"","parse-names":false,"suffix":""},{"dropping-particle":"","family":"Parida","given":"Manoranjan","non-dropping-particle":"","parse-names":false,"suffix":""}],"container-title":"Multimodal Transportation","id":"ITEM-1","issue":"2","issued":{"date-parts":[["2023"]]},"page":"100069","publisher":"Elsevier Ltd","title":"Do users' characteristics really influence the perceived service quality of Multimodal Transportation Hub (MMTH)? An association rules mining approach","type":"article-journal","volume":"2"},"uris":["http://www.mendeley.com/documents/?uuid=e2bca5e3-c35c-45b5-9a59-80a5d27e0b53"]}],"mendeley":{"formattedCitation":"(Chauhan et al., 2023)","plainTextFormattedCitation":"(Chauhan et al., 2023)","previouslyFormattedCitation":"(Chauhan et al., 2023)"},"properties":{"noteIndex":0},"schema":"https://github.com/citation-style-language/schema/raw/master/csl-citation.json"}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(Chauhan et al., 2023)</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Consumers buy from companies that offer the highest perceived value, consumers evaluate the benefits they receive with their sacrifices to get the product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{"citationItems":[{"id":"ITEM-1","itemData":{"DOI":"10.1016/j.multra.2023.100069","ISSN":"27725863","abstract":"ABSTRACT\nExploring approaches for improving the service quality (SQ) of the urban multimodal transportation hub (MMTH) and alluring new passengers for providing seamless and sustainable mobility are the major concerns and objectives for transport planners and operating agencies in the contemporary world. Considering the fact, the present study endeavours to identify the association of users’ socio-demographics and travel characteristics with different service quality levels developed for a MMTH. The data was collected from 515 users of Anand Vihar MMTH, Delhi. K-means clustering categorized SQ in three levels: low, medium, and high. Association Rules Mining approach was used to generate various interesting rules, which also highlighted the disparity among users’ perceptions on the basis of three different SQ levels. Results demonstrated that the ‘passengers travelling 3 to 5 times per week’, ‘those who were having the availability of driving license’, ‘users with more than 15 minutes of transfer time’, and ‘the female users’ were the least satisfied with the SQ of MMTH. Interestingly, ‘the graduates with high-income travelling for work purpose’ and ‘users who were retired from their jobs’ were highly convinced with SQ. The research outcomes will be advantageous to the transport policy makers while implementing the user-based policies in the MMTH for embellishing the public transport infrastructure and to make the urban cities inclusive, resilient, safe and sustainable.","author":[{"dropping-particle":"","family":"Chauhan","given":"Vivek","non-dropping-particle":"","parse-names":false,"suffix":""},{"dropping-particle":"","family":"Gupta","given":"Akshay","non-dropping-particle":"","parse-names":false,"suffix":""},{"dropping-particle":"","family":"Parida","given":"Manoranjan","non-dropping-particle":"","parse-names":false,"suffix":""}],"container-title":"Multimodal Transportation","id":"ITEM-1","issue":"2","issued":{"date-parts":[["2023"]]},"page":"100069","publisher":"Elsevier Ltd","title":"Do users' characteristics really influence the perceived service quality of Multimodal Transportation Hub (MMTH)? An association rules mining approach","type":"article-journal","volume":"2"},"uris":["http://www.mendeley.com/documents/?uuid=e2bca5e3-c35c-45b5-9a59-80a5d27e0b53"]}],"mendeley":{"formattedCitation":"(Chauhan et al., 2023)","plainTextFormattedCitation":"(Chauhan et al., 2023)","previouslyFormattedCitation":"(Chauhan et al., 2023)"},"properties":{"noteIndex":0},"schema":"https://github.com/citation-style-language/schema/raw/master/csl-citation.json"}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(Chauhan et al., 2023)</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.Dependent and independent considerations in decisions are basically different from other industries, for example travel routes that can connect from one city A to another city B. Also the departure schedule, how many times the frequency of travel affects the value of personal consumers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Consumer decisions cannot be made alone, because they include a group of many customers who agree with the choice of a product or facility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Consumers buy from companies that offer the highest perceived value, consumers evaluate the benefits they receive with their sacrifices to get the product and make the decision to pay more for a product or service from that brand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Viewed from the cost dimension, the costs will be greater to attract new customers compared to the costs to retain old customers or create repeat purchases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Therefore, retaining customers is more important than attracting customers, while retaining customers lies in customer satisfaction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In the service industry, customer satisfaction is always influenced by the quality of interactions between customers and employees who make service contact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{"citationItems":[{"id":"ITEM-1","itemData":{"DOI":"10.1016/j.jretconser.2022.102960","ISSN":"09696989","abstract":"The demand for using library apps to search for information has been increasing after the COVID-19 outbreak. To look into how the pandemic affects the users’ perception of the loyalty of using library apps, we designed this research by amalgamating the updated IS success model and S–O-R model to evaluate the service quality of a public library app under the Hong Kong Government mobile applications initiative. A third-order model is established to demonstrate the multi-faceted aspects of service quality and mediating effects of perceived brand image, satisfaction, and e-word of mouth. Using structural equation modeling, data collected from Hong Kong, a metropolis where mobile services empower its citizens, showed the interrelationships among service quality and possible outcomes (i.e., perceived brand image, user satisfaction, e-word of mouth, and user loyalty). Findings also indicate that the influence of perceived service quality on user loyalty could only be achieved through perceived brand image and user satisfaction. This is a timely study during the COVID-19 pandemic, as the lockdown and social distancing arrangements created challenges for citizens to search for information in public libraries in person. Our findings and suggestions reiterate the importance of considering the usability concepts when analyzing the service quality of each unique app. They also provide insights for practitioners in developing the next generation of apps for smart public information services and call for further investigation into the proposed hierarchical model and other potential factors related to service quality.","author":[{"dropping-particle":"","family":"Chan","given":"Vanessa Hiu Ying","non-dropping-particle":"","parse-names":false,"suffix":""},{"dropping-particle":"","family":"Chiu","given":"Dickson K.W.","non-dropping-particle":"","parse-names":false,"suffix":""},{"dropping-particle":"","family":"Ho","given":"Kevin K.W.","non-dropping-particle":"","parse-names":false,"suffix":""}],"container-title":"Journal of Retailing and Consumer Services","id":"ITEM-1","issue":"October 2021","issued":{"date-parts":[["2022"]]},"page":"102960","publisher":"Elsevier Ltd","title":"Mediating effects on the relationship between perceived service quality and public library app loyalty during the COVID-19 era","type":"article-journal","volume":"67"},"uris":["http://www.mendeley.com/documents/?uuid=0413d288-d4dd-4c94-a2d6-b90405419353"]}],"mendeley":{"formattedCitation":"(Chan et al., 2022)","plainTextFormattedCitation":"(Chan et al., 2022)","previouslyFormattedCitation":"(Chan et al., 2022)"},"properties":{"noteIndex":0},"schema":"https://github.com/citation-style-language/schema/raw/master/csl-citation.json"}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(Chan et al., 2022)</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 xml:space="preserve">. Basically, there are two main things related to service, namely customer expectations regarding subscription quality (expected quality) and customer perceptions of service quality when receiving the service (experienced or perceived quality) </w:t>
      </w:r>
      <w:r w:rsidRPr="00856DCA">
        <w:rPr>
          <w:rFonts w:ascii="Times New Roman" w:eastAsia="Calibri" w:hAnsi="Times New Roman" w:cs="Times New Roman"/>
          <w:color w:val="000000"/>
          <w:sz w:val="24"/>
          <w:szCs w:val="24"/>
        </w:rPr>
        <w:fldChar w:fldCharType="begin" w:fldLock="1"/>
      </w:r>
      <w:r w:rsidRPr="00856DCA">
        <w:rPr>
          <w:rFonts w:ascii="Times New Roman" w:eastAsia="Calibri" w:hAnsi="Times New Roman" w:cs="Times New Roman"/>
          <w:color w:val="000000"/>
          <w:sz w:val="24"/>
          <w:szCs w:val="24"/>
        </w:rPr>
        <w:instrText>ADDIN CSL_CITATION {"citationItems":[{"id":"ITEM-1","itemData":{"DOI":"10.1016/j.ijinfomgt.2019.102040","ISSN":"02684012","abstract":"Freemium has become de facto business model for games and many other online services. We investigate how consumers' perceived value is associated with their intention to use freemium services and to purchase premium content. We employ data gathered through an online survey (N=869) among players of freemium/free-to-play games. Firstly, we find support for the “Demand Through Inconvenience” -hypothesis proposed in this study, indicating that the higher the enjoyment of the freemium service, the lower the intentions to purchase premium content but higher intention to use the service overall. Secondly, social value is found to positively affect freemium use and premium purchases. Thirdly, the quality of the freemium service does not seem to be associated with premium purchases although it has a positive association with freemium use. Fourthly, the economic value of freemium services is positively associated with freemium service use and via increased use also has a positive effect on premium purchases. The findings of the present study highlight the peculiarity of the freemium business model: increasing perceived value of the freemium service (i.e. enjoyment) may both add to and retract from future profitability via increased retention on one hand, reduced monetization on the other.","author":[{"dropping-particle":"","family":"Hamari","given":"Juho","non-dropping-particle":"","parse-names":false,"suffix":""},{"dropping-particle":"","family":"Hanner","given":"Nicolai","non-dropping-particle":"","parse-names":false,"suffix":""},{"dropping-particle":"","family":"Koivisto","given":"Jonna","non-dropping-particle":"","parse-names":false,"suffix":""}],"container-title":"International Journal of Information Management","id":"ITEM-1","issue":"November 2018","issued":{"date-parts":[["2020"]]},"page":"102040","publisher":"Elsevier","title":"“Why pay premium in freemium services?” A study on perceived value, continued use and purchase intentions in free-to-play games","type":"article-journal","volume":"51"},"uris":["http://www.mendeley.com/documents/?uuid=ebd6f779-7195-4536-a558-dc4f7ab65b35"]}],"mendeley":{"formattedCitation":"(Hamari et al., 2020)","plainTextFormattedCitation":"(Hamari et al., 2020)","previouslyFormattedCitation":"(Hamari et al., 2020)"},"properties":{"noteIndex":0},"schema":"https://github.com/citation-style-language/schema/raw/master/csl-citation.json"}</w:instrText>
      </w:r>
      <w:r w:rsidRPr="00856DCA">
        <w:rPr>
          <w:rFonts w:ascii="Times New Roman" w:eastAsia="Calibri" w:hAnsi="Times New Roman" w:cs="Times New Roman"/>
          <w:color w:val="000000"/>
          <w:sz w:val="24"/>
          <w:szCs w:val="24"/>
        </w:rPr>
        <w:fldChar w:fldCharType="separate"/>
      </w:r>
      <w:r w:rsidRPr="00856DCA">
        <w:rPr>
          <w:rFonts w:ascii="Times New Roman" w:eastAsia="Calibri" w:hAnsi="Times New Roman" w:cs="Times New Roman"/>
          <w:noProof/>
          <w:color w:val="000000"/>
          <w:sz w:val="24"/>
          <w:szCs w:val="24"/>
        </w:rPr>
        <w:t>(Hamari et al., 2020)</w:t>
      </w:r>
      <w:r w:rsidRPr="00856DCA">
        <w:rPr>
          <w:rFonts w:ascii="Times New Roman" w:eastAsia="Calibri" w:hAnsi="Times New Roman" w:cs="Times New Roman"/>
          <w:color w:val="000000"/>
          <w:sz w:val="24"/>
          <w:szCs w:val="24"/>
        </w:rPr>
        <w:fldChar w:fldCharType="end"/>
      </w:r>
      <w:r w:rsidRPr="00856DCA">
        <w:rPr>
          <w:rFonts w:ascii="Times New Roman" w:eastAsia="Calibri" w:hAnsi="Times New Roman" w:cs="Times New Roman"/>
          <w:color w:val="000000"/>
          <w:sz w:val="24"/>
          <w:szCs w:val="24"/>
        </w:rPr>
        <w:t>.</w:t>
      </w:r>
    </w:p>
    <w:p w:rsidR="004368A9" w:rsidRPr="004368A9" w:rsidRDefault="004368A9" w:rsidP="00856DCA">
      <w:pPr>
        <w:spacing w:after="0" w:line="240" w:lineRule="auto"/>
        <w:jc w:val="both"/>
        <w:rPr>
          <w:rFonts w:ascii="Times New Roman" w:eastAsia="Calibri" w:hAnsi="Times New Roman" w:cs="Times New Roman"/>
          <w:color w:val="000000"/>
          <w:sz w:val="24"/>
          <w:szCs w:val="24"/>
        </w:rPr>
      </w:pPr>
      <w:r w:rsidRPr="004368A9">
        <w:rPr>
          <w:rFonts w:ascii="Times New Roman" w:eastAsia="Calibri" w:hAnsi="Times New Roman" w:cs="Times New Roman"/>
          <w:b/>
          <w:color w:val="000000"/>
          <w:sz w:val="24"/>
          <w:szCs w:val="24"/>
        </w:rPr>
        <w:lastRenderedPageBreak/>
        <w:t>H4=</w:t>
      </w:r>
      <w:r w:rsidRPr="004368A9">
        <w:rPr>
          <w:rFonts w:ascii="Times New Roman" w:eastAsia="Calibri" w:hAnsi="Times New Roman" w:cs="Times New Roman"/>
          <w:b/>
          <w:color w:val="000000"/>
          <w:spacing w:val="-3"/>
          <w:sz w:val="24"/>
          <w:szCs w:val="24"/>
        </w:rPr>
        <w:t xml:space="preserve"> </w:t>
      </w:r>
      <w:r w:rsidRPr="004368A9">
        <w:rPr>
          <w:rFonts w:ascii="Times New Roman" w:eastAsia="Calibri" w:hAnsi="Times New Roman" w:cs="Times New Roman"/>
          <w:i/>
          <w:color w:val="000000"/>
          <w:sz w:val="24"/>
          <w:szCs w:val="24"/>
        </w:rPr>
        <w:t>perceived</w:t>
      </w:r>
      <w:r w:rsidRPr="004368A9">
        <w:rPr>
          <w:rFonts w:ascii="Times New Roman" w:eastAsia="Calibri" w:hAnsi="Times New Roman" w:cs="Times New Roman"/>
          <w:i/>
          <w:color w:val="000000"/>
          <w:spacing w:val="-2"/>
          <w:sz w:val="24"/>
          <w:szCs w:val="24"/>
        </w:rPr>
        <w:t xml:space="preserve"> </w:t>
      </w:r>
      <w:r w:rsidRPr="004368A9">
        <w:rPr>
          <w:rFonts w:ascii="Times New Roman" w:eastAsia="Calibri" w:hAnsi="Times New Roman" w:cs="Times New Roman"/>
          <w:i/>
          <w:color w:val="000000"/>
          <w:sz w:val="24"/>
          <w:szCs w:val="24"/>
        </w:rPr>
        <w:t>value</w:t>
      </w:r>
      <w:r w:rsidRPr="004368A9">
        <w:rPr>
          <w:rFonts w:ascii="Times New Roman" w:eastAsia="Calibri" w:hAnsi="Times New Roman" w:cs="Times New Roman"/>
          <w:i/>
          <w:color w:val="000000"/>
          <w:spacing w:val="1"/>
          <w:sz w:val="24"/>
          <w:szCs w:val="24"/>
        </w:rPr>
        <w:t xml:space="preserve"> </w:t>
      </w:r>
      <w:r w:rsidRPr="004368A9">
        <w:rPr>
          <w:rFonts w:ascii="Times New Roman" w:eastAsia="Calibri" w:hAnsi="Times New Roman" w:cs="Times New Roman"/>
          <w:color w:val="000000"/>
          <w:sz w:val="24"/>
          <w:szCs w:val="24"/>
        </w:rPr>
        <w:t xml:space="preserve">has a positive effect </w:t>
      </w:r>
      <w:proofErr w:type="gramStart"/>
      <w:r w:rsidRPr="004368A9">
        <w:rPr>
          <w:rFonts w:ascii="Times New Roman" w:eastAsia="Calibri" w:hAnsi="Times New Roman" w:cs="Times New Roman"/>
          <w:color w:val="000000"/>
          <w:sz w:val="24"/>
          <w:szCs w:val="24"/>
        </w:rPr>
        <w:t xml:space="preserve">on </w:t>
      </w:r>
      <w:r w:rsidRPr="004368A9">
        <w:rPr>
          <w:rFonts w:ascii="Times New Roman" w:eastAsia="Calibri" w:hAnsi="Times New Roman" w:cs="Times New Roman"/>
          <w:color w:val="000000"/>
          <w:spacing w:val="1"/>
          <w:sz w:val="24"/>
          <w:szCs w:val="24"/>
        </w:rPr>
        <w:t xml:space="preserve"> </w:t>
      </w:r>
      <w:r w:rsidRPr="004368A9">
        <w:rPr>
          <w:rFonts w:ascii="Times New Roman" w:eastAsia="Calibri" w:hAnsi="Times New Roman" w:cs="Times New Roman"/>
          <w:i/>
          <w:color w:val="000000"/>
          <w:sz w:val="24"/>
          <w:szCs w:val="24"/>
        </w:rPr>
        <w:t>willingness</w:t>
      </w:r>
      <w:proofErr w:type="gramEnd"/>
      <w:r w:rsidRPr="004368A9">
        <w:rPr>
          <w:rFonts w:ascii="Times New Roman" w:eastAsia="Calibri" w:hAnsi="Times New Roman" w:cs="Times New Roman"/>
          <w:i/>
          <w:color w:val="000000"/>
          <w:spacing w:val="-1"/>
          <w:sz w:val="24"/>
          <w:szCs w:val="24"/>
        </w:rPr>
        <w:t xml:space="preserve"> </w:t>
      </w:r>
      <w:r w:rsidRPr="004368A9">
        <w:rPr>
          <w:rFonts w:ascii="Times New Roman" w:eastAsia="Calibri" w:hAnsi="Times New Roman" w:cs="Times New Roman"/>
          <w:i/>
          <w:color w:val="000000"/>
          <w:sz w:val="24"/>
          <w:szCs w:val="24"/>
        </w:rPr>
        <w:t>to</w:t>
      </w:r>
      <w:r w:rsidRPr="004368A9">
        <w:rPr>
          <w:rFonts w:ascii="Times New Roman" w:eastAsia="Calibri" w:hAnsi="Times New Roman" w:cs="Times New Roman"/>
          <w:i/>
          <w:color w:val="000000"/>
          <w:spacing w:val="-5"/>
          <w:sz w:val="24"/>
          <w:szCs w:val="24"/>
        </w:rPr>
        <w:t xml:space="preserve"> </w:t>
      </w:r>
      <w:r w:rsidRPr="004368A9">
        <w:rPr>
          <w:rFonts w:ascii="Times New Roman" w:eastAsia="Calibri" w:hAnsi="Times New Roman" w:cs="Times New Roman"/>
          <w:i/>
          <w:color w:val="000000"/>
          <w:sz w:val="24"/>
          <w:szCs w:val="24"/>
        </w:rPr>
        <w:t>pay</w:t>
      </w:r>
    </w:p>
    <w:p w:rsidR="004368A9" w:rsidRPr="004368A9" w:rsidRDefault="004368A9" w:rsidP="00856DCA">
      <w:pPr>
        <w:spacing w:after="0" w:line="240" w:lineRule="auto"/>
        <w:jc w:val="both"/>
        <w:rPr>
          <w:rFonts w:ascii="Times New Roman" w:eastAsia="Cambria" w:hAnsi="Times New Roman" w:cs="Times New Roman"/>
          <w:sz w:val="24"/>
          <w:szCs w:val="24"/>
        </w:rPr>
      </w:pPr>
    </w:p>
    <w:p w:rsidR="00CD0DA5" w:rsidRPr="00CD0DA5" w:rsidRDefault="00CD0DA5" w:rsidP="00856DCA">
      <w:pPr>
        <w:spacing w:after="0" w:line="240" w:lineRule="auto"/>
        <w:jc w:val="both"/>
        <w:rPr>
          <w:rFonts w:ascii="Times New Roman" w:eastAsia="Cambria" w:hAnsi="Times New Roman" w:cs="Times New Roman"/>
          <w:sz w:val="24"/>
          <w:szCs w:val="24"/>
        </w:rPr>
      </w:pPr>
      <w:r w:rsidRPr="00CD0DA5">
        <w:rPr>
          <w:rFonts w:ascii="Times New Roman" w:eastAsia="Cambria" w:hAnsi="Times New Roman" w:cs="Times New Roman"/>
          <w:sz w:val="24"/>
          <w:szCs w:val="24"/>
        </w:rPr>
        <w:t xml:space="preserve">The relationship between Brand </w:t>
      </w:r>
      <w:proofErr w:type="gramStart"/>
      <w:r w:rsidRPr="00CD0DA5">
        <w:rPr>
          <w:rFonts w:ascii="Times New Roman" w:eastAsia="Cambria" w:hAnsi="Times New Roman" w:cs="Times New Roman"/>
          <w:sz w:val="24"/>
          <w:szCs w:val="24"/>
        </w:rPr>
        <w:t>Familiarity  and</w:t>
      </w:r>
      <w:proofErr w:type="gramEnd"/>
      <w:r w:rsidRPr="00CD0DA5">
        <w:rPr>
          <w:rFonts w:ascii="Times New Roman" w:eastAsia="Cambria" w:hAnsi="Times New Roman" w:cs="Times New Roman"/>
          <w:sz w:val="24"/>
          <w:szCs w:val="24"/>
        </w:rPr>
        <w:t xml:space="preserve"> Purchase Intention </w:t>
      </w:r>
    </w:p>
    <w:p w:rsidR="00CD0DA5" w:rsidRPr="00856DCA" w:rsidRDefault="00CD0DA5" w:rsidP="0085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{"citationItems":[{"id":"ITEM-1","itemData":{"DOI":"10.1016/j.teler.2023.100046","ISSN":"27725030","abstract":"With the growing consumption power of Generation Z and the accelerated development of digital technology in China, the market of domestic makeups is on the rise. Meanwhile, various digital platforms have become the main channel for the promotion of national beauty brands. Therefore, the dissemination of domestic cosmetics information on digital platforms remains a discussion that when social content includes Chinese ethnic elements, whether the audience's recognition of Chinese national identity can be enhanced. Based on the Stimulus-Organism-Response (S-O-R) model, with brand familiarity and media richness as independent variables, knowledge of ethnic elements and cognitive cultural intelligence as moderators, as well as cultural perception as mediators, this study investigates digital communication effects on the recognition of Chinese national identity by exploring ethnic elements in different Chinese makeup brands. The research adopts an experimental method and find that: (1) media richness significantly affects audiences’ cultural perception, and cultural perception play a mediating role in the effect of media richness on Chinese national identity; (2) the knowledge of ethnic elements in Chinese makeups negatively moderates the effect of media richness on culture perception; (3) cognitive cultural intelligence intensifies the link between cultural perception and Chinese national identity; (4) brand familiarity positively affects Chinese national identity while it has a negative impact cultural perception. This paper proves the assumptions effectively, and the findings could be expanded to promote digital communication of Chinese culture in the context of national cosmetics brands.","author":[{"dropping-particle":"","family":"Li","given":"Yuquan","non-dropping-particle":"","parse-names":false,"suffix":""},{"dropping-particle":"","family":"Sun","given":"Jianxin","non-dropping-particle":"","parse-names":false,"suffix":""},{"dropping-particle":"","family":"Zhu","given":"Lin","non-dropping-particle":"","parse-names":false,"suffix":""}],"container-title":"Telematics and Informatics Reports","id":"ITEM-1","issue":"November 2022","issued":{"date-parts":[["2023"]]},"publisher":"Elsevier B.V.","title":"Ethnic elements in Chinese cosmetic brands: An exploration of digital communication effects on the recognition of Chinese national identity","type":"article-journal","volume":"10"},"uris":["http://www.mendeley.com/documents/?uuid=ffd916d4-0697-44fc-b96e-fb214a5427ba"]}],"mendeley":{"formattedCitation":"(Li et al., 2023)","manualFormatting":"Li et al., (2023)","plainTextFormattedCitation":"(Li et al., 2023)","previouslyFormattedCitation":"(Li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in particular, the more familiar consumers are, the more interested they are in a brand, the more likely they are to produce a series of cognitive and emotional associations, when considering a brand, associations are taken into account, resulting in trust in the brand and increasing purchase intentions. Therefore, brand familiarity varies according to people's perceptions and associates different information and emotional tendencies, cultural perception, as cognitive behavior and perception, as cognitive behavior and perception which exert influence based on the level of brand familiarity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{"citationItems":[{"id":"ITEM-1","itemData":{"DOI":"10.1016/j.teler.2023.100046","ISSN":"27725030","abstract":"With the growing consumption power of Generation Z and the accelerated development of digital technology in China, the market of domestic makeups is on the rise. Meanwhile, various digital platforms have become the main channel for the promotion of national beauty brands. Therefore, the dissemination of domestic cosmetics information on digital platforms remains a discussion that when social content includes Chinese ethnic elements, whether the audience's recognition of Chinese national identity can be enhanced. Based on the Stimulus-Organism-Response (S-O-R) model, with brand familiarity and media richness as independent variables, knowledge of ethnic elements and cognitive cultural intelligence as moderators, as well as cultural perception as mediators, this study investigates digital communication effects on the recognition of Chinese national identity by exploring ethnic elements in different Chinese makeup brands. The research adopts an experimental method and find that: (1) media richness significantly affects audiences’ cultural perception, and cultural perception play a mediating role in the effect of media richness on Chinese national identity; (2) the knowledge of ethnic elements in Chinese makeups negatively moderates the effect of media richness on culture perception; (3) cognitive cultural intelligence intensifies the link between cultural perception and Chinese national identity; (4) brand familiarity positively affects Chinese national identity while it has a negative impact cultural perception. This paper proves the assumptions effectively, and the findings could be expanded to promote digital communication of Chinese culture in the context of national cosmetics brands.","author":[{"dropping-particle":"","family":"Li","given":"Yuquan","non-dropping-particle":"","parse-names":false,"suffix":""},{"dropping-particle":"","family":"Sun","given":"Jianxin","non-dropping-particle":"","parse-names":false,"suffix":""},{"dropping-particle":"","family":"Zhu","given":"Lin","non-dropping-particle":"","parse-names":false,"suffix":""}],"container-title":"Telematics and Informatics Reports","id":"ITEM-1","issue":"November 2022","issued":{"date-parts":[["2023"]]},"publisher":"Elsevier B.V.","title":"Ethnic elements in Chinese cosmetic brands: An exploration of digital communication effects on the recognition of Chinese national identity","type":"article-journal","volume":"10"},"uris":["http://www.mendeley.com/documents/?uuid=ffd916d4-0697-44fc-b96e-fb214a5427ba"]}],"mendeley":{"formattedCitation":"(Li et al., 2023)","plainTextFormattedCitation":"(Li et al., 2023)","previouslyFormattedCitation":"(Li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(Li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Brand Familiarity is associated with several marketing issues, such as message acceptance, product preference, product satisfaction and product quality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{"citationItems":[{"id":"ITEM-1","itemData":{"DOI":"10.1016/j.foodres.2021.110200","ISSN":"18737145","PMID":"33773675","abstract":"With the increasing globalization, new unfamiliar flavors gradually find their way into local Western cuisines. The mechanisms behind the successful integration of novel flavors into local cuisines are largely unknown. This study investigates the effects of frequency of soy sauce use, levels of food neophobia, and brand specificity on liking of a relatively unknown flavor in the Netherlands, soy sauce. A total of eighty-nine (26 men and 63 women; mean age 47.5 ± 17.7 years) high- and low-frequency users of soy sauce rated liking of five soy sauces separately presented with and without branding information. Liking of four soy sauces with the typical salty and savory flavor increased with increasing frequency of use, and with decreasing levels of food neophobia. Another soy sauce with additives resulting in a distinctive taste was liked irrespective of the frequency of use. Soy sauces, which were recognized correctly or incorrectly as the participants’ own familiar brand, received 50% higher or lower liking ratings than other soy sauces, respectively. Furthermore, users of one of the brands preferred the taste of their own brand over that of other brands, whereas users of the other brands did not show such specificity, indicating clear differences in specificity of liking soy sauce among the various user groups. This study provides insights into consumer liking and preference of semi-familiar foods, revealing the contribution of consumer traits and brand familiarity that may influence the spread of unfamiliar foods.","author":[{"dropping-particle":"","family":"Ushiama","given":"Shota","non-dropping-particle":"","parse-names":false,"suffix":""},{"dropping-particle":"","family":"Vingerhoeds","given":"Monique H.","non-dropping-particle":"","parse-names":false,"suffix":""},{"dropping-particle":"","family":"Kanemura","given":"Mayuko","non-dropping-particle":"","parse-names":false,"suffix":""},{"dropping-particle":"","family":"Kaneko","given":"Daisuke","non-dropping-particle":"","parse-names":false,"suffix":""},{"dropping-particle":"","family":"Wijk","given":"Rene A.","non-dropping-particle":"De","parse-names":false,"suffix":""}],"container-title":"Food Research International","id":"ITEM-1","issue":"July 2020","issued":{"date-parts":[["2021"]]},"publisher":"Elsevier Ltd","title":"Some insights into the development of food and brand familiarity: The case of soy sauce in the Netherlands","type":"article-journal","volume":"142"},"uris":["http://www.mendeley.com/documents/?uuid=96650c5e-dc1b-4a4b-aa07-cbdef4717f1a"]}],"mendeley":{"formattedCitation":"(Ushiama et al., 2021)","plainTextFormattedCitation":"(Ushiama et al., 2021)","previouslyFormattedCitation":"(Ushiama et al., 2021)"},"properties":{"noteIndex":0},"schema":"https://github.com/citation-style-language/schema/raw/master/csl-citation.json"}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(Ushiama et al., 2021)</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Determining consumer behavior when making purchasing decisions, the more familiar and familiar consumers are with the product, the better consumer behavior towards a product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{"citationItems":[{"id":"ITEM-1","itemData":{"DOI":"10.1016/j.foodres.2021.110200","ISSN":"18737145","PMID":"33773675","abstract":"With the increasing globalization, new unfamiliar flavors gradually find their way into local Western cuisines. The mechanisms behind the successful integration of novel flavors into local cuisines are largely unknown. This study investigates the effects of frequency of soy sauce use, levels of food neophobia, and brand specificity on liking of a relatively unknown flavor in the Netherlands, soy sauce. A total of eighty-nine (26 men and 63 women; mean age 47.5 ± 17.7 years) high- and low-frequency users of soy sauce rated liking of five soy sauces separately presented with and without branding information. Liking of four soy sauces with the typical salty and savory flavor increased with increasing frequency of use, and with decreasing levels of food neophobia. Another soy sauce with additives resulting in a distinctive taste was liked irrespective of the frequency of use. Soy sauces, which were recognized correctly or incorrectly as the participants’ own familiar brand, received 50% higher or lower liking ratings than other soy sauces, respectively. Furthermore, users of one of the brands preferred the taste of their own brand over that of other brands, whereas users of the other brands did not show such specificity, indicating clear differences in specificity of liking soy sauce among the various user groups. This study provides insights into consumer liking and preference of semi-familiar foods, revealing the contribution of consumer traits and brand familiarity that may influence the spread of unfamiliar foods.","author":[{"dropping-particle":"","family":"Ushiama","given":"Shota","non-dropping-particle":"","parse-names":false,"suffix":""},{"dropping-particle":"","family":"Vingerhoeds","given":"Monique H.","non-dropping-particle":"","parse-names":false,"suffix":""},{"dropping-particle":"","family":"Kanemura","given":"Mayuko","non-dropping-particle":"","parse-names":false,"suffix":""},{"dropping-particle":"","family":"Kaneko","given":"Daisuke","non-dropping-particle":"","parse-names":false,"suffix":""},{"dropping-particle":"","family":"Wijk","given":"Rene A.","non-dropping-particle":"De","parse-names":false,"suffix":""}],"container-title":"Food Research International","id":"ITEM-1","issue":"July 2020","issued":{"date-parts":[["2021"]]},"publisher":"Elsevier Ltd","title":"Some insights into the development of food and brand familiarity: The case of soy sauce in the Netherlands","type":"article-journal","volume":"142"},"uris":["http://www.mendeley.com/documents/?uuid=96650c5e-dc1b-4a4b-aa07-cbdef4717f1a"]}],"mendeley":{"formattedCitation":"(Ushiama et al., 2021)","plainTextFormattedCitation":"(Ushiama et al., 2021)","previouslyFormattedCitation":"(Ushiama et al., 2021)"},"properties":{"noteIndex":0},"schema":"https://github.com/citation-style-language/schema/raw/master/csl-citation.json"}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(Ushiama et al., 2021)</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856DCA" w:rsidRDefault="00CD0DA5" w:rsidP="0085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{"citationItems":[{"id":"ITEM-1","itemData":{"DOI":"10.1016/j.ijinfomgt.2022.102514","ISSN":"02684012","abstract":"Food safety is a public health issue of paramount importance. In this regard, blockchain has emerged as a promising technology that allows users to effectively and efficiently record the origin and flow of products and eliminate or reduce harmful food fraud. Consumers can benefit from this development by receiving up-to-date and verifiable information about the origins and delivery routes of their purchases. Drawing on signaling theory and the results of two experimental studies with 151 and 152 participants, respectively, we investigate how the use of blockchain to trace food products impacts consumers’ perception of product quality as a mediating variable and subsequently their purchase intention. Our framework further considers brand familiarity as a moderating variable. The findings from the two experiments show that blockchain labels as a signaling mechanism in food supply chains help to strengthen consumers’ perceived quality of food products, which, in turn, increases their purchase intention. This effect is more pronounced for less familiar brands, which is valuable information for managers who want to build a brand's reputation. From an academic perspective, we highlight the applicability of signaling theory to identify blockchain-based traceability systems as important drivers of perceived product quality and consequently purchase intention.","author":[{"dropping-particle":"","family":"Treiblmaier","given":"Horst","non-dropping-particle":"","parse-names":false,"suffix":""},{"dropping-particle":"","family":"Garaus","given":"Marion","non-dropping-particle":"","parse-names":false,"suffix":""}],"container-title":"International Journal of Information Management","id":"ITEM-1","issue":"April 2022","issued":{"date-parts":[["2022"]]},"page":"102514","publisher":"Elsevier Ltd","title":"Using blockchain to signal quality in the food supply chain: The impact on consumer purchase intentions and the moderating effect of brand familiarity","type":"article-journal","volume":"68"},"uris":["http://www.mendeley.com/documents/?uuid=f9ed4d87-090f-468c-ac11-282f24c81f9f"]}],"mendeley":{"formattedCitation":"(Treiblmaier &amp; Garaus, 2022)","manualFormatting":"Treiblmaier &amp; Garaus, (2022)","plainTextFormattedCitation":"(Treiblmaier &amp; Garaus, 2022)","previouslyFormattedCitation":"(Treiblmaier &amp; Garaus,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Treiblmaier &amp; Garaus,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w:t>
      </w:r>
      <w:proofErr w:type="gramStart"/>
      <w:r w:rsidRPr="00856DCA">
        <w:rPr>
          <w:rFonts w:ascii="Times New Roman" w:eastAsia="Times New Roman" w:hAnsi="Times New Roman" w:cs="Times New Roman"/>
          <w:color w:val="000000"/>
          <w:sz w:val="24"/>
          <w:szCs w:val="24"/>
          <w:lang w:eastAsia="en-ID"/>
        </w:rPr>
        <w:t>It</w:t>
      </w:r>
      <w:proofErr w:type="gramEnd"/>
      <w:r w:rsidRPr="00856DCA">
        <w:rPr>
          <w:rFonts w:ascii="Times New Roman" w:eastAsia="Times New Roman" w:hAnsi="Times New Roman" w:cs="Times New Roman"/>
          <w:color w:val="000000"/>
          <w:sz w:val="24"/>
          <w:szCs w:val="24"/>
          <w:lang w:eastAsia="en-ID"/>
        </w:rPr>
        <w:t xml:space="preserve"> depends on the consumer's knowledge of the brand and usually a familiar brand is already ingrained in the consumer's mind. Consumers generally want to try or use brands that are already known (familiar) rather than those that are not yet known on the market and the quality of the product has not been tested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{"citationItems":[{"id":"ITEM-1","itemData":{"DOI":"10.1016/j.ijinfomgt.2022.102514","ISSN":"02684012","abstract":"Food safety is a public health issue of paramount importance. In this regard, blockchain has emerged as a promising technology that allows users to effectively and efficiently record the origin and flow of products and eliminate or reduce harmful food fraud. Consumers can benefit from this development by receiving up-to-date and verifiable information about the origins and delivery routes of their purchases. Drawing on signaling theory and the results of two experimental studies with 151 and 152 participants, respectively, we investigate how the use of blockchain to trace food products impacts consumers’ perception of product quality as a mediating variable and subsequently their purchase intention. Our framework further considers brand familiarity as a moderating variable. The findings from the two experiments show that blockchain labels as a signaling mechanism in food supply chains help to strengthen consumers’ perceived quality of food products, which, in turn, increases their purchase intention. This effect is more pronounced for less familiar brands, which is valuable information for managers who want to build a brand's reputation. From an academic perspective, we highlight the applicability of signaling theory to identify blockchain-based traceability systems as important drivers of perceived product quality and consequently purchase intention.","author":[{"dropping-particle":"","family":"Treiblmaier","given":"Horst","non-dropping-particle":"","parse-names":false,"suffix":""},{"dropping-particle":"","family":"Garaus","given":"Marion","non-dropping-particle":"","parse-names":false,"suffix":""}],"container-title":"International Journal of Information Management","id":"ITEM-1","issue":"April 2022","issued":{"date-parts":[["2022"]]},"page":"102514","publisher":"Elsevier Ltd","title":"Using blockchain to signal quality in the food supply chain: The impact on consumer purchase intentions and the moderating effect of brand familiarity","type":"article-journal","volume":"68"},"uris":["http://www.mendeley.com/documents/?uuid=f9ed4d87-090f-468c-ac11-282f24c81f9f"]}],"mendeley":{"formattedCitation":"(Treiblmaier &amp; Garaus, 2022)","plainTextFormattedCitation":"(Treiblmaier &amp; Garaus, 2022)","previouslyFormattedCitation":"(Treiblmaier &amp; Garaus,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(Treiblmaier &amp; Garaus,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Therefore, it can be concluded that brand familiarity is the closeness between consumers and the brand and product they want to buy and their intention to purchase continuously</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{"citationItems":[{"id":"ITEM-1","itemData":{"DOI":"10.1016/j.ijinfomgt.2022.102514","ISSN":"02684012","abstract":"Food safety is a public health issue of paramount importance. In this regard, blockchain has emerged as a promising technology that allows users to effectively and efficiently record the origin and flow of products and eliminate or reduce harmful food fraud. Consumers can benefit from this development by receiving up-to-date and verifiable information about the origins and delivery routes of their purchases. Drawing on signaling theory and the results of two experimental studies with 151 and 152 participants, respectively, we investigate how the use of blockchain to trace food products impacts consumers’ perception of product quality as a mediating variable and subsequently their purchase intention. Our framework further considers brand familiarity as a moderating variable. The findings from the two experiments show that blockchain labels as a signaling mechanism in food supply chains help to strengthen consumers’ perceived quality of food products, which, in turn, increases their purchase intention. This effect is more pronounced for less familiar brands, which is valuable information for managers who want to build a brand's reputation. From an academic perspective, we highlight the applicability of signaling theory to identify blockchain-based traceability systems as important drivers of perceived product quality and consequently purchase intention.","author":[{"dropping-particle":"","family":"Treiblmaier","given":"Horst","non-dropping-particle":"","parse-names":false,"suffix":""},{"dropping-particle":"","family":"Garaus","given":"Marion","non-dropping-particle":"","parse-names":false,"suffix":""}],"container-title":"International Journal of Information Management","id":"ITEM-1","issue":"April 2022","issued":{"date-parts":[["2022"]]},"page":"102514","publisher":"Elsevier Ltd","title":"Using blockchain to signal quality in the food supply chain: The impact on consumer purchase intentions and the moderating effect of brand familiarity","type":"article-journal","volume":"68"},"uris":["http://www.mendeley.com/documents/?uuid=f9ed4d87-090f-468c-ac11-282f24c81f9f"]}],"mendeley":{"formattedCitation":"(Treiblmaier &amp; Garaus, 2022)","plainTextFormattedCitation":"(Treiblmaier &amp; Garaus, 2022)","previouslyFormattedCitation":"(Treiblmaier &amp; Garaus,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(Treiblmaier &amp; Garaus,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process of creating awareness of a brand can be done instantly or in a relatively short time, by placing intensive, unique and sensational advertising, as well as attractive prizes in shops and so on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{"citationItems":[{"id":"ITEM-1","itemData":{"DOI":"10.1016/j.ijinfomgt.2022.102514","ISSN":"02684012","abstract":"Food safety is a public health issue of paramount importance. In this regard, blockchain has emerged as a promising technology that allows users to effectively and efficiently record the origin and flow of products and eliminate or reduce harmful food fraud. Consumers can benefit from this development by receiving up-to-date and verifiable information about the origins and delivery routes of their purchases. Drawing on signaling theory and the results of two experimental studies with 151 and 152 participants, respectively, we investigate how the use of blockchain to trace food products impacts consumers’ perception of product quality as a mediating variable and subsequently their purchase intention. Our framework further considers brand familiarity as a moderating variable. The findings from the two experiments show that blockchain labels as a signaling mechanism in food supply chains help to strengthen consumers’ perceived quality of food products, which, in turn, increases their purchase intention. This effect is more pronounced for less familiar brands, which is valuable information for managers who want to build a brand's reputation. From an academic perspective, we highlight the applicability of signaling theory to identify blockchain-based traceability systems as important drivers of perceived product quality and consequently purchase intention.","author":[{"dropping-particle":"","family":"Treiblmaier","given":"Horst","non-dropping-particle":"","parse-names":false,"suffix":""},{"dropping-particle":"","family":"Garaus","given":"Marion","non-dropping-particle":"","parse-names":false,"suffix":""}],"container-title":"International Journal of Information Management","id":"ITEM-1","issue":"April 2022","issued":{"date-parts":[["2022"]]},"page":"102514","publisher":"Elsevier Ltd","title":"Using blockchain to signal quality in the food supply chain: The impact on consumer purchase intentions and the moderating effect of brand familiarity","type":"article-journal","volume":"68"},"uris":["http://www.mendeley.com/documents/?uuid=f9ed4d87-090f-468c-ac11-282f24c81f9f"]}],"mendeley":{"formattedCitation":"(Treiblmaier &amp; Garaus, 2022)","plainTextFormattedCitation":"(Treiblmaier &amp; Garaus, 2022)","previouslyFormattedCitation":"(Treiblmaier &amp; Garaus,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(Treiblmaier &amp; Garaus,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A well-known brand can increase positive brand familiarity and the possibility of being included in the list of brands to buy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{"citationItems":[{"id":"ITEM-1","itemData":{"DOI":"10.1016/j.ijinfomgt.2022.102514","ISSN":"02684012","abstract":"Food safety is a public health issue of paramount importance. In this regard, blockchain has emerged as a promising technology that allows users to effectively and efficiently record the origin and flow of products and eliminate or reduce harmful food fraud. Consumers can benefit from this development by receiving up-to-date and verifiable information about the origins and delivery routes of their purchases. Drawing on signaling theory and the results of two experimental studies with 151 and 152 participants, respectively, we investigate how the use of blockchain to trace food products impacts consumers’ perception of product quality as a mediating variable and subsequently their purchase intention. Our framework further considers brand familiarity as a moderating variable. The findings from the two experiments show that blockchain labels as a signaling mechanism in food supply chains help to strengthen consumers’ perceived quality of food products, which, in turn, increases their purchase intention. This effect is more pronounced for less familiar brands, which is valuable information for managers who want to build a brand's reputation. From an academic perspective, we highlight the applicability of signaling theory to identify blockchain-based traceability systems as important drivers of perceived product quality and consequently purchase intention.","author":[{"dropping-particle":"","family":"Treiblmaier","given":"Horst","non-dropping-particle":"","parse-names":false,"suffix":""},{"dropping-particle":"","family":"Garaus","given":"Marion","non-dropping-particle":"","parse-names":false,"suffix":""}],"container-title":"International Journal of Information Management","id":"ITEM-1","issue":"April 2022","issued":{"date-parts":[["2022"]]},"page":"102514","publisher":"Elsevier Ltd","title":"Using blockchain to signal quality in the food supply chain: The impact on consumer purchase intentions and the moderating effect of brand familiarity","type":"article-journal","volume":"68"},"uris":["http://www.mendeley.com/documents/?uuid=f9ed4d87-090f-468c-ac11-282f24c81f9f"]}],"mendeley":{"formattedCitation":"(Treiblmaier &amp; Garaus, 2022)","plainTextFormattedCitation":"(Treiblmaier &amp; Garaus, 2022)","previouslyFormattedCitation":"(Treiblmaier &amp; Garaus, 2022)"},"properties":{"noteIndex":0},"schema":"https://github.com/citation-style-language/schema/raw/master/csl-citation.json"}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(Treiblmaier &amp; Garaus, 2022)</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856DCA" w:rsidRDefault="00CD0DA5" w:rsidP="0085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{"citationItems":[{"id":"ITEM-1","itemData":{"DOI":"10.1016/j.sbspro.2011.09.133","ISSN":"18770428","abstract":"The purpose of this research is to investigate the factors effective on consumers' store brand (SB) purchase intention to extend the theoretical and empirical evidence on success of SB strategies. Through this purpose the role of store brand (SB) familiarity, SB shelf space, SB perceived quality and perceived risk were investigated in an integrative model covering direct and indirect effects. Specifically, research focuses on the contribution of familiarity and SB shelf space to SB purchase intention and also their effects on consumers' risk and quality perception of SB, which are well known antecedents of SB purchase intention. The results indicate that SB familiarity has a direct and indirect influence on SB proneness; additionally SB shelf space indirectly plays a crucial role on purchase intention. Managerial implications, suggestions for future researches and limitations are provided. © 2011 Published by Elsevier Ltd.","author":[{"dropping-particle":"","family":"Dursun","given":"Inci","non-dropping-particle":"","parse-names":false,"suffix":""},{"dropping-particle":"","family":"Kabadayi","given":"Ebru Tümer","non-dropping-particle":"","parse-names":false,"suffix":""},{"dropping-particle":"","family":"Alan","given":"Alev Koçan","non-dropping-particle":"","parse-names":false,"suffix":""},{"dropping-particle":"","family":"Sezen","given":"Bülent","non-dropping-particle":"","parse-names":false,"suffix":""}],"container-title":"Procedia - Social and Behavioral Sciences","id":"ITEM-1","issued":{"date-parts":[["2011"]]},"page":"1190-1200","title":"Store brand purchase intention: Effects of risk, quality, familiarity and store brand shelf space","type":"article-journal","volume":"24"},"uris":["http://www.mendeley.com/documents/?uuid=6f104e3a-1f98-4ce4-8fe2-4bd51004a118"]}],"mendeley":{"formattedCitation":"(Dursun et al., 2011)","manualFormatting":"Dursun et al., (2011)","plainTextFormattedCitation":"(Dursun et al., 2011)","previouslyFormattedCitation":"(Dursun et al., 2011)"},"properties":{"noteIndex":0},"schema":"https://github.com/citation-style-language/schema/raw/master/csl-citation.json"}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Dursun et al., (2011)</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describe familiarity as the number of experiences related to a product or brand that have been accumulated by consumers, including direct and indirect experiences such as advertising or direct communication with customers through word of mouth. It can be concluded that consumer familiarity is the closeness between consumers and the brands and products they will buy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{"citationItems":[{"id":"ITEM-1","itemData":{"DOI":"10.1016/j.sbspro.2011.09.133","ISSN":"18770428","abstract":"The purpose of this research is to investigate the factors effective on consumers' store brand (SB) purchase intention to extend the theoretical and empirical evidence on success of SB strategies. Through this purpose the role of store brand (SB) familiarity, SB shelf space, SB perceived quality and perceived risk were investigated in an integrative model covering direct and indirect effects. Specifically, research focuses on the contribution of familiarity and SB shelf space to SB purchase intention and also their effects on consumers' risk and quality perception of SB, which are well known antecedents of SB purchase intention. The results indicate that SB familiarity has a direct and indirect influence on SB proneness; additionally SB shelf space indirectly plays a crucial role on purchase intention. Managerial implications, suggestions for future researches and limitations are provided. © 2011 Published by Elsevier Ltd.","author":[{"dropping-particle":"","family":"Dursun","given":"Inci","non-dropping-particle":"","parse-names":false,"suffix":""},{"dropping-particle":"","family":"Kabadayi","given":"Ebru Tümer","non-dropping-particle":"","parse-names":false,"suffix":""},{"dropping-particle":"","family":"Alan","given":"Alev Koçan","non-dropping-particle":"","parse-names":false,"suffix":""},{"dropping-particle":"","family":"Sezen","given":"Bülent","non-dropping-particle":"","parse-names":false,"suffix":""}],"container-title":"Procedia - Social and Behavioral Sciences","id":"ITEM-1","issued":{"date-parts":[["2011"]]},"page":"1190-1200","title":"Store brand purchase intention: Effects of risk, quality, familiarity and store brand shelf space","type":"article-journal","volume":"24"},"uris":["http://www.mendeley.com/documents/?uuid=6f104e3a-1f98-4ce4-8fe2-4bd51004a118"]}],"mendeley":{"formattedCitation":"(Dursun et al., 2011)","plainTextFormattedCitation":"(Dursun et al., 2011)","previouslyFormattedCitation":"(Dursun et al., 2011)"},"properties":{"noteIndex":0},"schema":"https://github.com/citation-style-language/schema/raw/master/csl-citation.json"}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(Dursun et al., 2011)</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Meanwhile, in the buying process, we found a relationship between brand familiarity and the purchasing experience which can increase purchase intentions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{"citationItems":[{"id":"ITEM-1","itemData":{"DOI":"10.1016/j.sbspro.2011.09.133","ISSN":"18770428","abstract":"The purpose of this research is to investigate the factors effective on consumers' store brand (SB) purchase intention to extend the theoretical and empirical evidence on success of SB strategies. Through this purpose the role of store brand (SB) familiarity, SB shelf space, SB perceived quality and perceived risk were investigated in an integrative model covering direct and indirect effects. Specifically, research focuses on the contribution of familiarity and SB shelf space to SB purchase intention and also their effects on consumers' risk and quality perception of SB, which are well known antecedents of SB purchase intention. The results indicate that SB familiarity has a direct and indirect influence on SB proneness; additionally SB shelf space indirectly plays a crucial role on purchase intention. Managerial implications, suggestions for future researches and limitations are provided. © 2011 Published by Elsevier Ltd.","author":[{"dropping-particle":"","family":"Dursun","given":"Inci","non-dropping-particle":"","parse-names":false,"suffix":""},{"dropping-particle":"","family":"Kabadayi","given":"Ebru Tümer","non-dropping-particle":"","parse-names":false,"suffix":""},{"dropping-particle":"","family":"Alan","given":"Alev Koçan","non-dropping-particle":"","parse-names":false,"suffix":""},{"dropping-particle":"","family":"Sezen","given":"Bülent","non-dropping-particle":"","parse-names":false,"suffix":""}],"container-title":"Procedia - Social and Behavioral Sciences","id":"ITEM-1","issued":{"date-parts":[["2011"]]},"page":"1190-1200","title":"Store brand purchase intention: Effects of risk, quality, familiarity and store brand shelf space","type":"article-journal","volume":"24"},"uris":["http://www.mendeley.com/documents/?uuid=6f104e3a-1f98-4ce4-8fe2-4bd51004a118"]}],"mendeley":{"formattedCitation":"(Dursun et al., 2011)","plainTextFormattedCitation":"(Dursun et al., 2011)","previouslyFormattedCitation":"(Dursun et al., 2011)"},"properties":{"noteIndex":0},"schema":"https://github.com/citation-style-language/schema/raw/master/csl-citation.json"}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(Dursun et al., 2011)</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.Purchases include consumer decisions regarding what to buy, whether to buy or not, when to buy, where to buy and how to pay for a product that the consumer is familiar with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{"citationItems":[{"id":"ITEM-1","itemData":{"DOI":"10.4315/0362-028X.JFP-18-453","ISSN":"19449097","PMID":"31237790","abstract":"Meat bars are dried snacks containing a mixture of meat, berries, and nuts. To explore consumer awareness of meat bars, we conducted two online, nationally representative surveys and established that 70.8% (743 of 1,050) of U.S. citizens were unfamiliar with this product. When asked to check all answers that applied, most of the 545 respondents (who were recruited based on their familiarity with meat bars) preferred beef (n=385) as the protein source, followed by chicken (n=293), pork (n =183), and turkey (n=179). Most meat bars were purchased from grocery stores (n=447), followed by online orders (n=130) and outdoor stores (n=120). When asked specifically whether they made their own meat bars, 17.8% of respondents (97 of 545) replied '‘yes,'' the majority (52 of 97, 54%) of which obtained recipes online. Some 69.1% (67 of 97) measured the internal temperature of the meat during dehydration, but only 10.3% (10 of 97) confirmed the internal temperature by using a thermometer. Given the paucity of information available on the fate of pathogenic or spoilage bacteria associated with meat bars, as another component of this study, batter was prepared with or without encapsulated citric acid (ECA; 0.74%) added to a formulation of ground beef (65%; 90% lean, 10% fat), chopped pecans (15%), golden flaxseed flour (9.7%), chopped cranberries (5.0%), chopped sunflower seeds (3.1%), sea salt (1.1%), black pepper (0.8%), and celery powder (0.35%). Batter was inoculated (ca. 6.5 log CFU/g) with Shiga toxin-producing Escherichia coli (STEC), portioned by hand (40 6 0.1 g each), and then dried in a commercial dehydrator. Regardless of the drying treatment, inclusion of ECA in the batter resulted in a pH decrease from ca. 5.5 to ca. 4.7 to 5.0 in the finished product. Without ECA, when meat bars were dried at 62.88C for 6 h, 71.18C for 4 h, or 62.88C for 2 h and then 71.18C for 2 h, levels of STEC decreased by ca. 6.2, 6.3, or 5.2 log CFU/g, respectively. With ECA, STEC decreased by ca. 6.0, 6.6, or 6.0 log CFU/g in meat bars dried at 62.88C for 6 h, 71.18C for 4 h, or 62.88C for 2 h and then 71.18C for 2 h, respectively. Our results confirmed that a ≥5.0-log reduction in STEC could be achieved in meat bars formulated with or without ECA under all dehydration conditions tested.","author":[{"dropping-particle":"","family":"Luchansky","given":"John B.","non-dropping-particle":"","parse-names":false,"suffix":""},{"dropping-particle":"","family":"Mayhew","given":"Melanie","non-dropping-particle":"","parse-names":false,"suffix":""},{"dropping-particle":"","family":"Jung","given":"Yangjin","non-dropping-particle":"","parse-names":false,"suffix":""},{"dropping-particle":"","family":"Klinedinst","given":"Amy","non-dropping-particle":"","parse-names":false,"suffix":""},{"dropping-particle":"","family":"Harkins","given":"Lauren","non-dropping-particle":"","parse-names":false,"suffix":""},{"dropping-particle":"","family":"Shane","given":"Laura E.","non-dropping-particle":"","parse-names":false,"suffix":""},{"dropping-particle":"","family":"Osoria","given":"Manuela","non-dropping-particle":"","parse-names":false,"suffix":""},{"dropping-particle":"","family":"Mcgeary","given":"Lianna","non-dropping-particle":"","parse-names":false,"suffix":""},{"dropping-particle":"","family":"Trauger","given":"Zachary","non-dropping-particle":"","parse-names":false,"suffix":""},{"dropping-particle":"","family":"Shoyer","given":"Bradley A.","non-dropping-particle":"","parse-names":false,"suffix":""},{"dropping-particle":"","family":"Chapman","given":"Benjamin","non-dropping-particle":"","parse-names":false,"suffix":""},{"dropping-particle":"","family":"Cope","given":"Sarah J.","non-dropping-particle":"","parse-names":false,"suffix":""},{"dropping-particle":"","family":"Campano","given":"Stephen G.","non-dropping-particle":"","parse-names":false,"suffix":""},{"dropping-particle":"","family":"Porto-Fett","given":"Anna C.S.","non-dropping-particle":"","parse-names":false,"suffix":""}],"container-title":"Journal of Food Protection","id":"ITEM-1","issue":"7","issued":{"date-parts":[["2019"]]},"page":"1249-1264","title":"Meat bars: A survey to assess consumer familiarity and preparation parameters and a challenge study to quantify viability of shiga toxin-producing escherichia coli cells during processing and storage","type":"article-journal","volume":"82"},"uris":["http://www.mendeley.com/documents/?uuid=de59c85b-7fa7-4404-b0a4-104e4694adc3"]}],"mendeley":{"formattedCitation":"(Luchansky et al., 2019)","plainTextFormattedCitation":"(Luchansky et al., 2019)","previouslyFormattedCitation":"(Luchansky et al., 2019)"},"properties":{"noteIndex":0},"schema":"https://github.com/citation-style-language/schema/raw/master/csl-citation.json"}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(Luchansky et al., 2019)</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In the process of a purchasing decision, including the purchase decision, at this stage the consumer has made a decision regarding which product he will buy and consume to meet his needs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{"citationItems":[{"id":"ITEM-1","itemData":{"DOI":"10.4315/0362-028X.JFP-18-453","ISSN":"19449097","PMID":"31237790","abstract":"Meat bars are dried snacks containing a mixture of meat, berries, and nuts. To explore consumer awareness of meat bars, we conducted two online, nationally representative surveys and established that 70.8% (743 of 1,050) of U.S. citizens were unfamiliar with this product. When asked to check all answers that applied, most of the 545 respondents (who were recruited based on their familiarity with meat bars) preferred beef (n=385) as the protein source, followed by chicken (n=293), pork (n =183), and turkey (n=179). Most meat bars were purchased from grocery stores (n=447), followed by online orders (n=130) and outdoor stores (n=120). When asked specifically whether they made their own meat bars, 17.8% of respondents (97 of 545) replied '‘yes,'' the majority (52 of 97, 54%) of which obtained recipes online. Some 69.1% (67 of 97) measured the internal temperature of the meat during dehydration, but only 10.3% (10 of 97) confirmed the internal temperature by using a thermometer. Given the paucity of information available on the fate of pathogenic or spoilage bacteria associated with meat bars, as another component of this study, batter was prepared with or without encapsulated citric acid (ECA; 0.74%) added to a formulation of ground beef (65%; 90% lean, 10% fat), chopped pecans (15%), golden flaxseed flour (9.7%), chopped cranberries (5.0%), chopped sunflower seeds (3.1%), sea salt (1.1%), black pepper (0.8%), and celery powder (0.35%). Batter was inoculated (ca. 6.5 log CFU/g) with Shiga toxin-producing Escherichia coli (STEC), portioned by hand (40 6 0.1 g each), and then dried in a commercial dehydrator. Regardless of the drying treatment, inclusion of ECA in the batter resulted in a pH decrease from ca. 5.5 to ca. 4.7 to 5.0 in the finished product. Without ECA, when meat bars were dried at 62.88C for 6 h, 71.18C for 4 h, or 62.88C for 2 h and then 71.18C for 2 h, levels of STEC decreased by ca. 6.2, 6.3, or 5.2 log CFU/g, respectively. With ECA, STEC decreased by ca. 6.0, 6.6, or 6.0 log CFU/g in meat bars dried at 62.88C for 6 h, 71.18C for 4 h, or 62.88C for 2 h and then 71.18C for 2 h, respectively. Our results confirmed that a ≥5.0-log reduction in STEC could be achieved in meat bars formulated with or without ECA under all dehydration conditions tested.","author":[{"dropping-particle":"","family":"Luchansky","given":"John B.","non-dropping-particle":"","parse-names":false,"suffix":""},{"dropping-particle":"","family":"Mayhew","given":"Melanie","non-dropping-particle":"","parse-names":false,"suffix":""},{"dropping-particle":"","family":"Jung","given":"Yangjin","non-dropping-particle":"","parse-names":false,"suffix":""},{"dropping-particle":"","family":"Klinedinst","given":"Amy","non-dropping-particle":"","parse-names":false,"suffix":""},{"dropping-particle":"","family":"Harkins","given":"Lauren","non-dropping-particle":"","parse-names":false,"suffix":""},{"dropping-particle":"","family":"Shane","given":"Laura E.","non-dropping-particle":"","parse-names":false,"suffix":""},{"dropping-particle":"","family":"Osoria","given":"Manuela","non-dropping-particle":"","parse-names":false,"suffix":""},{"dropping-particle":"","family":"Mcgeary","given":"Lianna","non-dropping-particle":"","parse-names":false,"suffix":""},{"dropping-particle":"","family":"Trauger","given":"Zachary","non-dropping-particle":"","parse-names":false,"suffix":""},{"dropping-particle":"","family":"Shoyer","given":"Bradley A.","non-dropping-particle":"","parse-names":false,"suffix":""},{"dropping-particle":"","family":"Chapman","given":"Benjamin","non-dropping-particle":"","parse-names":false,"suffix":""},{"dropping-particle":"","family":"Cope","given":"Sarah J.","non-dropping-particle":"","parse-names":false,"suffix":""},{"dropping-particle":"","family":"Campano","given":"Stephen G.","non-dropping-particle":"","parse-names":false,"suffix":""},{"dropping-particle":"","family":"Porto-Fett","given":"Anna C.S.","non-dropping-particle":"","parse-names":false,"suffix":""}],"container-title":"Journal of Food Protection","id":"ITEM-1","issue":"7","issued":{"date-parts":[["2019"]]},"page":"1249-1264","title":"Meat bars: A survey to assess consumer familiarity and preparation parameters and a challenge study to quantify viability of shiga toxin-producing escherichia coli cells during processing and storage","type":"article-journal","volume":"82"},"uris":["http://www.mendeley.com/documents/?uuid=de59c85b-7fa7-4404-b0a4-104e4694adc3"]}],"mendeley":{"formattedCitation":"(Luchansky et al., 2019)","plainTextFormattedCitation":"(Luchansky et al., 2019)","previouslyFormattedCitation":"(Luchansky et al., 2019)"},"properties":{"noteIndex":0},"schema":"https://github.com/citation-style-language/schema/raw/master/csl-citation.json"}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(Luchansky et al., 2019)</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.Therefore, Brand Familiarity of a brand has a positive effect on purchase intention because the result is a feeling of satisfaction or disappointment, meaning that if a consumer feels satisfied with the product they consume then the consumer will probably consume the same product in the future, but on the contrary, if he is disappointed then he might switch to another product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{"citationItems":[{"id":"ITEM-1","itemData":{"DOI":"10.4315/0362-028X.JFP-18-453","ISSN":"19449097","PMID":"31237790","abstract":"Meat bars are dried snacks containing a mixture of meat, berries, and nuts. To explore consumer awareness of meat bars, we conducted two online, nationally representative surveys and established that 70.8% (743 of 1,050) of U.S. citizens were unfamiliar with this product. When asked to check all answers that applied, most of the 545 respondents (who were recruited based on their familiarity with meat bars) preferred beef (n=385) as the protein source, followed by chicken (n=293), pork (n =183), and turkey (n=179). Most meat bars were purchased from grocery stores (n=447), followed by online orders (n=130) and outdoor stores (n=120). When asked specifically whether they made their own meat bars, 17.8% of respondents (97 of 545) replied '‘yes,'' the majority (52 of 97, 54%) of which obtained recipes online. Some 69.1% (67 of 97) measured the internal temperature of the meat during dehydration, but only 10.3% (10 of 97) confirmed the internal temperature by using a thermometer. Given the paucity of information available on the fate of pathogenic or spoilage bacteria associated with meat bars, as another component of this study, batter was prepared with or without encapsulated citric acid (ECA; 0.74%) added to a formulation of ground beef (65%; 90% lean, 10% fat), chopped pecans (15%), golden flaxseed flour (9.7%), chopped cranberries (5.0%), chopped sunflower seeds (3.1%), sea salt (1.1%), black pepper (0.8%), and celery powder (0.35%). Batter was inoculated (ca. 6.5 log CFU/g) with Shiga toxin-producing Escherichia coli (STEC), portioned by hand (40 6 0.1 g each), and then dried in a commercial dehydrator. Regardless of the drying treatment, inclusion of ECA in the batter resulted in a pH decrease from ca. 5.5 to ca. 4.7 to 5.0 in the finished product. Without ECA, when meat bars were dried at 62.88C for 6 h, 71.18C for 4 h, or 62.88C for 2 h and then 71.18C for 2 h, levels of STEC decreased by ca. 6.2, 6.3, or 5.2 log CFU/g, respectively. With ECA, STEC decreased by ca. 6.0, 6.6, or 6.0 log CFU/g in meat bars dried at 62.88C for 6 h, 71.18C for 4 h, or 62.88C for 2 h and then 71.18C for 2 h, respectively. Our results confirmed that a ≥5.0-log reduction in STEC could be achieved in meat bars formulated with or without ECA under all dehydration conditions tested.","author":[{"dropping-particle":"","family":"Luchansky","given":"John B.","non-dropping-particle":"","parse-names":false,"suffix":""},{"dropping-particle":"","family":"Mayhew","given":"Melanie","non-dropping-particle":"","parse-names":false,"suffix":""},{"dropping-particle":"","family":"Jung","given":"Yangjin","non-dropping-particle":"","parse-names":false,"suffix":""},{"dropping-particle":"","family":"Klinedinst","given":"Amy","non-dropping-particle":"","parse-names":false,"suffix":""},{"dropping-particle":"","family":"Harkins","given":"Lauren","non-dropping-particle":"","parse-names":false,"suffix":""},{"dropping-particle":"","family":"Shane","given":"Laura E.","non-dropping-particle":"","parse-names":false,"suffix":""},{"dropping-particle":"","family":"Osoria","given":"Manuela","non-dropping-particle":"","parse-names":false,"suffix":""},{"dropping-particle":"","family":"Mcgeary","given":"Lianna","non-dropping-particle":"","parse-names":false,"suffix":""},{"dropping-particle":"","family":"Trauger","given":"Zachary","non-dropping-particle":"","parse-names":false,"suffix":""},{"dropping-particle":"","family":"Shoyer","given":"Bradley A.","non-dropping-particle":"","parse-names":false,"suffix":""},{"dropping-particle":"","family":"Chapman","given":"Benjamin","non-dropping-particle":"","parse-names":false,"suffix":""},{"dropping-particle":"","family":"Cope","given":"Sarah J.","non-dropping-particle":"","parse-names":false,"suffix":""},{"dropping-particle":"","family":"Campano","given":"Stephen G.","non-dropping-particle":"","parse-names":false,"suffix":""},{"dropping-particle":"","family":"Porto-Fett","given":"Anna C.S.","non-dropping-particle":"","parse-names":false,"suffix":""}],"container-title":"Journal of Food Protection","id":"ITEM-1","issue":"7","issued":{"date-parts":[["2019"]]},"page":"1249-1264","title":"Meat bars: A survey to assess consumer familiarity and preparation parameters and a challenge study to quantify viability of shiga toxin-producing escherichia coli cells during processing and storage","type":"article-journal","volume":"82"},"uris":["http://www.mendeley.com/documents/?uuid=de59c85b-7fa7-4404-b0a4-104e4694adc3"]}],"mendeley":{"formattedCitation":"(Luchansky et al., 2019)","plainTextFormattedCitation":"(Luchansky et al., 2019)","previouslyFormattedCitation":"(Luchansky et al., 2019)"},"properties":{"noteIndex":0},"schema":"https://github.com/citation-style-language/schema/raw/master/csl-citation.json"}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(Luchansky et al., 2019)</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CD0DA5" w:rsidRDefault="00CD0DA5" w:rsidP="00856DCA">
      <w:pPr>
        <w:spacing w:after="0" w:line="240" w:lineRule="auto"/>
        <w:rPr>
          <w:rFonts w:ascii="Times New Roman" w:eastAsia="Calibri" w:hAnsi="Times New Roman" w:cs="Times New Roman"/>
          <w:sz w:val="24"/>
          <w:szCs w:val="24"/>
        </w:rPr>
      </w:pPr>
      <w:r w:rsidRPr="00CD0DA5">
        <w:rPr>
          <w:rFonts w:ascii="Times New Roman" w:eastAsia="Calibri" w:hAnsi="Times New Roman" w:cs="Times New Roman"/>
          <w:b/>
          <w:sz w:val="24"/>
          <w:szCs w:val="24"/>
        </w:rPr>
        <w:t>H5a:</w:t>
      </w:r>
      <w:r w:rsidRPr="00CD0DA5">
        <w:rPr>
          <w:rFonts w:ascii="Times New Roman" w:eastAsia="Calibri" w:hAnsi="Times New Roman" w:cs="Times New Roman"/>
          <w:b/>
          <w:spacing w:val="54"/>
          <w:sz w:val="24"/>
          <w:szCs w:val="24"/>
        </w:rPr>
        <w:t xml:space="preserve"> </w:t>
      </w:r>
      <w:r w:rsidRPr="00CD0DA5">
        <w:rPr>
          <w:rFonts w:ascii="Times New Roman" w:eastAsia="Calibri" w:hAnsi="Times New Roman" w:cs="Times New Roman"/>
          <w:sz w:val="24"/>
          <w:szCs w:val="24"/>
        </w:rPr>
        <w:t>Brand</w:t>
      </w:r>
      <w:r w:rsidRPr="00CD0DA5">
        <w:rPr>
          <w:rFonts w:ascii="Times New Roman" w:eastAsia="Calibri" w:hAnsi="Times New Roman" w:cs="Times New Roman"/>
          <w:spacing w:val="54"/>
          <w:sz w:val="24"/>
          <w:szCs w:val="24"/>
        </w:rPr>
        <w:t xml:space="preserve"> </w:t>
      </w:r>
      <w:r w:rsidRPr="00CD0DA5">
        <w:rPr>
          <w:rFonts w:ascii="Times New Roman" w:eastAsia="Calibri" w:hAnsi="Times New Roman" w:cs="Times New Roman"/>
          <w:sz w:val="24"/>
          <w:szCs w:val="24"/>
        </w:rPr>
        <w:t>Familiarity</w:t>
      </w:r>
      <w:r w:rsidRPr="00CD0DA5">
        <w:rPr>
          <w:rFonts w:ascii="Times New Roman" w:eastAsia="Calibri" w:hAnsi="Times New Roman" w:cs="Times New Roman"/>
          <w:spacing w:val="2"/>
          <w:sz w:val="24"/>
          <w:szCs w:val="24"/>
        </w:rPr>
        <w:t xml:space="preserve"> has a positive influence on Purchase Intention</w:t>
      </w:r>
    </w:p>
    <w:p w:rsidR="00856DCA" w:rsidRDefault="00856DCA" w:rsidP="00CD0DA5">
      <w:pPr>
        <w:spacing w:after="0"/>
        <w:jc w:val="both"/>
        <w:rPr>
          <w:rFonts w:ascii="Times New Roman" w:eastAsia="Cambria" w:hAnsi="Times New Roman" w:cs="Times New Roman"/>
          <w:sz w:val="24"/>
          <w:szCs w:val="24"/>
        </w:rPr>
      </w:pPr>
    </w:p>
    <w:p w:rsidR="00CD0DA5" w:rsidRPr="00CD0DA5" w:rsidRDefault="00CD0DA5" w:rsidP="00856DCA">
      <w:pPr>
        <w:spacing w:after="0" w:line="240" w:lineRule="auto"/>
        <w:jc w:val="both"/>
        <w:rPr>
          <w:rFonts w:ascii="Times New Roman" w:eastAsia="Cambria" w:hAnsi="Times New Roman" w:cs="Times New Roman"/>
          <w:sz w:val="24"/>
          <w:szCs w:val="24"/>
        </w:rPr>
      </w:pPr>
      <w:r w:rsidRPr="00CD0DA5">
        <w:rPr>
          <w:rFonts w:ascii="Times New Roman" w:eastAsia="Cambria" w:hAnsi="Times New Roman" w:cs="Times New Roman"/>
          <w:sz w:val="24"/>
          <w:szCs w:val="24"/>
        </w:rPr>
        <w:t xml:space="preserve">The relationship between Brand </w:t>
      </w:r>
      <w:proofErr w:type="gramStart"/>
      <w:r w:rsidRPr="00CD0DA5">
        <w:rPr>
          <w:rFonts w:ascii="Times New Roman" w:eastAsia="Cambria" w:hAnsi="Times New Roman" w:cs="Times New Roman"/>
          <w:sz w:val="24"/>
          <w:szCs w:val="24"/>
        </w:rPr>
        <w:t>Familiarity  and</w:t>
      </w:r>
      <w:proofErr w:type="gramEnd"/>
      <w:r w:rsidRPr="00CD0DA5">
        <w:rPr>
          <w:rFonts w:ascii="Times New Roman" w:eastAsia="Cambria" w:hAnsi="Times New Roman" w:cs="Times New Roman"/>
          <w:sz w:val="24"/>
          <w:szCs w:val="24"/>
        </w:rPr>
        <w:t xml:space="preserve"> </w:t>
      </w:r>
      <w:proofErr w:type="spellStart"/>
      <w:r w:rsidRPr="00CD0DA5">
        <w:rPr>
          <w:rFonts w:ascii="Times New Roman" w:eastAsia="Cambria" w:hAnsi="Times New Roman" w:cs="Times New Roman"/>
          <w:sz w:val="24"/>
          <w:szCs w:val="24"/>
        </w:rPr>
        <w:t>Willingnes</w:t>
      </w:r>
      <w:proofErr w:type="spellEnd"/>
      <w:r w:rsidRPr="00CD0DA5">
        <w:rPr>
          <w:rFonts w:ascii="Times New Roman" w:eastAsia="Cambria" w:hAnsi="Times New Roman" w:cs="Times New Roman"/>
          <w:sz w:val="24"/>
          <w:szCs w:val="24"/>
        </w:rPr>
        <w:t xml:space="preserve"> To Pay </w:t>
      </w:r>
    </w:p>
    <w:p w:rsidR="00CD0DA5" w:rsidRPr="00856DCA" w:rsidRDefault="00CD0DA5"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{"citationItems":[{"id":"ITEM-1","itemData":{"DOI":"10.1016/j.healthpol.2023.104751","ISSN":"18726054","abstract":"Background: Considering the substantial information needs experienced by informal caregivers, the increased availability of digital support services for caregivers as well as the potential they offer, further understanding of caregivers’ willingness to pay for digital support services is needed. Objective: The aim of this study is to identify associations between informal caregiver's characteristics and their willingness to pay for digital support services in two countries: Italy and Sweden. Methods: A sample of 378 respondents participated in a cross-sectional survey. Respondents were recruited by the Italian National Institute of Health and Science on Ageing and the Swedish Family Care Competence Centre. A two-part regression model was used. In the first part, logistic regression analysis was applied to investigate the association between willingness to pay and sets of independent variables (caregiver's demographics, caregiver's socioeconomic resources and caregiving context). In the second part, a generalized linear model (log-link and gamma distribution) was applied to determine the adjusted mean willingness to pay. Results: More than half of the participants from both countries of our study were willing to pay out of pocket for digital support services. A recommendation by a healthcare professional was the top factor that may motivate caregivers’ willingness to pay an additional amount for a paid version of a digital support service. In both countries, the majority of the respondents believe that the government should allocate more funds for digital support services and for improving digital infrastructures. Caregiver' s gender, care recipient relationship to the caregiver, care duration, the total household income and the amount spent per month on professional caregiving services are all associated with willingness to pay. For every additional 10 Euro increase in the amount spent per month on professional caregiving services, the odds of willingness to pay an additional Euro for a digital support service increased by 0.60 % in the Italian sample (p= 0.002, 95% CI: 1.002, 1.009) and 0.31% in the Swedish sample (p=0.015, 95% CI: 1.006, 1.057). Conclusions: Factors such as demographics, socioeconomic resources and the caregiving context may play a role in caregivers’ willingness to pay for digital support services. The digital and social divide may negatively affect caregivers’ willingness to pay for digital support services. Policy makers and insura…","author":[{"dropping-particle":"","family":"Hassan","given":"Alhassan Yosri Ibrahim","non-dropping-particle":"","parse-names":false,"suffix":""},{"dropping-particle":"","family":"Cucculelli","given":"Marco","non-dropping-particle":"","parse-names":false,"suffix":""},{"dropping-particle":"","family":"Lamura","given":"Giovanni","non-dropping-particle":"","parse-names":false,"suffix":""}],"container-title":"Health Policy","id":"ITEM-1","issue":"January","issued":{"date-parts":[["2023"]]},"page":"104751","publisher":"Elsevier B.V.","title":"Caregivers’ willingness to pay for digital support services: Comparative survey","type":"article-journal","volume":"130"},"uris":["http://www.mendeley.com/documents/?uuid=0b3787a1-ce33-44f3-9eab-885cad06ce36"]}],"mendeley":{"formattedCitation":"(Hassan et al., 2023)","manualFormatting":" Hassan et al., (2023)","plainTextFormattedCitation":"(Hassan et al., 2023)","previouslyFormattedCitation":"(Hassan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 xml:space="preserve"> Hassan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explains that the factors that influence willingness to pay internationally are demographic characteristics, namely gender, age, income and </w:t>
      </w:r>
      <w:r w:rsidRPr="00856DCA">
        <w:rPr>
          <w:rFonts w:ascii="Times New Roman" w:eastAsia="Times New Roman" w:hAnsi="Times New Roman" w:cs="Times New Roman"/>
          <w:color w:val="000000"/>
          <w:sz w:val="24"/>
          <w:szCs w:val="24"/>
          <w:lang w:eastAsia="en-ID"/>
        </w:rPr>
        <w:lastRenderedPageBreak/>
        <w:t xml:space="preserve">education. Other main factors include the quality and safety of a product or service offered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{"citationItems":[{"id":"ITEM-1","itemData":{"DOI":"10.1016/j.healthpol.2023.104751","ISSN":"18726054","abstract":"Background: Considering the substantial information needs experienced by informal caregivers, the increased availability of digital support services for caregivers as well as the potential they offer, further understanding of caregivers’ willingness to pay for digital support services is needed. Objective: The aim of this study is to identify associations between informal caregiver's characteristics and their willingness to pay for digital support services in two countries: Italy and Sweden. Methods: A sample of 378 respondents participated in a cross-sectional survey. Respondents were recruited by the Italian National Institute of Health and Science on Ageing and the Swedish Family Care Competence Centre. A two-part regression model was used. In the first part, logistic regression analysis was applied to investigate the association between willingness to pay and sets of independent variables (caregiver's demographics, caregiver's socioeconomic resources and caregiving context). In the second part, a generalized linear model (log-link and gamma distribution) was applied to determine the adjusted mean willingness to pay. Results: More than half of the participants from both countries of our study were willing to pay out of pocket for digital support services. A recommendation by a healthcare professional was the top factor that may motivate caregivers’ willingness to pay an additional amount for a paid version of a digital support service. In both countries, the majority of the respondents believe that the government should allocate more funds for digital support services and for improving digital infrastructures. Caregiver' s gender, care recipient relationship to the caregiver, care duration, the total household income and the amount spent per month on professional caregiving services are all associated with willingness to pay. For every additional 10 Euro increase in the amount spent per month on professional caregiving services, the odds of willingness to pay an additional Euro for a digital support service increased by 0.60 % in the Italian sample (p= 0.002, 95% CI: 1.002, 1.009) and 0.31% in the Swedish sample (p=0.015, 95% CI: 1.006, 1.057). Conclusions: Factors such as demographics, socioeconomic resources and the caregiving context may play a role in caregivers’ willingness to pay for digital support services. The digital and social divide may negatively affect caregivers’ willingness to pay for digital support services. Policy makers and insura…","author":[{"dropping-particle":"","family":"Hassan","given":"Alhassan Yosri Ibrahim","non-dropping-particle":"","parse-names":false,"suffix":""},{"dropping-particle":"","family":"Cucculelli","given":"Marco","non-dropping-particle":"","parse-names":false,"suffix":""},{"dropping-particle":"","family":"Lamura","given":"Giovanni","non-dropping-particle":"","parse-names":false,"suffix":""}],"container-title":"Health Policy","id":"ITEM-1","issue":"January","issued":{"date-parts":[["2023"]]},"page":"104751","publisher":"Elsevier B.V.","title":"Caregivers’ willingness to pay for digital support services: Comparative survey","type":"article-journal","volume":"130"},"uris":["http://www.mendeley.com/documents/?uuid=0b3787a1-ce33-44f3-9eab-885cad06ce36"]}],"mendeley":{"formattedCitation":"(Hassan et al., 2023)","plainTextFormattedCitation":"(Hassan et al., 2023)","previouslyFormattedCitation":"(Hassan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(Hassan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Therefore, one of the reasons for paying more for a product or service is the quality of the product and how familiar or familiar the customer is with the product or service from that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{"citationItems":[{"id":"ITEM-1","itemData":{"DOI":"10.1016/j.healthpol.2023.104751","ISSN":"18726054","abstract":"Background: Considering the substantial information needs experienced by informal caregivers, the increased availability of digital support services for caregivers as well as the potential they offer, further understanding of caregivers’ willingness to pay for digital support services is needed. Objective: The aim of this study is to identify associations between informal caregiver's characteristics and their willingness to pay for digital support services in two countries: Italy and Sweden. Methods: A sample of 378 respondents participated in a cross-sectional survey. Respondents were recruited by the Italian National Institute of Health and Science on Ageing and the Swedish Family Care Competence Centre. A two-part regression model was used. In the first part, logistic regression analysis was applied to investigate the association between willingness to pay and sets of independent variables (caregiver's demographics, caregiver's socioeconomic resources and caregiving context). In the second part, a generalized linear model (log-link and gamma distribution) was applied to determine the adjusted mean willingness to pay. Results: More than half of the participants from both countries of our study were willing to pay out of pocket for digital support services. A recommendation by a healthcare professional was the top factor that may motivate caregivers’ willingness to pay an additional amount for a paid version of a digital support service. In both countries, the majority of the respondents believe that the government should allocate more funds for digital support services and for improving digital infrastructures. Caregiver' s gender, care recipient relationship to the caregiver, care duration, the total household income and the amount spent per month on professional caregiving services are all associated with willingness to pay. For every additional 10 Euro increase in the amount spent per month on professional caregiving services, the odds of willingness to pay an additional Euro for a digital support service increased by 0.60 % in the Italian sample (p= 0.002, 95% CI: 1.002, 1.009) and 0.31% in the Swedish sample (p=0.015, 95% CI: 1.006, 1.057). Conclusions: Factors such as demographics, socioeconomic resources and the caregiving context may play a role in caregivers’ willingness to pay for digital support services. The digital and social divide may negatively affect caregivers’ willingness to pay for digital support services. Policy makers and insura…","author":[{"dropping-particle":"","family":"Hassan","given":"Alhassan Yosri Ibrahim","non-dropping-particle":"","parse-names":false,"suffix":""},{"dropping-particle":"","family":"Cucculelli","given":"Marco","non-dropping-particle":"","parse-names":false,"suffix":""},{"dropping-particle":"","family":"Lamura","given":"Giovanni","non-dropping-particle":"","parse-names":false,"suffix":""}],"container-title":"Health Policy","id":"ITEM-1","issue":"January","issued":{"date-parts":[["2023"]]},"page":"104751","publisher":"Elsevier B.V.","title":"Caregivers’ willingness to pay for digital support services: Comparative survey","type":"article-journal","volume":"130"},"uris":["http://www.mendeley.com/documents/?uuid=0b3787a1-ce33-44f3-9eab-885cad06ce36"]}],"mendeley":{"formattedCitation":"(Hassan et al., 2023)","plainTextFormattedCitation":"(Hassan et al., 2023)","previouslyFormattedCitation":"(Hassan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(Hassan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 perception of price from a customer to determine purchasing decisions is also important because it is a measuring tool for making purchases from customers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{"citationItems":[{"id":"ITEM-1","itemData":{"DOI":"10.1016/j.healthpol.2023.104751","ISSN":"18726054","abstract":"Background: Considering the substantial information needs experienced by informal caregivers, the increased availability of digital support services for caregivers as well as the potential they offer, further understanding of caregivers’ willingness to pay for digital support services is needed. Objective: The aim of this study is to identify associations between informal caregiver's characteristics and their willingness to pay for digital support services in two countries: Italy and Sweden. Methods: A sample of 378 respondents participated in a cross-sectional survey. Respondents were recruited by the Italian National Institute of Health and Science on Ageing and the Swedish Family Care Competence Centre. A two-part regression model was used. In the first part, logistic regression analysis was applied to investigate the association between willingness to pay and sets of independent variables (caregiver's demographics, caregiver's socioeconomic resources and caregiving context). In the second part, a generalized linear model (log-link and gamma distribution) was applied to determine the adjusted mean willingness to pay. Results: More than half of the participants from both countries of our study were willing to pay out of pocket for digital support services. A recommendation by a healthcare professional was the top factor that may motivate caregivers’ willingness to pay an additional amount for a paid version of a digital support service. In both countries, the majority of the respondents believe that the government should allocate more funds for digital support services and for improving digital infrastructures. Caregiver' s gender, care recipient relationship to the caregiver, care duration, the total household income and the amount spent per month on professional caregiving services are all associated with willingness to pay. For every additional 10 Euro increase in the amount spent per month on professional caregiving services, the odds of willingness to pay an additional Euro for a digital support service increased by 0.60 % in the Italian sample (p= 0.002, 95% CI: 1.002, 1.009) and 0.31% in the Swedish sample (p=0.015, 95% CI: 1.006, 1.057). Conclusions: Factors such as demographics, socioeconomic resources and the caregiving context may play a role in caregivers’ willingness to pay for digital support services. The digital and social divide may negatively affect caregivers’ willingness to pay for digital support services. Policy makers and insura…","author":[{"dropping-particle":"","family":"Hassan","given":"Alhassan Yosri Ibrahim","non-dropping-particle":"","parse-names":false,"suffix":""},{"dropping-particle":"","family":"Cucculelli","given":"Marco","non-dropping-particle":"","parse-names":false,"suffix":""},{"dropping-particle":"","family":"Lamura","given":"Giovanni","non-dropping-particle":"","parse-names":false,"suffix":""}],"container-title":"Health Policy","id":"ITEM-1","issue":"January","issued":{"date-parts":[["2023"]]},"page":"104751","publisher":"Elsevier B.V.","title":"Caregivers’ willingness to pay for digital support services: Comparative survey","type":"article-journal","volume":"130"},"uris":["http://www.mendeley.com/documents/?uuid=0b3787a1-ce33-44f3-9eab-885cad06ce36"]}],"mendeley":{"formattedCitation":"(Hassan et al., 2023)","plainTextFormattedCitation":"(Hassan et al., 2023)","previouslyFormattedCitation":"(Hassan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(Hassan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Therefore, information is also needed for customers regarding the maximum value that customers are willing to pay for a service or product from a company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{"citationItems":[{"id":"ITEM-1","itemData":{"DOI":"10.1016/j.healthpol.2023.104751","ISSN":"18726054","abstract":"Background: Considering the substantial information needs experienced by informal caregivers, the increased availability of digital support services for caregivers as well as the potential they offer, further understanding of caregivers’ willingness to pay for digital support services is needed. Objective: The aim of this study is to identify associations between informal caregiver's characteristics and their willingness to pay for digital support services in two countries: Italy and Sweden. Methods: A sample of 378 respondents participated in a cross-sectional survey. Respondents were recruited by the Italian National Institute of Health and Science on Ageing and the Swedish Family Care Competence Centre. A two-part regression model was used. In the first part, logistic regression analysis was applied to investigate the association between willingness to pay and sets of independent variables (caregiver's demographics, caregiver's socioeconomic resources and caregiving context). In the second part, a generalized linear model (log-link and gamma distribution) was applied to determine the adjusted mean willingness to pay. Results: More than half of the participants from both countries of our study were willing to pay out of pocket for digital support services. A recommendation by a healthcare professional was the top factor that may motivate caregivers’ willingness to pay an additional amount for a paid version of a digital support service. In both countries, the majority of the respondents believe that the government should allocate more funds for digital support services and for improving digital infrastructures. Caregiver' s gender, care recipient relationship to the caregiver, care duration, the total household income and the amount spent per month on professional caregiving services are all associated with willingness to pay. For every additional 10 Euro increase in the amount spent per month on professional caregiving services, the odds of willingness to pay an additional Euro for a digital support service increased by 0.60 % in the Italian sample (p= 0.002, 95% CI: 1.002, 1.009) and 0.31% in the Swedish sample (p=0.015, 95% CI: 1.006, 1.057). Conclusions: Factors such as demographics, socioeconomic resources and the caregiving context may play a role in caregivers’ willingness to pay for digital support services. The digital and social divide may negatively affect caregivers’ willingness to pay for digital support services. Policy makers and insura…","author":[{"dropping-particle":"","family":"Hassan","given":"Alhassan Yosri Ibrahim","non-dropping-particle":"","parse-names":false,"suffix":""},{"dropping-particle":"","family":"Cucculelli","given":"Marco","non-dropping-particle":"","parse-names":false,"suffix":""},{"dropping-particle":"","family":"Lamura","given":"Giovanni","non-dropping-particle":"","parse-names":false,"suffix":""}],"container-title":"Health Policy","id":"ITEM-1","issue":"January","issued":{"date-parts":[["2023"]]},"page":"104751","publisher":"Elsevier B.V.","title":"Caregivers’ willingness to pay for digital support services: Comparative survey","type":"article-journal","volume":"130"},"uris":["http://www.mendeley.com/documents/?uuid=0b3787a1-ce33-44f3-9eab-885cad06ce36"]}],"mendeley":{"formattedCitation":"(Hassan et al., 2023)","plainTextFormattedCitation":"(Hassan et al., 2023)","previouslyFormattedCitation":"(Hassan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(Hassan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856DCA" w:rsidRDefault="00CD0DA5"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en-ID"/>
        </w:rPr>
      </w:pPr>
      <w:r w:rsidRPr="00856DCA">
        <w:rPr>
          <w:rFonts w:ascii="Times New Roman" w:eastAsia="Times New Roman" w:hAnsi="Times New Roman" w:cs="Times New Roman"/>
          <w:color w:val="000000"/>
          <w:sz w:val="24"/>
          <w:szCs w:val="24"/>
          <w:lang w:eastAsia="en-ID"/>
        </w:rPr>
        <w:t xml:space="preserve">The great enthusiasm of customers for a service or product makes the product or service (familiar) in the eyes of the public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{"citationItems":[{"id":"ITEM-1","itemData":{"DOI":"10.1016/j.foodqual.2022.104769","ISSN":"09503293","abstract":"As the share of online grocery purchases grows, with 13% of grocery spending going to online retailers, the question of how information leads consumers to select foods becomes increasingly important. This is particularly true for specialty foods (e.g., wine, artisan cheese) where consumers face endless options of product varieties. In this study, we evaluated how sensory information (i.e., tasting and food pairing notes) and expert distinction (i.e., an award label) affect consumer demand for two familiar (Brie, Cheddar) and two unfamiliar (Coulommiers, Cantal) varieties of artisanal cheese in the U.S. A total of 488 specialty cheese consumers, 270 respondents from Pacific Northwest, and 218 respondents from the East Coast, participated in a discrete choice experiment that was conducted online. The results showed that in general consumers prefer familiar varieties and that both sensory information and an award label increase consumers’ willingness to pay for the cheese. Nevertheless, the study results also showed three distinct consumer segmentations who make choices differently, including some that value novelty flavors. These data have implication for the role that information plays in product purchase and further how food industry could use such information to promote their products.","author":[{"dropping-particle":"","family":"Streletskaya","given":"Nadia A.","non-dropping-particle":"","parse-names":false,"suffix":""},{"dropping-particle":"","family":"Maruyama","given":"Sara","non-dropping-particle":"","parse-names":false,"suffix":""},{"dropping-particle":"","family":"Queisser","given":"Susan","non-dropping-particle":"","parse-names":false,"suffix":""},{"dropping-particle":"","family":"Cole","given":"Sheri","non-dropping-particle":"","parse-names":false,"suffix":""},{"dropping-particle":"","family":"Stelick","given":"Alina N.","non-dropping-particle":"","parse-names":false,"suffix":""},{"dropping-particle":"","family":"Lim","given":"Juyun","non-dropping-particle":"","parse-names":false,"suffix":""}],"container-title":"Food Quality and Preference","id":"ITEM-1","issue":"November 2022","issued":{"date-parts":[["2023"]]},"page":"104769","publisher":"Elsevier Ltd","title":"How information leads consumers to select specialty foods when tasting is not an option","type":"article-journal","volume":"105"},"uris":["http://www.mendeley.com/documents/?uuid=951c4de6-47e5-407a-af88-28a6d61618b6"]}],"mendeley":{"formattedCitation":"(Streletskaya et al., 2023)","plainTextFormattedCitation":"(Streletskaya et al., 2023)","previouslyFormattedCitation":"(Streletskaya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(Streletskaya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There is a pattern of relationship between familiarity with the product (Familiarity) and the ability to use the product (Usability) as an important event that describes customer satisfaction which will then continue to become (customer loyalty) to a service or product from a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{"citationItems":[{"id":"ITEM-1","itemData":{"DOI":"10.1016/j.foodqual.2022.104769","ISSN":"09503293","abstract":"As the share of online grocery purchases grows, with 13% of grocery spending going to online retailers, the question of how information leads consumers to select foods becomes increasingly important. This is particularly true for specialty foods (e.g., wine, artisan cheese) where consumers face endless options of product varieties. In this study, we evaluated how sensory information (i.e., tasting and food pairing notes) and expert distinction (i.e., an award label) affect consumer demand for two familiar (Brie, Cheddar) and two unfamiliar (Coulommiers, Cantal) varieties of artisanal cheese in the U.S. A total of 488 specialty cheese consumers, 270 respondents from Pacific Northwest, and 218 respondents from the East Coast, participated in a discrete choice experiment that was conducted online. The results showed that in general consumers prefer familiar varieties and that both sensory information and an award label increase consumers’ willingness to pay for the cheese. Nevertheless, the study results also showed three distinct consumer segmentations who make choices differently, including some that value novelty flavors. These data have implication for the role that information plays in product purchase and further how food industry could use such information to promote their products.","author":[{"dropping-particle":"","family":"Streletskaya","given":"Nadia A.","non-dropping-particle":"","parse-names":false,"suffix":""},{"dropping-particle":"","family":"Maruyama","given":"Sara","non-dropping-particle":"","parse-names":false,"suffix":""},{"dropping-particle":"","family":"Queisser","given":"Susan","non-dropping-particle":"","parse-names":false,"suffix":""},{"dropping-particle":"","family":"Cole","given":"Sheri","non-dropping-particle":"","parse-names":false,"suffix":""},{"dropping-particle":"","family":"Stelick","given":"Alina N.","non-dropping-particle":"","parse-names":false,"suffix":""},{"dropping-particle":"","family":"Lim","given":"Juyun","non-dropping-particle":"","parse-names":false,"suffix":""}],"container-title":"Food Quality and Preference","id":"ITEM-1","issue":"November 2022","issued":{"date-parts":[["2023"]]},"page":"104769","publisher":"Elsevier Ltd","title":"How information leads consumers to select specialty foods when tasting is not an option","type":"article-journal","volume":"105"},"uris":["http://www.mendeley.com/documents/?uuid=951c4de6-47e5-407a-af88-28a6d61618b6"]}],"mendeley":{"formattedCitation":"(Streletskaya et al., 2023)","plainTextFormattedCitation":"(Streletskaya et al., 2023)","previouslyFormattedCitation":"(Streletskaya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proofErr w:type="gramStart"/>
      <w:r w:rsidRPr="00856DCA">
        <w:rPr>
          <w:rFonts w:ascii="Times New Roman" w:eastAsia="Times New Roman" w:hAnsi="Times New Roman" w:cs="Times New Roman"/>
          <w:noProof/>
          <w:color w:val="000000"/>
          <w:sz w:val="24"/>
          <w:szCs w:val="24"/>
          <w:lang w:eastAsia="en-ID"/>
        </w:rPr>
        <w:t>(Streletskaya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roofErr w:type="gramEnd"/>
      <w:r w:rsidRPr="00856DCA">
        <w:rPr>
          <w:rFonts w:ascii="Times New Roman" w:eastAsia="Times New Roman" w:hAnsi="Times New Roman" w:cs="Times New Roman"/>
          <w:color w:val="000000"/>
          <w:sz w:val="24"/>
          <w:szCs w:val="24"/>
          <w:lang w:eastAsia="en-ID"/>
        </w:rPr>
        <w:t xml:space="preserve"> According to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{"citationItems":[{"id":"ITEM-1","itemData":{"DOI":"10.1016/j.foodqual.2022.104769","ISSN":"09503293","abstract":"As the share of online grocery purchases grows, with 13% of grocery spending going to online retailers, the question of how information leads consumers to select foods becomes increasingly important. This is particularly true for specialty foods (e.g., wine, artisan cheese) where consumers face endless options of product varieties. In this study, we evaluated how sensory information (i.e., tasting and food pairing notes) and expert distinction (i.e., an award label) affect consumer demand for two familiar (Brie, Cheddar) and two unfamiliar (Coulommiers, Cantal) varieties of artisanal cheese in the U.S. A total of 488 specialty cheese consumers, 270 respondents from Pacific Northwest, and 218 respondents from the East Coast, participated in a discrete choice experiment that was conducted online. The results showed that in general consumers prefer familiar varieties and that both sensory information and an award label increase consumers’ willingness to pay for the cheese. Nevertheless, the study results also showed three distinct consumer segmentations who make choices differently, including some that value novelty flavors. These data have implication for the role that information plays in product purchase and further how food industry could use such information to promote their products.","author":[{"dropping-particle":"","family":"Streletskaya","given":"Nadia A.","non-dropping-particle":"","parse-names":false,"suffix":""},{"dropping-particle":"","family":"Maruyama","given":"Sara","non-dropping-particle":"","parse-names":false,"suffix":""},{"dropping-particle":"","family":"Queisser","given":"Susan","non-dropping-particle":"","parse-names":false,"suffix":""},{"dropping-particle":"","family":"Cole","given":"Sheri","non-dropping-particle":"","parse-names":false,"suffix":""},{"dropping-particle":"","family":"Stelick","given":"Alina N.","non-dropping-particle":"","parse-names":false,"suffix":""},{"dropping-particle":"","family":"Lim","given":"Juyun","non-dropping-particle":"","parse-names":false,"suffix":""}],"container-title":"Food Quality and Preference","id":"ITEM-1","issue":"November 2022","issued":{"date-parts":[["2023"]]},"page":"104769","publisher":"Elsevier Ltd","title":"How information leads consumers to select specialty foods when tasting is not an option","type":"article-journal","volume":"105"},"uris":["http://www.mendeley.com/documents/?uuid=951c4de6-47e5-407a-af88-28a6d61618b6"]}],"mendeley":{"formattedCitation":"(Streletskaya et al., 2023)","manualFormatting":"Streletskaya et al., (2023)","plainTextFormattedCitation":"(Streletskaya et al., 2023)","previouslyFormattedCitation":"(Streletskaya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Streletskaya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an important aspect of a customer does not consider every decision whether the brand has been purchased in the past and the customer is familiar with the brand and the brand is dominant. Therefore, measuring behavior can mean loyalty, namely the cycle of use or purchase of a product or service from a brand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{"citationItems":[{"id":"ITEM-1","itemData":{"DOI":"10.1016/j.foodqual.2022.104769","ISSN":"09503293","abstract":"As the share of online grocery purchases grows, with 13% of grocery spending going to online retailers, the question of how information leads consumers to select foods becomes increasingly important. This is particularly true for specialty foods (e.g., wine, artisan cheese) where consumers face endless options of product varieties. In this study, we evaluated how sensory information (i.e., tasting and food pairing notes) and expert distinction (i.e., an award label) affect consumer demand for two familiar (Brie, Cheddar) and two unfamiliar (Coulommiers, Cantal) varieties of artisanal cheese in the U.S. A total of 488 specialty cheese consumers, 270 respondents from Pacific Northwest, and 218 respondents from the East Coast, participated in a discrete choice experiment that was conducted online. The results showed that in general consumers prefer familiar varieties and that both sensory information and an award label increase consumers’ willingness to pay for the cheese. Nevertheless, the study results also showed three distinct consumer segmentations who make choices differently, including some that value novelty flavors. These data have implication for the role that information plays in product purchase and further how food industry could use such information to promote their products.","author":[{"dropping-particle":"","family":"Streletskaya","given":"Nadia A.","non-dropping-particle":"","parse-names":false,"suffix":""},{"dropping-particle":"","family":"Maruyama","given":"Sara","non-dropping-particle":"","parse-names":false,"suffix":""},{"dropping-particle":"","family":"Queisser","given":"Susan","non-dropping-particle":"","parse-names":false,"suffix":""},{"dropping-particle":"","family":"Cole","given":"Sheri","non-dropping-particle":"","parse-names":false,"suffix":""},{"dropping-particle":"","family":"Stelick","given":"Alina N.","non-dropping-particle":"","parse-names":false,"suffix":""},{"dropping-particle":"","family":"Lim","given":"Juyun","non-dropping-particle":"","parse-names":false,"suffix":""}],"container-title":"Food Quality and Preference","id":"ITEM-1","issue":"November 2022","issued":{"date-parts":[["2023"]]},"page":"104769","publisher":"Elsevier Ltd","title":"How information leads consumers to select specialty foods when tasting is not an option","type":"article-journal","volume":"105"},"uris":["http://www.mendeley.com/documents/?uuid=951c4de6-47e5-407a-af88-28a6d61618b6"]}],"mendeley":{"formattedCitation":"(Streletskaya et al., 2023)","plainTextFormattedCitation":"(Streletskaya et al., 2023)","previouslyFormattedCitation":"(Streletskaya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(Streletskaya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CD0DA5" w:rsidRDefault="00CD0DA5"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en-ID" w:eastAsia="en-ID"/>
        </w:rPr>
      </w:pP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{"citationItems":[{"id":"ITEM-1","itemData":{"DOI":"10.1016/j.foodcont.2023.109659","ISSN":"09567135","abstract":"The food quality and safety incidents occurring continually in China are greatly sapping consumers' confidence in the food industry. Accordingly, this paper sets four characteristics (quality and safety, traceability information, traceability information authenticity certification, and price) with different levels of these characteristics for traceable pork as an example food product. The rational preferences and irrational characteristics of consumers were studied based on a survey of 636 consumers in Suzhou City, Jiangsu Province, China, using the hierarchical Bayesian estimation method and mixed Logit choice model. The results of the choice experiment (CE) based on the assumption of rational preferences indicated that Chinese consumers have the highest preferences for pork with a green certification mark, complete traceability information, and government-certified traceability information authenticity on the whole. In contrast, the findings of the irrational characteristics model built based on the CE showed that Chinese consumers have a higher degree of dependence on slaughtering and processing information than on complete traceability information, indicating that there may be differences in influence on consumer behaviors between consumers' rational preferences and irrational characteristics. The contributions of this paper are as follows: on the one hand, it tries to construct a suitable theoretical basis for irrational characteristics of consumers, and on the other hand, it can take the consumers’ degree of dependence on safety characteristics as a point of penetration to improve food quality and safety in practice.","author":[{"dropping-particle":"","family":"Zhu","given":"Dian","non-dropping-particle":"","parse-names":false,"suffix":""},{"dropping-particle":"","family":"Tang","given":"Yuhao","non-dropping-particle":"","parse-names":false,"suffix":""},{"dropping-particle":"","family":"Wu","given":"Linhai","non-dropping-particle":"","parse-names":false,"suffix":""}],"container-title":"Food Control","id":"ITEM-1","issue":"November 2022","issued":{"date-parts":[["2023"]]},"page":"109659","publisher":"Elsevier Ltd","title":"Consumer preference for pork safety characteristics: Considering rational and irrational behavior","type":"article-journal","volume":"148"},"uris":["http://www.mendeley.com/documents/?uuid=039a4a12-a89f-4e31-a21b-9e447e1fa67b"]}],"mendeley":{"formattedCitation":"(Zhu et al., 2023)","plainTextFormattedCitation":"(Zhu et al., 2023)","previouslyFormattedCitation":"(Zhu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(Zhu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explained that consumers' ability to find out adequate marketing information is largely determined by the knowledge they remember. Consumers who understand (expert consumers) are consumers who are familiar with the product category, product form and product specifics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{"citationItems":[{"id":"ITEM-1","itemData":{"DOI":"10.1016/j.foodcont.2023.109659","ISSN":"09567135","abstract":"The food quality and safety incidents occurring continually in China are greatly sapping consumers' confidence in the food industry. Accordingly, this paper sets four characteristics (quality and safety, traceability information, traceability information authenticity certification, and price) with different levels of these characteristics for traceable pork as an example food product. The rational preferences and irrational characteristics of consumers were studied based on a survey of 636 consumers in Suzhou City, Jiangsu Province, China, using the hierarchical Bayesian estimation method and mixed Logit choice model. The results of the choice experiment (CE) based on the assumption of rational preferences indicated that Chinese consumers have the highest preferences for pork with a green certification mark, complete traceability information, and government-certified traceability information authenticity on the whole. In contrast, the findings of the irrational characteristics model built based on the CE showed that Chinese consumers have a higher degree of dependence on slaughtering and processing information than on complete traceability information, indicating that there may be differences in influence on consumer behaviors between consumers' rational preferences and irrational characteristics. The contributions of this paper are as follows: on the one hand, it tries to construct a suitable theoretical basis for irrational characteristics of consumers, and on the other hand, it can take the consumers’ degree of dependence on safety characteristics as a point of penetration to improve food quality and safety in practice.","author":[{"dropping-particle":"","family":"Zhu","given":"Dian","non-dropping-particle":"","parse-names":false,"suffix":""},{"dropping-particle":"","family":"Tang","given":"Yuhao","non-dropping-particle":"","parse-names":false,"suffix":""},{"dropping-particle":"","family":"Wu","given":"Linhai","non-dropping-particle":"","parse-names":false,"suffix":""}],"container-title":"Food Control","id":"ITEM-1","issue":"November 2022","issued":{"date-parts":[["2023"]]},"page":"109659","publisher":"Elsevier Ltd","title":"Consumer preference for pork safety characteristics: Considering rational and irrational behavior","type":"article-journal","volume":"148"},"uris":["http://www.mendeley.com/documents/?uuid=039a4a12-a89f-4e31-a21b-9e447e1fa67b"]}],"mendeley":{"formattedCitation":"(Zhu et al., 2023)","plainTextFormattedCitation":"(Zhu et al., 2023)","previouslyFormattedCitation":"(Zhu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(Zhu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 xml:space="preserve">. Consumer understanding is the ability to carry out activities related to the product well, understanding (Familiarity) helps to know certain features of the environment in terms of products or services and helps find information resources that can provide security and comfort </w:t>
      </w:r>
      <w:r w:rsidRPr="00856DCA">
        <w:rPr>
          <w:rFonts w:ascii="Times New Roman" w:eastAsia="Times New Roman" w:hAnsi="Times New Roman" w:cs="Times New Roman"/>
          <w:color w:val="000000"/>
          <w:sz w:val="24"/>
          <w:szCs w:val="24"/>
          <w:lang w:eastAsia="en-ID"/>
        </w:rPr>
        <w:fldChar w:fldCharType="begin" w:fldLock="1"/>
      </w:r>
      <w:r w:rsidRPr="00856DCA">
        <w:rPr>
          <w:rFonts w:ascii="Times New Roman" w:eastAsia="Times New Roman" w:hAnsi="Times New Roman" w:cs="Times New Roman"/>
          <w:color w:val="000000"/>
          <w:sz w:val="24"/>
          <w:szCs w:val="24"/>
          <w:lang w:eastAsia="en-ID"/>
        </w:rPr>
        <w:instrText>ADDIN CSL_CITATION {"citationItems":[{"id":"ITEM-1","itemData":{"DOI":"10.1016/j.foodcont.2023.109659","ISSN":"09567135","abstract":"The food quality and safety incidents occurring continually in China are greatly sapping consumers' confidence in the food industry. Accordingly, this paper sets four characteristics (quality and safety, traceability information, traceability information authenticity certification, and price) with different levels of these characteristics for traceable pork as an example food product. The rational preferences and irrational characteristics of consumers were studied based on a survey of 636 consumers in Suzhou City, Jiangsu Province, China, using the hierarchical Bayesian estimation method and mixed Logit choice model. The results of the choice experiment (CE) based on the assumption of rational preferences indicated that Chinese consumers have the highest preferences for pork with a green certification mark, complete traceability information, and government-certified traceability information authenticity on the whole. In contrast, the findings of the irrational characteristics model built based on the CE showed that Chinese consumers have a higher degree of dependence on slaughtering and processing information than on complete traceability information, indicating that there may be differences in influence on consumer behaviors between consumers' rational preferences and irrational characteristics. The contributions of this paper are as follows: on the one hand, it tries to construct a suitable theoretical basis for irrational characteristics of consumers, and on the other hand, it can take the consumers’ degree of dependence on safety characteristics as a point of penetration to improve food quality and safety in practice.","author":[{"dropping-particle":"","family":"Zhu","given":"Dian","non-dropping-particle":"","parse-names":false,"suffix":""},{"dropping-particle":"","family":"Tang","given":"Yuhao","non-dropping-particle":"","parse-names":false,"suffix":""},{"dropping-particle":"","family":"Wu","given":"Linhai","non-dropping-particle":"","parse-names":false,"suffix":""}],"container-title":"Food Control","id":"ITEM-1","issue":"November 2022","issued":{"date-parts":[["2023"]]},"page":"109659","publisher":"Elsevier Ltd","title":"Consumer preference for pork safety characteristics: Considering rational and irrational behavior","type":"article-journal","volume":"148"},"uris":["http://www.mendeley.com/documents/?uuid=039a4a12-a89f-4e31-a21b-9e447e1fa67b"]}],"mendeley":{"formattedCitation":"(Zhu et al., 2023)","plainTextFormattedCitation":"(Zhu et al., 2023)","previouslyFormattedCitation":"(Zhu et al., 2023)"},"properties":{"noteIndex":0},"schema":"https://github.com/citation-style-language/schema/raw/master/csl-citation.json"}</w:instrText>
      </w:r>
      <w:r w:rsidRPr="00856DCA">
        <w:rPr>
          <w:rFonts w:ascii="Times New Roman" w:eastAsia="Times New Roman" w:hAnsi="Times New Roman" w:cs="Times New Roman"/>
          <w:color w:val="000000"/>
          <w:sz w:val="24"/>
          <w:szCs w:val="24"/>
          <w:lang w:eastAsia="en-ID"/>
        </w:rPr>
        <w:fldChar w:fldCharType="separate"/>
      </w:r>
      <w:r w:rsidRPr="00856DCA">
        <w:rPr>
          <w:rFonts w:ascii="Times New Roman" w:eastAsia="Times New Roman" w:hAnsi="Times New Roman" w:cs="Times New Roman"/>
          <w:noProof/>
          <w:color w:val="000000"/>
          <w:sz w:val="24"/>
          <w:szCs w:val="24"/>
          <w:lang w:eastAsia="en-ID"/>
        </w:rPr>
        <w:t>(Zhu et al., 2023)</w:t>
      </w:r>
      <w:r w:rsidRPr="00856DCA">
        <w:rPr>
          <w:rFonts w:ascii="Times New Roman" w:eastAsia="Times New Roman" w:hAnsi="Times New Roman" w:cs="Times New Roman"/>
          <w:color w:val="000000"/>
          <w:sz w:val="24"/>
          <w:szCs w:val="24"/>
          <w:lang w:eastAsia="en-ID"/>
        </w:rPr>
        <w:fldChar w:fldCharType="end"/>
      </w:r>
      <w:r w:rsidRPr="00856DCA">
        <w:rPr>
          <w:rFonts w:ascii="Times New Roman" w:eastAsia="Times New Roman" w:hAnsi="Times New Roman" w:cs="Times New Roman"/>
          <w:color w:val="000000"/>
          <w:sz w:val="24"/>
          <w:szCs w:val="24"/>
          <w:lang w:eastAsia="en-ID"/>
        </w:rPr>
        <w:t>.</w:t>
      </w:r>
    </w:p>
    <w:p w:rsidR="00CD0DA5" w:rsidRPr="00CD0DA5" w:rsidRDefault="00CD0DA5" w:rsidP="00856DCA">
      <w:pPr>
        <w:spacing w:after="0" w:line="240" w:lineRule="auto"/>
        <w:jc w:val="both"/>
        <w:rPr>
          <w:rFonts w:ascii="Times New Roman" w:eastAsia="Calibri" w:hAnsi="Times New Roman" w:cs="Times New Roman"/>
          <w:color w:val="000000"/>
          <w:sz w:val="24"/>
          <w:szCs w:val="24"/>
        </w:rPr>
      </w:pPr>
      <w:r w:rsidRPr="00CC1F54">
        <w:rPr>
          <w:rFonts w:ascii="Times New Roman" w:eastAsia="Calibri" w:hAnsi="Times New Roman" w:cs="Times New Roman"/>
          <w:b/>
          <w:color w:val="000000"/>
          <w:sz w:val="24"/>
          <w:szCs w:val="24"/>
        </w:rPr>
        <w:t>H5b:</w:t>
      </w:r>
      <w:r w:rsidRPr="00CD0DA5">
        <w:rPr>
          <w:rFonts w:ascii="Times New Roman" w:eastAsia="Calibri" w:hAnsi="Times New Roman" w:cs="Times New Roman"/>
          <w:color w:val="000000"/>
          <w:sz w:val="24"/>
          <w:szCs w:val="24"/>
        </w:rPr>
        <w:t xml:space="preserve"> Brand Familiarity has a positive influence on </w:t>
      </w:r>
      <w:proofErr w:type="spellStart"/>
      <w:r w:rsidRPr="00CD0DA5">
        <w:rPr>
          <w:rFonts w:ascii="Times New Roman" w:eastAsia="Calibri" w:hAnsi="Times New Roman" w:cs="Times New Roman"/>
          <w:color w:val="000000"/>
          <w:sz w:val="24"/>
          <w:szCs w:val="24"/>
        </w:rPr>
        <w:t>Willingnes</w:t>
      </w:r>
      <w:proofErr w:type="spellEnd"/>
      <w:r w:rsidRPr="00CD0DA5">
        <w:rPr>
          <w:rFonts w:ascii="Times New Roman" w:eastAsia="Calibri" w:hAnsi="Times New Roman" w:cs="Times New Roman"/>
          <w:color w:val="000000"/>
          <w:sz w:val="24"/>
          <w:szCs w:val="24"/>
        </w:rPr>
        <w:t xml:space="preserve"> </w:t>
      </w:r>
      <w:proofErr w:type="gramStart"/>
      <w:r w:rsidRPr="00CD0DA5">
        <w:rPr>
          <w:rFonts w:ascii="Times New Roman" w:eastAsia="Calibri" w:hAnsi="Times New Roman" w:cs="Times New Roman"/>
          <w:color w:val="000000"/>
          <w:sz w:val="24"/>
          <w:szCs w:val="24"/>
        </w:rPr>
        <w:t>To</w:t>
      </w:r>
      <w:proofErr w:type="gramEnd"/>
      <w:r w:rsidRPr="00CD0DA5">
        <w:rPr>
          <w:rFonts w:ascii="Times New Roman" w:eastAsia="Calibri" w:hAnsi="Times New Roman" w:cs="Times New Roman"/>
          <w:color w:val="000000"/>
          <w:sz w:val="24"/>
          <w:szCs w:val="24"/>
        </w:rPr>
        <w:t xml:space="preserve"> Pay</w:t>
      </w:r>
    </w:p>
    <w:p w:rsidR="00856DCA" w:rsidRDefault="00856DCA" w:rsidP="00856DCA">
      <w:pPr>
        <w:spacing w:after="0" w:line="240" w:lineRule="auto"/>
        <w:jc w:val="both"/>
        <w:rPr>
          <w:rFonts w:ascii="Times New Roman" w:eastAsia="Cambria" w:hAnsi="Times New Roman" w:cs="Times New Roman"/>
          <w:sz w:val="24"/>
          <w:szCs w:val="24"/>
        </w:rPr>
      </w:pPr>
    </w:p>
    <w:p w:rsidR="00CD0DA5" w:rsidRPr="00CD0DA5" w:rsidRDefault="00CD0DA5" w:rsidP="00856DCA">
      <w:pPr>
        <w:spacing w:after="0" w:line="240" w:lineRule="auto"/>
        <w:jc w:val="both"/>
        <w:rPr>
          <w:rFonts w:ascii="Times New Roman" w:eastAsia="Cambria" w:hAnsi="Times New Roman" w:cs="Times New Roman"/>
          <w:sz w:val="24"/>
          <w:szCs w:val="24"/>
        </w:rPr>
      </w:pPr>
      <w:r w:rsidRPr="00CD0DA5">
        <w:rPr>
          <w:rFonts w:ascii="Times New Roman" w:eastAsia="Cambria" w:hAnsi="Times New Roman" w:cs="Times New Roman"/>
          <w:sz w:val="24"/>
          <w:szCs w:val="24"/>
        </w:rPr>
        <w:t>Based on the hypothesis framework above, the research model can be described as in Figure 1 below:</w:t>
      </w:r>
    </w:p>
    <w:p w:rsidR="00CD0DA5" w:rsidRPr="00CD0DA5" w:rsidRDefault="00CD0DA5" w:rsidP="00CD0DA5">
      <w:pPr>
        <w:spacing w:after="0"/>
        <w:jc w:val="both"/>
        <w:rPr>
          <w:rFonts w:ascii="Times New Roman" w:eastAsia="Cambria" w:hAnsi="Times New Roman" w:cs="Times New Roman"/>
          <w:sz w:val="24"/>
          <w:szCs w:val="24"/>
        </w:rPr>
      </w:pPr>
      <w:r w:rsidRPr="00856DCA">
        <w:rPr>
          <w:rFonts w:ascii="Times New Roman" w:hAnsi="Times New Roman" w:cs="Times New Roman"/>
          <w:noProof/>
          <w:sz w:val="24"/>
          <w:szCs w:val="24"/>
        </w:rPr>
        <w:drawing>
          <wp:inline distT="0" distB="0" distL="0" distR="0" wp14:anchorId="73AF442D" wp14:editId="25D765F7">
            <wp:extent cx="5568287" cy="3248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7702" cy="3259492"/>
                    </a:xfrm>
                    <a:prstGeom prst="rect">
                      <a:avLst/>
                    </a:prstGeom>
                    <a:noFill/>
                  </pic:spPr>
                </pic:pic>
              </a:graphicData>
            </a:graphic>
          </wp:inline>
        </w:drawing>
      </w:r>
    </w:p>
    <w:p w:rsidR="004368A9" w:rsidRPr="00856DCA" w:rsidRDefault="004368A9">
      <w:pPr>
        <w:rPr>
          <w:rFonts w:ascii="Times New Roman" w:hAnsi="Times New Roman" w:cs="Times New Roman"/>
          <w:sz w:val="24"/>
          <w:szCs w:val="24"/>
        </w:rPr>
      </w:pPr>
    </w:p>
    <w:p w:rsidR="00CD0DA5" w:rsidRPr="00856DCA" w:rsidRDefault="00CD0DA5" w:rsidP="00856DCA">
      <w:pPr>
        <w:spacing w:after="0" w:line="240" w:lineRule="auto"/>
        <w:rPr>
          <w:rFonts w:ascii="Times New Roman" w:hAnsi="Times New Roman" w:cs="Times New Roman"/>
          <w:b/>
          <w:sz w:val="24"/>
          <w:szCs w:val="24"/>
        </w:rPr>
      </w:pPr>
      <w:r w:rsidRPr="00856DCA">
        <w:rPr>
          <w:rFonts w:ascii="Times New Roman" w:hAnsi="Times New Roman" w:cs="Times New Roman"/>
          <w:b/>
          <w:sz w:val="24"/>
          <w:szCs w:val="24"/>
        </w:rPr>
        <w:lastRenderedPageBreak/>
        <w:t>METHOD</w:t>
      </w:r>
    </w:p>
    <w:p w:rsidR="00CD0DA5" w:rsidRPr="00856DCA" w:rsidRDefault="00CD0DA5"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ID"/>
        </w:rPr>
      </w:pPr>
      <w:r w:rsidRPr="00856DCA">
        <w:rPr>
          <w:rFonts w:ascii="Times New Roman" w:eastAsia="Times New Roman" w:hAnsi="Times New Roman" w:cs="Times New Roman"/>
          <w:sz w:val="24"/>
          <w:szCs w:val="24"/>
          <w:lang w:eastAsia="en-ID"/>
        </w:rPr>
        <w:t xml:space="preserve">The data collection used was a survey method by distributing questionnaires online. Measurements were carried out on a 1–5 </w:t>
      </w:r>
      <w:proofErr w:type="spellStart"/>
      <w:r w:rsidRPr="00856DCA">
        <w:rPr>
          <w:rFonts w:ascii="Times New Roman" w:eastAsia="Times New Roman" w:hAnsi="Times New Roman" w:cs="Times New Roman"/>
          <w:sz w:val="24"/>
          <w:szCs w:val="24"/>
          <w:lang w:eastAsia="en-ID"/>
        </w:rPr>
        <w:t>Likert</w:t>
      </w:r>
      <w:proofErr w:type="spellEnd"/>
      <w:r w:rsidRPr="00856DCA">
        <w:rPr>
          <w:rFonts w:ascii="Times New Roman" w:eastAsia="Times New Roman" w:hAnsi="Times New Roman" w:cs="Times New Roman"/>
          <w:sz w:val="24"/>
          <w:szCs w:val="24"/>
          <w:lang w:eastAsia="en-ID"/>
        </w:rPr>
        <w:t xml:space="preserve"> scale (1 = strongly disagree and </w:t>
      </w:r>
      <w:r w:rsidR="00CC1F54">
        <w:rPr>
          <w:rFonts w:ascii="Times New Roman" w:eastAsia="Times New Roman" w:hAnsi="Times New Roman" w:cs="Times New Roman"/>
          <w:sz w:val="24"/>
          <w:szCs w:val="24"/>
          <w:lang w:eastAsia="en-ID"/>
        </w:rPr>
        <w:t xml:space="preserve">   </w:t>
      </w:r>
      <w:r w:rsidRPr="00856DCA">
        <w:rPr>
          <w:rFonts w:ascii="Times New Roman" w:eastAsia="Times New Roman" w:hAnsi="Times New Roman" w:cs="Times New Roman"/>
          <w:sz w:val="24"/>
          <w:szCs w:val="24"/>
          <w:lang w:eastAsia="en-ID"/>
        </w:rPr>
        <w:t xml:space="preserve">5 = strongly agree) </w:t>
      </w:r>
      <w:r w:rsidRPr="00856DCA">
        <w:rPr>
          <w:rFonts w:ascii="Times New Roman" w:eastAsia="Times New Roman" w:hAnsi="Times New Roman" w:cs="Times New Roman"/>
          <w:sz w:val="24"/>
          <w:szCs w:val="24"/>
          <w:lang w:eastAsia="en-ID"/>
        </w:rPr>
        <w:fldChar w:fldCharType="begin" w:fldLock="1"/>
      </w:r>
      <w:r w:rsidRPr="00856DCA">
        <w:rPr>
          <w:rFonts w:ascii="Times New Roman" w:eastAsia="Times New Roman" w:hAnsi="Times New Roman" w:cs="Times New Roman"/>
          <w:sz w:val="24"/>
          <w:szCs w:val="24"/>
          <w:lang w:eastAsia="en-ID"/>
        </w:rPr>
        <w:instrText>ADDIN CSL_CITATION {"citationItems":[{"id":"ITEM-1","itemData":{"DOI":"10.3390/su142215381","ISSN":"20711050","abstract":"With the introduction of “carbon neutrality”, promoting carbon peaking and carbon neutrality has become contingent upon the vigorous development of pure electric vehicles. The development of electric minivans is receiving substantial backing from the government as China’s logistics vehicle market undergoes a transformation. The drivers of electric minivans in China’s Shanxi Province are the objects of this research, whose purpose was to establish a service model based on the four elements of service design and grounded theory to clarify the key factors of user guarantee for electric minivans. We conducted a pilot study using questionnaires, user patterns, user interviews, and a user journey map to determine the user needs for electric minivan user service guarantees. NVivo was used to analyze and code the user interview data qualitatively. The research findings can serve as a resource for entrepreneurs, service providers, managers, and designers of electric minivans.","author":[{"dropping-particle":"","family":"Zhou","given":"Xiaomin","non-dropping-particle":"","parse-names":false,"suffix":""},{"dropping-particle":"","family":"Yoo","given":"Chaemoon","non-dropping-particle":"","parse-names":false,"suffix":""},{"dropping-particle":"","family":"Sun","given":"Xiyan","non-dropping-particle":"","parse-names":false,"suffix":""},{"dropping-particle":"","family":"Lai","given":"Yingjie","non-dropping-particle":"","parse-names":false,"suffix":""},{"dropping-particle":"","family":"Pan","given":"Younghwan","non-dropping-particle":"","parse-names":false,"suffix":""}],"container-title":"Sustainability (Switzerland)","id":"ITEM-1","issue":"22","issued":{"date-parts":[["2022"]]},"title":"Pilot Study on User Service Guarantee Elements for Electric Minivans","type":"article-journal","volume":"14"},"uris":["http://www.mendeley.com/documents/?uuid=290e119b-4696-4f4a-a1c4-2b4120e45f86"]}],"mendeley":{"formattedCitation":"(Zhou et al., 2022)","plainTextFormattedCitation":"(Zhou et al., 2022)","previouslyFormattedCitation":"(Zhou et al., 2022)"},"properties":{"noteIndex":0},"schema":"https://github.com/citation-style-language/schema/raw/master/csl-citation.json"}</w:instrText>
      </w:r>
      <w:r w:rsidRPr="00856DCA">
        <w:rPr>
          <w:rFonts w:ascii="Times New Roman" w:eastAsia="Times New Roman" w:hAnsi="Times New Roman" w:cs="Times New Roman"/>
          <w:sz w:val="24"/>
          <w:szCs w:val="24"/>
          <w:lang w:eastAsia="en-ID"/>
        </w:rPr>
        <w:fldChar w:fldCharType="separate"/>
      </w:r>
      <w:r w:rsidRPr="00856DCA">
        <w:rPr>
          <w:rFonts w:ascii="Times New Roman" w:eastAsia="Times New Roman" w:hAnsi="Times New Roman" w:cs="Times New Roman"/>
          <w:noProof/>
          <w:sz w:val="24"/>
          <w:szCs w:val="24"/>
          <w:lang w:eastAsia="en-ID"/>
        </w:rPr>
        <w:t>(Zhou et al., 2022)</w:t>
      </w:r>
      <w:r w:rsidRPr="00856DCA">
        <w:rPr>
          <w:rFonts w:ascii="Times New Roman" w:eastAsia="Times New Roman" w:hAnsi="Times New Roman" w:cs="Times New Roman"/>
          <w:sz w:val="24"/>
          <w:szCs w:val="24"/>
          <w:lang w:eastAsia="en-ID"/>
        </w:rPr>
        <w:fldChar w:fldCharType="end"/>
      </w:r>
      <w:r w:rsidRPr="00856DCA">
        <w:rPr>
          <w:rFonts w:ascii="Times New Roman" w:eastAsia="Times New Roman" w:hAnsi="Times New Roman" w:cs="Times New Roman"/>
          <w:sz w:val="24"/>
          <w:szCs w:val="24"/>
          <w:lang w:eastAsia="en-ID"/>
        </w:rPr>
        <w:t xml:space="preserve">.This questionnaire aims to test the internal consistency of questionnaire items, to reveal confusing questions. In this research, five constructs were examined, namely guaranteed purchase intention as the main construct, Environmental </w:t>
      </w:r>
      <w:proofErr w:type="spellStart"/>
      <w:r w:rsidRPr="00856DCA">
        <w:rPr>
          <w:rFonts w:ascii="Times New Roman" w:eastAsia="Times New Roman" w:hAnsi="Times New Roman" w:cs="Times New Roman"/>
          <w:sz w:val="24"/>
          <w:szCs w:val="24"/>
          <w:lang w:eastAsia="en-ID"/>
        </w:rPr>
        <w:t>Convern</w:t>
      </w:r>
      <w:proofErr w:type="spellEnd"/>
      <w:r w:rsidRPr="00856DCA">
        <w:rPr>
          <w:rFonts w:ascii="Times New Roman" w:eastAsia="Times New Roman" w:hAnsi="Times New Roman" w:cs="Times New Roman"/>
          <w:sz w:val="24"/>
          <w:szCs w:val="24"/>
          <w:lang w:eastAsia="en-ID"/>
        </w:rPr>
        <w:t xml:space="preserve">, Service perceived value, Brand Familiarity, Purchase Intention, Willingness to pay. This 1-5 scale was chosen to avoid neutral answers from each respondent. Data was collected through questionnaires distributed to consumers living in </w:t>
      </w:r>
      <w:proofErr w:type="spellStart"/>
      <w:r w:rsidRPr="00856DCA">
        <w:rPr>
          <w:rFonts w:ascii="Times New Roman" w:eastAsia="Times New Roman" w:hAnsi="Times New Roman" w:cs="Times New Roman"/>
          <w:sz w:val="24"/>
          <w:szCs w:val="24"/>
          <w:lang w:eastAsia="en-ID"/>
        </w:rPr>
        <w:t>Jabodetabek</w:t>
      </w:r>
      <w:proofErr w:type="spellEnd"/>
      <w:r w:rsidRPr="00856DCA">
        <w:rPr>
          <w:rFonts w:ascii="Times New Roman" w:eastAsia="Times New Roman" w:hAnsi="Times New Roman" w:cs="Times New Roman"/>
          <w:sz w:val="24"/>
          <w:szCs w:val="24"/>
          <w:lang w:eastAsia="en-ID"/>
        </w:rPr>
        <w:t xml:space="preserve"> </w:t>
      </w:r>
      <w:r w:rsidRPr="00856DCA">
        <w:rPr>
          <w:rFonts w:ascii="Times New Roman" w:eastAsia="Times New Roman" w:hAnsi="Times New Roman" w:cs="Times New Roman"/>
          <w:sz w:val="24"/>
          <w:szCs w:val="24"/>
          <w:lang w:eastAsia="en-ID"/>
        </w:rPr>
        <w:fldChar w:fldCharType="begin" w:fldLock="1"/>
      </w:r>
      <w:r w:rsidRPr="00856DCA">
        <w:rPr>
          <w:rFonts w:ascii="Times New Roman" w:eastAsia="Times New Roman" w:hAnsi="Times New Roman" w:cs="Times New Roman"/>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sz w:val="24"/>
          <w:szCs w:val="24"/>
          <w:lang w:eastAsia="en-ID"/>
        </w:rPr>
        <w:fldChar w:fldCharType="separate"/>
      </w:r>
      <w:r w:rsidRPr="00856DCA">
        <w:rPr>
          <w:rFonts w:ascii="Times New Roman" w:eastAsia="Times New Roman" w:hAnsi="Times New Roman" w:cs="Times New Roman"/>
          <w:noProof/>
          <w:sz w:val="24"/>
          <w:szCs w:val="24"/>
          <w:lang w:eastAsia="en-ID"/>
        </w:rPr>
        <w:t>(Dangelico et al., 2022)</w:t>
      </w:r>
      <w:r w:rsidRPr="00856DCA">
        <w:rPr>
          <w:rFonts w:ascii="Times New Roman" w:eastAsia="Times New Roman" w:hAnsi="Times New Roman" w:cs="Times New Roman"/>
          <w:sz w:val="24"/>
          <w:szCs w:val="24"/>
          <w:lang w:eastAsia="en-ID"/>
        </w:rPr>
        <w:fldChar w:fldCharType="end"/>
      </w:r>
      <w:r w:rsidRPr="00856DCA">
        <w:rPr>
          <w:rFonts w:ascii="Times New Roman" w:eastAsia="Times New Roman" w:hAnsi="Times New Roman" w:cs="Times New Roman"/>
          <w:sz w:val="24"/>
          <w:szCs w:val="24"/>
          <w:lang w:eastAsia="en-ID"/>
        </w:rPr>
        <w:t xml:space="preserve">. A pre-test of the questionnaire distributed was carried out on 30 samples, to assess whether the questions were clear to the respondents and assess whether the questions were effective or not </w:t>
      </w:r>
      <w:r w:rsidRPr="00856DCA">
        <w:rPr>
          <w:rFonts w:ascii="Times New Roman" w:eastAsia="Times New Roman" w:hAnsi="Times New Roman" w:cs="Times New Roman"/>
          <w:sz w:val="24"/>
          <w:szCs w:val="24"/>
          <w:lang w:eastAsia="en-ID"/>
        </w:rPr>
        <w:fldChar w:fldCharType="begin" w:fldLock="1"/>
      </w:r>
      <w:r w:rsidRPr="00856DCA">
        <w:rPr>
          <w:rFonts w:ascii="Times New Roman" w:eastAsia="Times New Roman" w:hAnsi="Times New Roman" w:cs="Times New Roman"/>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sz w:val="24"/>
          <w:szCs w:val="24"/>
          <w:lang w:eastAsia="en-ID"/>
        </w:rPr>
        <w:fldChar w:fldCharType="separate"/>
      </w:r>
      <w:r w:rsidRPr="00856DCA">
        <w:rPr>
          <w:rFonts w:ascii="Times New Roman" w:eastAsia="Times New Roman" w:hAnsi="Times New Roman" w:cs="Times New Roman"/>
          <w:noProof/>
          <w:sz w:val="24"/>
          <w:szCs w:val="24"/>
          <w:lang w:eastAsia="en-ID"/>
        </w:rPr>
        <w:t>(Dangelico et al., 2022)</w:t>
      </w:r>
      <w:r w:rsidRPr="00856DCA">
        <w:rPr>
          <w:rFonts w:ascii="Times New Roman" w:eastAsia="Times New Roman" w:hAnsi="Times New Roman" w:cs="Times New Roman"/>
          <w:sz w:val="24"/>
          <w:szCs w:val="24"/>
          <w:lang w:eastAsia="en-ID"/>
        </w:rPr>
        <w:fldChar w:fldCharType="end"/>
      </w:r>
      <w:r w:rsidRPr="00856DCA">
        <w:rPr>
          <w:rFonts w:ascii="Times New Roman" w:eastAsia="Times New Roman" w:hAnsi="Times New Roman" w:cs="Times New Roman"/>
          <w:sz w:val="24"/>
          <w:szCs w:val="24"/>
          <w:lang w:eastAsia="en-ID"/>
        </w:rPr>
        <w:t xml:space="preserve">.Therefore, to obtain information from customers, telephone interviews were used using questionnaires, because it is easier to approach customers who have used public transportation and to fill out the questionnaire for each respondent took an average of 15 minutes </w:t>
      </w:r>
      <w:r w:rsidRPr="00856DCA">
        <w:rPr>
          <w:rFonts w:ascii="Times New Roman" w:eastAsia="Times New Roman" w:hAnsi="Times New Roman" w:cs="Times New Roman"/>
          <w:sz w:val="24"/>
          <w:szCs w:val="24"/>
          <w:lang w:eastAsia="en-ID"/>
        </w:rPr>
        <w:fldChar w:fldCharType="begin" w:fldLock="1"/>
      </w:r>
      <w:r w:rsidRPr="00856DCA">
        <w:rPr>
          <w:rFonts w:ascii="Times New Roman" w:eastAsia="Times New Roman" w:hAnsi="Times New Roman" w:cs="Times New Roman"/>
          <w:sz w:val="24"/>
          <w:szCs w:val="24"/>
          <w:lang w:eastAsia="en-ID"/>
        </w:rPr>
        <w:instrText>ADDIN CSL_CITATION {"citationItems":[{"id":"ITEM-1","itemData":{"DOI":"10.1016/j.techfore.2022.122010","ISSN":"00401625","abstract":"The heavy environmental effect of the fashion industry, along with the growing interest of consumers in sustainability issues, is driving this industry towards greater ecological integrity through the development of sustainable clothing. This study investigates which factors influence green consumer behavioral intention in the clothing industry, through a survey of 2.694 Italian consumers. We study the influence of consumer's environmental concern, perceived value of the product, and consumer familiarity with the product (both direct and indirect experiences) on purchase intention and willingness to pay a premium price for sustainable fashion products. Our results show that environmental concern and perceived value positively affect purchase intention and the willingness to pay a premium price regardless the type of eco-materials used for the products, whereas direct and indirect experiences have different effects based on the specific eco-material used. Further, green consumer behavior is strongly dependent on consumers’ socio-demographic characteristics. Based on these results, important implications for scholars, managers, and policymakers are provided that can foster consumers' adoption of sustainable clothing and a transition towards a more sustainable society. For instance, specific directions for marketing strategy and public communication campaigns are provided.","author":[{"dropping-particle":"","family":"Dangelico","given":"Rosa Maria","non-dropping-particle":"","parse-names":false,"suffix":""},{"dropping-particle":"","family":"Alvino","given":"Letizia","non-dropping-particle":"","parse-names":false,"suffix":""},{"dropping-particle":"","family":"Fraccascia","given":"Luca","non-dropping-particle":"","parse-names":false,"suffix":""}],"container-title":"Technological Forecasting and Social Change","id":"ITEM-1","issue":"August","issued":{"date-parts":[["2022"]]},"page":"122010","publisher":"Elsevier Inc.","title":"Investigating the antecedents of consumer behavioral intention for sustainable fashion products: Evidence from a large survey of Italian consumers","type":"article-journal","volume":"185"},"uris":["http://www.mendeley.com/documents/?uuid=540722eb-4a31-4997-a482-e48762ca9839"]}],"mendeley":{"formattedCitation":"(Dangelico et al., 2022)","plainTextFormattedCitation":"(Dangelico et al., 2022)","previouslyFormattedCitation":"(Dangelico et al., 2022)"},"properties":{"noteIndex":0},"schema":"https://github.com/citation-style-language/schema/raw/master/csl-citation.json"}</w:instrText>
      </w:r>
      <w:r w:rsidRPr="00856DCA">
        <w:rPr>
          <w:rFonts w:ascii="Times New Roman" w:eastAsia="Times New Roman" w:hAnsi="Times New Roman" w:cs="Times New Roman"/>
          <w:sz w:val="24"/>
          <w:szCs w:val="24"/>
          <w:lang w:eastAsia="en-ID"/>
        </w:rPr>
        <w:fldChar w:fldCharType="separate"/>
      </w:r>
      <w:r w:rsidRPr="00856DCA">
        <w:rPr>
          <w:rFonts w:ascii="Times New Roman" w:eastAsia="Times New Roman" w:hAnsi="Times New Roman" w:cs="Times New Roman"/>
          <w:noProof/>
          <w:sz w:val="24"/>
          <w:szCs w:val="24"/>
          <w:lang w:eastAsia="en-ID"/>
        </w:rPr>
        <w:t>(Dangelico et al., 2022)</w:t>
      </w:r>
      <w:r w:rsidRPr="00856DCA">
        <w:rPr>
          <w:rFonts w:ascii="Times New Roman" w:eastAsia="Times New Roman" w:hAnsi="Times New Roman" w:cs="Times New Roman"/>
          <w:sz w:val="24"/>
          <w:szCs w:val="24"/>
          <w:lang w:eastAsia="en-ID"/>
        </w:rPr>
        <w:fldChar w:fldCharType="end"/>
      </w:r>
      <w:r w:rsidRPr="00856DCA">
        <w:rPr>
          <w:rFonts w:ascii="Times New Roman" w:eastAsia="Times New Roman" w:hAnsi="Times New Roman" w:cs="Times New Roman"/>
          <w:sz w:val="24"/>
          <w:szCs w:val="24"/>
          <w:lang w:eastAsia="en-ID"/>
        </w:rPr>
        <w:t>.The researcher will help them answer questions if problems arise when they complete the survey questions given by the researcher. Furthermore, this technique will increase the response rate due to the lack of misunderstanding of the contents of the questionnaire given.</w:t>
      </w:r>
    </w:p>
    <w:p w:rsidR="00CD0DA5" w:rsidRPr="00856DCA" w:rsidRDefault="00CD0DA5" w:rsidP="00CD0D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en-ID"/>
        </w:rPr>
      </w:pPr>
    </w:p>
    <w:p w:rsidR="00CD0DA5" w:rsidRPr="00856DCA" w:rsidRDefault="00CD0DA5" w:rsidP="00856DCA">
      <w:pPr>
        <w:pStyle w:val="ListParagraph"/>
        <w:numPr>
          <w:ilvl w:val="1"/>
          <w:numId w:val="1"/>
        </w:numPr>
        <w:spacing w:after="0" w:line="240" w:lineRule="auto"/>
        <w:rPr>
          <w:rFonts w:ascii="Times New Roman" w:hAnsi="Times New Roman" w:cs="Times New Roman"/>
          <w:b/>
          <w:sz w:val="24"/>
          <w:szCs w:val="24"/>
        </w:rPr>
      </w:pPr>
      <w:r w:rsidRPr="00856DCA">
        <w:rPr>
          <w:rFonts w:ascii="Times New Roman" w:hAnsi="Times New Roman" w:cs="Times New Roman"/>
          <w:b/>
          <w:sz w:val="24"/>
          <w:szCs w:val="24"/>
        </w:rPr>
        <w:t>Measurements</w:t>
      </w:r>
    </w:p>
    <w:p w:rsidR="00CD0DA5" w:rsidRPr="00856DCA" w:rsidRDefault="00CD0DA5" w:rsidP="00856DCA">
      <w:pPr>
        <w:spacing w:after="0" w:line="240" w:lineRule="auto"/>
        <w:ind w:firstLine="709"/>
        <w:jc w:val="both"/>
        <w:rPr>
          <w:rFonts w:ascii="Times New Roman" w:hAnsi="Times New Roman" w:cs="Times New Roman"/>
          <w:sz w:val="24"/>
          <w:szCs w:val="24"/>
        </w:rPr>
      </w:pPr>
      <w:r w:rsidRPr="00856DCA">
        <w:rPr>
          <w:rFonts w:ascii="Times New Roman" w:hAnsi="Times New Roman" w:cs="Times New Roman"/>
          <w:sz w:val="24"/>
          <w:szCs w:val="24"/>
        </w:rPr>
        <w:t xml:space="preserve">Convenience sampling is used as a common thing in consumer behavior </w:t>
      </w:r>
      <w:r w:rsidR="00CC1F54">
        <w:rPr>
          <w:rFonts w:ascii="Times New Roman" w:hAnsi="Times New Roman" w:cs="Times New Roman"/>
          <w:sz w:val="24"/>
          <w:szCs w:val="24"/>
        </w:rPr>
        <w:t xml:space="preserve">                 (</w:t>
      </w:r>
      <w:r w:rsidRPr="00856DCA">
        <w:rPr>
          <w:rFonts w:ascii="Times New Roman" w:hAnsi="Times New Roman" w:cs="Times New Roman"/>
          <w:sz w:val="24"/>
          <w:szCs w:val="24"/>
        </w:rPr>
        <w:t xml:space="preserve">Customers who know and have used special Swoop transportation throughout </w:t>
      </w:r>
      <w:proofErr w:type="spellStart"/>
      <w:r w:rsidRPr="00856DCA">
        <w:rPr>
          <w:rFonts w:ascii="Times New Roman" w:hAnsi="Times New Roman" w:cs="Times New Roman"/>
          <w:sz w:val="24"/>
          <w:szCs w:val="24"/>
        </w:rPr>
        <w:t>Jabodetabek</w:t>
      </w:r>
      <w:proofErr w:type="spellEnd"/>
      <w:r w:rsidRPr="00856DCA">
        <w:rPr>
          <w:rFonts w:ascii="Times New Roman" w:hAnsi="Times New Roman" w:cs="Times New Roman"/>
          <w:sz w:val="24"/>
          <w:szCs w:val="24"/>
        </w:rPr>
        <w:t xml:space="preserve"> will be selected to participate in this research and answer the questionnaire that has been given. As for measuring consumer familiarity with Swoop transportation service products in terms of indirect experience, we first asked respondents whether they had ever heard of this type of product (0 = "no" 1 = "yes"), if the answer was "no" we attribute a value of 0 also to the consumer's familiarity with the product in terms of experience, assuming that if the consumer has never even heard of a product, the respondent cannot use it, at least intentionally. If the answer was "yes" to measure direct experience, we asked whether they had ever used a Swoop transportation product </w:t>
      </w:r>
      <w:r w:rsidR="00CC1F54">
        <w:rPr>
          <w:rFonts w:ascii="Times New Roman" w:hAnsi="Times New Roman" w:cs="Times New Roman"/>
          <w:sz w:val="24"/>
          <w:szCs w:val="24"/>
        </w:rPr>
        <w:t xml:space="preserve">         </w:t>
      </w:r>
      <w:r w:rsidRPr="00856DCA">
        <w:rPr>
          <w:rFonts w:ascii="Times New Roman" w:hAnsi="Times New Roman" w:cs="Times New Roman"/>
          <w:sz w:val="24"/>
          <w:szCs w:val="24"/>
        </w:rPr>
        <w:t xml:space="preserve">(0= "no" 1= "yes"). Then we measured the respondents' perceived value of this type of product in terms of quality, resistance, expensiveness and trend via a </w:t>
      </w:r>
      <w:proofErr w:type="spellStart"/>
      <w:r w:rsidRPr="00856DCA">
        <w:rPr>
          <w:rFonts w:ascii="Times New Roman" w:hAnsi="Times New Roman" w:cs="Times New Roman"/>
          <w:sz w:val="24"/>
          <w:szCs w:val="24"/>
        </w:rPr>
        <w:t>Likert</w:t>
      </w:r>
      <w:proofErr w:type="spellEnd"/>
      <w:r w:rsidRPr="00856DCA">
        <w:rPr>
          <w:rFonts w:ascii="Times New Roman" w:hAnsi="Times New Roman" w:cs="Times New Roman"/>
          <w:sz w:val="24"/>
          <w:szCs w:val="24"/>
        </w:rPr>
        <w:t xml:space="preserve"> scale from </w:t>
      </w:r>
      <w:r w:rsidR="00CC1F54">
        <w:rPr>
          <w:rFonts w:ascii="Times New Roman" w:hAnsi="Times New Roman" w:cs="Times New Roman"/>
          <w:sz w:val="24"/>
          <w:szCs w:val="24"/>
        </w:rPr>
        <w:t xml:space="preserve">   </w:t>
      </w:r>
      <w:r w:rsidRPr="00856DCA">
        <w:rPr>
          <w:rFonts w:ascii="Times New Roman" w:hAnsi="Times New Roman" w:cs="Times New Roman"/>
          <w:sz w:val="24"/>
          <w:szCs w:val="24"/>
        </w:rPr>
        <w:t>1= "strongly disagree" to 5= "strongly agree" (</w:t>
      </w:r>
      <w:proofErr w:type="spellStart"/>
      <w:r w:rsidRPr="00856DCA">
        <w:rPr>
          <w:rFonts w:ascii="Times New Roman" w:hAnsi="Times New Roman" w:cs="Times New Roman"/>
          <w:sz w:val="24"/>
          <w:szCs w:val="24"/>
        </w:rPr>
        <w:t>Dangelico</w:t>
      </w:r>
      <w:proofErr w:type="spellEnd"/>
      <w:r w:rsidRPr="00856DCA">
        <w:rPr>
          <w:rFonts w:ascii="Times New Roman" w:hAnsi="Times New Roman" w:cs="Times New Roman"/>
          <w:sz w:val="24"/>
          <w:szCs w:val="24"/>
        </w:rPr>
        <w:t xml:space="preserve"> et al., 2022).However, this research focuses on users of Swoop transportation services who have used Swoop transportation services but do not want to use Swoop transportation services again as an alternative daily transportation. The results or answers from Swoop transportation users can be conveyed via communication via cellphone or face to face, Swoop transportation customer purchase intention forms, social media or other forms of communication. Therefore, in determining the number of respondents, this study used suggestions from (</w:t>
      </w:r>
      <w:proofErr w:type="spellStart"/>
      <w:r w:rsidRPr="00856DCA">
        <w:rPr>
          <w:rFonts w:ascii="Times New Roman" w:hAnsi="Times New Roman" w:cs="Times New Roman"/>
          <w:sz w:val="24"/>
          <w:szCs w:val="24"/>
        </w:rPr>
        <w:t>Dangelico</w:t>
      </w:r>
      <w:proofErr w:type="spellEnd"/>
      <w:r w:rsidRPr="00856DCA">
        <w:rPr>
          <w:rFonts w:ascii="Times New Roman" w:hAnsi="Times New Roman" w:cs="Times New Roman"/>
          <w:sz w:val="24"/>
          <w:szCs w:val="24"/>
        </w:rPr>
        <w:t xml:space="preserve"> et al., 2022). </w:t>
      </w:r>
      <w:proofErr w:type="gramStart"/>
      <w:r w:rsidRPr="00856DCA">
        <w:rPr>
          <w:rFonts w:ascii="Times New Roman" w:hAnsi="Times New Roman" w:cs="Times New Roman"/>
          <w:sz w:val="24"/>
          <w:szCs w:val="24"/>
        </w:rPr>
        <w:t>for</w:t>
      </w:r>
      <w:proofErr w:type="gramEnd"/>
      <w:r w:rsidRPr="00856DCA">
        <w:rPr>
          <w:rFonts w:ascii="Times New Roman" w:hAnsi="Times New Roman" w:cs="Times New Roman"/>
          <w:sz w:val="24"/>
          <w:szCs w:val="24"/>
        </w:rPr>
        <w:t xml:space="preserve"> a minimum sample of 150. In this study we have a sample size larger than150. This study uses five constructs, therefore, 191 samples is a sufficient sample size for the study. To maximize the number of respondents, researchers distributed 191 survey questionnaires to customers who had used special Swoop transportation in </w:t>
      </w:r>
      <w:proofErr w:type="spellStart"/>
      <w:r w:rsidRPr="00856DCA">
        <w:rPr>
          <w:rFonts w:ascii="Times New Roman" w:hAnsi="Times New Roman" w:cs="Times New Roman"/>
          <w:sz w:val="24"/>
          <w:szCs w:val="24"/>
        </w:rPr>
        <w:t>Jabodetabek</w:t>
      </w:r>
      <w:proofErr w:type="spellEnd"/>
      <w:r w:rsidRPr="00856DCA">
        <w:rPr>
          <w:rFonts w:ascii="Times New Roman" w:hAnsi="Times New Roman" w:cs="Times New Roman"/>
          <w:sz w:val="24"/>
          <w:szCs w:val="24"/>
        </w:rPr>
        <w:t xml:space="preserve">. The researchers distributed questionnaires to respondents and asked whether they were willing to answer the survey given by the researcher. Before answering the questionnaire, researchers obtained feedback and agreement from respondents that they were satisfied with Swoop transportation services and they had the intention to continue using Swoop transportation as an alternative special transportation </w:t>
      </w:r>
      <w:r w:rsidRPr="00856DCA">
        <w:rPr>
          <w:rFonts w:ascii="Times New Roman" w:hAnsi="Times New Roman" w:cs="Times New Roman"/>
          <w:sz w:val="24"/>
          <w:szCs w:val="24"/>
        </w:rPr>
        <w:lastRenderedPageBreak/>
        <w:t xml:space="preserve">choice. Even though there were unpleasant experiences while using </w:t>
      </w:r>
      <w:proofErr w:type="gramStart"/>
      <w:r w:rsidRPr="00856DCA">
        <w:rPr>
          <w:rFonts w:ascii="Times New Roman" w:hAnsi="Times New Roman" w:cs="Times New Roman"/>
          <w:sz w:val="24"/>
          <w:szCs w:val="24"/>
        </w:rPr>
        <w:t>Swoop</w:t>
      </w:r>
      <w:proofErr w:type="gramEnd"/>
      <w:r w:rsidRPr="00856DCA">
        <w:rPr>
          <w:rFonts w:ascii="Times New Roman" w:hAnsi="Times New Roman" w:cs="Times New Roman"/>
          <w:sz w:val="24"/>
          <w:szCs w:val="24"/>
        </w:rPr>
        <w:t xml:space="preserve"> transportation services. Questionnaire data collection starts from the beginning of December 2023 to the beginning of January   2024. When the Christmas holidays and the beginning of the New Year are taking place, the time to get answers to the questionnaire becomes easier because the research questionnaire sources have a lot of free time. The researcher managed to get 191 survey questionnaires from respondents within one month of data collection. To test our research, which is quantitative research, uses LISREL equation modeling with maximum likelihood estimation using AMOS 25.0. First, the measurement model is assessed through confirmatory factor analysis (CFA), </w:t>
      </w:r>
      <w:proofErr w:type="gramStart"/>
      <w:r w:rsidRPr="00856DCA">
        <w:rPr>
          <w:rFonts w:ascii="Times New Roman" w:hAnsi="Times New Roman" w:cs="Times New Roman"/>
          <w:sz w:val="24"/>
          <w:szCs w:val="24"/>
        </w:rPr>
        <w:t>then</w:t>
      </w:r>
      <w:proofErr w:type="gramEnd"/>
      <w:r w:rsidRPr="00856DCA">
        <w:rPr>
          <w:rFonts w:ascii="Times New Roman" w:hAnsi="Times New Roman" w:cs="Times New Roman"/>
          <w:sz w:val="24"/>
          <w:szCs w:val="24"/>
        </w:rPr>
        <w:t xml:space="preserve"> the structural model is tested. The main analysis is carried out using scales that refer to a transportation product.</w:t>
      </w:r>
    </w:p>
    <w:p w:rsidR="00CD0DA5" w:rsidRPr="00856DCA" w:rsidRDefault="00CD0DA5" w:rsidP="00CD0DA5">
      <w:pPr>
        <w:spacing w:after="0" w:line="240" w:lineRule="auto"/>
        <w:jc w:val="both"/>
        <w:rPr>
          <w:rFonts w:ascii="Times New Roman" w:hAnsi="Times New Roman" w:cs="Times New Roman"/>
          <w:b/>
          <w:sz w:val="24"/>
          <w:szCs w:val="24"/>
        </w:rPr>
      </w:pPr>
    </w:p>
    <w:p w:rsidR="00CD0DA5" w:rsidRPr="00856DCA" w:rsidRDefault="00CD0DA5" w:rsidP="00856DCA">
      <w:pPr>
        <w:spacing w:after="0" w:line="240" w:lineRule="auto"/>
        <w:jc w:val="both"/>
        <w:rPr>
          <w:rFonts w:ascii="Times New Roman" w:hAnsi="Times New Roman" w:cs="Times New Roman"/>
          <w:b/>
          <w:sz w:val="24"/>
          <w:szCs w:val="24"/>
        </w:rPr>
      </w:pPr>
      <w:r w:rsidRPr="00856DCA">
        <w:rPr>
          <w:rFonts w:ascii="Times New Roman" w:hAnsi="Times New Roman" w:cs="Times New Roman"/>
          <w:b/>
          <w:sz w:val="24"/>
          <w:szCs w:val="24"/>
        </w:rPr>
        <w:t>RESULTS AND DISCUSSION</w:t>
      </w:r>
    </w:p>
    <w:p w:rsidR="00CD0DA5" w:rsidRPr="00856DCA" w:rsidRDefault="00CD0DA5" w:rsidP="00856DCA">
      <w:pPr>
        <w:spacing w:after="0" w:line="240" w:lineRule="auto"/>
        <w:jc w:val="both"/>
        <w:rPr>
          <w:rFonts w:ascii="Times New Roman" w:hAnsi="Times New Roman" w:cs="Times New Roman"/>
          <w:b/>
          <w:sz w:val="24"/>
          <w:szCs w:val="24"/>
        </w:rPr>
      </w:pPr>
    </w:p>
    <w:p w:rsidR="00CD0DA5" w:rsidRPr="00856DCA" w:rsidRDefault="00CD0DA5" w:rsidP="00856DCA">
      <w:pPr>
        <w:spacing w:after="0" w:line="240" w:lineRule="auto"/>
        <w:jc w:val="both"/>
        <w:rPr>
          <w:rFonts w:ascii="Times New Roman" w:hAnsi="Times New Roman" w:cs="Times New Roman"/>
          <w:b/>
          <w:sz w:val="24"/>
          <w:szCs w:val="24"/>
        </w:rPr>
      </w:pPr>
      <w:r w:rsidRPr="00856DCA">
        <w:rPr>
          <w:rFonts w:ascii="Times New Roman" w:hAnsi="Times New Roman" w:cs="Times New Roman"/>
          <w:b/>
          <w:sz w:val="24"/>
          <w:szCs w:val="24"/>
        </w:rPr>
        <w:t>Result</w:t>
      </w:r>
    </w:p>
    <w:p w:rsidR="00CD0DA5" w:rsidRPr="00856DCA" w:rsidRDefault="00CD0DA5" w:rsidP="00856DC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en-ID"/>
        </w:rPr>
      </w:pPr>
      <w:r w:rsidRPr="00856DCA">
        <w:rPr>
          <w:rStyle w:val="y2iqfc"/>
          <w:rFonts w:ascii="Times New Roman" w:hAnsi="Times New Roman" w:cs="Times New Roman"/>
          <w:color w:val="000000" w:themeColor="text1"/>
          <w:sz w:val="24"/>
          <w:szCs w:val="24"/>
        </w:rPr>
        <w:t>Convenience sampling is used as a common thing in consumer behavior (</w:t>
      </w:r>
      <w:proofErr w:type="spellStart"/>
      <w:r w:rsidRPr="00856DCA">
        <w:rPr>
          <w:rStyle w:val="y2iqfc"/>
          <w:rFonts w:ascii="Times New Roman" w:hAnsi="Times New Roman" w:cs="Times New Roman"/>
          <w:color w:val="000000" w:themeColor="text1"/>
          <w:sz w:val="24"/>
          <w:szCs w:val="24"/>
        </w:rPr>
        <w:t>Dangelico</w:t>
      </w:r>
      <w:proofErr w:type="spellEnd"/>
      <w:r w:rsidRPr="00856DCA">
        <w:rPr>
          <w:rStyle w:val="y2iqfc"/>
          <w:rFonts w:ascii="Times New Roman" w:hAnsi="Times New Roman" w:cs="Times New Roman"/>
          <w:color w:val="000000" w:themeColor="text1"/>
          <w:sz w:val="24"/>
          <w:szCs w:val="24"/>
        </w:rPr>
        <w:t xml:space="preserve"> et al., 2022). Customers who know and have used special Swoop transportation throughout </w:t>
      </w:r>
      <w:proofErr w:type="spellStart"/>
      <w:r w:rsidRPr="00856DCA">
        <w:rPr>
          <w:rStyle w:val="y2iqfc"/>
          <w:rFonts w:ascii="Times New Roman" w:hAnsi="Times New Roman" w:cs="Times New Roman"/>
          <w:color w:val="000000" w:themeColor="text1"/>
          <w:sz w:val="24"/>
          <w:szCs w:val="24"/>
        </w:rPr>
        <w:t>Jabodetabek</w:t>
      </w:r>
      <w:proofErr w:type="spellEnd"/>
      <w:r w:rsidRPr="00856DCA">
        <w:rPr>
          <w:rStyle w:val="y2iqfc"/>
          <w:rFonts w:ascii="Times New Roman" w:hAnsi="Times New Roman" w:cs="Times New Roman"/>
          <w:color w:val="000000" w:themeColor="text1"/>
          <w:sz w:val="24"/>
          <w:szCs w:val="24"/>
        </w:rPr>
        <w:t xml:space="preserve"> will be selected to participate in this research and answer the questionnaire that has been given. As for measuring consumer familiarity with Swoop transportation service products in terms of indirect experience, we first asked respondents whether they had ever heard of this type of product (0 = "no" 1 = "yes"), if the answer was "no" we attribute a value of 0 also to the consumer's familiarity with the product in terms of experience, assuming that if the consumer has never even heard of a product, the respondent cannot use it, at least intentionally. If the answer was "yes" to measure direct experience, we asked whether they had ever used a Swoop transportation product (0= "no" 1= "yes"). Then we measured the respondents' perceived value of this type of product in terms of quality, resistance, expensiveness and trend via a </w:t>
      </w:r>
      <w:proofErr w:type="spellStart"/>
      <w:r w:rsidRPr="00856DCA">
        <w:rPr>
          <w:rStyle w:val="y2iqfc"/>
          <w:rFonts w:ascii="Times New Roman" w:hAnsi="Times New Roman" w:cs="Times New Roman"/>
          <w:color w:val="000000" w:themeColor="text1"/>
          <w:sz w:val="24"/>
          <w:szCs w:val="24"/>
        </w:rPr>
        <w:t>Likert</w:t>
      </w:r>
      <w:proofErr w:type="spellEnd"/>
      <w:r w:rsidRPr="00856DCA">
        <w:rPr>
          <w:rStyle w:val="y2iqfc"/>
          <w:rFonts w:ascii="Times New Roman" w:hAnsi="Times New Roman" w:cs="Times New Roman"/>
          <w:color w:val="000000" w:themeColor="text1"/>
          <w:sz w:val="24"/>
          <w:szCs w:val="24"/>
        </w:rPr>
        <w:t xml:space="preserve"> scale from 1= "strongly disagree" to 5= "strongly agree" (</w:t>
      </w:r>
      <w:proofErr w:type="spellStart"/>
      <w:r w:rsidRPr="00856DCA">
        <w:rPr>
          <w:rStyle w:val="y2iqfc"/>
          <w:rFonts w:ascii="Times New Roman" w:hAnsi="Times New Roman" w:cs="Times New Roman"/>
          <w:color w:val="000000" w:themeColor="text1"/>
          <w:sz w:val="24"/>
          <w:szCs w:val="24"/>
        </w:rPr>
        <w:t>Dangelico</w:t>
      </w:r>
      <w:proofErr w:type="spellEnd"/>
      <w:r w:rsidRPr="00856DCA">
        <w:rPr>
          <w:rStyle w:val="y2iqfc"/>
          <w:rFonts w:ascii="Times New Roman" w:hAnsi="Times New Roman" w:cs="Times New Roman"/>
          <w:color w:val="000000" w:themeColor="text1"/>
          <w:sz w:val="24"/>
          <w:szCs w:val="24"/>
        </w:rPr>
        <w:t xml:space="preserve"> et al., 2022).</w:t>
      </w:r>
      <w:r w:rsidRPr="00856DCA">
        <w:rPr>
          <w:rFonts w:ascii="Times New Roman" w:hAnsi="Times New Roman" w:cs="Times New Roman"/>
          <w:color w:val="000000" w:themeColor="text1"/>
          <w:sz w:val="24"/>
          <w:szCs w:val="24"/>
        </w:rPr>
        <w:t xml:space="preserve"> </w:t>
      </w:r>
      <w:r w:rsidRPr="00856DCA">
        <w:rPr>
          <w:rStyle w:val="y2iqfc"/>
          <w:rFonts w:ascii="Times New Roman" w:hAnsi="Times New Roman" w:cs="Times New Roman"/>
          <w:color w:val="000000" w:themeColor="text1"/>
          <w:sz w:val="24"/>
          <w:szCs w:val="24"/>
        </w:rPr>
        <w:t xml:space="preserve">The results in the construct validity measurement table show that all indicators in the valid variables, namely Environmental Concern, Perceived Value, Brand Familiarity, Purchase Intention, and Willingness To Pay meet the validity requirements with a loading factor value </w:t>
      </w:r>
      <w:r w:rsidR="00CC1F54">
        <w:rPr>
          <w:rStyle w:val="y2iqfc"/>
          <w:rFonts w:ascii="Times New Roman" w:hAnsi="Times New Roman" w:cs="Times New Roman"/>
          <w:color w:val="000000" w:themeColor="text1"/>
          <w:sz w:val="24"/>
          <w:szCs w:val="24"/>
        </w:rPr>
        <w:t xml:space="preserve">         </w:t>
      </w:r>
      <w:r w:rsidRPr="00856DCA">
        <w:rPr>
          <w:rStyle w:val="y2iqfc"/>
          <w:rFonts w:ascii="Times New Roman" w:hAnsi="Times New Roman" w:cs="Times New Roman"/>
          <w:color w:val="000000" w:themeColor="text1"/>
          <w:sz w:val="24"/>
          <w:szCs w:val="24"/>
        </w:rPr>
        <w:t>(&gt; 0.50), and a t-value of more the size of the t-table (1.96) at the 5% significance level (Hair et al., 2012). Furthermore, in the construct reliability test, all variables meet the reliability requirements, provided that the CR (Construct Reliability) value is above 0.60 and the VE (Extracted Variable) is above 0.50, which includes Environmental Concern (CR= 0.78; VE=0.55, ) Perceived Value (CR=0.88; VE= 0.78), Brand Familiarity (CR=0.96 ; VE=0.89), Purchase Intention (CR=0.94; VE= 0.81), and Willingness to Pay (CR=0.89; VE=0.68).The structural model equation can be seen based on the R² value, this equation is to see how far the independent variable can explain the dependent variable. Analysis for the first equation, together environmental concern (EC), perceived value (PV) and brand familiarity (BF) influence purchase intention (PI) with an R2 of 0.81. This means that 81% of the variance in purchase intention (PI) can be explained by the variables environmental concern (EC), perceived value (PV) and brand familiarity (BF)</w:t>
      </w:r>
      <w:proofErr w:type="gramStart"/>
      <w:r w:rsidRPr="00856DCA">
        <w:rPr>
          <w:rStyle w:val="y2iqfc"/>
          <w:rFonts w:ascii="Times New Roman" w:hAnsi="Times New Roman" w:cs="Times New Roman"/>
          <w:color w:val="000000" w:themeColor="text1"/>
          <w:sz w:val="24"/>
          <w:szCs w:val="24"/>
        </w:rPr>
        <w:t>,</w:t>
      </w:r>
      <w:proofErr w:type="gramEnd"/>
      <w:r w:rsidRPr="00856DCA">
        <w:rPr>
          <w:rStyle w:val="y2iqfc"/>
          <w:rFonts w:ascii="Times New Roman" w:hAnsi="Times New Roman" w:cs="Times New Roman"/>
          <w:color w:val="000000" w:themeColor="text1"/>
          <w:sz w:val="24"/>
          <w:szCs w:val="24"/>
        </w:rPr>
        <w:t xml:space="preserve"> the remaining 19% can be explained by other variables not included in this study. Analysis of the second equation, together environmental concern (EC), perceived value (PV) and brand familiarity (BF) influence willingness to pay (WTP) with R2 of 0.92. This means that 92% of the variance in willingness to pay (WTP) can be explained by environmental concern (EC), perceived value (PV) and brand familiarity (BF)</w:t>
      </w:r>
      <w:proofErr w:type="gramStart"/>
      <w:r w:rsidRPr="00856DCA">
        <w:rPr>
          <w:rStyle w:val="y2iqfc"/>
          <w:rFonts w:ascii="Times New Roman" w:hAnsi="Times New Roman" w:cs="Times New Roman"/>
          <w:color w:val="000000" w:themeColor="text1"/>
          <w:sz w:val="24"/>
          <w:szCs w:val="24"/>
        </w:rPr>
        <w:t>,</w:t>
      </w:r>
      <w:proofErr w:type="gramEnd"/>
      <w:r w:rsidRPr="00856DCA">
        <w:rPr>
          <w:rStyle w:val="y2iqfc"/>
          <w:rFonts w:ascii="Times New Roman" w:hAnsi="Times New Roman" w:cs="Times New Roman"/>
          <w:color w:val="000000" w:themeColor="text1"/>
          <w:sz w:val="24"/>
          <w:szCs w:val="24"/>
        </w:rPr>
        <w:t xml:space="preserve"> the remaining 8% can be explained by other variables not included in this research.</w:t>
      </w:r>
      <w:r w:rsidRPr="00856DCA">
        <w:rPr>
          <w:rFonts w:ascii="Times New Roman" w:eastAsia="Times New Roman" w:hAnsi="Times New Roman" w:cs="Times New Roman"/>
          <w:color w:val="000000" w:themeColor="text1"/>
          <w:sz w:val="24"/>
          <w:szCs w:val="24"/>
          <w:lang w:eastAsia="en-ID"/>
        </w:rPr>
        <w:t xml:space="preserve"> Based on </w:t>
      </w:r>
      <w:r w:rsidRPr="00856DCA">
        <w:rPr>
          <w:rFonts w:ascii="Times New Roman" w:eastAsia="Times New Roman" w:hAnsi="Times New Roman" w:cs="Times New Roman"/>
          <w:color w:val="000000" w:themeColor="text1"/>
          <w:sz w:val="24"/>
          <w:szCs w:val="24"/>
          <w:lang w:eastAsia="en-ID"/>
        </w:rPr>
        <w:lastRenderedPageBreak/>
        <w:t>the suitability test analysis, most of them show good compatibility</w:t>
      </w:r>
      <w:r w:rsidR="00E81989">
        <w:rPr>
          <w:rFonts w:ascii="Times New Roman" w:eastAsia="Times New Roman" w:hAnsi="Times New Roman" w:cs="Times New Roman"/>
          <w:color w:val="000000" w:themeColor="text1"/>
          <w:sz w:val="24"/>
          <w:szCs w:val="24"/>
          <w:lang w:eastAsia="en-ID"/>
        </w:rPr>
        <w:t xml:space="preserve"> </w:t>
      </w:r>
      <w:r w:rsidRPr="00856DCA">
        <w:rPr>
          <w:rFonts w:ascii="Times New Roman" w:eastAsia="Times New Roman" w:hAnsi="Times New Roman" w:cs="Times New Roman"/>
          <w:color w:val="000000" w:themeColor="text1"/>
          <w:sz w:val="24"/>
          <w:szCs w:val="24"/>
          <w:lang w:eastAsia="en-ID"/>
        </w:rPr>
        <w:t xml:space="preserve">Degree of </w:t>
      </w:r>
      <w:r w:rsidR="00E81989">
        <w:rPr>
          <w:rFonts w:ascii="Times New Roman" w:eastAsia="Times New Roman" w:hAnsi="Times New Roman" w:cs="Times New Roman"/>
          <w:color w:val="000000" w:themeColor="text1"/>
          <w:sz w:val="24"/>
          <w:szCs w:val="24"/>
          <w:lang w:eastAsia="en-ID"/>
        </w:rPr>
        <w:t xml:space="preserve">         </w:t>
      </w:r>
      <w:r w:rsidRPr="00856DCA">
        <w:rPr>
          <w:rFonts w:ascii="Times New Roman" w:eastAsia="Times New Roman" w:hAnsi="Times New Roman" w:cs="Times New Roman"/>
          <w:color w:val="000000" w:themeColor="text1"/>
          <w:sz w:val="24"/>
          <w:szCs w:val="24"/>
          <w:lang w:eastAsia="en-ID"/>
        </w:rPr>
        <w:t>freedom</w:t>
      </w:r>
      <w:r w:rsidR="00E81989">
        <w:rPr>
          <w:rFonts w:ascii="Times New Roman" w:eastAsia="Times New Roman" w:hAnsi="Times New Roman" w:cs="Times New Roman"/>
          <w:color w:val="000000" w:themeColor="text1"/>
          <w:sz w:val="24"/>
          <w:szCs w:val="24"/>
          <w:lang w:eastAsia="en-ID"/>
        </w:rPr>
        <w:t xml:space="preserve"> </w:t>
      </w:r>
      <w:r w:rsidRPr="00856DCA">
        <w:rPr>
          <w:rFonts w:ascii="Times New Roman" w:eastAsia="Times New Roman" w:hAnsi="Times New Roman" w:cs="Times New Roman"/>
          <w:color w:val="000000" w:themeColor="text1"/>
          <w:sz w:val="24"/>
          <w:szCs w:val="24"/>
          <w:lang w:eastAsia="en-ID"/>
        </w:rPr>
        <w:t>= 100; Chi Square = 135.89; RMSEA = 00.039</w:t>
      </w:r>
      <w:proofErr w:type="gramStart"/>
      <w:r w:rsidRPr="00856DCA">
        <w:rPr>
          <w:rFonts w:ascii="Times New Roman" w:eastAsia="Times New Roman" w:hAnsi="Times New Roman" w:cs="Times New Roman"/>
          <w:color w:val="000000" w:themeColor="text1"/>
          <w:sz w:val="24"/>
          <w:szCs w:val="24"/>
          <w:lang w:eastAsia="en-ID"/>
        </w:rPr>
        <w:t>,;</w:t>
      </w:r>
      <w:proofErr w:type="gramEnd"/>
      <w:r w:rsidRPr="00856DCA">
        <w:rPr>
          <w:rFonts w:ascii="Times New Roman" w:eastAsia="Times New Roman" w:hAnsi="Times New Roman" w:cs="Times New Roman"/>
          <w:color w:val="000000" w:themeColor="text1"/>
          <w:sz w:val="24"/>
          <w:szCs w:val="24"/>
          <w:lang w:eastAsia="en-ID"/>
        </w:rPr>
        <w:t xml:space="preserve"> ECVI = 1.41; AIC = 234.76; </w:t>
      </w:r>
      <w:r w:rsidR="00E81989">
        <w:rPr>
          <w:rFonts w:ascii="Times New Roman" w:eastAsia="Times New Roman" w:hAnsi="Times New Roman" w:cs="Times New Roman"/>
          <w:color w:val="000000" w:themeColor="text1"/>
          <w:sz w:val="24"/>
          <w:szCs w:val="24"/>
          <w:lang w:eastAsia="en-ID"/>
        </w:rPr>
        <w:t xml:space="preserve">          </w:t>
      </w:r>
      <w:r w:rsidRPr="00856DCA">
        <w:rPr>
          <w:rFonts w:ascii="Times New Roman" w:eastAsia="Times New Roman" w:hAnsi="Times New Roman" w:cs="Times New Roman"/>
          <w:color w:val="000000" w:themeColor="text1"/>
          <w:sz w:val="24"/>
          <w:szCs w:val="24"/>
          <w:lang w:eastAsia="en-ID"/>
        </w:rPr>
        <w:t>CAIC</w:t>
      </w:r>
      <w:r w:rsidR="00E81989">
        <w:rPr>
          <w:rFonts w:ascii="Times New Roman" w:eastAsia="Times New Roman" w:hAnsi="Times New Roman" w:cs="Times New Roman"/>
          <w:color w:val="000000" w:themeColor="text1"/>
          <w:sz w:val="24"/>
          <w:szCs w:val="24"/>
          <w:lang w:eastAsia="en-ID"/>
        </w:rPr>
        <w:t xml:space="preserve"> </w:t>
      </w:r>
      <w:r w:rsidRPr="00856DCA">
        <w:rPr>
          <w:rFonts w:ascii="Times New Roman" w:eastAsia="Times New Roman" w:hAnsi="Times New Roman" w:cs="Times New Roman"/>
          <w:color w:val="000000" w:themeColor="text1"/>
          <w:sz w:val="24"/>
          <w:szCs w:val="24"/>
          <w:lang w:eastAsia="en-ID"/>
        </w:rPr>
        <w:t>= 460.13; NFI =0.99; Critical N = 190.89 and GFI = 0.93. From the analysis of group 1 to group 7, almost all model suitability test results show good fit: including Chi Square, RMSEA, ECVI, AIC and CAIC, Fit Index and Goodness of Fit, as well as marginal fit results on Critical N. It can be concluded that the fit of the entire model meets the requirements, because of the 7 test groups, 6 of them still show good fit results.</w:t>
      </w:r>
    </w:p>
    <w:p w:rsidR="00B85802" w:rsidRPr="00B85802" w:rsidRDefault="00B85802" w:rsidP="00B85802">
      <w:pPr>
        <w:spacing w:after="0" w:line="240" w:lineRule="auto"/>
        <w:jc w:val="center"/>
        <w:rPr>
          <w:rFonts w:ascii="Times New Roman" w:eastAsia="Cambria" w:hAnsi="Times New Roman" w:cs="Times New Roman"/>
          <w:b/>
          <w:color w:val="000000"/>
          <w:sz w:val="24"/>
          <w:szCs w:val="24"/>
        </w:rPr>
      </w:pPr>
      <w:r w:rsidRPr="00B85802">
        <w:rPr>
          <w:rFonts w:ascii="Times New Roman" w:eastAsia="Cambria" w:hAnsi="Times New Roman" w:cs="Times New Roman"/>
          <w:b/>
          <w:color w:val="000000"/>
          <w:sz w:val="24"/>
          <w:szCs w:val="24"/>
        </w:rPr>
        <w:t>Table 1</w:t>
      </w:r>
    </w:p>
    <w:p w:rsidR="00B85802" w:rsidRPr="00B85802" w:rsidRDefault="00B85802" w:rsidP="00B85802">
      <w:pPr>
        <w:spacing w:after="0" w:line="240" w:lineRule="auto"/>
        <w:jc w:val="center"/>
        <w:rPr>
          <w:rFonts w:ascii="Times New Roman" w:eastAsia="Cambria" w:hAnsi="Times New Roman" w:cs="Times New Roman"/>
          <w:b/>
          <w:color w:val="000000"/>
          <w:sz w:val="24"/>
          <w:szCs w:val="24"/>
        </w:rPr>
      </w:pPr>
      <w:r w:rsidRPr="00B85802">
        <w:rPr>
          <w:rFonts w:ascii="Times New Roman" w:eastAsia="Cambria" w:hAnsi="Times New Roman" w:cs="Times New Roman"/>
          <w:b/>
          <w:color w:val="000000"/>
          <w:sz w:val="24"/>
          <w:szCs w:val="24"/>
        </w:rPr>
        <w:t xml:space="preserve">Hypothesis Testing </w:t>
      </w:r>
    </w:p>
    <w:tbl>
      <w:tblPr>
        <w:tblW w:w="8364" w:type="dxa"/>
        <w:tblInd w:w="250" w:type="dxa"/>
        <w:tblLayout w:type="fixed"/>
        <w:tblLook w:val="0400" w:firstRow="0" w:lastRow="0" w:firstColumn="0" w:lastColumn="0" w:noHBand="0" w:noVBand="1"/>
      </w:tblPr>
      <w:tblGrid>
        <w:gridCol w:w="1418"/>
        <w:gridCol w:w="3827"/>
        <w:gridCol w:w="1134"/>
        <w:gridCol w:w="1985"/>
      </w:tblGrid>
      <w:tr w:rsidR="00B85802" w:rsidRPr="00856DCA" w:rsidTr="00E81989">
        <w:trPr>
          <w:trHeight w:val="20"/>
        </w:trPr>
        <w:tc>
          <w:tcPr>
            <w:tcW w:w="1418" w:type="dxa"/>
            <w:tcBorders>
              <w:top w:val="single" w:sz="4" w:space="0" w:color="000000"/>
              <w:bottom w:val="single" w:sz="4" w:space="0" w:color="000000"/>
            </w:tcBorders>
            <w:shd w:val="clear" w:color="auto" w:fill="auto"/>
          </w:tcPr>
          <w:p w:rsidR="00B85802" w:rsidRPr="00856DCA" w:rsidRDefault="00B85802" w:rsidP="00B85802">
            <w:pPr>
              <w:spacing w:after="0" w:line="240" w:lineRule="auto"/>
              <w:jc w:val="center"/>
              <w:rPr>
                <w:rFonts w:ascii="Times New Roman" w:eastAsia="Cambria" w:hAnsi="Times New Roman" w:cs="Times New Roman"/>
                <w:b/>
                <w:sz w:val="24"/>
                <w:szCs w:val="24"/>
              </w:rPr>
            </w:pPr>
            <w:r w:rsidRPr="00856DCA">
              <w:rPr>
                <w:rFonts w:ascii="Times New Roman" w:eastAsia="Cambria" w:hAnsi="Times New Roman" w:cs="Times New Roman"/>
                <w:b/>
                <w:sz w:val="24"/>
                <w:szCs w:val="24"/>
              </w:rPr>
              <w:t>Hypothesis</w:t>
            </w:r>
          </w:p>
        </w:tc>
        <w:tc>
          <w:tcPr>
            <w:tcW w:w="3827" w:type="dxa"/>
            <w:tcBorders>
              <w:top w:val="single" w:sz="4" w:space="0" w:color="000000"/>
              <w:bottom w:val="single" w:sz="4" w:space="0" w:color="000000"/>
            </w:tcBorders>
            <w:shd w:val="clear" w:color="auto" w:fill="auto"/>
          </w:tcPr>
          <w:p w:rsidR="00B85802" w:rsidRPr="00856DCA" w:rsidRDefault="00B85802" w:rsidP="00B85802">
            <w:pPr>
              <w:spacing w:after="0" w:line="240" w:lineRule="auto"/>
              <w:jc w:val="center"/>
              <w:rPr>
                <w:rFonts w:ascii="Times New Roman" w:eastAsia="Cambria" w:hAnsi="Times New Roman" w:cs="Times New Roman"/>
                <w:b/>
                <w:color w:val="000000"/>
                <w:sz w:val="24"/>
                <w:szCs w:val="24"/>
              </w:rPr>
            </w:pPr>
            <w:r w:rsidRPr="00856DCA">
              <w:rPr>
                <w:rFonts w:ascii="Times New Roman" w:eastAsia="Cambria" w:hAnsi="Times New Roman" w:cs="Times New Roman"/>
                <w:b/>
                <w:color w:val="000000"/>
                <w:sz w:val="24"/>
                <w:szCs w:val="24"/>
              </w:rPr>
              <w:t>Estimate</w:t>
            </w:r>
          </w:p>
        </w:tc>
        <w:tc>
          <w:tcPr>
            <w:tcW w:w="1134" w:type="dxa"/>
            <w:tcBorders>
              <w:top w:val="single" w:sz="4" w:space="0" w:color="000000"/>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b/>
                <w:sz w:val="24"/>
                <w:szCs w:val="24"/>
              </w:rPr>
            </w:pPr>
            <w:r w:rsidRPr="00856DCA">
              <w:rPr>
                <w:rFonts w:ascii="Times New Roman" w:eastAsia="Cambria" w:hAnsi="Times New Roman" w:cs="Times New Roman"/>
                <w:b/>
                <w:sz w:val="24"/>
                <w:szCs w:val="24"/>
              </w:rPr>
              <w:t>T-value</w:t>
            </w:r>
          </w:p>
        </w:tc>
        <w:tc>
          <w:tcPr>
            <w:tcW w:w="1985" w:type="dxa"/>
            <w:tcBorders>
              <w:top w:val="single" w:sz="4" w:space="0" w:color="000000"/>
              <w:bottom w:val="single" w:sz="4" w:space="0" w:color="000000"/>
            </w:tcBorders>
            <w:shd w:val="clear" w:color="auto" w:fill="auto"/>
          </w:tcPr>
          <w:p w:rsidR="00B85802" w:rsidRPr="00856DCA" w:rsidRDefault="00B85802" w:rsidP="00B85802">
            <w:pPr>
              <w:spacing w:after="0" w:line="240" w:lineRule="auto"/>
              <w:jc w:val="center"/>
              <w:rPr>
                <w:rFonts w:ascii="Times New Roman" w:eastAsia="Cambria" w:hAnsi="Times New Roman" w:cs="Times New Roman"/>
                <w:b/>
                <w:sz w:val="24"/>
                <w:szCs w:val="24"/>
              </w:rPr>
            </w:pPr>
            <w:r w:rsidRPr="00856DCA">
              <w:rPr>
                <w:rFonts w:ascii="Times New Roman" w:eastAsia="Cambria" w:hAnsi="Times New Roman" w:cs="Times New Roman"/>
                <w:b/>
                <w:sz w:val="24"/>
                <w:szCs w:val="24"/>
              </w:rPr>
              <w:t>Decision</w:t>
            </w:r>
          </w:p>
        </w:tc>
      </w:tr>
      <w:tr w:rsidR="00B85802" w:rsidRPr="00856DCA" w:rsidTr="00E81989">
        <w:trPr>
          <w:trHeight w:val="20"/>
        </w:trPr>
        <w:tc>
          <w:tcPr>
            <w:tcW w:w="8364" w:type="dxa"/>
            <w:gridSpan w:val="4"/>
            <w:shd w:val="clear" w:color="auto" w:fill="auto"/>
          </w:tcPr>
          <w:p w:rsidR="00B85802" w:rsidRPr="00856DCA" w:rsidRDefault="00B85802" w:rsidP="00B85802">
            <w:pPr>
              <w:spacing w:after="0" w:line="240" w:lineRule="auto"/>
              <w:rPr>
                <w:rFonts w:ascii="Times New Roman" w:eastAsia="Cambria" w:hAnsi="Times New Roman" w:cs="Times New Roman"/>
                <w:b/>
                <w:sz w:val="24"/>
                <w:szCs w:val="24"/>
              </w:rPr>
            </w:pP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tabs>
                <w:tab w:val="left" w:pos="720"/>
              </w:tabs>
              <w:spacing w:after="0" w:line="240" w:lineRule="auto"/>
              <w:jc w:val="center"/>
              <w:rPr>
                <w:rFonts w:ascii="Times New Roman" w:hAnsi="Times New Roman" w:cs="Times New Roman"/>
                <w:sz w:val="24"/>
                <w:szCs w:val="24"/>
              </w:rPr>
            </w:pPr>
            <w:r w:rsidRPr="00856DCA">
              <w:rPr>
                <w:rFonts w:ascii="Times New Roman" w:hAnsi="Times New Roman" w:cs="Times New Roman"/>
                <w:sz w:val="24"/>
                <w:szCs w:val="24"/>
              </w:rPr>
              <w:t>H1</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Environmental Concern have a positive relationship with purchase intention</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hAnsi="Times New Roman" w:cs="Times New Roman"/>
                <w:sz w:val="24"/>
                <w:szCs w:val="24"/>
              </w:rPr>
            </w:pPr>
            <w:r w:rsidRPr="00856DCA">
              <w:rPr>
                <w:rFonts w:ascii="Times New Roman" w:hAnsi="Times New Roman" w:cs="Times New Roman"/>
                <w:sz w:val="24"/>
                <w:szCs w:val="24"/>
              </w:rPr>
              <w:t>3,34</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Data Supports Hypothesis</w:t>
            </w: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spacing w:after="0" w:line="240" w:lineRule="auto"/>
              <w:jc w:val="center"/>
              <w:rPr>
                <w:rFonts w:ascii="Times New Roman" w:hAnsi="Times New Roman" w:cs="Times New Roman"/>
                <w:sz w:val="24"/>
                <w:szCs w:val="24"/>
              </w:rPr>
            </w:pPr>
            <w:r w:rsidRPr="00856DCA">
              <w:rPr>
                <w:rFonts w:ascii="Times New Roman" w:hAnsi="Times New Roman" w:cs="Times New Roman"/>
                <w:sz w:val="24"/>
                <w:szCs w:val="24"/>
              </w:rPr>
              <w:t>H2</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eastAsia="Cambria" w:hAnsi="Times New Roman" w:cs="Times New Roman"/>
                <w:sz w:val="24"/>
                <w:szCs w:val="24"/>
                <w:highlight w:val="white"/>
              </w:rPr>
            </w:pPr>
            <w:r w:rsidRPr="00856DCA">
              <w:rPr>
                <w:rFonts w:ascii="Times New Roman" w:hAnsi="Times New Roman" w:cs="Times New Roman"/>
                <w:sz w:val="24"/>
                <w:szCs w:val="24"/>
              </w:rPr>
              <w:t xml:space="preserve">Environmental Concern has a positive relationship with </w:t>
            </w:r>
            <w:proofErr w:type="spellStart"/>
            <w:r w:rsidRPr="00856DCA">
              <w:rPr>
                <w:rFonts w:ascii="Times New Roman" w:hAnsi="Times New Roman" w:cs="Times New Roman"/>
                <w:sz w:val="24"/>
                <w:szCs w:val="24"/>
              </w:rPr>
              <w:t>Willingnes</w:t>
            </w:r>
            <w:proofErr w:type="spellEnd"/>
            <w:r w:rsidRPr="00856DCA">
              <w:rPr>
                <w:rFonts w:ascii="Times New Roman" w:hAnsi="Times New Roman" w:cs="Times New Roman"/>
                <w:sz w:val="24"/>
                <w:szCs w:val="24"/>
              </w:rPr>
              <w:t xml:space="preserve"> To Pay</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5,22</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Data Supports Hypothesis</w:t>
            </w: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spacing w:after="0" w:line="240" w:lineRule="auto"/>
              <w:jc w:val="center"/>
              <w:rPr>
                <w:rFonts w:ascii="Times New Roman" w:hAnsi="Times New Roman" w:cs="Times New Roman"/>
                <w:sz w:val="24"/>
                <w:szCs w:val="24"/>
              </w:rPr>
            </w:pPr>
            <w:r w:rsidRPr="00856DCA">
              <w:rPr>
                <w:rFonts w:ascii="Times New Roman" w:hAnsi="Times New Roman" w:cs="Times New Roman"/>
                <w:sz w:val="24"/>
                <w:szCs w:val="24"/>
              </w:rPr>
              <w:t>H3</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eastAsia="Cambria" w:hAnsi="Times New Roman" w:cs="Times New Roman"/>
                <w:sz w:val="24"/>
                <w:szCs w:val="24"/>
                <w:highlight w:val="white"/>
              </w:rPr>
            </w:pPr>
            <w:r w:rsidRPr="00856DCA">
              <w:rPr>
                <w:rFonts w:ascii="Times New Roman" w:hAnsi="Times New Roman" w:cs="Times New Roman"/>
                <w:sz w:val="24"/>
                <w:szCs w:val="24"/>
              </w:rPr>
              <w:t xml:space="preserve">Perceived value mediates the relationship  between perceived value </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2,69</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Data Supports Hypothesis</w:t>
            </w: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spacing w:after="0" w:line="240" w:lineRule="auto"/>
              <w:jc w:val="center"/>
              <w:rPr>
                <w:rFonts w:ascii="Times New Roman" w:hAnsi="Times New Roman" w:cs="Times New Roman"/>
                <w:sz w:val="24"/>
                <w:szCs w:val="24"/>
              </w:rPr>
            </w:pPr>
            <w:r w:rsidRPr="00856DCA">
              <w:rPr>
                <w:rFonts w:ascii="Times New Roman" w:hAnsi="Times New Roman" w:cs="Times New Roman"/>
                <w:sz w:val="24"/>
                <w:szCs w:val="24"/>
              </w:rPr>
              <w:t>H4</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eastAsia="Cambria" w:hAnsi="Times New Roman" w:cs="Times New Roman"/>
                <w:sz w:val="24"/>
                <w:szCs w:val="24"/>
                <w:highlight w:val="white"/>
              </w:rPr>
            </w:pPr>
            <w:r w:rsidRPr="00856DCA">
              <w:rPr>
                <w:rFonts w:ascii="Times New Roman" w:hAnsi="Times New Roman" w:cs="Times New Roman"/>
                <w:sz w:val="24"/>
                <w:szCs w:val="24"/>
              </w:rPr>
              <w:t xml:space="preserve">Perceived value is not influence the </w:t>
            </w:r>
            <w:proofErr w:type="spellStart"/>
            <w:r w:rsidRPr="00856DCA">
              <w:rPr>
                <w:rFonts w:ascii="Times New Roman" w:hAnsi="Times New Roman" w:cs="Times New Roman"/>
                <w:sz w:val="24"/>
                <w:szCs w:val="24"/>
              </w:rPr>
              <w:t>willingnes</w:t>
            </w:r>
            <w:proofErr w:type="spellEnd"/>
            <w:r w:rsidRPr="00856DCA">
              <w:rPr>
                <w:rFonts w:ascii="Times New Roman" w:hAnsi="Times New Roman" w:cs="Times New Roman"/>
                <w:sz w:val="24"/>
                <w:szCs w:val="24"/>
              </w:rPr>
              <w:t xml:space="preserve"> To Pay</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color w:val="FF0000"/>
                <w:sz w:val="24"/>
                <w:szCs w:val="24"/>
              </w:rPr>
              <w:t>1,83</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color w:val="FF0000"/>
                <w:sz w:val="24"/>
                <w:szCs w:val="24"/>
              </w:rPr>
            </w:pPr>
            <w:r w:rsidRPr="00856DCA">
              <w:rPr>
                <w:rFonts w:ascii="Times New Roman" w:hAnsi="Times New Roman" w:cs="Times New Roman"/>
                <w:color w:val="FF0000"/>
                <w:sz w:val="24"/>
                <w:szCs w:val="24"/>
              </w:rPr>
              <w:t>Data Not Supports Hypothesis</w:t>
            </w: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H5</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eastAsia="Cambria" w:hAnsi="Times New Roman" w:cs="Times New Roman"/>
                <w:sz w:val="24"/>
                <w:szCs w:val="24"/>
                <w:highlight w:val="white"/>
              </w:rPr>
            </w:pPr>
            <w:r w:rsidRPr="00856DCA">
              <w:rPr>
                <w:rFonts w:ascii="Times New Roman" w:hAnsi="Times New Roman" w:cs="Times New Roman"/>
                <w:sz w:val="24"/>
                <w:szCs w:val="24"/>
              </w:rPr>
              <w:t>Brand Familiarity will have a positive relationship with Purchase Intention</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9,44</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Data Supports Hypothesis</w:t>
            </w:r>
          </w:p>
        </w:tc>
      </w:tr>
      <w:tr w:rsidR="00B85802" w:rsidRPr="00856DCA" w:rsidTr="00E81989">
        <w:trPr>
          <w:trHeight w:val="57"/>
        </w:trPr>
        <w:tc>
          <w:tcPr>
            <w:tcW w:w="1418" w:type="dxa"/>
            <w:tcBorders>
              <w:bottom w:val="single" w:sz="4" w:space="0" w:color="000000"/>
            </w:tcBorders>
            <w:shd w:val="clear" w:color="auto" w:fill="auto"/>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H6</w:t>
            </w:r>
          </w:p>
        </w:tc>
        <w:tc>
          <w:tcPr>
            <w:tcW w:w="3827"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eastAsia="Cambria" w:hAnsi="Times New Roman" w:cs="Times New Roman"/>
                <w:sz w:val="24"/>
                <w:szCs w:val="24"/>
                <w:highlight w:val="white"/>
              </w:rPr>
            </w:pPr>
            <w:r w:rsidRPr="00856DCA">
              <w:rPr>
                <w:rFonts w:ascii="Times New Roman" w:hAnsi="Times New Roman" w:cs="Times New Roman"/>
                <w:sz w:val="24"/>
                <w:szCs w:val="24"/>
              </w:rPr>
              <w:t xml:space="preserve">Brand Familiarity is not positive relationship with </w:t>
            </w:r>
            <w:proofErr w:type="spellStart"/>
            <w:r w:rsidRPr="00856DCA">
              <w:rPr>
                <w:rFonts w:ascii="Times New Roman" w:hAnsi="Times New Roman" w:cs="Times New Roman"/>
                <w:sz w:val="24"/>
                <w:szCs w:val="24"/>
              </w:rPr>
              <w:t>Willingnes</w:t>
            </w:r>
            <w:proofErr w:type="spellEnd"/>
            <w:r w:rsidRPr="00856DCA">
              <w:rPr>
                <w:rFonts w:ascii="Times New Roman" w:hAnsi="Times New Roman" w:cs="Times New Roman"/>
                <w:sz w:val="24"/>
                <w:szCs w:val="24"/>
              </w:rPr>
              <w:t xml:space="preserve"> To Pay </w:t>
            </w:r>
          </w:p>
        </w:tc>
        <w:tc>
          <w:tcPr>
            <w:tcW w:w="1134" w:type="dxa"/>
            <w:tcBorders>
              <w:bottom w:val="single" w:sz="4" w:space="0" w:color="000000"/>
            </w:tcBorders>
          </w:tcPr>
          <w:p w:rsidR="00B85802" w:rsidRPr="00856DCA" w:rsidRDefault="00B85802" w:rsidP="00B85802">
            <w:pPr>
              <w:spacing w:after="0" w:line="240" w:lineRule="auto"/>
              <w:jc w:val="center"/>
              <w:rPr>
                <w:rFonts w:ascii="Times New Roman" w:eastAsia="Cambria" w:hAnsi="Times New Roman" w:cs="Times New Roman"/>
                <w:sz w:val="24"/>
                <w:szCs w:val="24"/>
              </w:rPr>
            </w:pPr>
            <w:r w:rsidRPr="00856DCA">
              <w:rPr>
                <w:rFonts w:ascii="Times New Roman" w:hAnsi="Times New Roman" w:cs="Times New Roman"/>
                <w:sz w:val="24"/>
                <w:szCs w:val="24"/>
              </w:rPr>
              <w:t>7,84</w:t>
            </w:r>
          </w:p>
        </w:tc>
        <w:tc>
          <w:tcPr>
            <w:tcW w:w="1985" w:type="dxa"/>
            <w:tcBorders>
              <w:bottom w:val="single" w:sz="4" w:space="0" w:color="000000"/>
            </w:tcBorders>
            <w:shd w:val="clear" w:color="auto" w:fill="auto"/>
          </w:tcPr>
          <w:p w:rsidR="00B85802" w:rsidRPr="00856DCA" w:rsidRDefault="00B85802" w:rsidP="00B85802">
            <w:pPr>
              <w:spacing w:after="0" w:line="240" w:lineRule="auto"/>
              <w:jc w:val="both"/>
              <w:rPr>
                <w:rFonts w:ascii="Times New Roman" w:hAnsi="Times New Roman" w:cs="Times New Roman"/>
                <w:sz w:val="24"/>
                <w:szCs w:val="24"/>
              </w:rPr>
            </w:pPr>
            <w:r w:rsidRPr="00856DCA">
              <w:rPr>
                <w:rFonts w:ascii="Times New Roman" w:hAnsi="Times New Roman" w:cs="Times New Roman"/>
                <w:sz w:val="24"/>
                <w:szCs w:val="24"/>
              </w:rPr>
              <w:t>Data Supports Hypothesis</w:t>
            </w:r>
          </w:p>
        </w:tc>
      </w:tr>
    </w:tbl>
    <w:p w:rsidR="00B85802" w:rsidRPr="00B85802" w:rsidRDefault="00B85802" w:rsidP="00B85802">
      <w:pPr>
        <w:rPr>
          <w:rFonts w:ascii="Times New Roman" w:eastAsia="Cambria" w:hAnsi="Times New Roman" w:cs="Times New Roman"/>
          <w:sz w:val="24"/>
          <w:szCs w:val="24"/>
        </w:rPr>
      </w:pPr>
      <w:r w:rsidRPr="00B85802">
        <w:rPr>
          <w:rFonts w:ascii="Times New Roman" w:eastAsia="Cambria" w:hAnsi="Times New Roman" w:cs="Times New Roman"/>
          <w:sz w:val="24"/>
          <w:szCs w:val="24"/>
        </w:rPr>
        <w:t>Source: SEMLisrel2024</w:t>
      </w:r>
    </w:p>
    <w:p w:rsidR="00B85802" w:rsidRPr="00B85802" w:rsidRDefault="00B85802"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en-ID"/>
        </w:rPr>
      </w:pPr>
      <w:r w:rsidRPr="00B85802">
        <w:rPr>
          <w:rFonts w:ascii="Times New Roman" w:eastAsia="Times New Roman" w:hAnsi="Times New Roman" w:cs="Times New Roman"/>
          <w:sz w:val="24"/>
          <w:szCs w:val="24"/>
          <w:lang w:eastAsia="en-ID"/>
        </w:rPr>
        <w:t xml:space="preserve">This study empirically tests the influence of Environmental Concern, perceived value, Brand familiarity, Willingness </w:t>
      </w:r>
      <w:proofErr w:type="gramStart"/>
      <w:r w:rsidRPr="00B85802">
        <w:rPr>
          <w:rFonts w:ascii="Times New Roman" w:eastAsia="Times New Roman" w:hAnsi="Times New Roman" w:cs="Times New Roman"/>
          <w:sz w:val="24"/>
          <w:szCs w:val="24"/>
          <w:lang w:eastAsia="en-ID"/>
        </w:rPr>
        <w:t>To</w:t>
      </w:r>
      <w:proofErr w:type="gramEnd"/>
      <w:r w:rsidRPr="00B85802">
        <w:rPr>
          <w:rFonts w:ascii="Times New Roman" w:eastAsia="Times New Roman" w:hAnsi="Times New Roman" w:cs="Times New Roman"/>
          <w:sz w:val="24"/>
          <w:szCs w:val="24"/>
          <w:lang w:eastAsia="en-ID"/>
        </w:rPr>
        <w:t xml:space="preserve"> Pay on purchase intention, then the influence of Environmental Concern, perceived value, Brand familiarity, Purchase Intention on willingness to pay.</w:t>
      </w:r>
    </w:p>
    <w:p w:rsidR="00B85802" w:rsidRPr="00B85802" w:rsidRDefault="00B85802" w:rsidP="00856DCA">
      <w:pPr>
        <w:spacing w:after="0" w:line="240" w:lineRule="auto"/>
        <w:jc w:val="both"/>
        <w:rPr>
          <w:rFonts w:ascii="Times New Roman" w:eastAsia="Cambria" w:hAnsi="Times New Roman" w:cs="Times New Roman"/>
          <w:bCs/>
          <w:sz w:val="24"/>
          <w:szCs w:val="24"/>
        </w:rPr>
      </w:pPr>
      <w:r w:rsidRPr="00B85802">
        <w:rPr>
          <w:rFonts w:ascii="Times New Roman" w:eastAsia="Cambria" w:hAnsi="Times New Roman" w:cs="Times New Roman"/>
          <w:bCs/>
          <w:sz w:val="24"/>
          <w:szCs w:val="24"/>
        </w:rPr>
        <w:t xml:space="preserve">Furthermore, below are the diagram results from the SEM analysis carried out with the </w:t>
      </w:r>
      <w:proofErr w:type="spellStart"/>
      <w:r w:rsidRPr="00B85802">
        <w:rPr>
          <w:rFonts w:ascii="Times New Roman" w:eastAsia="Cambria" w:hAnsi="Times New Roman" w:cs="Times New Roman"/>
          <w:bCs/>
          <w:sz w:val="24"/>
          <w:szCs w:val="24"/>
        </w:rPr>
        <w:t>Lisrel</w:t>
      </w:r>
      <w:proofErr w:type="spellEnd"/>
      <w:r w:rsidRPr="00B85802">
        <w:rPr>
          <w:rFonts w:ascii="Times New Roman" w:eastAsia="Cambria" w:hAnsi="Times New Roman" w:cs="Times New Roman"/>
          <w:bCs/>
          <w:sz w:val="24"/>
          <w:szCs w:val="24"/>
        </w:rPr>
        <w:t xml:space="preserve"> </w:t>
      </w:r>
    </w:p>
    <w:p w:rsidR="00B85802" w:rsidRPr="00856DCA" w:rsidRDefault="00B85802" w:rsidP="00CD0DA5">
      <w:pPr>
        <w:spacing w:after="0" w:line="240" w:lineRule="auto"/>
        <w:jc w:val="both"/>
        <w:rPr>
          <w:rFonts w:ascii="Times New Roman" w:hAnsi="Times New Roman" w:cs="Times New Roman"/>
          <w:sz w:val="24"/>
          <w:szCs w:val="24"/>
        </w:rPr>
      </w:pPr>
      <w:r w:rsidRPr="00856DCA">
        <w:rPr>
          <w:rFonts w:ascii="Times New Roman" w:hAnsi="Times New Roman" w:cs="Times New Roman"/>
          <w:noProof/>
          <w:sz w:val="24"/>
          <w:szCs w:val="24"/>
        </w:rPr>
        <w:lastRenderedPageBreak/>
        <w:drawing>
          <wp:inline distT="0" distB="0" distL="0" distR="0" wp14:anchorId="536F72B2" wp14:editId="758FF8D1">
            <wp:extent cx="5328285" cy="32435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8285" cy="3243580"/>
                    </a:xfrm>
                    <a:prstGeom prst="rect">
                      <a:avLst/>
                    </a:prstGeom>
                    <a:noFill/>
                  </pic:spPr>
                </pic:pic>
              </a:graphicData>
            </a:graphic>
          </wp:inline>
        </w:drawing>
      </w:r>
    </w:p>
    <w:p w:rsidR="00B85802" w:rsidRPr="00B85802" w:rsidRDefault="00B85802" w:rsidP="00B85802">
      <w:pPr>
        <w:spacing w:after="0"/>
        <w:jc w:val="center"/>
        <w:rPr>
          <w:rFonts w:ascii="Times New Roman" w:eastAsia="Cambria" w:hAnsi="Times New Roman" w:cs="Times New Roman"/>
          <w:sz w:val="24"/>
          <w:szCs w:val="24"/>
        </w:rPr>
      </w:pPr>
      <w:proofErr w:type="gramStart"/>
      <w:r w:rsidRPr="00B85802">
        <w:rPr>
          <w:rFonts w:ascii="Times New Roman" w:eastAsia="Cambria" w:hAnsi="Times New Roman" w:cs="Times New Roman"/>
          <w:sz w:val="24"/>
          <w:szCs w:val="24"/>
        </w:rPr>
        <w:t>Figure 2.</w:t>
      </w:r>
      <w:proofErr w:type="gramEnd"/>
      <w:r w:rsidRPr="00B85802">
        <w:rPr>
          <w:rFonts w:ascii="Times New Roman" w:eastAsia="Cambria" w:hAnsi="Times New Roman" w:cs="Times New Roman"/>
          <w:sz w:val="24"/>
          <w:szCs w:val="24"/>
        </w:rPr>
        <w:t xml:space="preserve"> T-Value Path Diagram</w:t>
      </w:r>
    </w:p>
    <w:p w:rsidR="00B85802" w:rsidRPr="00856DCA" w:rsidRDefault="00B85802" w:rsidP="00CD0DA5">
      <w:pPr>
        <w:spacing w:after="0" w:line="240" w:lineRule="auto"/>
        <w:jc w:val="both"/>
        <w:rPr>
          <w:rFonts w:ascii="Times New Roman" w:hAnsi="Times New Roman" w:cs="Times New Roman"/>
          <w:sz w:val="24"/>
          <w:szCs w:val="24"/>
        </w:rPr>
      </w:pPr>
    </w:p>
    <w:p w:rsidR="00B85802" w:rsidRPr="00856DCA" w:rsidRDefault="00B85802" w:rsidP="00856DCA">
      <w:pPr>
        <w:spacing w:after="0" w:line="240" w:lineRule="auto"/>
        <w:jc w:val="both"/>
        <w:rPr>
          <w:rFonts w:ascii="Times New Roman" w:hAnsi="Times New Roman" w:cs="Times New Roman"/>
          <w:b/>
          <w:sz w:val="24"/>
          <w:szCs w:val="24"/>
        </w:rPr>
      </w:pPr>
      <w:r w:rsidRPr="00856DCA">
        <w:rPr>
          <w:rFonts w:ascii="Times New Roman" w:hAnsi="Times New Roman" w:cs="Times New Roman"/>
          <w:b/>
          <w:sz w:val="24"/>
          <w:szCs w:val="24"/>
        </w:rPr>
        <w:t>Discussion</w:t>
      </w:r>
    </w:p>
    <w:p w:rsidR="00B85802" w:rsidRPr="00B85802" w:rsidRDefault="00B85802"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ID"/>
        </w:rPr>
      </w:pPr>
      <w:r w:rsidRPr="00B85802">
        <w:rPr>
          <w:rFonts w:ascii="Times New Roman" w:eastAsia="Times New Roman" w:hAnsi="Times New Roman" w:cs="Times New Roman"/>
          <w:sz w:val="24"/>
          <w:szCs w:val="24"/>
          <w:lang w:eastAsia="en-ID"/>
        </w:rPr>
        <w:t xml:space="preserve">This study empirically tests the influence of Environmental Concern, perceived value, Brand familiarity, Willingness </w:t>
      </w:r>
      <w:proofErr w:type="gramStart"/>
      <w:r w:rsidRPr="00B85802">
        <w:rPr>
          <w:rFonts w:ascii="Times New Roman" w:eastAsia="Times New Roman" w:hAnsi="Times New Roman" w:cs="Times New Roman"/>
          <w:sz w:val="24"/>
          <w:szCs w:val="24"/>
          <w:lang w:eastAsia="en-ID"/>
        </w:rPr>
        <w:t>To</w:t>
      </w:r>
      <w:proofErr w:type="gramEnd"/>
      <w:r w:rsidRPr="00B85802">
        <w:rPr>
          <w:rFonts w:ascii="Times New Roman" w:eastAsia="Times New Roman" w:hAnsi="Times New Roman" w:cs="Times New Roman"/>
          <w:sz w:val="24"/>
          <w:szCs w:val="24"/>
          <w:lang w:eastAsia="en-ID"/>
        </w:rPr>
        <w:t xml:space="preserve"> Pay on purchase intention, then the influence of Environmental Concern, perceived value, Brand familiarity, Purchase Intention on willingness to pay. In this research, results were obtained showing that environmentally friendly online transportation products provided by companies can influence customers' purchasing intentions. This is because Swoop customers really care about environmentally friendly online transportation products, so this is something that influences their purchasing intentions. This feeling of concern arises from their belief that products, especially environmentally friendly online transportation, will improve their quality of life. Therefore, they are ready to change or reduce consumption using other public transportation services in order to get products that are more environmentally friendly and can be customized according to their personal </w:t>
      </w:r>
      <w:proofErr w:type="spellStart"/>
      <w:r w:rsidRPr="00B85802">
        <w:rPr>
          <w:rFonts w:ascii="Times New Roman" w:eastAsia="Times New Roman" w:hAnsi="Times New Roman" w:cs="Times New Roman"/>
          <w:sz w:val="24"/>
          <w:szCs w:val="24"/>
          <w:lang w:eastAsia="en-ID"/>
        </w:rPr>
        <w:t>preferences.The</w:t>
      </w:r>
      <w:proofErr w:type="spellEnd"/>
      <w:r w:rsidRPr="00B85802">
        <w:rPr>
          <w:rFonts w:ascii="Times New Roman" w:eastAsia="Times New Roman" w:hAnsi="Times New Roman" w:cs="Times New Roman"/>
          <w:sz w:val="24"/>
          <w:szCs w:val="24"/>
          <w:lang w:eastAsia="en-ID"/>
        </w:rPr>
        <w:t xml:space="preserve"> importance of environmentally friendly transportation products for Swoop customers is not only limited to the functional aspect, but is also seen as a concrete solution to the problem of difficulty finding transportation. Customers feel that using online transportation that cares about the environment, such as that offered by Swoop, can be an effective solution to overcome obstacles in finding transportation. This awareness drives them to consider the Swoop app as a top choice compared to other transportation options. Swoop customers not only see the product as a means of transportation, but also as a solution to increase comfort and efficiency in their daily lives. The option to customize the product provides significant added value, creating a closer relationship between the customer and the </w:t>
      </w:r>
      <w:proofErr w:type="spellStart"/>
      <w:r w:rsidRPr="00B85802">
        <w:rPr>
          <w:rFonts w:ascii="Times New Roman" w:eastAsia="Times New Roman" w:hAnsi="Times New Roman" w:cs="Times New Roman"/>
          <w:sz w:val="24"/>
          <w:szCs w:val="24"/>
          <w:lang w:eastAsia="en-ID"/>
        </w:rPr>
        <w:t>company.This</w:t>
      </w:r>
      <w:proofErr w:type="spellEnd"/>
      <w:r w:rsidRPr="00B85802">
        <w:rPr>
          <w:rFonts w:ascii="Times New Roman" w:eastAsia="Times New Roman" w:hAnsi="Times New Roman" w:cs="Times New Roman"/>
          <w:sz w:val="24"/>
          <w:szCs w:val="24"/>
          <w:lang w:eastAsia="en-ID"/>
        </w:rPr>
        <w:t xml:space="preserve"> study found the influence of Environmental Concern on willingness to pay. Swoop customers have a strong perception of the relationship between environmentally friendly products and improved quality of life. When customers feel that the ability to customize a product can provide benefits and improve quality aspects of their daily lives, Swoop customers become more inclined to consider and even pay more for the product. Customers' willingness to pay extra for customized products reflects the high value they place on personalized experiences and a better quality of life.</w:t>
      </w:r>
    </w:p>
    <w:p w:rsidR="00B85802" w:rsidRPr="00856DCA" w:rsidRDefault="00B85802"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ID"/>
        </w:rPr>
      </w:pPr>
      <w:r w:rsidRPr="00B85802">
        <w:rPr>
          <w:rFonts w:ascii="Times New Roman" w:eastAsia="Times New Roman" w:hAnsi="Times New Roman" w:cs="Times New Roman"/>
          <w:sz w:val="24"/>
          <w:szCs w:val="24"/>
          <w:lang w:eastAsia="en-ID"/>
        </w:rPr>
        <w:lastRenderedPageBreak/>
        <w:t xml:space="preserve">The importance of quality environmentally friendly transportation services also plays a role in Swoop customers' purchasing decisions. The perception that the specialized transportation services offered by Swoop are of superior quality provides additional confidence to customers. This belief is a determining factor that encourages customers to be willing to pay more to get services that are considered high quality and can meet their needs well. Additionally, the customer's perceived value towards the quality of Swoop's customized transportation services creates the basis for customer satisfaction. This satisfaction arises not only from the environmentally friendly features of transportation, but also from the belief that the service provides an effective solution to their problems. This trust can build familiarity with the brand so that it can convince customers' purchasing intentions to use Swoop continuously and make them make </w:t>
      </w:r>
      <w:proofErr w:type="gramStart"/>
      <w:r w:rsidRPr="00B85802">
        <w:rPr>
          <w:rFonts w:ascii="Times New Roman" w:eastAsia="Times New Roman" w:hAnsi="Times New Roman" w:cs="Times New Roman"/>
          <w:sz w:val="24"/>
          <w:szCs w:val="24"/>
          <w:lang w:eastAsia="en-ID"/>
        </w:rPr>
        <w:t>Swoop</w:t>
      </w:r>
      <w:proofErr w:type="gramEnd"/>
      <w:r w:rsidRPr="00B85802">
        <w:rPr>
          <w:rFonts w:ascii="Times New Roman" w:eastAsia="Times New Roman" w:hAnsi="Times New Roman" w:cs="Times New Roman"/>
          <w:sz w:val="24"/>
          <w:szCs w:val="24"/>
          <w:lang w:eastAsia="en-ID"/>
        </w:rPr>
        <w:t xml:space="preserve"> their main choice in terms of </w:t>
      </w:r>
      <w:proofErr w:type="spellStart"/>
      <w:r w:rsidRPr="00B85802">
        <w:rPr>
          <w:rFonts w:ascii="Times New Roman" w:eastAsia="Times New Roman" w:hAnsi="Times New Roman" w:cs="Times New Roman"/>
          <w:sz w:val="24"/>
          <w:szCs w:val="24"/>
          <w:lang w:eastAsia="en-ID"/>
        </w:rPr>
        <w:t>transportation.In</w:t>
      </w:r>
      <w:proofErr w:type="spellEnd"/>
      <w:r w:rsidRPr="00B85802">
        <w:rPr>
          <w:rFonts w:ascii="Times New Roman" w:eastAsia="Times New Roman" w:hAnsi="Times New Roman" w:cs="Times New Roman"/>
          <w:sz w:val="24"/>
          <w:szCs w:val="24"/>
          <w:lang w:eastAsia="en-ID"/>
        </w:rPr>
        <w:t xml:space="preserve"> this study, results were obtained that showed that perceived value had an effect on purchase intention. When Swoop customers feel that the value of environmentally friendly transportation services can provide better time efficiency compared to other transportation options, this becomes an added value that influences their consideration. Awareness of time efficiency creates a strong urge to choose environmentally friendly online transportation applications like Swoop as their main transportation </w:t>
      </w:r>
      <w:proofErr w:type="spellStart"/>
      <w:proofErr w:type="gramStart"/>
      <w:r w:rsidRPr="00B85802">
        <w:rPr>
          <w:rFonts w:ascii="Times New Roman" w:eastAsia="Times New Roman" w:hAnsi="Times New Roman" w:cs="Times New Roman"/>
          <w:sz w:val="24"/>
          <w:szCs w:val="24"/>
          <w:lang w:eastAsia="en-ID"/>
        </w:rPr>
        <w:t>solution.Furthermore</w:t>
      </w:r>
      <w:proofErr w:type="spellEnd"/>
      <w:r w:rsidRPr="00B85802">
        <w:rPr>
          <w:rFonts w:ascii="Times New Roman" w:eastAsia="Times New Roman" w:hAnsi="Times New Roman" w:cs="Times New Roman"/>
          <w:sz w:val="24"/>
          <w:szCs w:val="24"/>
          <w:lang w:eastAsia="en-ID"/>
        </w:rPr>
        <w:t>,</w:t>
      </w:r>
      <w:proofErr w:type="gramEnd"/>
      <w:r w:rsidRPr="00B85802">
        <w:rPr>
          <w:rFonts w:ascii="Times New Roman" w:eastAsia="Times New Roman" w:hAnsi="Times New Roman" w:cs="Times New Roman"/>
          <w:sz w:val="24"/>
          <w:szCs w:val="24"/>
          <w:lang w:eastAsia="en-ID"/>
        </w:rPr>
        <w:t xml:space="preserve"> the cost aspect also plays a significant role in customer purchase intentions. If Swoop customers believe that using environmentally friendly transportation services is more economical compared to transportation alternatives, the motivation to switch to environmentally friendly ride-hailing applications increases. The perception that environmentally friendly transportation can provide more value at lower costs is the main attraction that drives customers to adopt such services. The interrelated relationship between time efficiency and cost factors creates a strong dynamic in customer purchasing intentions. The decision to use an environmentally friendly online transportation application like Swoop is not only based on convenience or reliability, but also on practical considerations regarding time and </w:t>
      </w:r>
      <w:proofErr w:type="spellStart"/>
      <w:r w:rsidRPr="00B85802">
        <w:rPr>
          <w:rFonts w:ascii="Times New Roman" w:eastAsia="Times New Roman" w:hAnsi="Times New Roman" w:cs="Times New Roman"/>
          <w:sz w:val="24"/>
          <w:szCs w:val="24"/>
          <w:lang w:eastAsia="en-ID"/>
        </w:rPr>
        <w:t>cost.Furthermore</w:t>
      </w:r>
      <w:proofErr w:type="spellEnd"/>
      <w:r w:rsidRPr="00B85802">
        <w:rPr>
          <w:rFonts w:ascii="Times New Roman" w:eastAsia="Times New Roman" w:hAnsi="Times New Roman" w:cs="Times New Roman"/>
          <w:sz w:val="24"/>
          <w:szCs w:val="24"/>
          <w:lang w:eastAsia="en-ID"/>
        </w:rPr>
        <w:t xml:space="preserve">, in this study there are results showing that perceived value has no effect on willingness to pay. Although Swoop customers recognize that dedicated transportation services can provide better time efficiency than other transportation options, they also recognize that public transportation has a role that cannot be ignored. Although dedicated transportation like Swoop provides advantages, especially in terms of time efficiency, customers are not blind to the fact that public transportation is also a viable solution to overcome traffic </w:t>
      </w:r>
      <w:proofErr w:type="spellStart"/>
      <w:r w:rsidRPr="00B85802">
        <w:rPr>
          <w:rFonts w:ascii="Times New Roman" w:eastAsia="Times New Roman" w:hAnsi="Times New Roman" w:cs="Times New Roman"/>
          <w:sz w:val="24"/>
          <w:szCs w:val="24"/>
          <w:lang w:eastAsia="en-ID"/>
        </w:rPr>
        <w:t>congestion.It</w:t>
      </w:r>
      <w:proofErr w:type="spellEnd"/>
      <w:r w:rsidRPr="00B85802">
        <w:rPr>
          <w:rFonts w:ascii="Times New Roman" w:eastAsia="Times New Roman" w:hAnsi="Times New Roman" w:cs="Times New Roman"/>
          <w:sz w:val="24"/>
          <w:szCs w:val="24"/>
          <w:lang w:eastAsia="en-ID"/>
        </w:rPr>
        <w:t xml:space="preserve"> is important to understand that the diversity of transportation options gives customers the flexibility to choose the solution that best suits their needs and situation. While eco-friendly ride-hailing can offer time efficiencies on some occasions, those efficiency thoughts don't always align with customers' thoughts. They realized that the increasing number of online transportation on the roads could contribute to an increase in vehicle volumes, which in turn could cause congestion. Customers' understanding of the possible impacts, such as congestion caused by an increase in dedicated vehicles, opened up the idea that public transportation could be a better solution effective in some contexts. In some situations, choosing public transportation can be a wiser and environmentally friendly </w:t>
      </w:r>
      <w:proofErr w:type="spellStart"/>
      <w:proofErr w:type="gramStart"/>
      <w:r w:rsidRPr="00B85802">
        <w:rPr>
          <w:rFonts w:ascii="Times New Roman" w:eastAsia="Times New Roman" w:hAnsi="Times New Roman" w:cs="Times New Roman"/>
          <w:sz w:val="24"/>
          <w:szCs w:val="24"/>
          <w:lang w:eastAsia="en-ID"/>
        </w:rPr>
        <w:t>choice.</w:t>
      </w:r>
      <w:r w:rsidRPr="00856DCA">
        <w:rPr>
          <w:rFonts w:ascii="Times New Roman" w:eastAsia="Calibri" w:hAnsi="Times New Roman" w:cs="Times New Roman"/>
          <w:sz w:val="24"/>
          <w:szCs w:val="24"/>
        </w:rPr>
        <w:t>Then</w:t>
      </w:r>
      <w:proofErr w:type="spellEnd"/>
      <w:r w:rsidRPr="00856DCA">
        <w:rPr>
          <w:rFonts w:ascii="Times New Roman" w:eastAsia="Calibri" w:hAnsi="Times New Roman" w:cs="Times New Roman"/>
          <w:sz w:val="24"/>
          <w:szCs w:val="24"/>
        </w:rPr>
        <w:t>,</w:t>
      </w:r>
      <w:proofErr w:type="gramEnd"/>
      <w:r w:rsidRPr="00856DCA">
        <w:rPr>
          <w:rFonts w:ascii="Times New Roman" w:eastAsia="Calibri" w:hAnsi="Times New Roman" w:cs="Times New Roman"/>
          <w:sz w:val="24"/>
          <w:szCs w:val="24"/>
        </w:rPr>
        <w:t xml:space="preserve"> the price aspect can also be an obstacle to purchasing intentions. While Swoop customers may see eco-friendly transportation as a more modern option, the higher price compared to other options could be a deciding factor. Awareness of value and costs relative to benefits received may be key considerations influencing Swoop customers' purchase intentions. Economic barriers can play an important role. While Swoop customers want the modern experience, comfort and style that custom transportation provides, they may be </w:t>
      </w:r>
      <w:r w:rsidRPr="00856DCA">
        <w:rPr>
          <w:rFonts w:ascii="Times New Roman" w:eastAsia="Calibri" w:hAnsi="Times New Roman" w:cs="Times New Roman"/>
          <w:sz w:val="24"/>
          <w:szCs w:val="24"/>
        </w:rPr>
        <w:lastRenderedPageBreak/>
        <w:t xml:space="preserve">constrained by personal budget constraints. If the price of using special transportation is too high compared to other transportation options that may be considered more affordable, this can be a major barrier to the willingness to pay </w:t>
      </w:r>
      <w:proofErr w:type="spellStart"/>
      <w:r w:rsidRPr="00856DCA">
        <w:rPr>
          <w:rFonts w:ascii="Times New Roman" w:eastAsia="Calibri" w:hAnsi="Times New Roman" w:cs="Times New Roman"/>
          <w:sz w:val="24"/>
          <w:szCs w:val="24"/>
        </w:rPr>
        <w:t>more.The</w:t>
      </w:r>
      <w:proofErr w:type="spellEnd"/>
      <w:r w:rsidRPr="00856DCA">
        <w:rPr>
          <w:rFonts w:ascii="Times New Roman" w:eastAsia="Calibri" w:hAnsi="Times New Roman" w:cs="Times New Roman"/>
          <w:sz w:val="24"/>
          <w:szCs w:val="24"/>
        </w:rPr>
        <w:t xml:space="preserve"> results of this research provide a scientific contribution regarding the positive influence of Brand Familiarity on purchase intention. The brand familiarity emphasis provided by the Swoop Move service is a key factor in motivating customers to reuse the service. Swoop customers' perception that Swoop Move provides added value illustrates the importance of the elements that differentiate the service from other transportation </w:t>
      </w:r>
      <w:proofErr w:type="spellStart"/>
      <w:r w:rsidRPr="00856DCA">
        <w:rPr>
          <w:rFonts w:ascii="Times New Roman" w:eastAsia="Calibri" w:hAnsi="Times New Roman" w:cs="Times New Roman"/>
          <w:sz w:val="24"/>
          <w:szCs w:val="24"/>
        </w:rPr>
        <w:t>options.For</w:t>
      </w:r>
      <w:proofErr w:type="spellEnd"/>
      <w:r w:rsidRPr="00856DCA">
        <w:rPr>
          <w:rFonts w:ascii="Times New Roman" w:eastAsia="Calibri" w:hAnsi="Times New Roman" w:cs="Times New Roman"/>
          <w:sz w:val="24"/>
          <w:szCs w:val="24"/>
        </w:rPr>
        <w:t xml:space="preserve"> Swoop customers, the quality of specialized transportation services like Swoop Move is a key driver in building strong purchase intent. The higher the level of quality provided, the greater the customer's tendency to reuse the service. Awareness of service quality creates deep trust, creates positive experiences, and builds long-term relationships between customers and companies. This research found the influence of Brand Familiarity on willingness to pay. When Swoop customers feel ease and familiarity with using online transportation services, this not only increases their satisfaction but also creates a sense of significant added value. Awareness of this convenience is the main driver that makes customers willing to pay more to get special transportation service products. The perception that the service simplifies their transportation experience creates an emotional connection between customers and the product, turning it into a high-value investment in comfort and efficiency. Not only </w:t>
      </w:r>
      <w:proofErr w:type="gramStart"/>
      <w:r w:rsidRPr="00856DCA">
        <w:rPr>
          <w:rFonts w:ascii="Times New Roman" w:eastAsia="Calibri" w:hAnsi="Times New Roman" w:cs="Times New Roman"/>
          <w:sz w:val="24"/>
          <w:szCs w:val="24"/>
        </w:rPr>
        <w:t>that, the discounts offered by Swoop also play</w:t>
      </w:r>
      <w:proofErr w:type="gramEnd"/>
      <w:r w:rsidRPr="00856DCA">
        <w:rPr>
          <w:rFonts w:ascii="Times New Roman" w:eastAsia="Calibri" w:hAnsi="Times New Roman" w:cs="Times New Roman"/>
          <w:sz w:val="24"/>
          <w:szCs w:val="24"/>
        </w:rPr>
        <w:t xml:space="preserve"> a crucial role in customer decision making. While the convenience experience may be a key factor, customers tend to be very responsive to discounts. This is shown by discounts which can be a strong trigger that motivates customers to make purchases.</w:t>
      </w:r>
    </w:p>
    <w:p w:rsidR="00B85802" w:rsidRPr="00856DCA" w:rsidRDefault="00B85802" w:rsidP="00856DCA">
      <w:pPr>
        <w:spacing w:after="0" w:line="240" w:lineRule="auto"/>
        <w:jc w:val="both"/>
        <w:rPr>
          <w:rFonts w:ascii="Times New Roman" w:hAnsi="Times New Roman" w:cs="Times New Roman"/>
          <w:sz w:val="24"/>
          <w:szCs w:val="24"/>
        </w:rPr>
      </w:pPr>
    </w:p>
    <w:p w:rsidR="00B85802" w:rsidRPr="00856DCA" w:rsidRDefault="00B85802" w:rsidP="00856DCA">
      <w:pPr>
        <w:spacing w:after="0" w:line="240" w:lineRule="auto"/>
        <w:jc w:val="both"/>
        <w:rPr>
          <w:rFonts w:ascii="Times New Roman" w:hAnsi="Times New Roman" w:cs="Times New Roman"/>
          <w:b/>
          <w:sz w:val="24"/>
          <w:szCs w:val="24"/>
        </w:rPr>
      </w:pPr>
      <w:r w:rsidRPr="00856DCA">
        <w:rPr>
          <w:rFonts w:ascii="Times New Roman" w:hAnsi="Times New Roman" w:cs="Times New Roman"/>
          <w:b/>
          <w:sz w:val="24"/>
          <w:szCs w:val="24"/>
        </w:rPr>
        <w:t>CONCLUSION</w:t>
      </w:r>
    </w:p>
    <w:p w:rsidR="00B85802" w:rsidRPr="00B85802" w:rsidRDefault="00B85802" w:rsidP="0085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en-ID" w:eastAsia="en-ID"/>
        </w:rPr>
      </w:pPr>
      <w:r w:rsidRPr="00B85802">
        <w:rPr>
          <w:rFonts w:ascii="Times New Roman" w:eastAsia="Times New Roman" w:hAnsi="Times New Roman" w:cs="Times New Roman"/>
          <w:sz w:val="24"/>
          <w:szCs w:val="24"/>
          <w:lang w:eastAsia="en-ID"/>
        </w:rPr>
        <w:t xml:space="preserve">Most of the hypotheses in this study have been successfully proven, namely Environmental Concern, perceived value and Brand Familiarity have a positive effect on purchase intention and Environmental Concern and Brand Familiarity have a positive effect on willingness to pay. Meanwhile, Perceived Value has no positive effect on Willingness </w:t>
      </w:r>
      <w:proofErr w:type="gramStart"/>
      <w:r w:rsidRPr="00B85802">
        <w:rPr>
          <w:rFonts w:ascii="Times New Roman" w:eastAsia="Times New Roman" w:hAnsi="Times New Roman" w:cs="Times New Roman"/>
          <w:sz w:val="24"/>
          <w:szCs w:val="24"/>
          <w:lang w:eastAsia="en-ID"/>
        </w:rPr>
        <w:t>To</w:t>
      </w:r>
      <w:proofErr w:type="gramEnd"/>
      <w:r w:rsidRPr="00B85802">
        <w:rPr>
          <w:rFonts w:ascii="Times New Roman" w:eastAsia="Times New Roman" w:hAnsi="Times New Roman" w:cs="Times New Roman"/>
          <w:sz w:val="24"/>
          <w:szCs w:val="24"/>
          <w:lang w:eastAsia="en-ID"/>
        </w:rPr>
        <w:t xml:space="preserve"> </w:t>
      </w:r>
      <w:proofErr w:type="spellStart"/>
      <w:r w:rsidRPr="00B85802">
        <w:rPr>
          <w:rFonts w:ascii="Times New Roman" w:eastAsia="Times New Roman" w:hAnsi="Times New Roman" w:cs="Times New Roman"/>
          <w:sz w:val="24"/>
          <w:szCs w:val="24"/>
          <w:lang w:eastAsia="en-ID"/>
        </w:rPr>
        <w:t>Pay.This</w:t>
      </w:r>
      <w:proofErr w:type="spellEnd"/>
      <w:r w:rsidRPr="00B85802">
        <w:rPr>
          <w:rFonts w:ascii="Times New Roman" w:eastAsia="Times New Roman" w:hAnsi="Times New Roman" w:cs="Times New Roman"/>
          <w:sz w:val="24"/>
          <w:szCs w:val="24"/>
          <w:lang w:eastAsia="en-ID"/>
        </w:rPr>
        <w:t xml:space="preserve"> research has several limitations that need to be corrected. First, this study was conducted on alternative transportation service companies in the </w:t>
      </w:r>
      <w:proofErr w:type="spellStart"/>
      <w:r w:rsidRPr="00B85802">
        <w:rPr>
          <w:rFonts w:ascii="Times New Roman" w:eastAsia="Times New Roman" w:hAnsi="Times New Roman" w:cs="Times New Roman"/>
          <w:sz w:val="24"/>
          <w:szCs w:val="24"/>
          <w:lang w:eastAsia="en-ID"/>
        </w:rPr>
        <w:t>Jabodetabek</w:t>
      </w:r>
      <w:proofErr w:type="spellEnd"/>
      <w:r w:rsidRPr="00B85802">
        <w:rPr>
          <w:rFonts w:ascii="Times New Roman" w:eastAsia="Times New Roman" w:hAnsi="Times New Roman" w:cs="Times New Roman"/>
          <w:sz w:val="24"/>
          <w:szCs w:val="24"/>
          <w:lang w:eastAsia="en-ID"/>
        </w:rPr>
        <w:t xml:space="preserve"> area which does not necessarily describe the condition of alternative transportation service companies as </w:t>
      </w:r>
      <w:proofErr w:type="gramStart"/>
      <w:r w:rsidRPr="00B85802">
        <w:rPr>
          <w:rFonts w:ascii="Times New Roman" w:eastAsia="Times New Roman" w:hAnsi="Times New Roman" w:cs="Times New Roman"/>
          <w:sz w:val="24"/>
          <w:szCs w:val="24"/>
          <w:lang w:eastAsia="en-ID"/>
        </w:rPr>
        <w:t>a whole, therefore future studies</w:t>
      </w:r>
      <w:proofErr w:type="gramEnd"/>
      <w:r w:rsidRPr="00B85802">
        <w:rPr>
          <w:rFonts w:ascii="Times New Roman" w:eastAsia="Times New Roman" w:hAnsi="Times New Roman" w:cs="Times New Roman"/>
          <w:sz w:val="24"/>
          <w:szCs w:val="24"/>
          <w:lang w:eastAsia="en-ID"/>
        </w:rPr>
        <w:t xml:space="preserve"> can focus on other alternative transportation service companies to gain broader insight. Second, this study does not include mediation and moderation variables, in the future it is recommended to add mediation and moderation variables. Third, this research only uses quantitative methods, in future research it is recommended to use mixed methods so that it can provide better results.</w:t>
      </w:r>
      <w:r w:rsidRPr="00B85802">
        <w:rPr>
          <w:rFonts w:ascii="Times New Roman" w:eastAsia="Times New Roman" w:hAnsi="Times New Roman" w:cs="Times New Roman"/>
          <w:color w:val="000000"/>
          <w:sz w:val="24"/>
          <w:szCs w:val="24"/>
          <w:shd w:val="clear" w:color="auto" w:fill="FFFFFF"/>
          <w:lang w:eastAsia="en-ID"/>
        </w:rPr>
        <w:t xml:space="preserve"> There are several managerial implications provided by this study. First, companies can focus on increasing Environmental Concern and Perceived Value in ways such as adding more additional features, vehicle choices and special routes that can increase the opportunity to fulfill every customer's wishes and can add loyalty and reward programs for repeat environmentally friendly </w:t>
      </w:r>
      <w:proofErr w:type="spellStart"/>
      <w:r w:rsidRPr="00B85802">
        <w:rPr>
          <w:rFonts w:ascii="Times New Roman" w:eastAsia="Times New Roman" w:hAnsi="Times New Roman" w:cs="Times New Roman"/>
          <w:color w:val="000000"/>
          <w:sz w:val="24"/>
          <w:szCs w:val="24"/>
          <w:shd w:val="clear" w:color="auto" w:fill="FFFFFF"/>
          <w:lang w:eastAsia="en-ID"/>
        </w:rPr>
        <w:t>options.</w:t>
      </w:r>
      <w:r w:rsidRPr="00856DCA">
        <w:rPr>
          <w:rFonts w:ascii="Times New Roman" w:eastAsia="Times New Roman" w:hAnsi="Times New Roman" w:cs="Times New Roman"/>
          <w:color w:val="000000"/>
          <w:sz w:val="24"/>
          <w:szCs w:val="24"/>
          <w:lang w:eastAsia="en-ID"/>
        </w:rPr>
        <w:t>companies</w:t>
      </w:r>
      <w:proofErr w:type="spellEnd"/>
      <w:r w:rsidRPr="00856DCA">
        <w:rPr>
          <w:rFonts w:ascii="Times New Roman" w:eastAsia="Times New Roman" w:hAnsi="Times New Roman" w:cs="Times New Roman"/>
          <w:color w:val="000000"/>
          <w:sz w:val="24"/>
          <w:szCs w:val="24"/>
          <w:lang w:eastAsia="en-ID"/>
        </w:rPr>
        <w:t xml:space="preserve"> can provide more diverse types of discounts because customers have the habit of choosing environmentally friendly transportation services or customers collect recycled products from Swoop every month, they will get discounts and also various types of discounts that can be added such as season-based discounts or special events such as during holiday celebrations or company birthday. </w:t>
      </w:r>
      <w:proofErr w:type="gramStart"/>
      <w:r w:rsidRPr="00856DCA">
        <w:rPr>
          <w:rFonts w:ascii="Times New Roman" w:eastAsia="Times New Roman" w:hAnsi="Times New Roman" w:cs="Times New Roman"/>
          <w:color w:val="000000"/>
          <w:sz w:val="24"/>
          <w:szCs w:val="24"/>
          <w:lang w:eastAsia="en-ID"/>
        </w:rPr>
        <w:t>and</w:t>
      </w:r>
      <w:proofErr w:type="gramEnd"/>
      <w:r w:rsidRPr="00856DCA">
        <w:rPr>
          <w:rFonts w:ascii="Times New Roman" w:eastAsia="Times New Roman" w:hAnsi="Times New Roman" w:cs="Times New Roman"/>
          <w:color w:val="000000"/>
          <w:sz w:val="24"/>
          <w:szCs w:val="24"/>
          <w:lang w:eastAsia="en-ID"/>
        </w:rPr>
        <w:t xml:space="preserve"> referral discounts, such as discounts given to customers who successfully invite friends or family to use the company's services, will create a domino </w:t>
      </w:r>
      <w:r w:rsidRPr="00856DCA">
        <w:rPr>
          <w:rFonts w:ascii="Times New Roman" w:eastAsia="Times New Roman" w:hAnsi="Times New Roman" w:cs="Times New Roman"/>
          <w:color w:val="000000"/>
          <w:sz w:val="24"/>
          <w:szCs w:val="24"/>
          <w:lang w:eastAsia="en-ID"/>
        </w:rPr>
        <w:lastRenderedPageBreak/>
        <w:t>effect that expands the customer base without significantly reducing the company's profits.</w:t>
      </w:r>
    </w:p>
    <w:p w:rsidR="00B85802" w:rsidRPr="00856DCA" w:rsidRDefault="00B85802" w:rsidP="00856DCA">
      <w:pPr>
        <w:spacing w:after="0" w:line="240" w:lineRule="auto"/>
        <w:jc w:val="both"/>
        <w:rPr>
          <w:rFonts w:ascii="Times New Roman" w:hAnsi="Times New Roman" w:cs="Times New Roman"/>
          <w:sz w:val="24"/>
          <w:szCs w:val="24"/>
        </w:rPr>
      </w:pPr>
    </w:p>
    <w:p w:rsidR="00856DCA" w:rsidRPr="00856DCA" w:rsidRDefault="00856DCA" w:rsidP="00856DCA">
      <w:pPr>
        <w:spacing w:after="0" w:line="240" w:lineRule="auto"/>
        <w:jc w:val="both"/>
        <w:rPr>
          <w:rFonts w:ascii="Times New Roman" w:eastAsia="Cambria" w:hAnsi="Times New Roman" w:cs="Times New Roman"/>
          <w:sz w:val="24"/>
          <w:szCs w:val="24"/>
        </w:rPr>
      </w:pPr>
      <w:r w:rsidRPr="00856DCA">
        <w:rPr>
          <w:rFonts w:ascii="Times New Roman" w:eastAsia="Cambria" w:hAnsi="Times New Roman" w:cs="Times New Roman"/>
          <w:b/>
          <w:sz w:val="24"/>
          <w:szCs w:val="24"/>
        </w:rPr>
        <w:t xml:space="preserve">Author Contribution: </w:t>
      </w:r>
      <w:r w:rsidRPr="00856DCA">
        <w:rPr>
          <w:rFonts w:ascii="Times New Roman" w:eastAsia="Cambria" w:hAnsi="Times New Roman" w:cs="Times New Roman"/>
          <w:sz w:val="24"/>
          <w:szCs w:val="24"/>
        </w:rPr>
        <w:t>Describe each author's contribution.</w:t>
      </w:r>
    </w:p>
    <w:p w:rsidR="00856DCA" w:rsidRPr="00856DCA" w:rsidRDefault="00856DCA" w:rsidP="00856DCA">
      <w:pPr>
        <w:spacing w:after="0" w:line="240" w:lineRule="auto"/>
        <w:jc w:val="both"/>
        <w:rPr>
          <w:rFonts w:ascii="Times New Roman" w:eastAsia="Cambria" w:hAnsi="Times New Roman" w:cs="Times New Roman"/>
          <w:b/>
          <w:sz w:val="24"/>
          <w:szCs w:val="24"/>
        </w:rPr>
      </w:pPr>
      <w:r w:rsidRPr="00856DCA">
        <w:rPr>
          <w:rFonts w:ascii="Times New Roman" w:eastAsia="Cambria" w:hAnsi="Times New Roman" w:cs="Times New Roman"/>
          <w:b/>
          <w:sz w:val="24"/>
          <w:szCs w:val="24"/>
        </w:rPr>
        <w:t xml:space="preserve">Acknowledgments: </w:t>
      </w:r>
    </w:p>
    <w:p w:rsidR="00856DCA" w:rsidRPr="00856DCA" w:rsidRDefault="00856DCA" w:rsidP="00856DCA">
      <w:pPr>
        <w:spacing w:after="0" w:line="240" w:lineRule="auto"/>
        <w:jc w:val="both"/>
        <w:rPr>
          <w:rFonts w:ascii="Times New Roman" w:eastAsia="Cambria" w:hAnsi="Times New Roman" w:cs="Times New Roman"/>
          <w:sz w:val="24"/>
          <w:szCs w:val="24"/>
        </w:rPr>
      </w:pPr>
      <w:r w:rsidRPr="00856DCA">
        <w:rPr>
          <w:rFonts w:ascii="Times New Roman" w:eastAsia="Cambria" w:hAnsi="Times New Roman" w:cs="Times New Roman"/>
          <w:sz w:val="24"/>
          <w:szCs w:val="24"/>
        </w:rPr>
        <w:t>Authors may acknowledge a person or organization that helped in many ways.</w:t>
      </w:r>
    </w:p>
    <w:p w:rsidR="00856DCA" w:rsidRPr="00856DCA" w:rsidRDefault="00856DCA" w:rsidP="00856DCA">
      <w:pPr>
        <w:spacing w:after="0" w:line="240" w:lineRule="auto"/>
        <w:jc w:val="both"/>
        <w:rPr>
          <w:rFonts w:ascii="Times New Roman" w:eastAsia="Cambria" w:hAnsi="Times New Roman" w:cs="Times New Roman"/>
          <w:sz w:val="24"/>
          <w:szCs w:val="24"/>
        </w:rPr>
      </w:pPr>
      <w:r w:rsidRPr="00856DCA">
        <w:rPr>
          <w:rFonts w:ascii="Times New Roman" w:eastAsia="Cambria" w:hAnsi="Times New Roman" w:cs="Times New Roman"/>
          <w:sz w:val="24"/>
          <w:szCs w:val="24"/>
        </w:rPr>
        <w:t>Therefore, in this case I would like to express my deepest thanks to:</w:t>
      </w:r>
    </w:p>
    <w:p w:rsidR="00856DCA" w:rsidRPr="00856DCA" w:rsidRDefault="00856DCA" w:rsidP="00856DCA">
      <w:pPr>
        <w:numPr>
          <w:ilvl w:val="0"/>
          <w:numId w:val="2"/>
        </w:numPr>
        <w:spacing w:line="240" w:lineRule="auto"/>
        <w:ind w:left="426" w:hanging="284"/>
        <w:contextualSpacing/>
        <w:jc w:val="both"/>
        <w:rPr>
          <w:rFonts w:ascii="Times New Roman" w:eastAsia="Cambria" w:hAnsi="Times New Roman" w:cs="Times New Roman"/>
          <w:sz w:val="24"/>
          <w:szCs w:val="24"/>
        </w:rPr>
      </w:pPr>
      <w:r w:rsidRPr="00856DCA">
        <w:rPr>
          <w:rFonts w:ascii="Times New Roman" w:eastAsia="Cambria" w:hAnsi="Times New Roman" w:cs="Times New Roman"/>
          <w:sz w:val="24"/>
          <w:szCs w:val="24"/>
        </w:rPr>
        <w:t xml:space="preserve">Mr. Dr. Ir. </w:t>
      </w:r>
      <w:proofErr w:type="spellStart"/>
      <w:r w:rsidRPr="00856DCA">
        <w:rPr>
          <w:rFonts w:ascii="Times New Roman" w:eastAsia="Cambria" w:hAnsi="Times New Roman" w:cs="Times New Roman"/>
          <w:sz w:val="24"/>
          <w:szCs w:val="24"/>
        </w:rPr>
        <w:t>Arief</w:t>
      </w:r>
      <w:proofErr w:type="spellEnd"/>
      <w:r w:rsidRPr="00856DCA">
        <w:rPr>
          <w:rFonts w:ascii="Times New Roman" w:eastAsia="Cambria" w:hAnsi="Times New Roman" w:cs="Times New Roman"/>
          <w:sz w:val="24"/>
          <w:szCs w:val="24"/>
        </w:rPr>
        <w:t xml:space="preserve"> </w:t>
      </w:r>
      <w:proofErr w:type="spellStart"/>
      <w:r w:rsidRPr="00856DCA">
        <w:rPr>
          <w:rFonts w:ascii="Times New Roman" w:eastAsia="Cambria" w:hAnsi="Times New Roman" w:cs="Times New Roman"/>
          <w:sz w:val="24"/>
          <w:szCs w:val="24"/>
        </w:rPr>
        <w:t>Kusuma</w:t>
      </w:r>
      <w:proofErr w:type="spellEnd"/>
      <w:r w:rsidRPr="00856DCA">
        <w:rPr>
          <w:rFonts w:ascii="Times New Roman" w:eastAsia="Cambria" w:hAnsi="Times New Roman" w:cs="Times New Roman"/>
          <w:sz w:val="24"/>
          <w:szCs w:val="24"/>
        </w:rPr>
        <w:t xml:space="preserve"> Among </w:t>
      </w:r>
      <w:proofErr w:type="spellStart"/>
      <w:r w:rsidRPr="00856DCA">
        <w:rPr>
          <w:rFonts w:ascii="Times New Roman" w:eastAsia="Cambria" w:hAnsi="Times New Roman" w:cs="Times New Roman"/>
          <w:sz w:val="24"/>
          <w:szCs w:val="24"/>
        </w:rPr>
        <w:t>Praja</w:t>
      </w:r>
      <w:proofErr w:type="spellEnd"/>
      <w:r w:rsidRPr="00856DCA">
        <w:rPr>
          <w:rFonts w:ascii="Times New Roman" w:eastAsia="Cambria" w:hAnsi="Times New Roman" w:cs="Times New Roman"/>
          <w:sz w:val="24"/>
          <w:szCs w:val="24"/>
        </w:rPr>
        <w:t xml:space="preserve">, </w:t>
      </w:r>
      <w:proofErr w:type="gramStart"/>
      <w:r w:rsidRPr="00856DCA">
        <w:rPr>
          <w:rFonts w:ascii="Times New Roman" w:eastAsia="Cambria" w:hAnsi="Times New Roman" w:cs="Times New Roman"/>
          <w:sz w:val="24"/>
          <w:szCs w:val="24"/>
        </w:rPr>
        <w:t>MBA.,</w:t>
      </w:r>
      <w:proofErr w:type="gramEnd"/>
      <w:r w:rsidRPr="00856DCA">
        <w:rPr>
          <w:rFonts w:ascii="Times New Roman" w:eastAsia="Cambria" w:hAnsi="Times New Roman" w:cs="Times New Roman"/>
          <w:sz w:val="24"/>
          <w:szCs w:val="24"/>
        </w:rPr>
        <w:t xml:space="preserve"> IPU as Chancellor of </w:t>
      </w:r>
      <w:proofErr w:type="spellStart"/>
      <w:r w:rsidRPr="00856DCA">
        <w:rPr>
          <w:rFonts w:ascii="Times New Roman" w:eastAsia="Cambria" w:hAnsi="Times New Roman" w:cs="Times New Roman"/>
          <w:sz w:val="24"/>
          <w:szCs w:val="24"/>
        </w:rPr>
        <w:t>Esa</w:t>
      </w:r>
      <w:proofErr w:type="spellEnd"/>
      <w:r w:rsidRPr="00856DCA">
        <w:rPr>
          <w:rFonts w:ascii="Times New Roman" w:eastAsia="Cambria" w:hAnsi="Times New Roman" w:cs="Times New Roman"/>
          <w:sz w:val="24"/>
          <w:szCs w:val="24"/>
        </w:rPr>
        <w:t xml:space="preserve"> </w:t>
      </w:r>
      <w:proofErr w:type="spellStart"/>
      <w:r w:rsidRPr="00856DCA">
        <w:rPr>
          <w:rFonts w:ascii="Times New Roman" w:eastAsia="Cambria" w:hAnsi="Times New Roman" w:cs="Times New Roman"/>
          <w:sz w:val="24"/>
          <w:szCs w:val="24"/>
        </w:rPr>
        <w:t>Unggul</w:t>
      </w:r>
      <w:proofErr w:type="spellEnd"/>
      <w:r w:rsidRPr="00856DCA">
        <w:rPr>
          <w:rFonts w:ascii="Times New Roman" w:eastAsia="Cambria" w:hAnsi="Times New Roman" w:cs="Times New Roman"/>
          <w:sz w:val="24"/>
          <w:szCs w:val="24"/>
        </w:rPr>
        <w:t xml:space="preserve"> University.</w:t>
      </w:r>
    </w:p>
    <w:p w:rsidR="00662C8A" w:rsidRDefault="00856DCA" w:rsidP="00856DCA">
      <w:pPr>
        <w:numPr>
          <w:ilvl w:val="0"/>
          <w:numId w:val="2"/>
        </w:numPr>
        <w:spacing w:line="240" w:lineRule="auto"/>
        <w:ind w:left="426" w:hanging="284"/>
        <w:contextualSpacing/>
        <w:jc w:val="both"/>
        <w:rPr>
          <w:rFonts w:ascii="Times New Roman" w:eastAsia="Cambria" w:hAnsi="Times New Roman" w:cs="Times New Roman"/>
          <w:sz w:val="24"/>
          <w:szCs w:val="24"/>
        </w:rPr>
      </w:pPr>
      <w:proofErr w:type="spellStart"/>
      <w:r w:rsidRPr="00662C8A">
        <w:rPr>
          <w:rFonts w:ascii="Times New Roman" w:eastAsia="Cambria" w:hAnsi="Times New Roman" w:cs="Times New Roman"/>
          <w:sz w:val="24"/>
          <w:szCs w:val="24"/>
        </w:rPr>
        <w:t>Mr</w:t>
      </w:r>
      <w:proofErr w:type="spellEnd"/>
      <w:r w:rsidRPr="00662C8A">
        <w:rPr>
          <w:rFonts w:ascii="Times New Roman" w:eastAsia="Cambria" w:hAnsi="Times New Roman" w:cs="Times New Roman"/>
          <w:sz w:val="24"/>
          <w:szCs w:val="24"/>
        </w:rPr>
        <w:t xml:space="preserve"> Dr. </w:t>
      </w:r>
      <w:proofErr w:type="spellStart"/>
      <w:r w:rsidRPr="00662C8A">
        <w:rPr>
          <w:rFonts w:ascii="Times New Roman" w:eastAsia="Cambria" w:hAnsi="Times New Roman" w:cs="Times New Roman"/>
          <w:sz w:val="24"/>
          <w:szCs w:val="24"/>
        </w:rPr>
        <w:t>Tantri</w:t>
      </w:r>
      <w:proofErr w:type="spellEnd"/>
      <w:r w:rsidRPr="00662C8A">
        <w:rPr>
          <w:rFonts w:ascii="Times New Roman" w:eastAsia="Cambria" w:hAnsi="Times New Roman" w:cs="Times New Roman"/>
          <w:sz w:val="24"/>
          <w:szCs w:val="24"/>
        </w:rPr>
        <w:t xml:space="preserve"> </w:t>
      </w:r>
      <w:proofErr w:type="spellStart"/>
      <w:r w:rsidRPr="00662C8A">
        <w:rPr>
          <w:rFonts w:ascii="Times New Roman" w:eastAsia="Cambria" w:hAnsi="Times New Roman" w:cs="Times New Roman"/>
          <w:sz w:val="24"/>
          <w:szCs w:val="24"/>
        </w:rPr>
        <w:t>Yanuar</w:t>
      </w:r>
      <w:proofErr w:type="spellEnd"/>
      <w:r w:rsidRPr="00662C8A">
        <w:rPr>
          <w:rFonts w:ascii="Times New Roman" w:eastAsia="Cambria" w:hAnsi="Times New Roman" w:cs="Times New Roman"/>
          <w:sz w:val="24"/>
          <w:szCs w:val="24"/>
        </w:rPr>
        <w:t xml:space="preserve"> </w:t>
      </w:r>
      <w:proofErr w:type="spellStart"/>
      <w:r w:rsidRPr="00662C8A">
        <w:rPr>
          <w:rFonts w:ascii="Times New Roman" w:eastAsia="Cambria" w:hAnsi="Times New Roman" w:cs="Times New Roman"/>
          <w:sz w:val="24"/>
          <w:szCs w:val="24"/>
        </w:rPr>
        <w:t>Rahmat</w:t>
      </w:r>
      <w:proofErr w:type="spellEnd"/>
      <w:r w:rsidRPr="00662C8A">
        <w:rPr>
          <w:rFonts w:ascii="Times New Roman" w:eastAsia="Cambria" w:hAnsi="Times New Roman" w:cs="Times New Roman"/>
          <w:sz w:val="24"/>
          <w:szCs w:val="24"/>
        </w:rPr>
        <w:t xml:space="preserve"> </w:t>
      </w:r>
      <w:proofErr w:type="spellStart"/>
      <w:r w:rsidRPr="00662C8A">
        <w:rPr>
          <w:rFonts w:ascii="Times New Roman" w:eastAsia="Cambria" w:hAnsi="Times New Roman" w:cs="Times New Roman"/>
          <w:sz w:val="24"/>
          <w:szCs w:val="24"/>
        </w:rPr>
        <w:t>Syah</w:t>
      </w:r>
      <w:proofErr w:type="spellEnd"/>
      <w:r w:rsidRPr="00662C8A">
        <w:rPr>
          <w:rFonts w:ascii="Times New Roman" w:eastAsia="Cambria" w:hAnsi="Times New Roman" w:cs="Times New Roman"/>
          <w:sz w:val="24"/>
          <w:szCs w:val="24"/>
        </w:rPr>
        <w:t xml:space="preserve">, </w:t>
      </w:r>
      <w:proofErr w:type="gramStart"/>
      <w:r w:rsidRPr="00662C8A">
        <w:rPr>
          <w:rFonts w:ascii="Times New Roman" w:eastAsia="Cambria" w:hAnsi="Times New Roman" w:cs="Times New Roman"/>
          <w:sz w:val="24"/>
          <w:szCs w:val="24"/>
        </w:rPr>
        <w:t>SE.,</w:t>
      </w:r>
      <w:proofErr w:type="gramEnd"/>
      <w:r w:rsidRPr="00662C8A">
        <w:rPr>
          <w:rFonts w:ascii="Times New Roman" w:eastAsia="Cambria" w:hAnsi="Times New Roman" w:cs="Times New Roman"/>
          <w:sz w:val="24"/>
          <w:szCs w:val="24"/>
        </w:rPr>
        <w:t xml:space="preserve"> MSM as Dean of the Faculty of Economics and Business, </w:t>
      </w:r>
      <w:proofErr w:type="spellStart"/>
      <w:r w:rsidRPr="00662C8A">
        <w:rPr>
          <w:rFonts w:ascii="Times New Roman" w:eastAsia="Cambria" w:hAnsi="Times New Roman" w:cs="Times New Roman"/>
          <w:sz w:val="24"/>
          <w:szCs w:val="24"/>
        </w:rPr>
        <w:t>Esa</w:t>
      </w:r>
      <w:proofErr w:type="spellEnd"/>
      <w:r w:rsidRPr="00662C8A">
        <w:rPr>
          <w:rFonts w:ascii="Times New Roman" w:eastAsia="Cambria" w:hAnsi="Times New Roman" w:cs="Times New Roman"/>
          <w:sz w:val="24"/>
          <w:szCs w:val="24"/>
        </w:rPr>
        <w:t xml:space="preserve"> </w:t>
      </w:r>
      <w:proofErr w:type="spellStart"/>
      <w:r w:rsidRPr="00662C8A">
        <w:rPr>
          <w:rFonts w:ascii="Times New Roman" w:eastAsia="Cambria" w:hAnsi="Times New Roman" w:cs="Times New Roman"/>
          <w:sz w:val="24"/>
          <w:szCs w:val="24"/>
        </w:rPr>
        <w:t>Unggul</w:t>
      </w:r>
      <w:proofErr w:type="spellEnd"/>
      <w:r w:rsidRPr="00662C8A">
        <w:rPr>
          <w:rFonts w:ascii="Times New Roman" w:eastAsia="Cambria" w:hAnsi="Times New Roman" w:cs="Times New Roman"/>
          <w:sz w:val="24"/>
          <w:szCs w:val="24"/>
        </w:rPr>
        <w:t xml:space="preserve"> Univ</w:t>
      </w:r>
      <w:r w:rsidR="00662C8A" w:rsidRPr="00662C8A">
        <w:rPr>
          <w:rFonts w:ascii="Times New Roman" w:eastAsia="Cambria" w:hAnsi="Times New Roman" w:cs="Times New Roman"/>
          <w:sz w:val="24"/>
          <w:szCs w:val="24"/>
        </w:rPr>
        <w:t xml:space="preserve">ersity and Supervising Lecturer. </w:t>
      </w:r>
    </w:p>
    <w:p w:rsidR="00856DCA" w:rsidRPr="00662C8A" w:rsidRDefault="00856DCA" w:rsidP="00856DCA">
      <w:pPr>
        <w:numPr>
          <w:ilvl w:val="0"/>
          <w:numId w:val="2"/>
        </w:numPr>
        <w:spacing w:line="240" w:lineRule="auto"/>
        <w:ind w:left="426" w:hanging="284"/>
        <w:contextualSpacing/>
        <w:jc w:val="both"/>
        <w:rPr>
          <w:rFonts w:ascii="Times New Roman" w:eastAsia="Cambria" w:hAnsi="Times New Roman" w:cs="Times New Roman"/>
          <w:sz w:val="24"/>
          <w:szCs w:val="24"/>
        </w:rPr>
      </w:pPr>
      <w:r w:rsidRPr="00662C8A">
        <w:rPr>
          <w:rFonts w:ascii="Times New Roman" w:eastAsia="Cambria" w:hAnsi="Times New Roman" w:cs="Times New Roman"/>
          <w:sz w:val="24"/>
          <w:szCs w:val="24"/>
        </w:rPr>
        <w:t xml:space="preserve">Mrs. Dr. </w:t>
      </w:r>
      <w:proofErr w:type="spellStart"/>
      <w:r w:rsidRPr="00662C8A">
        <w:rPr>
          <w:rFonts w:ascii="Times New Roman" w:eastAsia="Cambria" w:hAnsi="Times New Roman" w:cs="Times New Roman"/>
          <w:sz w:val="24"/>
          <w:szCs w:val="24"/>
        </w:rPr>
        <w:t>Rina</w:t>
      </w:r>
      <w:proofErr w:type="spellEnd"/>
      <w:r w:rsidRPr="00662C8A">
        <w:rPr>
          <w:rFonts w:ascii="Times New Roman" w:eastAsia="Cambria" w:hAnsi="Times New Roman" w:cs="Times New Roman"/>
          <w:sz w:val="24"/>
          <w:szCs w:val="24"/>
        </w:rPr>
        <w:t xml:space="preserve"> </w:t>
      </w:r>
      <w:proofErr w:type="spellStart"/>
      <w:r w:rsidRPr="00662C8A">
        <w:rPr>
          <w:rFonts w:ascii="Times New Roman" w:eastAsia="Cambria" w:hAnsi="Times New Roman" w:cs="Times New Roman"/>
          <w:sz w:val="24"/>
          <w:szCs w:val="24"/>
        </w:rPr>
        <w:t>Anindita</w:t>
      </w:r>
      <w:proofErr w:type="spellEnd"/>
      <w:r w:rsidRPr="00662C8A">
        <w:rPr>
          <w:rFonts w:ascii="Times New Roman" w:eastAsia="Cambria" w:hAnsi="Times New Roman" w:cs="Times New Roman"/>
          <w:sz w:val="24"/>
          <w:szCs w:val="24"/>
        </w:rPr>
        <w:t xml:space="preserve">, </w:t>
      </w:r>
      <w:proofErr w:type="gramStart"/>
      <w:r w:rsidRPr="00662C8A">
        <w:rPr>
          <w:rFonts w:ascii="Times New Roman" w:eastAsia="Cambria" w:hAnsi="Times New Roman" w:cs="Times New Roman"/>
          <w:sz w:val="24"/>
          <w:szCs w:val="24"/>
        </w:rPr>
        <w:t>SE.,</w:t>
      </w:r>
      <w:proofErr w:type="gramEnd"/>
      <w:r w:rsidRPr="00662C8A">
        <w:rPr>
          <w:rFonts w:ascii="Times New Roman" w:eastAsia="Cambria" w:hAnsi="Times New Roman" w:cs="Times New Roman"/>
          <w:sz w:val="24"/>
          <w:szCs w:val="24"/>
        </w:rPr>
        <w:t xml:space="preserve"> MM as Head of the Master of Management Study Program.</w:t>
      </w:r>
    </w:p>
    <w:p w:rsidR="00856DCA" w:rsidRPr="00662C8A" w:rsidRDefault="00856DCA" w:rsidP="00662C8A">
      <w:pPr>
        <w:numPr>
          <w:ilvl w:val="0"/>
          <w:numId w:val="2"/>
        </w:numPr>
        <w:spacing w:line="240" w:lineRule="auto"/>
        <w:ind w:left="426" w:hanging="284"/>
        <w:contextualSpacing/>
        <w:jc w:val="both"/>
        <w:rPr>
          <w:rFonts w:ascii="Times New Roman" w:hAnsi="Times New Roman" w:cs="Times New Roman"/>
          <w:sz w:val="24"/>
          <w:szCs w:val="24"/>
        </w:rPr>
      </w:pPr>
      <w:proofErr w:type="spellStart"/>
      <w:r w:rsidRPr="00856DCA">
        <w:rPr>
          <w:rFonts w:ascii="Times New Roman" w:eastAsia="Calibri" w:hAnsi="Times New Roman" w:cs="Times New Roman"/>
          <w:color w:val="000000"/>
          <w:sz w:val="24"/>
          <w:szCs w:val="24"/>
          <w:shd w:val="clear" w:color="auto" w:fill="FAFAFA"/>
        </w:rPr>
        <w:t>Mrs.Prof</w:t>
      </w:r>
      <w:proofErr w:type="spellEnd"/>
      <w:r w:rsidRPr="00856DCA">
        <w:rPr>
          <w:rFonts w:ascii="Times New Roman" w:eastAsia="Calibri" w:hAnsi="Times New Roman" w:cs="Times New Roman"/>
          <w:color w:val="000000"/>
          <w:sz w:val="24"/>
          <w:szCs w:val="24"/>
          <w:shd w:val="clear" w:color="auto" w:fill="FAFAFA"/>
        </w:rPr>
        <w:t xml:space="preserve">. Dr. </w:t>
      </w:r>
      <w:proofErr w:type="spellStart"/>
      <w:r w:rsidRPr="00856DCA">
        <w:rPr>
          <w:rFonts w:ascii="Times New Roman" w:eastAsia="Calibri" w:hAnsi="Times New Roman" w:cs="Times New Roman"/>
          <w:color w:val="000000"/>
          <w:sz w:val="24"/>
          <w:szCs w:val="24"/>
          <w:shd w:val="clear" w:color="auto" w:fill="FAFAFA"/>
        </w:rPr>
        <w:t>Endang</w:t>
      </w:r>
      <w:proofErr w:type="spellEnd"/>
      <w:r w:rsidRPr="00856DCA">
        <w:rPr>
          <w:rFonts w:ascii="Times New Roman" w:eastAsia="Calibri" w:hAnsi="Times New Roman" w:cs="Times New Roman"/>
          <w:color w:val="000000"/>
          <w:sz w:val="24"/>
          <w:szCs w:val="24"/>
          <w:shd w:val="clear" w:color="auto" w:fill="FAFAFA"/>
        </w:rPr>
        <w:t xml:space="preserve"> </w:t>
      </w:r>
      <w:proofErr w:type="spellStart"/>
      <w:proofErr w:type="gramStart"/>
      <w:r w:rsidRPr="00856DCA">
        <w:rPr>
          <w:rFonts w:ascii="Times New Roman" w:eastAsia="Calibri" w:hAnsi="Times New Roman" w:cs="Times New Roman"/>
          <w:color w:val="000000"/>
          <w:sz w:val="24"/>
          <w:szCs w:val="24"/>
          <w:shd w:val="clear" w:color="auto" w:fill="FAFAFA"/>
        </w:rPr>
        <w:t>Ruswanti</w:t>
      </w:r>
      <w:proofErr w:type="spellEnd"/>
      <w:r w:rsidRPr="00856DCA">
        <w:rPr>
          <w:rFonts w:ascii="Times New Roman" w:eastAsia="Calibri" w:hAnsi="Times New Roman" w:cs="Times New Roman"/>
          <w:color w:val="000000"/>
          <w:sz w:val="24"/>
          <w:szCs w:val="24"/>
          <w:shd w:val="clear" w:color="auto" w:fill="FAFAFA"/>
        </w:rPr>
        <w:t xml:space="preserve"> ,</w:t>
      </w:r>
      <w:proofErr w:type="gramEnd"/>
      <w:r w:rsidRPr="00856DCA">
        <w:rPr>
          <w:rFonts w:ascii="Times New Roman" w:eastAsia="Calibri" w:hAnsi="Times New Roman" w:cs="Times New Roman"/>
          <w:color w:val="000000"/>
          <w:sz w:val="24"/>
          <w:szCs w:val="24"/>
          <w:shd w:val="clear" w:color="auto" w:fill="FAFAFA"/>
        </w:rPr>
        <w:t xml:space="preserve"> SE, MM </w:t>
      </w:r>
      <w:proofErr w:type="spellStart"/>
      <w:r w:rsidRPr="00856DCA">
        <w:rPr>
          <w:rFonts w:ascii="Times New Roman" w:eastAsia="Calibri" w:hAnsi="Times New Roman" w:cs="Times New Roman"/>
          <w:color w:val="000000"/>
          <w:sz w:val="24"/>
          <w:szCs w:val="24"/>
          <w:shd w:val="clear" w:color="auto" w:fill="FAFAFA"/>
        </w:rPr>
        <w:t>dan</w:t>
      </w:r>
      <w:proofErr w:type="spellEnd"/>
      <w:r w:rsidRPr="00856DCA">
        <w:rPr>
          <w:rFonts w:ascii="Times New Roman" w:eastAsia="Calibri" w:hAnsi="Times New Roman" w:cs="Times New Roman"/>
          <w:color w:val="000000"/>
          <w:sz w:val="24"/>
          <w:szCs w:val="24"/>
          <w:shd w:val="clear" w:color="auto" w:fill="FAFAFA"/>
        </w:rPr>
        <w:t xml:space="preserve"> </w:t>
      </w:r>
      <w:proofErr w:type="spellStart"/>
      <w:r w:rsidRPr="00856DCA">
        <w:rPr>
          <w:rFonts w:ascii="Times New Roman" w:eastAsia="Calibri" w:hAnsi="Times New Roman" w:cs="Times New Roman"/>
          <w:color w:val="000000"/>
          <w:sz w:val="24"/>
          <w:szCs w:val="24"/>
          <w:shd w:val="clear" w:color="auto" w:fill="FAFAFA"/>
        </w:rPr>
        <w:t>Mr</w:t>
      </w:r>
      <w:proofErr w:type="spellEnd"/>
      <w:r w:rsidRPr="00856DCA">
        <w:rPr>
          <w:rFonts w:ascii="Times New Roman" w:eastAsia="Calibri" w:hAnsi="Times New Roman" w:cs="Times New Roman"/>
          <w:color w:val="000000"/>
          <w:sz w:val="24"/>
          <w:szCs w:val="24"/>
          <w:shd w:val="clear" w:color="auto" w:fill="FAFAFA"/>
        </w:rPr>
        <w:t xml:space="preserve"> </w:t>
      </w:r>
      <w:r w:rsidRPr="00856DCA">
        <w:rPr>
          <w:rFonts w:ascii="Times New Roman" w:eastAsia="Calibri" w:hAnsi="Times New Roman" w:cs="Times New Roman"/>
          <w:color w:val="000000"/>
          <w:sz w:val="24"/>
          <w:szCs w:val="24"/>
        </w:rPr>
        <w:t xml:space="preserve">Dr. </w:t>
      </w:r>
      <w:proofErr w:type="spellStart"/>
      <w:r w:rsidRPr="00856DCA">
        <w:rPr>
          <w:rFonts w:ascii="Times New Roman" w:eastAsia="Calibri" w:hAnsi="Times New Roman" w:cs="Times New Roman"/>
          <w:color w:val="000000"/>
          <w:sz w:val="24"/>
          <w:szCs w:val="24"/>
        </w:rPr>
        <w:t>Unggul</w:t>
      </w:r>
      <w:proofErr w:type="spellEnd"/>
      <w:r w:rsidRPr="00856DCA">
        <w:rPr>
          <w:rFonts w:ascii="Times New Roman" w:eastAsia="Calibri" w:hAnsi="Times New Roman" w:cs="Times New Roman"/>
          <w:color w:val="000000"/>
          <w:sz w:val="24"/>
          <w:szCs w:val="24"/>
        </w:rPr>
        <w:t xml:space="preserve"> </w:t>
      </w:r>
      <w:proofErr w:type="spellStart"/>
      <w:r w:rsidRPr="00856DCA">
        <w:rPr>
          <w:rFonts w:ascii="Times New Roman" w:eastAsia="Calibri" w:hAnsi="Times New Roman" w:cs="Times New Roman"/>
          <w:color w:val="000000"/>
          <w:sz w:val="24"/>
          <w:szCs w:val="24"/>
        </w:rPr>
        <w:t>Kustiawan</w:t>
      </w:r>
      <w:proofErr w:type="spellEnd"/>
      <w:r w:rsidRPr="00856DCA">
        <w:rPr>
          <w:rFonts w:ascii="Times New Roman" w:eastAsia="Calibri" w:hAnsi="Times New Roman" w:cs="Times New Roman"/>
          <w:color w:val="000000"/>
          <w:sz w:val="24"/>
          <w:szCs w:val="24"/>
        </w:rPr>
        <w:t xml:space="preserve">, SE, MSM </w:t>
      </w:r>
      <w:r w:rsidRPr="00856DCA">
        <w:rPr>
          <w:rFonts w:ascii="Times New Roman" w:eastAsia="Cambria" w:hAnsi="Times New Roman" w:cs="Times New Roman"/>
          <w:sz w:val="24"/>
          <w:szCs w:val="24"/>
        </w:rPr>
        <w:t>as the examining lecturer</w:t>
      </w:r>
      <w:r w:rsidR="00662C8A">
        <w:rPr>
          <w:rFonts w:ascii="Times New Roman" w:eastAsia="Cambria" w:hAnsi="Times New Roman" w:cs="Times New Roman"/>
          <w:sz w:val="24"/>
          <w:szCs w:val="24"/>
        </w:rPr>
        <w:t>.</w:t>
      </w:r>
    </w:p>
    <w:p w:rsidR="00662C8A" w:rsidRPr="00856DCA" w:rsidRDefault="00662C8A" w:rsidP="00662C8A">
      <w:pPr>
        <w:spacing w:line="240" w:lineRule="auto"/>
        <w:ind w:left="426"/>
        <w:contextualSpacing/>
        <w:jc w:val="both"/>
        <w:rPr>
          <w:rFonts w:ascii="Times New Roman" w:hAnsi="Times New Roman" w:cs="Times New Roman"/>
          <w:sz w:val="24"/>
          <w:szCs w:val="24"/>
        </w:rPr>
      </w:pPr>
    </w:p>
    <w:p w:rsidR="00856DCA" w:rsidRPr="00856DCA" w:rsidRDefault="00856DCA" w:rsidP="00856DCA">
      <w:pPr>
        <w:spacing w:after="0" w:line="240" w:lineRule="auto"/>
        <w:jc w:val="both"/>
        <w:rPr>
          <w:rFonts w:ascii="Times New Roman" w:eastAsia="Cambria" w:hAnsi="Times New Roman" w:cs="Times New Roman"/>
          <w:sz w:val="24"/>
          <w:szCs w:val="24"/>
        </w:rPr>
      </w:pPr>
      <w:r w:rsidRPr="00856DCA">
        <w:rPr>
          <w:rFonts w:ascii="Times New Roman" w:eastAsia="Cambria" w:hAnsi="Times New Roman" w:cs="Times New Roman"/>
          <w:b/>
          <w:sz w:val="24"/>
          <w:szCs w:val="24"/>
        </w:rPr>
        <w:t>REFERENCES</w:t>
      </w:r>
      <w:r w:rsidRPr="00856DCA">
        <w:rPr>
          <w:rFonts w:ascii="Times New Roman" w:eastAsia="Cambria" w:hAnsi="Times New Roman" w:cs="Times New Roman"/>
          <w:sz w:val="24"/>
          <w:szCs w:val="24"/>
        </w:rPr>
        <w:t xml:space="preserve"> </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eastAsia="Cambria" w:hAnsi="Times New Roman" w:cs="Times New Roman"/>
          <w:b/>
          <w:sz w:val="24"/>
          <w:szCs w:val="24"/>
        </w:rPr>
        <w:fldChar w:fldCharType="begin" w:fldLock="1"/>
      </w:r>
      <w:r w:rsidRPr="00856DCA">
        <w:rPr>
          <w:rFonts w:ascii="Times New Roman" w:eastAsia="Cambria" w:hAnsi="Times New Roman" w:cs="Times New Roman"/>
          <w:b/>
          <w:sz w:val="24"/>
          <w:szCs w:val="24"/>
        </w:rPr>
        <w:instrText xml:space="preserve">ADDIN Mendeley Bibliography CSL_BIBLIOGRAPHY </w:instrText>
      </w:r>
      <w:r w:rsidRPr="00856DCA">
        <w:rPr>
          <w:rFonts w:ascii="Times New Roman" w:eastAsia="Cambria" w:hAnsi="Times New Roman" w:cs="Times New Roman"/>
          <w:b/>
          <w:sz w:val="24"/>
          <w:szCs w:val="24"/>
        </w:rPr>
        <w:fldChar w:fldCharType="separate"/>
      </w:r>
      <w:r w:rsidRPr="00856DCA">
        <w:rPr>
          <w:rFonts w:ascii="Times New Roman" w:hAnsi="Times New Roman" w:cs="Times New Roman"/>
          <w:noProof/>
          <w:sz w:val="24"/>
          <w:szCs w:val="24"/>
        </w:rPr>
        <w:t xml:space="preserve">Arısal, İ., &amp; Atalar, T. (2016). The Exploring Relationships between Environmental Concern, Collectivism and Ecological Purchase Intention. </w:t>
      </w:r>
      <w:r w:rsidRPr="00856DCA">
        <w:rPr>
          <w:rFonts w:ascii="Times New Roman" w:hAnsi="Times New Roman" w:cs="Times New Roman"/>
          <w:i/>
          <w:iCs/>
          <w:noProof/>
          <w:sz w:val="24"/>
          <w:szCs w:val="24"/>
        </w:rPr>
        <w:t>Procedia - Social and Behavioral Sciences</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235</w:t>
      </w:r>
      <w:r w:rsidRPr="00856DCA">
        <w:rPr>
          <w:rFonts w:ascii="Times New Roman" w:hAnsi="Times New Roman" w:cs="Times New Roman"/>
          <w:noProof/>
          <w:sz w:val="24"/>
          <w:szCs w:val="24"/>
        </w:rPr>
        <w:t>(October), 514–521. https://doi.org/10.1016/j.sbspro.2016.11.063</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Behzad, A., Sinai, I., Sayedi, O., Alawi, K., Farewar, F., &amp; Zeng, W. (2022). Willingness and ability to pay for health insurance in Afghanistan. </w:t>
      </w:r>
      <w:r w:rsidRPr="00856DCA">
        <w:rPr>
          <w:rFonts w:ascii="Times New Roman" w:hAnsi="Times New Roman" w:cs="Times New Roman"/>
          <w:i/>
          <w:iCs/>
          <w:noProof/>
          <w:sz w:val="24"/>
          <w:szCs w:val="24"/>
        </w:rPr>
        <w:t>Health Policy OPEN</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3</w:t>
      </w:r>
      <w:r w:rsidRPr="00856DCA">
        <w:rPr>
          <w:rFonts w:ascii="Times New Roman" w:hAnsi="Times New Roman" w:cs="Times New Roman"/>
          <w:noProof/>
          <w:sz w:val="24"/>
          <w:szCs w:val="24"/>
        </w:rPr>
        <w:t>(April), 100076. https://doi.org/10.1016/j.hpopen.2022.100076</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Bulndi, L. B., Bayes, S., Adama, E., &amp; Ireson, D. (2023). North-central Nigerian women’s experiences of obstetric fistula risk factors and their perceived treatment services: An Interpretive Description. </w:t>
      </w:r>
      <w:r w:rsidRPr="00856DCA">
        <w:rPr>
          <w:rFonts w:ascii="Times New Roman" w:hAnsi="Times New Roman" w:cs="Times New Roman"/>
          <w:i/>
          <w:iCs/>
          <w:noProof/>
          <w:sz w:val="24"/>
          <w:szCs w:val="24"/>
        </w:rPr>
        <w:t>Women and Birth</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February</w:t>
      </w:r>
      <w:r w:rsidRPr="00856DCA">
        <w:rPr>
          <w:rFonts w:ascii="Times New Roman" w:hAnsi="Times New Roman" w:cs="Times New Roman"/>
          <w:noProof/>
          <w:sz w:val="24"/>
          <w:szCs w:val="24"/>
        </w:rPr>
        <w:t>. https://doi.org/10.1016/j.wombi.2023.02.007</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Chan, V. H. Y., Chiu, D. K. W., &amp; Ho, K. K. W. (2022). Mediating effects on the relationship between perceived service quality and public library app loyalty during the COVID-19 era. </w:t>
      </w:r>
      <w:r w:rsidRPr="00856DCA">
        <w:rPr>
          <w:rFonts w:ascii="Times New Roman" w:hAnsi="Times New Roman" w:cs="Times New Roman"/>
          <w:i/>
          <w:iCs/>
          <w:noProof/>
          <w:sz w:val="24"/>
          <w:szCs w:val="24"/>
        </w:rPr>
        <w:t>Journal of Retailing and Consumer Services</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67</w:t>
      </w:r>
      <w:r w:rsidRPr="00856DCA">
        <w:rPr>
          <w:rFonts w:ascii="Times New Roman" w:hAnsi="Times New Roman" w:cs="Times New Roman"/>
          <w:noProof/>
          <w:sz w:val="24"/>
          <w:szCs w:val="24"/>
        </w:rPr>
        <w:t>(October 2021), 102960. https://doi.org/10.1016/j.jretconser.2022.102960</w:t>
      </w:r>
    </w:p>
    <w:p w:rsidR="00856DCA" w:rsidRPr="00856DCA" w:rsidRDefault="00856DCA" w:rsidP="00E8198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Chauhan, V., Gupta, A., &amp; Parida, M. (2023). Do users’ characteristics really influence the perceived service quality of Multimodal Transportation Hub (MMTH)? An association rules mining approach. </w:t>
      </w:r>
      <w:r w:rsidRPr="00856DCA">
        <w:rPr>
          <w:rFonts w:ascii="Times New Roman" w:hAnsi="Times New Roman" w:cs="Times New Roman"/>
          <w:i/>
          <w:iCs/>
          <w:noProof/>
          <w:sz w:val="24"/>
          <w:szCs w:val="24"/>
        </w:rPr>
        <w:t>Multimodal Transportation</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2</w:t>
      </w:r>
      <w:r w:rsidRPr="00856DCA">
        <w:rPr>
          <w:rFonts w:ascii="Times New Roman" w:hAnsi="Times New Roman" w:cs="Times New Roman"/>
          <w:noProof/>
          <w:sz w:val="24"/>
          <w:szCs w:val="24"/>
        </w:rPr>
        <w:t>(2), 100069. https://doi.org/10.1016/j.multra.2023.100069</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Dangelico, R. M., Alvino, L., &amp; Fraccascia, L. (2022). Investigating the antecedents of consumer behavioral intention for sustainable fashion products: Evidence from a large survey of Italian consumers. </w:t>
      </w:r>
      <w:r w:rsidRPr="00856DCA">
        <w:rPr>
          <w:rFonts w:ascii="Times New Roman" w:hAnsi="Times New Roman" w:cs="Times New Roman"/>
          <w:i/>
          <w:iCs/>
          <w:noProof/>
          <w:sz w:val="24"/>
          <w:szCs w:val="24"/>
        </w:rPr>
        <w:t>Technological Forecasting and Social Change</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185</w:t>
      </w:r>
      <w:r w:rsidRPr="00856DCA">
        <w:rPr>
          <w:rFonts w:ascii="Times New Roman" w:hAnsi="Times New Roman" w:cs="Times New Roman"/>
          <w:noProof/>
          <w:sz w:val="24"/>
          <w:szCs w:val="24"/>
        </w:rPr>
        <w:t>(August), 122010. https://doi.org/10.1016/j.techfore.2022.122010</w:t>
      </w:r>
    </w:p>
    <w:p w:rsidR="00856DCA" w:rsidRPr="00856DCA" w:rsidRDefault="00856DCA" w:rsidP="00E8198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Dasgupta, S., Roy, J., Ghosh, M., &amp; Talukder, J. (2022). Willingness to pay (WTP) for arsenic-safe drinking water: A case study to understand societal embedding of ECAR technology in rural West Bengal, India. </w:t>
      </w:r>
      <w:r w:rsidRPr="00856DCA">
        <w:rPr>
          <w:rFonts w:ascii="Times New Roman" w:hAnsi="Times New Roman" w:cs="Times New Roman"/>
          <w:i/>
          <w:iCs/>
          <w:noProof/>
          <w:sz w:val="24"/>
          <w:szCs w:val="24"/>
        </w:rPr>
        <w:t>Development Engineering</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7</w:t>
      </w:r>
      <w:r w:rsidRPr="00856DCA">
        <w:rPr>
          <w:rFonts w:ascii="Times New Roman" w:hAnsi="Times New Roman" w:cs="Times New Roman"/>
          <w:noProof/>
          <w:sz w:val="24"/>
          <w:szCs w:val="24"/>
        </w:rPr>
        <w:t>(September 2021), 100096. https://doi.org/10.1016/j.deveng.2022.100096</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Dursun, I., Kabadayi, E. T., Alan, A. K., &amp; Sezen, B. (2011). Store brand purchase intention: Effects of risk, quality, familiarity and store brand shelf space. </w:t>
      </w:r>
      <w:r w:rsidRPr="00856DCA">
        <w:rPr>
          <w:rFonts w:ascii="Times New Roman" w:hAnsi="Times New Roman" w:cs="Times New Roman"/>
          <w:i/>
          <w:iCs/>
          <w:noProof/>
          <w:sz w:val="24"/>
          <w:szCs w:val="24"/>
        </w:rPr>
        <w:t>Procedia - Social and Behavioral Sciences</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24</w:t>
      </w:r>
      <w:r w:rsidRPr="00856DCA">
        <w:rPr>
          <w:rFonts w:ascii="Times New Roman" w:hAnsi="Times New Roman" w:cs="Times New Roman"/>
          <w:noProof/>
          <w:sz w:val="24"/>
          <w:szCs w:val="24"/>
        </w:rPr>
        <w:t>, 1190–1200. https://doi.org/10.1016/j.sbspro.2011.09.133</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Hamari, J., Hanner, N., &amp; Koivisto, J. (2020). “Why pay premium in freemium </w:t>
      </w:r>
      <w:r w:rsidRPr="00856DCA">
        <w:rPr>
          <w:rFonts w:ascii="Times New Roman" w:hAnsi="Times New Roman" w:cs="Times New Roman"/>
          <w:noProof/>
          <w:sz w:val="24"/>
          <w:szCs w:val="24"/>
        </w:rPr>
        <w:lastRenderedPageBreak/>
        <w:t xml:space="preserve">services?” A study on perceived value, continued use and purchase intentions in free-to-play games. </w:t>
      </w:r>
      <w:r w:rsidRPr="00856DCA">
        <w:rPr>
          <w:rFonts w:ascii="Times New Roman" w:hAnsi="Times New Roman" w:cs="Times New Roman"/>
          <w:i/>
          <w:iCs/>
          <w:noProof/>
          <w:sz w:val="24"/>
          <w:szCs w:val="24"/>
        </w:rPr>
        <w:t>International Journal of Information Management</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51</w:t>
      </w:r>
      <w:r w:rsidRPr="00856DCA">
        <w:rPr>
          <w:rFonts w:ascii="Times New Roman" w:hAnsi="Times New Roman" w:cs="Times New Roman"/>
          <w:noProof/>
          <w:sz w:val="24"/>
          <w:szCs w:val="24"/>
        </w:rPr>
        <w:t>(November 2018), 102040. https://doi.org/10.1016/j.ijinfomgt.2019.102040</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Hassan, A. Y. I., Cucculelli, M., &amp; Lamura, G. (2023). Caregivers’ willingness to pay for digital support services: Comparative survey. </w:t>
      </w:r>
      <w:r w:rsidRPr="00856DCA">
        <w:rPr>
          <w:rFonts w:ascii="Times New Roman" w:hAnsi="Times New Roman" w:cs="Times New Roman"/>
          <w:i/>
          <w:iCs/>
          <w:noProof/>
          <w:sz w:val="24"/>
          <w:szCs w:val="24"/>
        </w:rPr>
        <w:t>Health Policy</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130</w:t>
      </w:r>
      <w:r w:rsidRPr="00856DCA">
        <w:rPr>
          <w:rFonts w:ascii="Times New Roman" w:hAnsi="Times New Roman" w:cs="Times New Roman"/>
          <w:noProof/>
          <w:sz w:val="24"/>
          <w:szCs w:val="24"/>
        </w:rPr>
        <w:t>(January), 104751. https://doi.org/10.1016/j.healthpol.2023.104751</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Indrawati, Putri Yones, P. C., &amp; Muthaiyah, S. (2022). eWOM via the TikTok application and its influence on the purchase intention of somethinc products. </w:t>
      </w:r>
      <w:r w:rsidRPr="00856DCA">
        <w:rPr>
          <w:rFonts w:ascii="Times New Roman" w:hAnsi="Times New Roman" w:cs="Times New Roman"/>
          <w:i/>
          <w:iCs/>
          <w:noProof/>
          <w:sz w:val="24"/>
          <w:szCs w:val="24"/>
        </w:rPr>
        <w:t>Asia Pacific Management Review</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xxxx</w:t>
      </w:r>
      <w:r w:rsidRPr="00856DCA">
        <w:rPr>
          <w:rFonts w:ascii="Times New Roman" w:hAnsi="Times New Roman" w:cs="Times New Roman"/>
          <w:noProof/>
          <w:sz w:val="24"/>
          <w:szCs w:val="24"/>
        </w:rPr>
        <w:t>. https://doi.org/10.1016/j.apmrv.2022.07.007</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Kabir, A. N. M. F., Alam, M. J., Begum, I. A., &amp; McKenzie, A. M. (2023). Consumers’ interest and willingness to pay for traceable vegetables- An empirical evidence from Bangladesh. </w:t>
      </w:r>
      <w:r w:rsidRPr="00856DCA">
        <w:rPr>
          <w:rFonts w:ascii="Times New Roman" w:hAnsi="Times New Roman" w:cs="Times New Roman"/>
          <w:i/>
          <w:iCs/>
          <w:noProof/>
          <w:sz w:val="24"/>
          <w:szCs w:val="24"/>
        </w:rPr>
        <w:t>Future Foods</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7</w:t>
      </w:r>
      <w:r w:rsidRPr="00856DCA">
        <w:rPr>
          <w:rFonts w:ascii="Times New Roman" w:hAnsi="Times New Roman" w:cs="Times New Roman"/>
          <w:noProof/>
          <w:sz w:val="24"/>
          <w:szCs w:val="24"/>
        </w:rPr>
        <w:t>(October 2022). https://doi.org/10.1016/j.fufo.2022.100214</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Klychova, G., Zakirova, A., Aidosova, B., Bukharbayeva, A., Makenova, A., &amp; Zakirov, A. (2022). Development of recommendations to popularize the idea of using public transport services by city residents. </w:t>
      </w:r>
      <w:r w:rsidRPr="00856DCA">
        <w:rPr>
          <w:rFonts w:ascii="Times New Roman" w:hAnsi="Times New Roman" w:cs="Times New Roman"/>
          <w:i/>
          <w:iCs/>
          <w:noProof/>
          <w:sz w:val="24"/>
          <w:szCs w:val="24"/>
        </w:rPr>
        <w:t>Transportation Research Procedia</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63</w:t>
      </w:r>
      <w:r w:rsidRPr="00856DCA">
        <w:rPr>
          <w:rFonts w:ascii="Times New Roman" w:hAnsi="Times New Roman" w:cs="Times New Roman"/>
          <w:noProof/>
          <w:sz w:val="24"/>
          <w:szCs w:val="24"/>
        </w:rPr>
        <w:t>, 377–385. https://doi.org/10.1016/j.trpro.2022.06.025</w:t>
      </w:r>
    </w:p>
    <w:p w:rsidR="00856DCA" w:rsidRPr="00856DCA" w:rsidRDefault="00856DCA" w:rsidP="00E8198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Li, Y., &amp; Shang, H. (2020). Service quality, perceived value, and citizens’ continuous-use intention regarding e-government: Empirical evidence from China. </w:t>
      </w:r>
      <w:r w:rsidRPr="00856DCA">
        <w:rPr>
          <w:rFonts w:ascii="Times New Roman" w:hAnsi="Times New Roman" w:cs="Times New Roman"/>
          <w:i/>
          <w:iCs/>
          <w:noProof/>
          <w:sz w:val="24"/>
          <w:szCs w:val="24"/>
        </w:rPr>
        <w:t>Information and Management</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57</w:t>
      </w:r>
      <w:r w:rsidRPr="00856DCA">
        <w:rPr>
          <w:rFonts w:ascii="Times New Roman" w:hAnsi="Times New Roman" w:cs="Times New Roman"/>
          <w:noProof/>
          <w:sz w:val="24"/>
          <w:szCs w:val="24"/>
        </w:rPr>
        <w:t>(3), 103197. https://doi.org/10.1016/j.im.2019.103197</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Lv, Z., &amp; Shang, W. (2022). Impacts of intelligent transportation systems on energy conservation and emission reduction of transport systems: A comprehensive review. </w:t>
      </w:r>
      <w:r w:rsidRPr="00856DCA">
        <w:rPr>
          <w:rFonts w:ascii="Times New Roman" w:hAnsi="Times New Roman" w:cs="Times New Roman"/>
          <w:i/>
          <w:iCs/>
          <w:noProof/>
          <w:sz w:val="24"/>
          <w:szCs w:val="24"/>
        </w:rPr>
        <w:t>Green Technologies and Sustainability</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1</w:t>
      </w:r>
      <w:r w:rsidRPr="00856DCA">
        <w:rPr>
          <w:rFonts w:ascii="Times New Roman" w:hAnsi="Times New Roman" w:cs="Times New Roman"/>
          <w:noProof/>
          <w:sz w:val="24"/>
          <w:szCs w:val="24"/>
        </w:rPr>
        <w:t>(September 2022), 100002. https://doi.org/10.1016/j.grets.2022.100002</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Nguyen, N. H., Dao, T. K., Duong, T. T., Nguyen, T. T., Nguyen, V. K., &amp; Dao, T. L. (2023). Heliyon Role of consumer ethnocentrism on purchase intention toward foreign products : Evidence from data of Vietnamese consumers with Chinese products. </w:t>
      </w:r>
      <w:r w:rsidRPr="00856DCA">
        <w:rPr>
          <w:rFonts w:ascii="Times New Roman" w:hAnsi="Times New Roman" w:cs="Times New Roman"/>
          <w:i/>
          <w:iCs/>
          <w:noProof/>
          <w:sz w:val="24"/>
          <w:szCs w:val="24"/>
        </w:rPr>
        <w:t>Heliyon</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9</w:t>
      </w:r>
      <w:r w:rsidRPr="00856DCA">
        <w:rPr>
          <w:rFonts w:ascii="Times New Roman" w:hAnsi="Times New Roman" w:cs="Times New Roman"/>
          <w:noProof/>
          <w:sz w:val="24"/>
          <w:szCs w:val="24"/>
        </w:rPr>
        <w:t>(2), e13069. https://doi.org/10.1016/j.heliyon.2023.e13069</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Pandey, M., &amp; Yadav, P. S. (2023). Understanding the role of individual concerns, attitude, and perceived value in green apparel purchase intention; the mediating effect of consumer involvement and moderating role of generation Z&amp;Y. </w:t>
      </w:r>
      <w:r w:rsidRPr="00856DCA">
        <w:rPr>
          <w:rFonts w:ascii="Times New Roman" w:hAnsi="Times New Roman" w:cs="Times New Roman"/>
          <w:i/>
          <w:iCs/>
          <w:noProof/>
          <w:sz w:val="24"/>
          <w:szCs w:val="24"/>
        </w:rPr>
        <w:t>Cleaner and Responsible Consumption</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9</w:t>
      </w:r>
      <w:r w:rsidRPr="00856DCA">
        <w:rPr>
          <w:rFonts w:ascii="Times New Roman" w:hAnsi="Times New Roman" w:cs="Times New Roman"/>
          <w:noProof/>
          <w:sz w:val="24"/>
          <w:szCs w:val="24"/>
        </w:rPr>
        <w:t>(April), 100120. https://doi.org/10.1016/j.clrc.2023.100120</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Shakeel, U. (2022). Electric vehicle development in Pakistan: Predicting consumer purchase intention. </w:t>
      </w:r>
      <w:r w:rsidRPr="00856DCA">
        <w:rPr>
          <w:rFonts w:ascii="Times New Roman" w:hAnsi="Times New Roman" w:cs="Times New Roman"/>
          <w:i/>
          <w:iCs/>
          <w:noProof/>
          <w:sz w:val="24"/>
          <w:szCs w:val="24"/>
        </w:rPr>
        <w:t>Cleaner and Responsible Consumption</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5</w:t>
      </w:r>
      <w:r w:rsidRPr="00856DCA">
        <w:rPr>
          <w:rFonts w:ascii="Times New Roman" w:hAnsi="Times New Roman" w:cs="Times New Roman"/>
          <w:noProof/>
          <w:sz w:val="24"/>
          <w:szCs w:val="24"/>
        </w:rPr>
        <w:t>(November 2021), 100065. https://doi.org/10.1016/j.clrc.2022.100065</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Streletskaya, N. A., Maruyama, S., Queisser, S., Cole, S., Stelick, A. N., &amp; Lim, J. (2023). How information leads consumers to select specialty foods when tasting is not an option. </w:t>
      </w:r>
      <w:r w:rsidRPr="00856DCA">
        <w:rPr>
          <w:rFonts w:ascii="Times New Roman" w:hAnsi="Times New Roman" w:cs="Times New Roman"/>
          <w:i/>
          <w:iCs/>
          <w:noProof/>
          <w:sz w:val="24"/>
          <w:szCs w:val="24"/>
        </w:rPr>
        <w:t>Food Quality and Preference</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105</w:t>
      </w:r>
      <w:r w:rsidRPr="00856DCA">
        <w:rPr>
          <w:rFonts w:ascii="Times New Roman" w:hAnsi="Times New Roman" w:cs="Times New Roman"/>
          <w:noProof/>
          <w:sz w:val="24"/>
          <w:szCs w:val="24"/>
        </w:rPr>
        <w:t>(November 2022), 104769. https://doi.org/10.1016/j.foodqual.2022.104769</w:t>
      </w:r>
    </w:p>
    <w:p w:rsidR="00856DCA" w:rsidRPr="00856DCA" w:rsidRDefault="00856DCA" w:rsidP="00856DC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Treiblmaier, H., &amp; Garaus, M. (2022). Using blockchain to signal quality in the food supply chain: The impact on consumer purchase intentions and the moderating effect of brand familiarity. </w:t>
      </w:r>
      <w:r w:rsidRPr="00856DCA">
        <w:rPr>
          <w:rFonts w:ascii="Times New Roman" w:hAnsi="Times New Roman" w:cs="Times New Roman"/>
          <w:i/>
          <w:iCs/>
          <w:noProof/>
          <w:sz w:val="24"/>
          <w:szCs w:val="24"/>
        </w:rPr>
        <w:t>International Journal of Information Management</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68</w:t>
      </w:r>
      <w:r w:rsidRPr="00856DCA">
        <w:rPr>
          <w:rFonts w:ascii="Times New Roman" w:hAnsi="Times New Roman" w:cs="Times New Roman"/>
          <w:noProof/>
          <w:sz w:val="24"/>
          <w:szCs w:val="24"/>
        </w:rPr>
        <w:t>(April 2022), 102514. https://doi.org/10.1016/j.ijinfomgt.2022.102514</w:t>
      </w:r>
    </w:p>
    <w:p w:rsidR="00856DCA" w:rsidRPr="00856DCA" w:rsidRDefault="00856DCA" w:rsidP="00662C8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56DCA">
        <w:rPr>
          <w:rFonts w:ascii="Times New Roman" w:hAnsi="Times New Roman" w:cs="Times New Roman"/>
          <w:noProof/>
          <w:sz w:val="24"/>
          <w:szCs w:val="24"/>
        </w:rPr>
        <w:t xml:space="preserve">Vazquez, E., Rodrigues, B., Najjar, M. K., Haddad, A., &amp; Wa, A. (2022). A framework to locate new medium and high capacity stations for public transportation modes of transport in Rio de Janeiro. </w:t>
      </w:r>
      <w:r w:rsidRPr="00856DCA">
        <w:rPr>
          <w:rFonts w:ascii="Times New Roman" w:hAnsi="Times New Roman" w:cs="Times New Roman"/>
          <w:i/>
          <w:iCs/>
          <w:noProof/>
          <w:sz w:val="24"/>
          <w:szCs w:val="24"/>
        </w:rPr>
        <w:t>Cleaner Engineering and Technology</w:t>
      </w:r>
      <w:r w:rsidRPr="00856DCA">
        <w:rPr>
          <w:rFonts w:ascii="Times New Roman" w:hAnsi="Times New Roman" w:cs="Times New Roman"/>
          <w:noProof/>
          <w:sz w:val="24"/>
          <w:szCs w:val="24"/>
        </w:rPr>
        <w:t xml:space="preserve">, </w:t>
      </w:r>
      <w:r w:rsidRPr="00856DCA">
        <w:rPr>
          <w:rFonts w:ascii="Times New Roman" w:hAnsi="Times New Roman" w:cs="Times New Roman"/>
          <w:i/>
          <w:iCs/>
          <w:noProof/>
          <w:sz w:val="24"/>
          <w:szCs w:val="24"/>
        </w:rPr>
        <w:t>10</w:t>
      </w:r>
      <w:r w:rsidRPr="00856DCA">
        <w:rPr>
          <w:rFonts w:ascii="Times New Roman" w:hAnsi="Times New Roman" w:cs="Times New Roman"/>
          <w:noProof/>
          <w:sz w:val="24"/>
          <w:szCs w:val="24"/>
        </w:rPr>
        <w:t>(November 2020), 100537. https://doi.org/10.1016/j.clet.2022.100537</w:t>
      </w:r>
    </w:p>
    <w:p w:rsidR="00856DCA" w:rsidRPr="00662C8A" w:rsidRDefault="00856DCA" w:rsidP="00856DCA">
      <w:pPr>
        <w:spacing w:after="0" w:line="240" w:lineRule="auto"/>
        <w:jc w:val="both"/>
        <w:rPr>
          <w:rFonts w:ascii="Times New Roman" w:eastAsia="Cambria" w:hAnsi="Times New Roman" w:cs="Times New Roman"/>
          <w:b/>
          <w:sz w:val="24"/>
          <w:szCs w:val="24"/>
        </w:rPr>
      </w:pPr>
      <w:r w:rsidRPr="00856DCA">
        <w:rPr>
          <w:rFonts w:ascii="Times New Roman" w:eastAsia="Cambria" w:hAnsi="Times New Roman" w:cs="Times New Roman"/>
          <w:b/>
          <w:sz w:val="24"/>
          <w:szCs w:val="24"/>
        </w:rPr>
        <w:fldChar w:fldCharType="end"/>
      </w:r>
    </w:p>
    <w:sectPr w:rsidR="00856DCA" w:rsidRPr="00662C8A" w:rsidSect="00003230">
      <w:headerReference w:type="default" r:id="rId13"/>
      <w:pgSz w:w="11907" w:h="16839" w:code="9"/>
      <w:pgMar w:top="1701"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30" w:rsidRDefault="00DD6230" w:rsidP="00737C05">
      <w:pPr>
        <w:spacing w:after="0" w:line="240" w:lineRule="auto"/>
      </w:pPr>
      <w:r>
        <w:separator/>
      </w:r>
    </w:p>
  </w:endnote>
  <w:endnote w:type="continuationSeparator" w:id="0">
    <w:p w:rsidR="00DD6230" w:rsidRDefault="00DD6230" w:rsidP="0073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30" w:rsidRDefault="00DD6230" w:rsidP="00737C05">
      <w:pPr>
        <w:spacing w:after="0" w:line="240" w:lineRule="auto"/>
      </w:pPr>
      <w:r>
        <w:separator/>
      </w:r>
    </w:p>
  </w:footnote>
  <w:footnote w:type="continuationSeparator" w:id="0">
    <w:p w:rsidR="00DD6230" w:rsidRDefault="00DD6230" w:rsidP="00737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30" w:rsidRPr="006A681C" w:rsidRDefault="00003230" w:rsidP="00003230">
    <w:pPr>
      <w:pStyle w:val="Header"/>
      <w:jc w:val="center"/>
      <w:rPr>
        <w:rFonts w:ascii="Times New Roman" w:hAnsi="Times New Roman" w:cs="Times New Roman"/>
        <w:sz w:val="20"/>
        <w:szCs w:val="20"/>
      </w:rPr>
    </w:pPr>
    <w:proofErr w:type="spellStart"/>
    <w:r w:rsidRPr="007D20B9">
      <w:rPr>
        <w:rFonts w:ascii="Times New Roman" w:hAnsi="Times New Roman" w:cs="Times New Roman"/>
        <w:sz w:val="20"/>
        <w:szCs w:val="20"/>
      </w:rPr>
      <w:t>Jurnal</w:t>
    </w:r>
    <w:proofErr w:type="spellEnd"/>
    <w:r w:rsidRPr="007D20B9">
      <w:rPr>
        <w:rFonts w:ascii="Times New Roman" w:hAnsi="Times New Roman" w:cs="Times New Roman"/>
        <w:sz w:val="20"/>
        <w:szCs w:val="20"/>
      </w:rPr>
      <w:t xml:space="preserve"> PASTI, Vol. XX, No. XX, </w:t>
    </w:r>
    <w:proofErr w:type="spellStart"/>
    <w:r w:rsidRPr="007D20B9">
      <w:rPr>
        <w:rFonts w:ascii="Times New Roman" w:hAnsi="Times New Roman" w:cs="Times New Roman"/>
        <w:sz w:val="20"/>
        <w:szCs w:val="20"/>
      </w:rPr>
      <w:t>Bulan</w:t>
    </w:r>
    <w:proofErr w:type="spellEnd"/>
    <w:r w:rsidRPr="007D20B9">
      <w:rPr>
        <w:rFonts w:ascii="Times New Roman" w:hAnsi="Times New Roman" w:cs="Times New Roman"/>
        <w:sz w:val="20"/>
        <w:szCs w:val="20"/>
      </w:rPr>
      <w:t xml:space="preserve"> </w:t>
    </w:r>
    <w:proofErr w:type="spellStart"/>
    <w:r w:rsidRPr="007D20B9">
      <w:rPr>
        <w:rFonts w:ascii="Times New Roman" w:hAnsi="Times New Roman" w:cs="Times New Roman"/>
        <w:sz w:val="20"/>
        <w:szCs w:val="20"/>
      </w:rPr>
      <w:t>Tahun</w:t>
    </w:r>
    <w:proofErr w:type="spellEnd"/>
    <w:r w:rsidRPr="007D20B9">
      <w:rPr>
        <w:rFonts w:ascii="Times New Roman" w:hAnsi="Times New Roman" w:cs="Times New Roman"/>
        <w:sz w:val="20"/>
        <w:szCs w:val="20"/>
      </w:rPr>
      <w:t>, pp. xx-xx.</w:t>
    </w:r>
  </w:p>
  <w:p w:rsidR="00003230" w:rsidRDefault="00003230">
    <w:pPr>
      <w:pStyle w:val="Header"/>
    </w:pPr>
  </w:p>
  <w:p w:rsidR="00003230" w:rsidRDefault="00003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1C" w:rsidRDefault="00A817B3" w:rsidP="00A817B3">
    <w:pPr>
      <w:pStyle w:val="Header"/>
      <w:rPr>
        <w:rFonts w:ascii="Times New Roman" w:hAnsi="Times New Roman" w:cs="Times New Roman"/>
        <w:sz w:val="20"/>
        <w:szCs w:val="20"/>
      </w:rPr>
    </w:pPr>
    <w:proofErr w:type="spellStart"/>
    <w:r>
      <w:rPr>
        <w:rFonts w:ascii="Times New Roman" w:hAnsi="Times New Roman" w:cs="Times New Roman"/>
        <w:sz w:val="20"/>
        <w:szCs w:val="20"/>
      </w:rPr>
      <w:t>Jurnal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Aplikasi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r>
      <w:rPr>
        <w:rFonts w:ascii="Times New Roman" w:hAnsi="Times New Roman" w:cs="Times New Roman"/>
        <w:sz w:val="20"/>
        <w:szCs w:val="20"/>
      </w:rPr>
      <w:t xml:space="preserve"> (PASTI)</w:t>
    </w:r>
  </w:p>
  <w:p w:rsidR="00A817B3" w:rsidRDefault="00A817B3" w:rsidP="00A817B3">
    <w:pPr>
      <w:pStyle w:val="Header"/>
      <w:rPr>
        <w:rFonts w:ascii="Times New Roman" w:hAnsi="Times New Roman" w:cs="Times New Roman"/>
        <w:sz w:val="20"/>
        <w:szCs w:val="20"/>
      </w:rPr>
    </w:pPr>
    <w:r>
      <w:rPr>
        <w:rFonts w:ascii="Times New Roman" w:hAnsi="Times New Roman" w:cs="Times New Roman"/>
        <w:sz w:val="20"/>
        <w:szCs w:val="20"/>
      </w:rPr>
      <w:t xml:space="preserve">Vol. XX, No. XX,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xx-xx</w:t>
    </w:r>
  </w:p>
  <w:p w:rsidR="00A817B3" w:rsidRPr="006A681C" w:rsidRDefault="00A817B3" w:rsidP="00A817B3">
    <w:pPr>
      <w:pStyle w:val="Header"/>
      <w:rPr>
        <w:rFonts w:ascii="Times New Roman" w:hAnsi="Times New Roman" w:cs="Times New Roman"/>
        <w:sz w:val="20"/>
        <w:szCs w:val="20"/>
      </w:rPr>
    </w:pPr>
    <w:proofErr w:type="gramStart"/>
    <w:r>
      <w:rPr>
        <w:rFonts w:ascii="Times New Roman" w:hAnsi="Times New Roman" w:cs="Times New Roman"/>
        <w:sz w:val="20"/>
        <w:szCs w:val="20"/>
      </w:rPr>
      <w:t>p-ISSN</w:t>
    </w:r>
    <w:proofErr w:type="gramEnd"/>
    <w:r>
      <w:rPr>
        <w:rFonts w:ascii="Times New Roman" w:hAnsi="Times New Roman" w:cs="Times New Roman"/>
        <w:sz w:val="20"/>
        <w:szCs w:val="20"/>
      </w:rPr>
      <w:t xml:space="preserve"> 2085-569/ e-ISSN 2598-4853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B3" w:rsidRPr="006A681C" w:rsidRDefault="00A817B3" w:rsidP="006A681C">
    <w:pPr>
      <w:pStyle w:val="Header"/>
      <w:jc w:val="center"/>
      <w:rPr>
        <w:rFonts w:ascii="Times New Roman" w:hAnsi="Times New Roman" w:cs="Times New Roman"/>
        <w:sz w:val="20"/>
        <w:szCs w:val="20"/>
      </w:rPr>
    </w:pPr>
    <w:proofErr w:type="spellStart"/>
    <w:r w:rsidRPr="007D20B9">
      <w:rPr>
        <w:rFonts w:ascii="Times New Roman" w:hAnsi="Times New Roman" w:cs="Times New Roman"/>
        <w:sz w:val="20"/>
        <w:szCs w:val="20"/>
      </w:rPr>
      <w:t>Jurnal</w:t>
    </w:r>
    <w:proofErr w:type="spellEnd"/>
    <w:r w:rsidRPr="007D20B9">
      <w:rPr>
        <w:rFonts w:ascii="Times New Roman" w:hAnsi="Times New Roman" w:cs="Times New Roman"/>
        <w:sz w:val="20"/>
        <w:szCs w:val="20"/>
      </w:rPr>
      <w:t xml:space="preserve"> PASTI, Vol. XX, No. XX, </w:t>
    </w:r>
    <w:proofErr w:type="spellStart"/>
    <w:r w:rsidRPr="007D20B9">
      <w:rPr>
        <w:rFonts w:ascii="Times New Roman" w:hAnsi="Times New Roman" w:cs="Times New Roman"/>
        <w:sz w:val="20"/>
        <w:szCs w:val="20"/>
      </w:rPr>
      <w:t>Bulan</w:t>
    </w:r>
    <w:proofErr w:type="spellEnd"/>
    <w:r w:rsidRPr="007D20B9">
      <w:rPr>
        <w:rFonts w:ascii="Times New Roman" w:hAnsi="Times New Roman" w:cs="Times New Roman"/>
        <w:sz w:val="20"/>
        <w:szCs w:val="20"/>
      </w:rPr>
      <w:t xml:space="preserve"> </w:t>
    </w:r>
    <w:proofErr w:type="spellStart"/>
    <w:r w:rsidRPr="007D20B9">
      <w:rPr>
        <w:rFonts w:ascii="Times New Roman" w:hAnsi="Times New Roman" w:cs="Times New Roman"/>
        <w:sz w:val="20"/>
        <w:szCs w:val="20"/>
      </w:rPr>
      <w:t>Tahun</w:t>
    </w:r>
    <w:proofErr w:type="spellEnd"/>
    <w:r w:rsidRPr="007D20B9">
      <w:rPr>
        <w:rFonts w:ascii="Times New Roman" w:hAnsi="Times New Roman" w:cs="Times New Roman"/>
        <w:sz w:val="20"/>
        <w:szCs w:val="20"/>
      </w:rPr>
      <w:t>,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A6AB2"/>
    <w:multiLevelType w:val="multilevel"/>
    <w:tmpl w:val="1EE81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1D4DE7"/>
    <w:multiLevelType w:val="hybridMultilevel"/>
    <w:tmpl w:val="95E27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05"/>
    <w:rsid w:val="00003230"/>
    <w:rsid w:val="003361D9"/>
    <w:rsid w:val="004368A9"/>
    <w:rsid w:val="00662C8A"/>
    <w:rsid w:val="006A681C"/>
    <w:rsid w:val="00737C05"/>
    <w:rsid w:val="007D20B9"/>
    <w:rsid w:val="00856DCA"/>
    <w:rsid w:val="009D1DF2"/>
    <w:rsid w:val="00A468E8"/>
    <w:rsid w:val="00A817B3"/>
    <w:rsid w:val="00B85802"/>
    <w:rsid w:val="00CC1F54"/>
    <w:rsid w:val="00CD0DA5"/>
    <w:rsid w:val="00DD6230"/>
    <w:rsid w:val="00E8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C05"/>
  </w:style>
  <w:style w:type="paragraph" w:styleId="Footer">
    <w:name w:val="footer"/>
    <w:basedOn w:val="Normal"/>
    <w:link w:val="FooterChar"/>
    <w:uiPriority w:val="99"/>
    <w:unhideWhenUsed/>
    <w:rsid w:val="00737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C05"/>
  </w:style>
  <w:style w:type="paragraph" w:styleId="BalloonText">
    <w:name w:val="Balloon Text"/>
    <w:basedOn w:val="Normal"/>
    <w:link w:val="BalloonTextChar"/>
    <w:uiPriority w:val="99"/>
    <w:semiHidden/>
    <w:unhideWhenUsed/>
    <w:rsid w:val="00737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05"/>
    <w:rPr>
      <w:rFonts w:ascii="Tahoma" w:hAnsi="Tahoma" w:cs="Tahoma"/>
      <w:sz w:val="16"/>
      <w:szCs w:val="16"/>
    </w:rPr>
  </w:style>
  <w:style w:type="paragraph" w:styleId="ListParagraph">
    <w:name w:val="List Paragraph"/>
    <w:basedOn w:val="Normal"/>
    <w:uiPriority w:val="34"/>
    <w:qFormat/>
    <w:rsid w:val="00CD0DA5"/>
    <w:pPr>
      <w:ind w:left="720"/>
      <w:contextualSpacing/>
    </w:pPr>
  </w:style>
  <w:style w:type="character" w:customStyle="1" w:styleId="y2iqfc">
    <w:name w:val="y2iqfc"/>
    <w:basedOn w:val="DefaultParagraphFont"/>
    <w:rsid w:val="00CD0DA5"/>
  </w:style>
  <w:style w:type="paragraph" w:styleId="NormalWeb">
    <w:name w:val="Normal (Web)"/>
    <w:basedOn w:val="Normal"/>
    <w:uiPriority w:val="99"/>
    <w:unhideWhenUsed/>
    <w:rsid w:val="00E819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C05"/>
  </w:style>
  <w:style w:type="paragraph" w:styleId="Footer">
    <w:name w:val="footer"/>
    <w:basedOn w:val="Normal"/>
    <w:link w:val="FooterChar"/>
    <w:uiPriority w:val="99"/>
    <w:unhideWhenUsed/>
    <w:rsid w:val="00737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C05"/>
  </w:style>
  <w:style w:type="paragraph" w:styleId="BalloonText">
    <w:name w:val="Balloon Text"/>
    <w:basedOn w:val="Normal"/>
    <w:link w:val="BalloonTextChar"/>
    <w:uiPriority w:val="99"/>
    <w:semiHidden/>
    <w:unhideWhenUsed/>
    <w:rsid w:val="00737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05"/>
    <w:rPr>
      <w:rFonts w:ascii="Tahoma" w:hAnsi="Tahoma" w:cs="Tahoma"/>
      <w:sz w:val="16"/>
      <w:szCs w:val="16"/>
    </w:rPr>
  </w:style>
  <w:style w:type="paragraph" w:styleId="ListParagraph">
    <w:name w:val="List Paragraph"/>
    <w:basedOn w:val="Normal"/>
    <w:uiPriority w:val="34"/>
    <w:qFormat/>
    <w:rsid w:val="00CD0DA5"/>
    <w:pPr>
      <w:ind w:left="720"/>
      <w:contextualSpacing/>
    </w:pPr>
  </w:style>
  <w:style w:type="character" w:customStyle="1" w:styleId="y2iqfc">
    <w:name w:val="y2iqfc"/>
    <w:basedOn w:val="DefaultParagraphFont"/>
    <w:rsid w:val="00CD0DA5"/>
  </w:style>
  <w:style w:type="paragraph" w:styleId="NormalWeb">
    <w:name w:val="Normal (Web)"/>
    <w:basedOn w:val="Normal"/>
    <w:uiPriority w:val="99"/>
    <w:unhideWhenUsed/>
    <w:rsid w:val="00E819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548D-A51A-4317-A988-E9A61960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47022</Words>
  <Characters>268029</Characters>
  <Application>Microsoft Office Word</Application>
  <DocSecurity>0</DocSecurity>
  <Lines>2233</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2024-09-18T10:53:00Z</dcterms:created>
  <dcterms:modified xsi:type="dcterms:W3CDTF">2024-09-18T13:02:00Z</dcterms:modified>
</cp:coreProperties>
</file>