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BF3C4F" w:rsidRPr="00643F5C" w:rsidRDefault="00BF3C4F" w:rsidP="00BF3C4F">
      <w:pPr>
        <w:pStyle w:val="NormalWeb"/>
        <w:adjustRightInd w:val="0"/>
        <w:snapToGrid w:val="0"/>
        <w:spacing w:before="0" w:beforeAutospacing="0" w:after="0" w:afterAutospacing="0"/>
        <w:jc w:val="center"/>
        <w:rPr>
          <w:b/>
          <w:bCs/>
          <w:color w:val="222222"/>
          <w:sz w:val="28"/>
          <w:szCs w:val="28"/>
          <w:lang w:val="en"/>
        </w:rPr>
      </w:pPr>
      <w:r w:rsidRPr="00643F5C">
        <w:rPr>
          <w:b/>
          <w:bCs/>
          <w:color w:val="222222"/>
          <w:sz w:val="28"/>
          <w:szCs w:val="28"/>
          <w:lang w:val="en"/>
        </w:rPr>
        <w:t xml:space="preserve">Flypaper Effect </w:t>
      </w:r>
      <w:r w:rsidR="009044BB">
        <w:rPr>
          <w:b/>
          <w:bCs/>
          <w:color w:val="222222"/>
          <w:sz w:val="28"/>
          <w:szCs w:val="28"/>
          <w:lang w:val="en"/>
        </w:rPr>
        <w:t>on</w:t>
      </w:r>
      <w:r w:rsidR="00643F5C" w:rsidRPr="00643F5C">
        <w:rPr>
          <w:b/>
          <w:bCs/>
          <w:color w:val="222222"/>
          <w:sz w:val="28"/>
          <w:szCs w:val="28"/>
          <w:lang w:val="en"/>
        </w:rPr>
        <w:t xml:space="preserve"> </w:t>
      </w:r>
      <w:r w:rsidRPr="00643F5C">
        <w:rPr>
          <w:b/>
          <w:bCs/>
          <w:color w:val="222222"/>
          <w:sz w:val="28"/>
          <w:szCs w:val="28"/>
          <w:lang w:val="en"/>
        </w:rPr>
        <w:t xml:space="preserve">Local Government Expenditure </w:t>
      </w:r>
    </w:p>
    <w:p w:rsidR="00BF3C4F" w:rsidRPr="00643F5C" w:rsidRDefault="00BF3C4F" w:rsidP="00BF3C4F">
      <w:pPr>
        <w:pStyle w:val="NormalWeb"/>
        <w:adjustRightInd w:val="0"/>
        <w:snapToGrid w:val="0"/>
        <w:spacing w:before="0" w:beforeAutospacing="0" w:after="0" w:afterAutospacing="0"/>
        <w:jc w:val="center"/>
        <w:rPr>
          <w:b/>
          <w:bCs/>
          <w:color w:val="222222"/>
          <w:sz w:val="28"/>
          <w:szCs w:val="28"/>
          <w:lang w:val="en"/>
        </w:rPr>
      </w:pPr>
      <w:r w:rsidRPr="00643F5C">
        <w:rPr>
          <w:b/>
          <w:bCs/>
          <w:color w:val="222222"/>
          <w:sz w:val="28"/>
          <w:szCs w:val="28"/>
          <w:lang w:val="en"/>
        </w:rPr>
        <w:t>in West Kalimantan Province</w:t>
      </w:r>
    </w:p>
    <w:p w:rsidR="009B32A1" w:rsidRDefault="009B32A1" w:rsidP="009B32A1">
      <w:pPr>
        <w:tabs>
          <w:tab w:val="left" w:pos="5730"/>
        </w:tabs>
        <w:jc w:val="both"/>
        <w:rPr>
          <w:b/>
          <w:i/>
        </w:rPr>
      </w:pPr>
      <w:r>
        <w:rPr>
          <w:b/>
          <w:i/>
        </w:rPr>
        <w:tab/>
      </w:r>
    </w:p>
    <w:p w:rsidR="009B32A1" w:rsidRPr="00BF3C4F" w:rsidRDefault="00BF3C4F" w:rsidP="009B32A1">
      <w:pPr>
        <w:jc w:val="both"/>
        <w:rPr>
          <w:b/>
          <w:i/>
          <w:iCs/>
        </w:rPr>
      </w:pPr>
      <w:r w:rsidRPr="00BF3C4F">
        <w:rPr>
          <w:b/>
          <w:i/>
          <w:iCs/>
        </w:rPr>
        <w:t xml:space="preserve">Nur Fitriana </w:t>
      </w:r>
      <w:proofErr w:type="spellStart"/>
      <w:r w:rsidRPr="00BF3C4F">
        <w:rPr>
          <w:b/>
          <w:i/>
          <w:iCs/>
        </w:rPr>
        <w:t>Hamsyi</w:t>
      </w:r>
      <w:proofErr w:type="spellEnd"/>
      <w:r w:rsidRPr="00BF3C4F">
        <w:rPr>
          <w:b/>
          <w:i/>
          <w:iCs/>
          <w:vertAlign w:val="superscript"/>
        </w:rPr>
        <w:t xml:space="preserve"> </w:t>
      </w:r>
      <w:r w:rsidR="009B32A1" w:rsidRPr="00BF3C4F">
        <w:rPr>
          <w:b/>
          <w:i/>
          <w:iCs/>
          <w:vertAlign w:val="superscript"/>
        </w:rPr>
        <w:t>1)</w:t>
      </w:r>
      <w:r w:rsidR="009B32A1" w:rsidRPr="00BF3C4F">
        <w:rPr>
          <w:b/>
          <w:i/>
          <w:iCs/>
        </w:rPr>
        <w:t xml:space="preserve">; </w:t>
      </w:r>
      <w:r w:rsidRPr="00BF3C4F">
        <w:rPr>
          <w:b/>
          <w:i/>
          <w:iCs/>
        </w:rPr>
        <w:t>Fitriyani</w:t>
      </w:r>
      <w:r w:rsidRPr="00BF3C4F">
        <w:rPr>
          <w:b/>
          <w:i/>
          <w:iCs/>
          <w:vertAlign w:val="superscript"/>
        </w:rPr>
        <w:t xml:space="preserve"> </w:t>
      </w:r>
      <w:r w:rsidR="009B32A1" w:rsidRPr="00BF3C4F">
        <w:rPr>
          <w:b/>
          <w:i/>
          <w:iCs/>
          <w:vertAlign w:val="superscript"/>
        </w:rPr>
        <w:t>2)</w:t>
      </w:r>
    </w:p>
    <w:p w:rsidR="009B32A1" w:rsidRPr="00BF3C4F" w:rsidRDefault="009B32A1" w:rsidP="009B32A1">
      <w:pPr>
        <w:jc w:val="both"/>
        <w:rPr>
          <w:b/>
          <w:bCs/>
          <w:i/>
          <w:iCs/>
          <w:vertAlign w:val="superscript"/>
        </w:rPr>
      </w:pPr>
    </w:p>
    <w:p w:rsidR="009B32A1" w:rsidRPr="00D64FE4" w:rsidRDefault="009B32A1" w:rsidP="009B32A1">
      <w:pPr>
        <w:jc w:val="both"/>
        <w:rPr>
          <w:sz w:val="18"/>
          <w:szCs w:val="18"/>
        </w:rPr>
      </w:pPr>
      <w:r w:rsidRPr="003B13AE">
        <w:rPr>
          <w:b/>
          <w:bCs/>
          <w:sz w:val="18"/>
          <w:szCs w:val="18"/>
          <w:vertAlign w:val="superscript"/>
        </w:rPr>
        <w:t>1)</w:t>
      </w:r>
      <w:r w:rsidRPr="009958A3">
        <w:rPr>
          <w:b/>
          <w:bCs/>
          <w:sz w:val="18"/>
          <w:szCs w:val="18"/>
        </w:rPr>
        <w:t xml:space="preserve"> </w:t>
      </w:r>
      <w:r w:rsidR="00BF3C4F">
        <w:rPr>
          <w:b/>
          <w:bCs/>
          <w:sz w:val="18"/>
          <w:szCs w:val="18"/>
        </w:rPr>
        <w:t>nur.fitrianah@ekonomi.untan.ac.id</w:t>
      </w:r>
      <w:r>
        <w:rPr>
          <w:b/>
          <w:bCs/>
          <w:sz w:val="18"/>
          <w:szCs w:val="18"/>
        </w:rPr>
        <w:t xml:space="preserve">, </w:t>
      </w:r>
      <w:proofErr w:type="spellStart"/>
      <w:r w:rsidR="00BF3C4F" w:rsidRPr="00816970">
        <w:rPr>
          <w:b/>
          <w:bCs/>
          <w:sz w:val="18"/>
          <w:szCs w:val="18"/>
        </w:rPr>
        <w:t>Faculty</w:t>
      </w:r>
      <w:proofErr w:type="spellEnd"/>
      <w:r w:rsidR="00BF3C4F" w:rsidRPr="00816970">
        <w:rPr>
          <w:b/>
          <w:bCs/>
          <w:sz w:val="18"/>
          <w:szCs w:val="18"/>
        </w:rPr>
        <w:t xml:space="preserve"> </w:t>
      </w:r>
      <w:proofErr w:type="spellStart"/>
      <w:r w:rsidR="00BF3C4F" w:rsidRPr="00816970">
        <w:rPr>
          <w:b/>
          <w:bCs/>
          <w:sz w:val="18"/>
          <w:szCs w:val="18"/>
        </w:rPr>
        <w:t>of</w:t>
      </w:r>
      <w:proofErr w:type="spellEnd"/>
      <w:r w:rsidR="00BF3C4F" w:rsidRPr="00816970">
        <w:rPr>
          <w:b/>
          <w:bCs/>
          <w:sz w:val="18"/>
          <w:szCs w:val="18"/>
        </w:rPr>
        <w:t xml:space="preserve"> </w:t>
      </w:r>
      <w:proofErr w:type="spellStart"/>
      <w:r w:rsidR="00BF3C4F" w:rsidRPr="00816970">
        <w:rPr>
          <w:b/>
          <w:bCs/>
          <w:sz w:val="18"/>
          <w:szCs w:val="18"/>
        </w:rPr>
        <w:t>Economics</w:t>
      </w:r>
      <w:proofErr w:type="spellEnd"/>
      <w:r w:rsidR="00BF3C4F" w:rsidRPr="00816970">
        <w:rPr>
          <w:b/>
          <w:bCs/>
          <w:sz w:val="18"/>
          <w:szCs w:val="18"/>
        </w:rPr>
        <w:t xml:space="preserve"> </w:t>
      </w:r>
      <w:proofErr w:type="spellStart"/>
      <w:r w:rsidR="00BF3C4F" w:rsidRPr="00816970">
        <w:rPr>
          <w:b/>
          <w:bCs/>
          <w:sz w:val="18"/>
          <w:szCs w:val="18"/>
        </w:rPr>
        <w:t>and</w:t>
      </w:r>
      <w:proofErr w:type="spellEnd"/>
      <w:r w:rsidR="00BF3C4F" w:rsidRPr="00816970">
        <w:rPr>
          <w:b/>
          <w:bCs/>
          <w:sz w:val="18"/>
          <w:szCs w:val="18"/>
        </w:rPr>
        <w:t xml:space="preserve"> Business, Universitas </w:t>
      </w:r>
      <w:proofErr w:type="spellStart"/>
      <w:r w:rsidR="00BF3C4F" w:rsidRPr="00816970">
        <w:rPr>
          <w:b/>
          <w:bCs/>
          <w:sz w:val="18"/>
          <w:szCs w:val="18"/>
        </w:rPr>
        <w:t>Tanjungpura</w:t>
      </w:r>
      <w:proofErr w:type="spellEnd"/>
    </w:p>
    <w:p w:rsidR="009B32A1" w:rsidRPr="00816970" w:rsidRDefault="009B32A1" w:rsidP="00816970">
      <w:pPr>
        <w:spacing w:line="480" w:lineRule="auto"/>
        <w:jc w:val="both"/>
        <w:rPr>
          <w:b/>
          <w:bCs/>
          <w:sz w:val="18"/>
          <w:szCs w:val="18"/>
        </w:rPr>
      </w:pPr>
      <w:r w:rsidRPr="003B13AE">
        <w:rPr>
          <w:b/>
          <w:bCs/>
          <w:sz w:val="18"/>
          <w:szCs w:val="18"/>
          <w:vertAlign w:val="superscript"/>
        </w:rPr>
        <w:t>2)</w:t>
      </w:r>
      <w:r w:rsidRPr="00536498">
        <w:rPr>
          <w:b/>
          <w:bCs/>
          <w:sz w:val="18"/>
          <w:szCs w:val="18"/>
        </w:rPr>
        <w:t xml:space="preserve"> </w:t>
      </w:r>
      <w:r w:rsidR="00816970">
        <w:rPr>
          <w:b/>
          <w:bCs/>
          <w:sz w:val="18"/>
          <w:szCs w:val="18"/>
        </w:rPr>
        <w:t xml:space="preserve">fitriyani@unsyiah.ac.id </w:t>
      </w:r>
      <w:r>
        <w:rPr>
          <w:b/>
          <w:bCs/>
          <w:sz w:val="18"/>
          <w:szCs w:val="18"/>
        </w:rPr>
        <w:t xml:space="preserve">, </w:t>
      </w:r>
      <w:proofErr w:type="spellStart"/>
      <w:r w:rsidR="00816970" w:rsidRPr="00816970">
        <w:rPr>
          <w:b/>
          <w:bCs/>
          <w:sz w:val="18"/>
          <w:szCs w:val="18"/>
        </w:rPr>
        <w:t>Faculty</w:t>
      </w:r>
      <w:proofErr w:type="spellEnd"/>
      <w:r w:rsidR="00816970" w:rsidRPr="00816970">
        <w:rPr>
          <w:b/>
          <w:bCs/>
          <w:sz w:val="18"/>
          <w:szCs w:val="18"/>
        </w:rPr>
        <w:t xml:space="preserve"> </w:t>
      </w:r>
      <w:proofErr w:type="spellStart"/>
      <w:r w:rsidR="00816970" w:rsidRPr="00816970">
        <w:rPr>
          <w:b/>
          <w:bCs/>
          <w:sz w:val="18"/>
          <w:szCs w:val="18"/>
        </w:rPr>
        <w:t>of</w:t>
      </w:r>
      <w:proofErr w:type="spellEnd"/>
      <w:r w:rsidR="00816970" w:rsidRPr="00816970">
        <w:rPr>
          <w:b/>
          <w:bCs/>
          <w:sz w:val="18"/>
          <w:szCs w:val="18"/>
        </w:rPr>
        <w:t xml:space="preserve"> </w:t>
      </w:r>
      <w:proofErr w:type="spellStart"/>
      <w:r w:rsidR="00816970" w:rsidRPr="00816970">
        <w:rPr>
          <w:b/>
          <w:bCs/>
          <w:sz w:val="18"/>
          <w:szCs w:val="18"/>
        </w:rPr>
        <w:t>Economics</w:t>
      </w:r>
      <w:proofErr w:type="spellEnd"/>
      <w:r w:rsidR="00816970" w:rsidRPr="00816970">
        <w:rPr>
          <w:b/>
          <w:bCs/>
          <w:sz w:val="18"/>
          <w:szCs w:val="18"/>
        </w:rPr>
        <w:t xml:space="preserve"> </w:t>
      </w:r>
      <w:proofErr w:type="spellStart"/>
      <w:r w:rsidR="00816970" w:rsidRPr="00816970">
        <w:rPr>
          <w:b/>
          <w:bCs/>
          <w:sz w:val="18"/>
          <w:szCs w:val="18"/>
        </w:rPr>
        <w:t>and</w:t>
      </w:r>
      <w:proofErr w:type="spellEnd"/>
      <w:r w:rsidR="00816970" w:rsidRPr="00816970">
        <w:rPr>
          <w:b/>
          <w:bCs/>
          <w:sz w:val="18"/>
          <w:szCs w:val="18"/>
        </w:rPr>
        <w:t xml:space="preserve"> Business, Universitas Syiah Kual</w:t>
      </w:r>
      <w:r w:rsidR="00816970" w:rsidRPr="00816970">
        <w:rPr>
          <w:rFonts w:ascii="Century" w:hAnsi="Century"/>
          <w:b/>
          <w:bCs/>
          <w:sz w:val="18"/>
          <w:szCs w:val="18"/>
        </w:rPr>
        <w:t>a</w:t>
      </w:r>
    </w:p>
    <w:p w:rsidR="009B32A1" w:rsidRPr="00CA11CB" w:rsidRDefault="009B32A1" w:rsidP="009B32A1">
      <w:pPr>
        <w:jc w:val="both"/>
        <w:rPr>
          <w:b/>
          <w:bCs/>
          <w:sz w:val="10"/>
          <w:szCs w:val="10"/>
        </w:rPr>
      </w:pPr>
    </w:p>
    <w:tbl>
      <w:tblPr>
        <w:tblW w:w="9067" w:type="dxa"/>
        <w:tblBorders>
          <w:top w:val="single" w:sz="4" w:space="0" w:color="auto"/>
          <w:bottom w:val="single" w:sz="4" w:space="0" w:color="auto"/>
        </w:tblBorders>
        <w:tblLook w:val="04A0" w:firstRow="1" w:lastRow="0" w:firstColumn="1" w:lastColumn="0" w:noHBand="0" w:noVBand="1"/>
      </w:tblPr>
      <w:tblGrid>
        <w:gridCol w:w="2547"/>
        <w:gridCol w:w="6520"/>
      </w:tblGrid>
      <w:tr w:rsidR="009B32A1" w:rsidRPr="003B13AE" w:rsidTr="00A84AA6">
        <w:tc>
          <w:tcPr>
            <w:tcW w:w="2547" w:type="dxa"/>
            <w:tcBorders>
              <w:top w:val="single" w:sz="8" w:space="0" w:color="auto"/>
              <w:bottom w:val="single" w:sz="8" w:space="0" w:color="auto"/>
            </w:tcBorders>
            <w:shd w:val="clear" w:color="auto" w:fill="auto"/>
          </w:tcPr>
          <w:p w:rsidR="009B32A1" w:rsidRPr="00FD5BDB" w:rsidRDefault="009B32A1" w:rsidP="00A84AA6">
            <w:pPr>
              <w:jc w:val="both"/>
              <w:rPr>
                <w:b/>
                <w:i/>
                <w:sz w:val="18"/>
                <w:szCs w:val="18"/>
              </w:rPr>
            </w:pPr>
          </w:p>
          <w:p w:rsidR="009B32A1" w:rsidRPr="00FD5BDB" w:rsidRDefault="009B32A1" w:rsidP="00A84AA6">
            <w:pPr>
              <w:ind w:right="170"/>
              <w:jc w:val="both"/>
              <w:rPr>
                <w:b/>
                <w:i/>
              </w:rPr>
            </w:pPr>
            <w:r w:rsidRPr="00FD5BDB">
              <w:rPr>
                <w:b/>
                <w:i/>
              </w:rPr>
              <w:t>Article Info:</w:t>
            </w:r>
          </w:p>
          <w:p w:rsidR="009B32A1" w:rsidRPr="00FD5BDB" w:rsidRDefault="009B32A1" w:rsidP="00A84AA6">
            <w:pPr>
              <w:pBdr>
                <w:bottom w:val="single" w:sz="8" w:space="1" w:color="auto"/>
              </w:pBdr>
              <w:ind w:right="170"/>
              <w:jc w:val="both"/>
              <w:rPr>
                <w:b/>
                <w:i/>
                <w:sz w:val="18"/>
                <w:szCs w:val="18"/>
              </w:rPr>
            </w:pPr>
          </w:p>
          <w:p w:rsidR="009B32A1" w:rsidRPr="00FD5BDB" w:rsidRDefault="009B32A1" w:rsidP="00A84AA6">
            <w:pPr>
              <w:ind w:right="170"/>
              <w:jc w:val="both"/>
              <w:rPr>
                <w:b/>
                <w:i/>
                <w:sz w:val="18"/>
                <w:szCs w:val="18"/>
              </w:rPr>
            </w:pPr>
          </w:p>
          <w:p w:rsidR="009B32A1" w:rsidRPr="00FD5BDB" w:rsidRDefault="009B32A1" w:rsidP="00A84AA6">
            <w:pPr>
              <w:pBdr>
                <w:bottom w:val="single" w:sz="8" w:space="1" w:color="auto"/>
              </w:pBdr>
              <w:ind w:right="170"/>
              <w:jc w:val="both"/>
              <w:rPr>
                <w:b/>
                <w:bCs/>
                <w:sz w:val="14"/>
                <w:szCs w:val="14"/>
              </w:rPr>
            </w:pPr>
            <w:r w:rsidRPr="00FD5BDB">
              <w:rPr>
                <w:b/>
                <w:bCs/>
                <w:sz w:val="14"/>
                <w:szCs w:val="14"/>
              </w:rPr>
              <w:t xml:space="preserve">Keywords: </w:t>
            </w:r>
          </w:p>
          <w:p w:rsidR="009B32A1" w:rsidRPr="00FD5BDB" w:rsidRDefault="009E2CC9" w:rsidP="00A84AA6">
            <w:pPr>
              <w:pBdr>
                <w:bottom w:val="single" w:sz="8" w:space="1" w:color="auto"/>
              </w:pBdr>
              <w:ind w:right="170"/>
              <w:jc w:val="both"/>
              <w:rPr>
                <w:b/>
                <w:bCs/>
                <w:sz w:val="14"/>
                <w:szCs w:val="14"/>
              </w:rPr>
            </w:pPr>
            <w:r>
              <w:rPr>
                <w:b/>
                <w:bCs/>
                <w:sz w:val="14"/>
                <w:szCs w:val="14"/>
              </w:rPr>
              <w:t>Flypaper Effect</w:t>
            </w:r>
            <w:r w:rsidR="00D50408">
              <w:rPr>
                <w:b/>
                <w:bCs/>
                <w:sz w:val="14"/>
                <w:szCs w:val="14"/>
              </w:rPr>
              <w:t>;</w:t>
            </w:r>
            <w:r w:rsidR="009B32A1" w:rsidRPr="00FD5BDB">
              <w:rPr>
                <w:b/>
                <w:bCs/>
                <w:sz w:val="14"/>
                <w:szCs w:val="14"/>
              </w:rPr>
              <w:t xml:space="preserve"> </w:t>
            </w:r>
          </w:p>
          <w:p w:rsidR="00D50408" w:rsidRDefault="009E2CC9" w:rsidP="00A84AA6">
            <w:pPr>
              <w:pBdr>
                <w:bottom w:val="single" w:sz="8" w:space="1" w:color="auto"/>
              </w:pBdr>
              <w:ind w:right="170"/>
              <w:jc w:val="both"/>
              <w:rPr>
                <w:b/>
                <w:bCs/>
                <w:sz w:val="14"/>
                <w:szCs w:val="14"/>
              </w:rPr>
            </w:pPr>
            <w:r w:rsidRPr="009E2CC9">
              <w:rPr>
                <w:b/>
                <w:bCs/>
                <w:sz w:val="14"/>
                <w:szCs w:val="14"/>
              </w:rPr>
              <w:t>Original Local Government Revenue</w:t>
            </w:r>
            <w:r>
              <w:rPr>
                <w:b/>
                <w:bCs/>
                <w:sz w:val="14"/>
                <w:szCs w:val="14"/>
              </w:rPr>
              <w:t>; General Allocation Fund</w:t>
            </w:r>
            <w:r w:rsidR="00D50408" w:rsidRPr="009E2CC9">
              <w:rPr>
                <w:b/>
                <w:bCs/>
                <w:sz w:val="14"/>
                <w:szCs w:val="14"/>
              </w:rPr>
              <w:t>;</w:t>
            </w:r>
          </w:p>
          <w:p w:rsidR="009E2CC9" w:rsidRDefault="009E2CC9" w:rsidP="00A84AA6">
            <w:pPr>
              <w:pBdr>
                <w:bottom w:val="single" w:sz="8" w:space="1" w:color="auto"/>
              </w:pBdr>
              <w:ind w:right="170"/>
              <w:jc w:val="both"/>
              <w:rPr>
                <w:b/>
                <w:bCs/>
                <w:sz w:val="14"/>
                <w:szCs w:val="14"/>
              </w:rPr>
            </w:pPr>
            <w:r>
              <w:rPr>
                <w:b/>
                <w:bCs/>
                <w:sz w:val="14"/>
                <w:szCs w:val="14"/>
              </w:rPr>
              <w:t>Special Allocation Fund</w:t>
            </w:r>
            <w:r w:rsidRPr="009E2CC9">
              <w:rPr>
                <w:b/>
                <w:bCs/>
                <w:sz w:val="14"/>
                <w:szCs w:val="14"/>
              </w:rPr>
              <w:t>;</w:t>
            </w:r>
          </w:p>
          <w:p w:rsidR="009E2CC9" w:rsidRPr="009E2CC9" w:rsidRDefault="009E2CC9" w:rsidP="00A84AA6">
            <w:pPr>
              <w:pBdr>
                <w:bottom w:val="single" w:sz="8" w:space="1" w:color="auto"/>
              </w:pBdr>
              <w:ind w:right="170"/>
              <w:jc w:val="both"/>
              <w:rPr>
                <w:b/>
                <w:bCs/>
                <w:sz w:val="14"/>
                <w:szCs w:val="14"/>
              </w:rPr>
            </w:pPr>
            <w:r>
              <w:rPr>
                <w:b/>
                <w:bCs/>
                <w:sz w:val="14"/>
                <w:szCs w:val="14"/>
              </w:rPr>
              <w:t>Sharing Fund</w:t>
            </w:r>
          </w:p>
          <w:p w:rsidR="00D50408" w:rsidRPr="009E2CC9" w:rsidRDefault="009E2CC9" w:rsidP="00A84AA6">
            <w:pPr>
              <w:pBdr>
                <w:bottom w:val="single" w:sz="8" w:space="1" w:color="auto"/>
              </w:pBdr>
              <w:ind w:right="170"/>
              <w:jc w:val="both"/>
              <w:rPr>
                <w:b/>
                <w:bCs/>
                <w:sz w:val="14"/>
                <w:szCs w:val="14"/>
              </w:rPr>
            </w:pPr>
            <w:r w:rsidRPr="009E2CC9">
              <w:rPr>
                <w:b/>
                <w:bCs/>
                <w:sz w:val="14"/>
                <w:szCs w:val="14"/>
              </w:rPr>
              <w:t>Local government expenditure</w:t>
            </w:r>
            <w:r w:rsidR="00D50408" w:rsidRPr="009E2CC9">
              <w:rPr>
                <w:b/>
                <w:bCs/>
                <w:sz w:val="14"/>
                <w:szCs w:val="14"/>
              </w:rPr>
              <w:t xml:space="preserve">; </w:t>
            </w:r>
          </w:p>
          <w:p w:rsidR="009B32A1" w:rsidRPr="00FD5BDB" w:rsidRDefault="009B32A1" w:rsidP="00A84AA6">
            <w:pPr>
              <w:pBdr>
                <w:bottom w:val="single" w:sz="8" w:space="1" w:color="auto"/>
              </w:pBdr>
              <w:ind w:right="170"/>
              <w:jc w:val="both"/>
              <w:rPr>
                <w:b/>
                <w:i/>
                <w:sz w:val="14"/>
                <w:szCs w:val="14"/>
              </w:rPr>
            </w:pPr>
          </w:p>
          <w:p w:rsidR="009B32A1" w:rsidRPr="00FD5BDB" w:rsidRDefault="009B32A1" w:rsidP="00A84AA6">
            <w:pPr>
              <w:ind w:right="170"/>
              <w:jc w:val="both"/>
              <w:rPr>
                <w:b/>
                <w:i/>
                <w:sz w:val="14"/>
                <w:szCs w:val="14"/>
              </w:rPr>
            </w:pPr>
          </w:p>
          <w:p w:rsidR="009B32A1" w:rsidRPr="00FD5BDB" w:rsidRDefault="009B32A1" w:rsidP="00A84AA6">
            <w:pPr>
              <w:ind w:right="170"/>
              <w:jc w:val="both"/>
              <w:rPr>
                <w:b/>
                <w:i/>
                <w:sz w:val="14"/>
                <w:szCs w:val="14"/>
              </w:rPr>
            </w:pPr>
            <w:r w:rsidRPr="00FD5BDB">
              <w:rPr>
                <w:b/>
                <w:i/>
                <w:sz w:val="14"/>
                <w:szCs w:val="14"/>
              </w:rPr>
              <w:t>Article History:</w:t>
            </w:r>
          </w:p>
          <w:p w:rsidR="009B32A1" w:rsidRPr="00FD5BDB" w:rsidRDefault="009B32A1" w:rsidP="00A84AA6">
            <w:pPr>
              <w:tabs>
                <w:tab w:val="left" w:pos="1134"/>
              </w:tabs>
              <w:ind w:right="170"/>
              <w:rPr>
                <w:i/>
                <w:iCs/>
                <w:sz w:val="14"/>
                <w:szCs w:val="14"/>
              </w:rPr>
            </w:pPr>
            <w:r w:rsidRPr="00FD5BDB">
              <w:rPr>
                <w:i/>
                <w:iCs/>
                <w:sz w:val="14"/>
                <w:szCs w:val="14"/>
              </w:rPr>
              <w:t>Received</w:t>
            </w:r>
            <w:r w:rsidRPr="00FD5BDB">
              <w:rPr>
                <w:i/>
                <w:sz w:val="14"/>
                <w:szCs w:val="14"/>
              </w:rPr>
              <w:tab/>
              <w:t xml:space="preserve">: </w:t>
            </w:r>
          </w:p>
          <w:p w:rsidR="009B32A1" w:rsidRPr="00FD5BDB" w:rsidRDefault="009B32A1" w:rsidP="00A84AA6">
            <w:pPr>
              <w:tabs>
                <w:tab w:val="left" w:pos="1134"/>
              </w:tabs>
              <w:ind w:right="170"/>
              <w:rPr>
                <w:i/>
                <w:iCs/>
                <w:sz w:val="14"/>
                <w:szCs w:val="14"/>
              </w:rPr>
            </w:pPr>
            <w:r w:rsidRPr="00FD5BDB">
              <w:rPr>
                <w:i/>
                <w:iCs/>
                <w:sz w:val="14"/>
                <w:szCs w:val="14"/>
              </w:rPr>
              <w:t xml:space="preserve">Revised </w:t>
            </w:r>
            <w:r w:rsidRPr="00FD5BDB">
              <w:rPr>
                <w:i/>
                <w:sz w:val="14"/>
                <w:szCs w:val="14"/>
              </w:rPr>
              <w:tab/>
              <w:t xml:space="preserve">: </w:t>
            </w:r>
          </w:p>
          <w:p w:rsidR="009B32A1" w:rsidRPr="00FD5BDB" w:rsidRDefault="009B32A1" w:rsidP="00A84AA6">
            <w:pPr>
              <w:tabs>
                <w:tab w:val="left" w:pos="1134"/>
              </w:tabs>
              <w:ind w:right="170"/>
              <w:rPr>
                <w:i/>
                <w:iCs/>
                <w:sz w:val="14"/>
                <w:szCs w:val="14"/>
              </w:rPr>
            </w:pPr>
            <w:r w:rsidRPr="00FD5BDB">
              <w:rPr>
                <w:i/>
                <w:iCs/>
                <w:sz w:val="14"/>
                <w:szCs w:val="14"/>
              </w:rPr>
              <w:t xml:space="preserve">Accepted </w:t>
            </w:r>
            <w:r w:rsidRPr="00FD5BDB">
              <w:rPr>
                <w:i/>
                <w:sz w:val="14"/>
                <w:szCs w:val="14"/>
              </w:rPr>
              <w:tab/>
              <w:t xml:space="preserve">: </w:t>
            </w:r>
          </w:p>
          <w:p w:rsidR="009B32A1" w:rsidRPr="00FD5BDB" w:rsidRDefault="009B32A1" w:rsidP="00A84AA6">
            <w:pPr>
              <w:pBdr>
                <w:bottom w:val="single" w:sz="8" w:space="1" w:color="auto"/>
              </w:pBdr>
              <w:ind w:right="170"/>
              <w:jc w:val="both"/>
              <w:rPr>
                <w:b/>
                <w:i/>
                <w:sz w:val="14"/>
                <w:szCs w:val="14"/>
              </w:rPr>
            </w:pPr>
          </w:p>
          <w:p w:rsidR="009B32A1" w:rsidRPr="00FD5BDB" w:rsidRDefault="009B32A1" w:rsidP="00A84AA6">
            <w:pPr>
              <w:ind w:right="170"/>
              <w:jc w:val="both"/>
              <w:rPr>
                <w:b/>
                <w:i/>
                <w:sz w:val="14"/>
                <w:szCs w:val="14"/>
              </w:rPr>
            </w:pPr>
          </w:p>
          <w:p w:rsidR="009B32A1" w:rsidRPr="00FD5BDB" w:rsidRDefault="009B32A1" w:rsidP="00A84AA6">
            <w:pPr>
              <w:ind w:right="170"/>
              <w:jc w:val="both"/>
              <w:rPr>
                <w:b/>
                <w:i/>
                <w:sz w:val="14"/>
                <w:szCs w:val="14"/>
              </w:rPr>
            </w:pPr>
            <w:r w:rsidRPr="00FD5BDB">
              <w:rPr>
                <w:b/>
                <w:i/>
                <w:sz w:val="14"/>
                <w:szCs w:val="14"/>
              </w:rPr>
              <w:t>Article Doi:</w:t>
            </w:r>
          </w:p>
          <w:p w:rsidR="009B32A1" w:rsidRPr="00FD5BDB" w:rsidRDefault="009B32A1" w:rsidP="00816970">
            <w:pPr>
              <w:ind w:right="170"/>
              <w:jc w:val="both"/>
              <w:rPr>
                <w:b/>
                <w:i/>
                <w:sz w:val="18"/>
                <w:szCs w:val="18"/>
              </w:rPr>
            </w:pPr>
          </w:p>
        </w:tc>
        <w:tc>
          <w:tcPr>
            <w:tcW w:w="6520" w:type="dxa"/>
            <w:tcBorders>
              <w:top w:val="single" w:sz="8" w:space="0" w:color="auto"/>
              <w:bottom w:val="single" w:sz="8" w:space="0" w:color="auto"/>
            </w:tcBorders>
            <w:shd w:val="clear" w:color="auto" w:fill="auto"/>
          </w:tcPr>
          <w:p w:rsidR="009B32A1" w:rsidRPr="00FD5BDB" w:rsidRDefault="009B32A1" w:rsidP="00A84AA6">
            <w:pPr>
              <w:jc w:val="both"/>
              <w:rPr>
                <w:b/>
                <w:i/>
                <w:sz w:val="18"/>
                <w:szCs w:val="18"/>
              </w:rPr>
            </w:pPr>
          </w:p>
          <w:p w:rsidR="009B32A1" w:rsidRPr="005A7C47" w:rsidRDefault="009B32A1" w:rsidP="00A84AA6">
            <w:pPr>
              <w:ind w:left="170"/>
              <w:jc w:val="both"/>
              <w:rPr>
                <w:b/>
                <w:i/>
                <w:iCs/>
              </w:rPr>
            </w:pPr>
            <w:r w:rsidRPr="005A7C47">
              <w:rPr>
                <w:b/>
                <w:bCs/>
                <w:i/>
                <w:iCs/>
                <w:lang w:val="en"/>
              </w:rPr>
              <w:t>Abstract</w:t>
            </w:r>
            <w:r w:rsidR="00F778DE" w:rsidRPr="005A7C47">
              <w:rPr>
                <w:b/>
                <w:bCs/>
                <w:i/>
                <w:iCs/>
                <w:lang w:val="en"/>
              </w:rPr>
              <w:t xml:space="preserve"> </w:t>
            </w:r>
          </w:p>
          <w:p w:rsidR="009B32A1" w:rsidRPr="00FD5BDB" w:rsidRDefault="009B32A1" w:rsidP="00A84AA6">
            <w:pPr>
              <w:pBdr>
                <w:bottom w:val="single" w:sz="8" w:space="1" w:color="auto"/>
              </w:pBdr>
              <w:ind w:left="170"/>
              <w:jc w:val="both"/>
              <w:rPr>
                <w:b/>
                <w:i/>
                <w:sz w:val="18"/>
                <w:szCs w:val="18"/>
              </w:rPr>
            </w:pPr>
          </w:p>
          <w:p w:rsidR="009B32A1" w:rsidRPr="00FD5BDB" w:rsidRDefault="009B32A1" w:rsidP="00A84AA6">
            <w:pPr>
              <w:ind w:left="170"/>
              <w:jc w:val="both"/>
              <w:rPr>
                <w:b/>
                <w:i/>
                <w:sz w:val="18"/>
                <w:szCs w:val="18"/>
              </w:rPr>
            </w:pPr>
          </w:p>
          <w:p w:rsidR="009B32A1" w:rsidRPr="009E2CC9" w:rsidRDefault="00816970" w:rsidP="00816970">
            <w:pPr>
              <w:pStyle w:val="DaftarParagraf"/>
              <w:spacing w:after="120" w:line="240" w:lineRule="auto"/>
              <w:ind w:left="0"/>
              <w:jc w:val="both"/>
              <w:rPr>
                <w:rFonts w:ascii="Times New Roman" w:hAnsi="Times New Roman" w:cs="Times New Roman"/>
              </w:rPr>
            </w:pPr>
            <w:r w:rsidRPr="009E2CC9">
              <w:rPr>
                <w:rFonts w:ascii="Times New Roman" w:hAnsi="Times New Roman" w:cs="Times New Roman"/>
              </w:rPr>
              <w:t xml:space="preserve">This research attempts to test whether a flypaper effect on the relationship between original local government revenue and a balanced budget on local government expenditure in West Kalimantan Province. The data obtained were 14 regencies and cities in the period 2013-2018. The data model used in this study is panel with analysis using Stata software. The result is that the flypaper effect phenomenon occurs in general allocation funds and special allocation funds for local government expenditure management. This study also finds that general and special allocation funds positively affect local government expenditure, whereas the original local government revenue and sharing funds do not affect local government expenditure. It proves that local governments are still highly dependent on central government transfer funds rather than increasing their original local government revenue. </w:t>
            </w:r>
          </w:p>
          <w:p w:rsidR="009B32A1" w:rsidRPr="00FD5BDB" w:rsidRDefault="009B32A1" w:rsidP="00A84AA6">
            <w:pPr>
              <w:ind w:left="171" w:right="166"/>
              <w:jc w:val="both"/>
              <w:rPr>
                <w:b/>
                <w:i/>
                <w:sz w:val="18"/>
                <w:szCs w:val="18"/>
              </w:rPr>
            </w:pPr>
          </w:p>
        </w:tc>
      </w:tr>
    </w:tbl>
    <w:p w:rsidR="009B32A1" w:rsidRPr="00460851" w:rsidRDefault="009B32A1" w:rsidP="009B32A1">
      <w:pPr>
        <w:jc w:val="both"/>
        <w:rPr>
          <w:b/>
          <w:i/>
        </w:rPr>
      </w:pPr>
    </w:p>
    <w:p w:rsidR="009B32A1" w:rsidRPr="00BE15AD" w:rsidRDefault="009B32A1" w:rsidP="009B32A1">
      <w:pPr>
        <w:pStyle w:val="StyleAuthorBold"/>
        <w:spacing w:before="0" w:after="0"/>
        <w:rPr>
          <w:sz w:val="20"/>
          <w:szCs w:val="20"/>
          <w:lang w:val="id-ID"/>
        </w:rPr>
      </w:pPr>
      <w:r w:rsidRPr="00BE15AD">
        <w:rPr>
          <w:sz w:val="20"/>
          <w:szCs w:val="20"/>
          <w:lang w:val="id-ID"/>
        </w:rPr>
        <w:t xml:space="preserve">Abstrak </w:t>
      </w:r>
    </w:p>
    <w:p w:rsidR="009B32A1" w:rsidRPr="00BE15AD" w:rsidRDefault="00E034E7" w:rsidP="009B32A1">
      <w:pPr>
        <w:pStyle w:val="abstrak"/>
        <w:rPr>
          <w:szCs w:val="20"/>
          <w:lang w:val="id-ID"/>
        </w:rPr>
      </w:pPr>
      <w:proofErr w:type="spellStart"/>
      <w:r w:rsidRPr="00E034E7">
        <w:rPr>
          <w:szCs w:val="20"/>
        </w:rPr>
        <w:t>Penelitian</w:t>
      </w:r>
      <w:proofErr w:type="spellEnd"/>
      <w:r w:rsidRPr="00E034E7">
        <w:rPr>
          <w:szCs w:val="20"/>
        </w:rPr>
        <w:t xml:space="preserve"> </w:t>
      </w:r>
      <w:proofErr w:type="spellStart"/>
      <w:r w:rsidRPr="00E034E7">
        <w:rPr>
          <w:szCs w:val="20"/>
        </w:rPr>
        <w:t>ini</w:t>
      </w:r>
      <w:proofErr w:type="spellEnd"/>
      <w:r w:rsidRPr="00E034E7">
        <w:rPr>
          <w:szCs w:val="20"/>
        </w:rPr>
        <w:t xml:space="preserve"> </w:t>
      </w:r>
      <w:proofErr w:type="spellStart"/>
      <w:r w:rsidRPr="00E034E7">
        <w:rPr>
          <w:szCs w:val="20"/>
        </w:rPr>
        <w:t>mencoba</w:t>
      </w:r>
      <w:proofErr w:type="spellEnd"/>
      <w:r w:rsidRPr="00E034E7">
        <w:rPr>
          <w:szCs w:val="20"/>
        </w:rPr>
        <w:t xml:space="preserve"> </w:t>
      </w:r>
      <w:proofErr w:type="spellStart"/>
      <w:r w:rsidRPr="00E034E7">
        <w:rPr>
          <w:szCs w:val="20"/>
        </w:rPr>
        <w:t>menguji</w:t>
      </w:r>
      <w:proofErr w:type="spellEnd"/>
      <w:r w:rsidRPr="00E034E7">
        <w:rPr>
          <w:szCs w:val="20"/>
        </w:rPr>
        <w:t xml:space="preserve"> </w:t>
      </w:r>
      <w:proofErr w:type="spellStart"/>
      <w:r w:rsidRPr="00E034E7">
        <w:rPr>
          <w:szCs w:val="20"/>
        </w:rPr>
        <w:t>apakah</w:t>
      </w:r>
      <w:proofErr w:type="spellEnd"/>
      <w:r w:rsidRPr="00E034E7">
        <w:rPr>
          <w:szCs w:val="20"/>
        </w:rPr>
        <w:t xml:space="preserve"> flypaper </w:t>
      </w:r>
      <w:proofErr w:type="spellStart"/>
      <w:r w:rsidRPr="00E034E7">
        <w:rPr>
          <w:szCs w:val="20"/>
        </w:rPr>
        <w:t>berpengaruh</w:t>
      </w:r>
      <w:proofErr w:type="spellEnd"/>
      <w:r w:rsidRPr="00E034E7">
        <w:rPr>
          <w:szCs w:val="20"/>
        </w:rPr>
        <w:t xml:space="preserve"> </w:t>
      </w:r>
      <w:proofErr w:type="spellStart"/>
      <w:r w:rsidRPr="00E034E7">
        <w:rPr>
          <w:szCs w:val="20"/>
        </w:rPr>
        <w:t>terhadap</w:t>
      </w:r>
      <w:proofErr w:type="spellEnd"/>
      <w:r w:rsidRPr="00E034E7">
        <w:rPr>
          <w:szCs w:val="20"/>
        </w:rPr>
        <w:t xml:space="preserve"> </w:t>
      </w:r>
      <w:proofErr w:type="spellStart"/>
      <w:r w:rsidRPr="00E034E7">
        <w:rPr>
          <w:szCs w:val="20"/>
        </w:rPr>
        <w:t>hubungan</w:t>
      </w:r>
      <w:proofErr w:type="spellEnd"/>
      <w:r w:rsidRPr="00E034E7">
        <w:rPr>
          <w:szCs w:val="20"/>
        </w:rPr>
        <w:t xml:space="preserve"> </w:t>
      </w:r>
      <w:proofErr w:type="spellStart"/>
      <w:r w:rsidRPr="00E034E7">
        <w:rPr>
          <w:szCs w:val="20"/>
        </w:rPr>
        <w:t>antara</w:t>
      </w:r>
      <w:proofErr w:type="spellEnd"/>
      <w:r w:rsidRPr="00E034E7">
        <w:rPr>
          <w:szCs w:val="20"/>
        </w:rPr>
        <w:t xml:space="preserve"> </w:t>
      </w:r>
      <w:proofErr w:type="spellStart"/>
      <w:r w:rsidRPr="00E034E7">
        <w:rPr>
          <w:szCs w:val="20"/>
        </w:rPr>
        <w:t>pendapatan</w:t>
      </w:r>
      <w:proofErr w:type="spellEnd"/>
      <w:r w:rsidRPr="00E034E7">
        <w:rPr>
          <w:szCs w:val="20"/>
        </w:rPr>
        <w:t xml:space="preserve"> </w:t>
      </w:r>
      <w:proofErr w:type="spellStart"/>
      <w:r w:rsidRPr="00E034E7">
        <w:rPr>
          <w:szCs w:val="20"/>
        </w:rPr>
        <w:t>asli</w:t>
      </w:r>
      <w:proofErr w:type="spellEnd"/>
      <w:r w:rsidRPr="00E034E7">
        <w:rPr>
          <w:szCs w:val="20"/>
        </w:rPr>
        <w:t xml:space="preserve"> </w:t>
      </w:r>
      <w:proofErr w:type="spellStart"/>
      <w:r w:rsidRPr="00E034E7">
        <w:rPr>
          <w:szCs w:val="20"/>
        </w:rPr>
        <w:t>daerah</w:t>
      </w:r>
      <w:proofErr w:type="spellEnd"/>
      <w:r w:rsidRPr="00E034E7">
        <w:rPr>
          <w:szCs w:val="20"/>
        </w:rPr>
        <w:t xml:space="preserve"> dan </w:t>
      </w:r>
      <w:proofErr w:type="spellStart"/>
      <w:r w:rsidRPr="00E034E7">
        <w:rPr>
          <w:szCs w:val="20"/>
        </w:rPr>
        <w:t>anggaran</w:t>
      </w:r>
      <w:proofErr w:type="spellEnd"/>
      <w:r w:rsidRPr="00E034E7">
        <w:rPr>
          <w:szCs w:val="20"/>
        </w:rPr>
        <w:t xml:space="preserve"> </w:t>
      </w:r>
      <w:proofErr w:type="spellStart"/>
      <w:r w:rsidRPr="00E034E7">
        <w:rPr>
          <w:szCs w:val="20"/>
        </w:rPr>
        <w:t>berimbang</w:t>
      </w:r>
      <w:proofErr w:type="spellEnd"/>
      <w:r w:rsidRPr="00E034E7">
        <w:rPr>
          <w:szCs w:val="20"/>
        </w:rPr>
        <w:t xml:space="preserve"> </w:t>
      </w:r>
      <w:proofErr w:type="spellStart"/>
      <w:r w:rsidRPr="00E034E7">
        <w:rPr>
          <w:szCs w:val="20"/>
        </w:rPr>
        <w:t>terhadap</w:t>
      </w:r>
      <w:proofErr w:type="spellEnd"/>
      <w:r w:rsidRPr="00E034E7">
        <w:rPr>
          <w:szCs w:val="20"/>
        </w:rPr>
        <w:t xml:space="preserve"> </w:t>
      </w:r>
      <w:proofErr w:type="spellStart"/>
      <w:r w:rsidRPr="00E034E7">
        <w:rPr>
          <w:szCs w:val="20"/>
        </w:rPr>
        <w:t>pengeluaran</w:t>
      </w:r>
      <w:proofErr w:type="spellEnd"/>
      <w:r w:rsidRPr="00E034E7">
        <w:rPr>
          <w:szCs w:val="20"/>
        </w:rPr>
        <w:t xml:space="preserve"> </w:t>
      </w:r>
      <w:proofErr w:type="spellStart"/>
      <w:r w:rsidRPr="00E034E7">
        <w:rPr>
          <w:szCs w:val="20"/>
        </w:rPr>
        <w:t>pemerintah</w:t>
      </w:r>
      <w:proofErr w:type="spellEnd"/>
      <w:r w:rsidRPr="00E034E7">
        <w:rPr>
          <w:szCs w:val="20"/>
        </w:rPr>
        <w:t xml:space="preserve"> </w:t>
      </w:r>
      <w:proofErr w:type="spellStart"/>
      <w:r w:rsidRPr="00E034E7">
        <w:rPr>
          <w:szCs w:val="20"/>
        </w:rPr>
        <w:t>daerah</w:t>
      </w:r>
      <w:proofErr w:type="spellEnd"/>
      <w:r w:rsidRPr="00E034E7">
        <w:rPr>
          <w:szCs w:val="20"/>
        </w:rPr>
        <w:t xml:space="preserve"> di </w:t>
      </w:r>
      <w:proofErr w:type="spellStart"/>
      <w:r w:rsidRPr="00E034E7">
        <w:rPr>
          <w:szCs w:val="20"/>
        </w:rPr>
        <w:t>Provinsi</w:t>
      </w:r>
      <w:proofErr w:type="spellEnd"/>
      <w:r w:rsidRPr="00E034E7">
        <w:rPr>
          <w:szCs w:val="20"/>
        </w:rPr>
        <w:t xml:space="preserve"> Kalimantan Barat. Data yang </w:t>
      </w:r>
      <w:proofErr w:type="spellStart"/>
      <w:r w:rsidRPr="00E034E7">
        <w:rPr>
          <w:szCs w:val="20"/>
        </w:rPr>
        <w:t>diperoleh</w:t>
      </w:r>
      <w:proofErr w:type="spellEnd"/>
      <w:r w:rsidRPr="00E034E7">
        <w:rPr>
          <w:szCs w:val="20"/>
        </w:rPr>
        <w:t xml:space="preserve"> </w:t>
      </w:r>
      <w:proofErr w:type="spellStart"/>
      <w:r w:rsidRPr="00E034E7">
        <w:rPr>
          <w:szCs w:val="20"/>
        </w:rPr>
        <w:t>adalah</w:t>
      </w:r>
      <w:proofErr w:type="spellEnd"/>
      <w:r w:rsidRPr="00E034E7">
        <w:rPr>
          <w:szCs w:val="20"/>
        </w:rPr>
        <w:t xml:space="preserve"> 14 </w:t>
      </w:r>
      <w:proofErr w:type="spellStart"/>
      <w:r w:rsidRPr="00E034E7">
        <w:rPr>
          <w:szCs w:val="20"/>
        </w:rPr>
        <w:t>kabupaten</w:t>
      </w:r>
      <w:proofErr w:type="spellEnd"/>
      <w:r w:rsidRPr="00E034E7">
        <w:rPr>
          <w:szCs w:val="20"/>
        </w:rPr>
        <w:t xml:space="preserve"> dan </w:t>
      </w:r>
      <w:proofErr w:type="spellStart"/>
      <w:r w:rsidRPr="00E034E7">
        <w:rPr>
          <w:szCs w:val="20"/>
        </w:rPr>
        <w:t>kota</w:t>
      </w:r>
      <w:proofErr w:type="spellEnd"/>
      <w:r w:rsidRPr="00E034E7">
        <w:rPr>
          <w:szCs w:val="20"/>
        </w:rPr>
        <w:t xml:space="preserve"> pada </w:t>
      </w:r>
      <w:proofErr w:type="spellStart"/>
      <w:r w:rsidRPr="00E034E7">
        <w:rPr>
          <w:szCs w:val="20"/>
        </w:rPr>
        <w:t>periode</w:t>
      </w:r>
      <w:proofErr w:type="spellEnd"/>
      <w:r w:rsidRPr="00E034E7">
        <w:rPr>
          <w:szCs w:val="20"/>
        </w:rPr>
        <w:t xml:space="preserve"> 2013-2018. Model data yang </w:t>
      </w:r>
      <w:proofErr w:type="spellStart"/>
      <w:r w:rsidRPr="00E034E7">
        <w:rPr>
          <w:szCs w:val="20"/>
        </w:rPr>
        <w:t>digunakan</w:t>
      </w:r>
      <w:proofErr w:type="spellEnd"/>
      <w:r w:rsidRPr="00E034E7">
        <w:rPr>
          <w:szCs w:val="20"/>
        </w:rPr>
        <w:t xml:space="preserve"> </w:t>
      </w:r>
      <w:proofErr w:type="spellStart"/>
      <w:r w:rsidRPr="00E034E7">
        <w:rPr>
          <w:szCs w:val="20"/>
        </w:rPr>
        <w:t>dalam</w:t>
      </w:r>
      <w:proofErr w:type="spellEnd"/>
      <w:r w:rsidRPr="00E034E7">
        <w:rPr>
          <w:szCs w:val="20"/>
        </w:rPr>
        <w:t xml:space="preserve"> </w:t>
      </w:r>
      <w:proofErr w:type="spellStart"/>
      <w:r w:rsidRPr="00E034E7">
        <w:rPr>
          <w:szCs w:val="20"/>
        </w:rPr>
        <w:t>penelitian</w:t>
      </w:r>
      <w:proofErr w:type="spellEnd"/>
      <w:r w:rsidRPr="00E034E7">
        <w:rPr>
          <w:szCs w:val="20"/>
        </w:rPr>
        <w:t xml:space="preserve"> </w:t>
      </w:r>
      <w:proofErr w:type="spellStart"/>
      <w:r w:rsidRPr="00E034E7">
        <w:rPr>
          <w:szCs w:val="20"/>
        </w:rPr>
        <w:t>ini</w:t>
      </w:r>
      <w:proofErr w:type="spellEnd"/>
      <w:r w:rsidRPr="00E034E7">
        <w:rPr>
          <w:szCs w:val="20"/>
        </w:rPr>
        <w:t xml:space="preserve"> </w:t>
      </w:r>
      <w:proofErr w:type="spellStart"/>
      <w:r w:rsidRPr="00E034E7">
        <w:rPr>
          <w:szCs w:val="20"/>
        </w:rPr>
        <w:t>adalah</w:t>
      </w:r>
      <w:proofErr w:type="spellEnd"/>
      <w:r w:rsidRPr="00E034E7">
        <w:rPr>
          <w:szCs w:val="20"/>
        </w:rPr>
        <w:t xml:space="preserve"> panel </w:t>
      </w:r>
      <w:proofErr w:type="spellStart"/>
      <w:r w:rsidRPr="00E034E7">
        <w:rPr>
          <w:szCs w:val="20"/>
        </w:rPr>
        <w:t>dengan</w:t>
      </w:r>
      <w:proofErr w:type="spellEnd"/>
      <w:r w:rsidRPr="00E034E7">
        <w:rPr>
          <w:szCs w:val="20"/>
        </w:rPr>
        <w:t xml:space="preserve"> </w:t>
      </w:r>
      <w:proofErr w:type="spellStart"/>
      <w:r w:rsidRPr="00E034E7">
        <w:rPr>
          <w:szCs w:val="20"/>
        </w:rPr>
        <w:t>analisis</w:t>
      </w:r>
      <w:proofErr w:type="spellEnd"/>
      <w:r w:rsidRPr="00E034E7">
        <w:rPr>
          <w:szCs w:val="20"/>
        </w:rPr>
        <w:t xml:space="preserve"> </w:t>
      </w:r>
      <w:proofErr w:type="spellStart"/>
      <w:r w:rsidRPr="00E034E7">
        <w:rPr>
          <w:szCs w:val="20"/>
        </w:rPr>
        <w:t>menggunakan</w:t>
      </w:r>
      <w:proofErr w:type="spellEnd"/>
      <w:r w:rsidRPr="00E034E7">
        <w:rPr>
          <w:szCs w:val="20"/>
        </w:rPr>
        <w:t xml:space="preserve"> software Stata. </w:t>
      </w:r>
      <w:proofErr w:type="spellStart"/>
      <w:r w:rsidRPr="00E034E7">
        <w:rPr>
          <w:szCs w:val="20"/>
        </w:rPr>
        <w:t>Hasilnya</w:t>
      </w:r>
      <w:proofErr w:type="spellEnd"/>
      <w:r w:rsidRPr="00E034E7">
        <w:rPr>
          <w:szCs w:val="20"/>
        </w:rPr>
        <w:t xml:space="preserve">, </w:t>
      </w:r>
      <w:proofErr w:type="spellStart"/>
      <w:r w:rsidRPr="00E034E7">
        <w:rPr>
          <w:szCs w:val="20"/>
        </w:rPr>
        <w:t>fenomena</w:t>
      </w:r>
      <w:proofErr w:type="spellEnd"/>
      <w:r w:rsidRPr="00E034E7">
        <w:rPr>
          <w:szCs w:val="20"/>
        </w:rPr>
        <w:t xml:space="preserve"> flypaper effect </w:t>
      </w:r>
      <w:proofErr w:type="spellStart"/>
      <w:r w:rsidRPr="00E034E7">
        <w:rPr>
          <w:szCs w:val="20"/>
        </w:rPr>
        <w:t>terjadi</w:t>
      </w:r>
      <w:proofErr w:type="spellEnd"/>
      <w:r w:rsidRPr="00E034E7">
        <w:rPr>
          <w:szCs w:val="20"/>
        </w:rPr>
        <w:t xml:space="preserve"> pada dana </w:t>
      </w:r>
      <w:proofErr w:type="spellStart"/>
      <w:r w:rsidRPr="00E034E7">
        <w:rPr>
          <w:szCs w:val="20"/>
        </w:rPr>
        <w:t>alokasi</w:t>
      </w:r>
      <w:proofErr w:type="spellEnd"/>
      <w:r w:rsidRPr="00E034E7">
        <w:rPr>
          <w:szCs w:val="20"/>
        </w:rPr>
        <w:t xml:space="preserve"> </w:t>
      </w:r>
      <w:proofErr w:type="spellStart"/>
      <w:r w:rsidRPr="00E034E7">
        <w:rPr>
          <w:szCs w:val="20"/>
        </w:rPr>
        <w:t>umum</w:t>
      </w:r>
      <w:proofErr w:type="spellEnd"/>
      <w:r w:rsidRPr="00E034E7">
        <w:rPr>
          <w:szCs w:val="20"/>
        </w:rPr>
        <w:t xml:space="preserve"> dan dana </w:t>
      </w:r>
      <w:proofErr w:type="spellStart"/>
      <w:r w:rsidRPr="00E034E7">
        <w:rPr>
          <w:szCs w:val="20"/>
        </w:rPr>
        <w:t>alokasi</w:t>
      </w:r>
      <w:proofErr w:type="spellEnd"/>
      <w:r w:rsidRPr="00E034E7">
        <w:rPr>
          <w:szCs w:val="20"/>
        </w:rPr>
        <w:t xml:space="preserve"> </w:t>
      </w:r>
      <w:proofErr w:type="spellStart"/>
      <w:r w:rsidRPr="00E034E7">
        <w:rPr>
          <w:szCs w:val="20"/>
        </w:rPr>
        <w:t>khusus</w:t>
      </w:r>
      <w:proofErr w:type="spellEnd"/>
      <w:r w:rsidRPr="00E034E7">
        <w:rPr>
          <w:szCs w:val="20"/>
        </w:rPr>
        <w:t xml:space="preserve"> </w:t>
      </w:r>
      <w:proofErr w:type="spellStart"/>
      <w:r w:rsidRPr="00E034E7">
        <w:rPr>
          <w:szCs w:val="20"/>
        </w:rPr>
        <w:t>untuk</w:t>
      </w:r>
      <w:proofErr w:type="spellEnd"/>
      <w:r w:rsidRPr="00E034E7">
        <w:rPr>
          <w:szCs w:val="20"/>
        </w:rPr>
        <w:t xml:space="preserve"> </w:t>
      </w:r>
      <w:proofErr w:type="spellStart"/>
      <w:r w:rsidRPr="00E034E7">
        <w:rPr>
          <w:szCs w:val="20"/>
        </w:rPr>
        <w:t>pengelolaan</w:t>
      </w:r>
      <w:proofErr w:type="spellEnd"/>
      <w:r w:rsidRPr="00E034E7">
        <w:rPr>
          <w:szCs w:val="20"/>
        </w:rPr>
        <w:t xml:space="preserve"> </w:t>
      </w:r>
      <w:proofErr w:type="spellStart"/>
      <w:r w:rsidRPr="00E034E7">
        <w:rPr>
          <w:szCs w:val="20"/>
        </w:rPr>
        <w:t>belanja</w:t>
      </w:r>
      <w:proofErr w:type="spellEnd"/>
      <w:r w:rsidRPr="00E034E7">
        <w:rPr>
          <w:szCs w:val="20"/>
        </w:rPr>
        <w:t xml:space="preserve"> </w:t>
      </w:r>
      <w:proofErr w:type="spellStart"/>
      <w:r w:rsidRPr="00E034E7">
        <w:rPr>
          <w:szCs w:val="20"/>
        </w:rPr>
        <w:t>pemerintah</w:t>
      </w:r>
      <w:proofErr w:type="spellEnd"/>
      <w:r w:rsidRPr="00E034E7">
        <w:rPr>
          <w:szCs w:val="20"/>
        </w:rPr>
        <w:t xml:space="preserve"> </w:t>
      </w:r>
      <w:proofErr w:type="spellStart"/>
      <w:r w:rsidRPr="00E034E7">
        <w:rPr>
          <w:szCs w:val="20"/>
        </w:rPr>
        <w:t>daerah</w:t>
      </w:r>
      <w:proofErr w:type="spellEnd"/>
      <w:r w:rsidRPr="00E034E7">
        <w:rPr>
          <w:szCs w:val="20"/>
        </w:rPr>
        <w:t xml:space="preserve">. </w:t>
      </w:r>
      <w:proofErr w:type="spellStart"/>
      <w:r w:rsidRPr="00E034E7">
        <w:rPr>
          <w:szCs w:val="20"/>
        </w:rPr>
        <w:t>Studi</w:t>
      </w:r>
      <w:proofErr w:type="spellEnd"/>
      <w:r w:rsidRPr="00E034E7">
        <w:rPr>
          <w:szCs w:val="20"/>
        </w:rPr>
        <w:t xml:space="preserve"> </w:t>
      </w:r>
      <w:proofErr w:type="spellStart"/>
      <w:r w:rsidRPr="00E034E7">
        <w:rPr>
          <w:szCs w:val="20"/>
        </w:rPr>
        <w:t>ini</w:t>
      </w:r>
      <w:proofErr w:type="spellEnd"/>
      <w:r w:rsidRPr="00E034E7">
        <w:rPr>
          <w:szCs w:val="20"/>
        </w:rPr>
        <w:t xml:space="preserve"> juga </w:t>
      </w:r>
      <w:proofErr w:type="spellStart"/>
      <w:r w:rsidRPr="00E034E7">
        <w:rPr>
          <w:szCs w:val="20"/>
        </w:rPr>
        <w:t>menemukan</w:t>
      </w:r>
      <w:proofErr w:type="spellEnd"/>
      <w:r w:rsidRPr="00E034E7">
        <w:rPr>
          <w:szCs w:val="20"/>
        </w:rPr>
        <w:t xml:space="preserve"> </w:t>
      </w:r>
      <w:proofErr w:type="spellStart"/>
      <w:r w:rsidRPr="00E034E7">
        <w:rPr>
          <w:szCs w:val="20"/>
        </w:rPr>
        <w:t>bahwa</w:t>
      </w:r>
      <w:proofErr w:type="spellEnd"/>
      <w:r w:rsidRPr="00E034E7">
        <w:rPr>
          <w:szCs w:val="20"/>
        </w:rPr>
        <w:t xml:space="preserve"> dana </w:t>
      </w:r>
      <w:proofErr w:type="spellStart"/>
      <w:r w:rsidRPr="00E034E7">
        <w:rPr>
          <w:szCs w:val="20"/>
        </w:rPr>
        <w:t>alokasi</w:t>
      </w:r>
      <w:proofErr w:type="spellEnd"/>
      <w:r w:rsidRPr="00E034E7">
        <w:rPr>
          <w:szCs w:val="20"/>
        </w:rPr>
        <w:t xml:space="preserve"> </w:t>
      </w:r>
      <w:proofErr w:type="spellStart"/>
      <w:r w:rsidRPr="00E034E7">
        <w:rPr>
          <w:szCs w:val="20"/>
        </w:rPr>
        <w:t>umum</w:t>
      </w:r>
      <w:proofErr w:type="spellEnd"/>
      <w:r w:rsidRPr="00E034E7">
        <w:rPr>
          <w:szCs w:val="20"/>
        </w:rPr>
        <w:t xml:space="preserve"> dan </w:t>
      </w:r>
      <w:proofErr w:type="spellStart"/>
      <w:r w:rsidRPr="00E034E7">
        <w:rPr>
          <w:szCs w:val="20"/>
        </w:rPr>
        <w:t>khusus</w:t>
      </w:r>
      <w:proofErr w:type="spellEnd"/>
      <w:r w:rsidRPr="00E034E7">
        <w:rPr>
          <w:szCs w:val="20"/>
        </w:rPr>
        <w:t xml:space="preserve"> </w:t>
      </w:r>
      <w:proofErr w:type="spellStart"/>
      <w:r w:rsidRPr="00E034E7">
        <w:rPr>
          <w:szCs w:val="20"/>
        </w:rPr>
        <w:t>berpengaruh</w:t>
      </w:r>
      <w:proofErr w:type="spellEnd"/>
      <w:r w:rsidRPr="00E034E7">
        <w:rPr>
          <w:szCs w:val="20"/>
        </w:rPr>
        <w:t xml:space="preserve"> </w:t>
      </w:r>
      <w:proofErr w:type="spellStart"/>
      <w:r w:rsidRPr="00E034E7">
        <w:rPr>
          <w:szCs w:val="20"/>
        </w:rPr>
        <w:t>positif</w:t>
      </w:r>
      <w:proofErr w:type="spellEnd"/>
      <w:r w:rsidRPr="00E034E7">
        <w:rPr>
          <w:szCs w:val="20"/>
        </w:rPr>
        <w:t xml:space="preserve"> </w:t>
      </w:r>
      <w:proofErr w:type="spellStart"/>
      <w:r w:rsidRPr="00E034E7">
        <w:rPr>
          <w:szCs w:val="20"/>
        </w:rPr>
        <w:t>terhadap</w:t>
      </w:r>
      <w:proofErr w:type="spellEnd"/>
      <w:r w:rsidRPr="00E034E7">
        <w:rPr>
          <w:szCs w:val="20"/>
        </w:rPr>
        <w:t xml:space="preserve"> </w:t>
      </w:r>
      <w:proofErr w:type="spellStart"/>
      <w:r w:rsidRPr="00E034E7">
        <w:rPr>
          <w:szCs w:val="20"/>
        </w:rPr>
        <w:t>belanja</w:t>
      </w:r>
      <w:proofErr w:type="spellEnd"/>
      <w:r w:rsidRPr="00E034E7">
        <w:rPr>
          <w:szCs w:val="20"/>
        </w:rPr>
        <w:t xml:space="preserve"> </w:t>
      </w:r>
      <w:proofErr w:type="spellStart"/>
      <w:r w:rsidRPr="00E034E7">
        <w:rPr>
          <w:szCs w:val="20"/>
        </w:rPr>
        <w:t>pemerintah</w:t>
      </w:r>
      <w:proofErr w:type="spellEnd"/>
      <w:r w:rsidRPr="00E034E7">
        <w:rPr>
          <w:szCs w:val="20"/>
        </w:rPr>
        <w:t xml:space="preserve"> </w:t>
      </w:r>
      <w:proofErr w:type="spellStart"/>
      <w:r w:rsidRPr="00E034E7">
        <w:rPr>
          <w:szCs w:val="20"/>
        </w:rPr>
        <w:t>daerah</w:t>
      </w:r>
      <w:proofErr w:type="spellEnd"/>
      <w:r w:rsidRPr="00E034E7">
        <w:rPr>
          <w:szCs w:val="20"/>
        </w:rPr>
        <w:t xml:space="preserve">, </w:t>
      </w:r>
      <w:proofErr w:type="spellStart"/>
      <w:r w:rsidRPr="00E034E7">
        <w:rPr>
          <w:szCs w:val="20"/>
        </w:rPr>
        <w:t>sedangkan</w:t>
      </w:r>
      <w:proofErr w:type="spellEnd"/>
      <w:r w:rsidRPr="00E034E7">
        <w:rPr>
          <w:szCs w:val="20"/>
        </w:rPr>
        <w:t xml:space="preserve"> </w:t>
      </w:r>
      <w:proofErr w:type="spellStart"/>
      <w:r w:rsidRPr="00E034E7">
        <w:rPr>
          <w:szCs w:val="20"/>
        </w:rPr>
        <w:t>pendapatan</w:t>
      </w:r>
      <w:proofErr w:type="spellEnd"/>
      <w:r w:rsidRPr="00E034E7">
        <w:rPr>
          <w:szCs w:val="20"/>
        </w:rPr>
        <w:t xml:space="preserve"> </w:t>
      </w:r>
      <w:proofErr w:type="spellStart"/>
      <w:r w:rsidRPr="00E034E7">
        <w:rPr>
          <w:szCs w:val="20"/>
        </w:rPr>
        <w:t>asli</w:t>
      </w:r>
      <w:proofErr w:type="spellEnd"/>
      <w:r w:rsidRPr="00E034E7">
        <w:rPr>
          <w:szCs w:val="20"/>
        </w:rPr>
        <w:t xml:space="preserve"> </w:t>
      </w:r>
      <w:proofErr w:type="spellStart"/>
      <w:r w:rsidRPr="00E034E7">
        <w:rPr>
          <w:szCs w:val="20"/>
        </w:rPr>
        <w:t>daerah</w:t>
      </w:r>
      <w:proofErr w:type="spellEnd"/>
      <w:r w:rsidRPr="00E034E7">
        <w:rPr>
          <w:szCs w:val="20"/>
        </w:rPr>
        <w:t xml:space="preserve"> dan dana </w:t>
      </w:r>
      <w:proofErr w:type="spellStart"/>
      <w:r w:rsidRPr="00E034E7">
        <w:rPr>
          <w:szCs w:val="20"/>
        </w:rPr>
        <w:t>bagi</w:t>
      </w:r>
      <w:proofErr w:type="spellEnd"/>
      <w:r w:rsidRPr="00E034E7">
        <w:rPr>
          <w:szCs w:val="20"/>
        </w:rPr>
        <w:t xml:space="preserve"> </w:t>
      </w:r>
      <w:proofErr w:type="spellStart"/>
      <w:r w:rsidRPr="00E034E7">
        <w:rPr>
          <w:szCs w:val="20"/>
        </w:rPr>
        <w:t>hasil</w:t>
      </w:r>
      <w:proofErr w:type="spellEnd"/>
      <w:r w:rsidRPr="00E034E7">
        <w:rPr>
          <w:szCs w:val="20"/>
        </w:rPr>
        <w:t xml:space="preserve"> </w:t>
      </w:r>
      <w:proofErr w:type="spellStart"/>
      <w:r w:rsidRPr="00E034E7">
        <w:rPr>
          <w:szCs w:val="20"/>
        </w:rPr>
        <w:t>tidak</w:t>
      </w:r>
      <w:proofErr w:type="spellEnd"/>
      <w:r w:rsidRPr="00E034E7">
        <w:rPr>
          <w:szCs w:val="20"/>
        </w:rPr>
        <w:t xml:space="preserve"> </w:t>
      </w:r>
      <w:proofErr w:type="spellStart"/>
      <w:r w:rsidRPr="00E034E7">
        <w:rPr>
          <w:szCs w:val="20"/>
        </w:rPr>
        <w:t>mempengaruhi</w:t>
      </w:r>
      <w:proofErr w:type="spellEnd"/>
      <w:r w:rsidRPr="00E034E7">
        <w:rPr>
          <w:szCs w:val="20"/>
        </w:rPr>
        <w:t xml:space="preserve"> </w:t>
      </w:r>
      <w:proofErr w:type="spellStart"/>
      <w:r w:rsidRPr="00E034E7">
        <w:rPr>
          <w:szCs w:val="20"/>
        </w:rPr>
        <w:t>belanja</w:t>
      </w:r>
      <w:proofErr w:type="spellEnd"/>
      <w:r w:rsidRPr="00E034E7">
        <w:rPr>
          <w:szCs w:val="20"/>
        </w:rPr>
        <w:t xml:space="preserve"> </w:t>
      </w:r>
      <w:proofErr w:type="spellStart"/>
      <w:r w:rsidRPr="00E034E7">
        <w:rPr>
          <w:szCs w:val="20"/>
        </w:rPr>
        <w:t>pemerintah</w:t>
      </w:r>
      <w:proofErr w:type="spellEnd"/>
      <w:r w:rsidRPr="00E034E7">
        <w:rPr>
          <w:szCs w:val="20"/>
        </w:rPr>
        <w:t xml:space="preserve"> </w:t>
      </w:r>
      <w:proofErr w:type="spellStart"/>
      <w:r w:rsidRPr="00E034E7">
        <w:rPr>
          <w:szCs w:val="20"/>
        </w:rPr>
        <w:t>daerah</w:t>
      </w:r>
      <w:proofErr w:type="spellEnd"/>
      <w:r w:rsidRPr="00E034E7">
        <w:rPr>
          <w:szCs w:val="20"/>
        </w:rPr>
        <w:t xml:space="preserve">. Hal </w:t>
      </w:r>
      <w:proofErr w:type="spellStart"/>
      <w:r w:rsidRPr="00E034E7">
        <w:rPr>
          <w:szCs w:val="20"/>
        </w:rPr>
        <w:t>itu</w:t>
      </w:r>
      <w:proofErr w:type="spellEnd"/>
      <w:r w:rsidRPr="00E034E7">
        <w:rPr>
          <w:szCs w:val="20"/>
        </w:rPr>
        <w:t xml:space="preserve"> </w:t>
      </w:r>
      <w:proofErr w:type="spellStart"/>
      <w:r w:rsidRPr="00E034E7">
        <w:rPr>
          <w:szCs w:val="20"/>
        </w:rPr>
        <w:t>membuktikan</w:t>
      </w:r>
      <w:proofErr w:type="spellEnd"/>
      <w:r w:rsidRPr="00E034E7">
        <w:rPr>
          <w:szCs w:val="20"/>
        </w:rPr>
        <w:t xml:space="preserve"> </w:t>
      </w:r>
      <w:proofErr w:type="spellStart"/>
      <w:r w:rsidRPr="00E034E7">
        <w:rPr>
          <w:szCs w:val="20"/>
        </w:rPr>
        <w:t>bahwa</w:t>
      </w:r>
      <w:proofErr w:type="spellEnd"/>
      <w:r w:rsidRPr="00E034E7">
        <w:rPr>
          <w:szCs w:val="20"/>
        </w:rPr>
        <w:t xml:space="preserve"> </w:t>
      </w:r>
      <w:proofErr w:type="spellStart"/>
      <w:r w:rsidRPr="00E034E7">
        <w:rPr>
          <w:szCs w:val="20"/>
        </w:rPr>
        <w:t>pemerintah</w:t>
      </w:r>
      <w:proofErr w:type="spellEnd"/>
      <w:r w:rsidRPr="00E034E7">
        <w:rPr>
          <w:szCs w:val="20"/>
        </w:rPr>
        <w:t xml:space="preserve"> </w:t>
      </w:r>
      <w:proofErr w:type="spellStart"/>
      <w:r w:rsidRPr="00E034E7">
        <w:rPr>
          <w:szCs w:val="20"/>
        </w:rPr>
        <w:t>daerah</w:t>
      </w:r>
      <w:proofErr w:type="spellEnd"/>
      <w:r w:rsidRPr="00E034E7">
        <w:rPr>
          <w:szCs w:val="20"/>
        </w:rPr>
        <w:t xml:space="preserve"> </w:t>
      </w:r>
      <w:proofErr w:type="spellStart"/>
      <w:r w:rsidRPr="00E034E7">
        <w:rPr>
          <w:szCs w:val="20"/>
        </w:rPr>
        <w:t>masih</w:t>
      </w:r>
      <w:proofErr w:type="spellEnd"/>
      <w:r w:rsidRPr="00E034E7">
        <w:rPr>
          <w:szCs w:val="20"/>
        </w:rPr>
        <w:t xml:space="preserve"> </w:t>
      </w:r>
      <w:proofErr w:type="spellStart"/>
      <w:r w:rsidRPr="00E034E7">
        <w:rPr>
          <w:szCs w:val="20"/>
        </w:rPr>
        <w:t>sangat</w:t>
      </w:r>
      <w:proofErr w:type="spellEnd"/>
      <w:r w:rsidRPr="00E034E7">
        <w:rPr>
          <w:szCs w:val="20"/>
        </w:rPr>
        <w:t xml:space="preserve"> </w:t>
      </w:r>
      <w:proofErr w:type="spellStart"/>
      <w:r w:rsidRPr="00E034E7">
        <w:rPr>
          <w:szCs w:val="20"/>
        </w:rPr>
        <w:t>bergantung</w:t>
      </w:r>
      <w:proofErr w:type="spellEnd"/>
      <w:r w:rsidRPr="00E034E7">
        <w:rPr>
          <w:szCs w:val="20"/>
        </w:rPr>
        <w:t xml:space="preserve"> pada dana transfer </w:t>
      </w:r>
      <w:proofErr w:type="spellStart"/>
      <w:r w:rsidRPr="00E034E7">
        <w:rPr>
          <w:szCs w:val="20"/>
        </w:rPr>
        <w:t>pemerintah</w:t>
      </w:r>
      <w:proofErr w:type="spellEnd"/>
      <w:r w:rsidRPr="00E034E7">
        <w:rPr>
          <w:szCs w:val="20"/>
        </w:rPr>
        <w:t xml:space="preserve"> </w:t>
      </w:r>
      <w:proofErr w:type="spellStart"/>
      <w:r w:rsidRPr="00E034E7">
        <w:rPr>
          <w:szCs w:val="20"/>
        </w:rPr>
        <w:t>pusat</w:t>
      </w:r>
      <w:proofErr w:type="spellEnd"/>
      <w:r w:rsidRPr="00E034E7">
        <w:rPr>
          <w:szCs w:val="20"/>
        </w:rPr>
        <w:t xml:space="preserve"> </w:t>
      </w:r>
      <w:proofErr w:type="spellStart"/>
      <w:r w:rsidRPr="00E034E7">
        <w:rPr>
          <w:szCs w:val="20"/>
        </w:rPr>
        <w:t>daripada</w:t>
      </w:r>
      <w:proofErr w:type="spellEnd"/>
      <w:r w:rsidRPr="00E034E7">
        <w:rPr>
          <w:szCs w:val="20"/>
        </w:rPr>
        <w:t xml:space="preserve"> </w:t>
      </w:r>
      <w:proofErr w:type="spellStart"/>
      <w:r w:rsidRPr="00E034E7">
        <w:rPr>
          <w:szCs w:val="20"/>
        </w:rPr>
        <w:t>meningkatkan</w:t>
      </w:r>
      <w:proofErr w:type="spellEnd"/>
      <w:r w:rsidRPr="00E034E7">
        <w:rPr>
          <w:szCs w:val="20"/>
        </w:rPr>
        <w:t xml:space="preserve"> </w:t>
      </w:r>
      <w:proofErr w:type="spellStart"/>
      <w:r w:rsidRPr="00E034E7">
        <w:rPr>
          <w:szCs w:val="20"/>
        </w:rPr>
        <w:t>pendapatan</w:t>
      </w:r>
      <w:proofErr w:type="spellEnd"/>
      <w:r w:rsidRPr="00E034E7">
        <w:rPr>
          <w:szCs w:val="20"/>
        </w:rPr>
        <w:t xml:space="preserve"> </w:t>
      </w:r>
      <w:proofErr w:type="spellStart"/>
      <w:r w:rsidRPr="00E034E7">
        <w:rPr>
          <w:szCs w:val="20"/>
        </w:rPr>
        <w:t>asli</w:t>
      </w:r>
      <w:proofErr w:type="spellEnd"/>
      <w:r w:rsidRPr="00E034E7">
        <w:rPr>
          <w:szCs w:val="20"/>
        </w:rPr>
        <w:t xml:space="preserve"> </w:t>
      </w:r>
      <w:proofErr w:type="spellStart"/>
      <w:r w:rsidRPr="00E034E7">
        <w:rPr>
          <w:szCs w:val="20"/>
        </w:rPr>
        <w:t>daerahnya</w:t>
      </w:r>
      <w:proofErr w:type="spellEnd"/>
      <w:r w:rsidRPr="00E034E7">
        <w:rPr>
          <w:szCs w:val="20"/>
        </w:rPr>
        <w:t xml:space="preserve">. </w:t>
      </w:r>
    </w:p>
    <w:p w:rsidR="009B32A1" w:rsidRPr="005A7C47" w:rsidRDefault="009B32A1" w:rsidP="005A7C47">
      <w:pPr>
        <w:pStyle w:val="abstrak"/>
        <w:ind w:left="1701" w:hanging="1134"/>
        <w:rPr>
          <w:b/>
          <w:szCs w:val="20"/>
        </w:rPr>
      </w:pPr>
      <w:r w:rsidRPr="00BE15AD">
        <w:rPr>
          <w:b/>
          <w:szCs w:val="20"/>
          <w:lang w:val="id-ID"/>
        </w:rPr>
        <w:t xml:space="preserve">Kata Kunci: </w:t>
      </w:r>
      <w:r w:rsidR="005A7C47">
        <w:rPr>
          <w:b/>
          <w:szCs w:val="20"/>
        </w:rPr>
        <w:t xml:space="preserve">Flypaper Effect, </w:t>
      </w:r>
      <w:proofErr w:type="spellStart"/>
      <w:r w:rsidR="005A7C47">
        <w:rPr>
          <w:b/>
          <w:szCs w:val="20"/>
        </w:rPr>
        <w:t>Pendapatan</w:t>
      </w:r>
      <w:proofErr w:type="spellEnd"/>
      <w:r w:rsidR="005A7C47">
        <w:rPr>
          <w:b/>
          <w:szCs w:val="20"/>
        </w:rPr>
        <w:t xml:space="preserve"> Asli Daerah, Dana </w:t>
      </w:r>
      <w:proofErr w:type="spellStart"/>
      <w:r w:rsidR="005A7C47">
        <w:rPr>
          <w:b/>
          <w:szCs w:val="20"/>
        </w:rPr>
        <w:t>Alokasi</w:t>
      </w:r>
      <w:proofErr w:type="spellEnd"/>
      <w:r w:rsidR="005A7C47">
        <w:rPr>
          <w:b/>
          <w:szCs w:val="20"/>
        </w:rPr>
        <w:t xml:space="preserve"> </w:t>
      </w:r>
      <w:proofErr w:type="spellStart"/>
      <w:r w:rsidR="005A7C47">
        <w:rPr>
          <w:b/>
          <w:szCs w:val="20"/>
        </w:rPr>
        <w:t>Umum</w:t>
      </w:r>
      <w:proofErr w:type="spellEnd"/>
      <w:r w:rsidR="005A7C47">
        <w:rPr>
          <w:b/>
          <w:szCs w:val="20"/>
        </w:rPr>
        <w:t xml:space="preserve">, Dana </w:t>
      </w:r>
      <w:proofErr w:type="spellStart"/>
      <w:r w:rsidR="005A7C47">
        <w:rPr>
          <w:b/>
          <w:szCs w:val="20"/>
        </w:rPr>
        <w:t>Alokasi</w:t>
      </w:r>
      <w:proofErr w:type="spellEnd"/>
      <w:r w:rsidR="005A7C47">
        <w:rPr>
          <w:b/>
          <w:szCs w:val="20"/>
        </w:rPr>
        <w:t xml:space="preserve">  </w:t>
      </w:r>
      <w:proofErr w:type="spellStart"/>
      <w:r w:rsidR="005A7C47">
        <w:rPr>
          <w:b/>
          <w:szCs w:val="20"/>
        </w:rPr>
        <w:t>Khusus</w:t>
      </w:r>
      <w:proofErr w:type="spellEnd"/>
      <w:r w:rsidR="005A7C47">
        <w:rPr>
          <w:b/>
          <w:szCs w:val="20"/>
        </w:rPr>
        <w:t xml:space="preserve">, Dana </w:t>
      </w:r>
      <w:proofErr w:type="spellStart"/>
      <w:r w:rsidR="005A7C47">
        <w:rPr>
          <w:b/>
          <w:szCs w:val="20"/>
        </w:rPr>
        <w:t>Bagi</w:t>
      </w:r>
      <w:proofErr w:type="spellEnd"/>
      <w:r w:rsidR="005A7C47">
        <w:rPr>
          <w:b/>
          <w:szCs w:val="20"/>
        </w:rPr>
        <w:t xml:space="preserve"> Hasil, dan </w:t>
      </w:r>
      <w:proofErr w:type="spellStart"/>
      <w:r w:rsidR="005A7C47">
        <w:rPr>
          <w:b/>
          <w:szCs w:val="20"/>
        </w:rPr>
        <w:t>Belanja</w:t>
      </w:r>
      <w:proofErr w:type="spellEnd"/>
      <w:r w:rsidR="005A7C47">
        <w:rPr>
          <w:b/>
          <w:szCs w:val="20"/>
        </w:rPr>
        <w:t xml:space="preserve"> Daerah</w:t>
      </w:r>
    </w:p>
    <w:p w:rsidR="00EB28C9" w:rsidRPr="00F73A74" w:rsidRDefault="009B32A1" w:rsidP="00D50408">
      <w:pPr>
        <w:jc w:val="both"/>
        <w:rPr>
          <w:b/>
          <w:i/>
          <w:sz w:val="22"/>
          <w:szCs w:val="22"/>
        </w:rPr>
      </w:pPr>
      <w:r w:rsidRPr="00BE15AD">
        <w:tab/>
      </w:r>
      <w:bookmarkStart w:id="0" w:name="_Hlk12773479"/>
    </w:p>
    <w:bookmarkEnd w:id="0"/>
    <w:p w:rsidR="009E2CC9" w:rsidRDefault="009E2CC9" w:rsidP="009E2CC9">
      <w:pPr>
        <w:adjustRightInd w:val="0"/>
        <w:snapToGrid w:val="0"/>
        <w:spacing w:after="120" w:line="276" w:lineRule="auto"/>
        <w:jc w:val="both"/>
        <w:rPr>
          <w:rFonts w:ascii="Century" w:hAnsi="Century"/>
          <w:b/>
          <w:bCs/>
        </w:rPr>
      </w:pPr>
    </w:p>
    <w:p w:rsidR="009E2CC9" w:rsidRPr="00ED330C" w:rsidRDefault="009E2CC9" w:rsidP="009E2CC9">
      <w:pPr>
        <w:adjustRightInd w:val="0"/>
        <w:snapToGrid w:val="0"/>
        <w:spacing w:after="120" w:line="276" w:lineRule="auto"/>
        <w:jc w:val="both"/>
        <w:rPr>
          <w:b/>
          <w:bCs/>
        </w:rPr>
      </w:pPr>
      <w:r w:rsidRPr="00ED330C">
        <w:rPr>
          <w:b/>
          <w:bCs/>
        </w:rPr>
        <w:t>INTRODUCTION</w:t>
      </w:r>
    </w:p>
    <w:p w:rsidR="0027072F" w:rsidRPr="00ED330C" w:rsidRDefault="0027072F" w:rsidP="0027072F">
      <w:pPr>
        <w:spacing w:after="120"/>
        <w:ind w:firstLine="709"/>
        <w:jc w:val="both"/>
      </w:pPr>
      <w:r w:rsidRPr="00ED330C">
        <w:t>The Reformation has brought several changes to Indonesia's government system, one of which was the decentralization system. Several regulations regarding local government have been drafted to support the running of the system. As the implementation of the regional government system develops, Law No. 32 of 2004 changed to Law No. 23 of 2014 and further regulated in Law No. 2 of 2015. The law emphasizes that the implementation of regional government is carried out following the principles of regional autonomy. Regional autonomy is a form of implementation of the decentralized system. It is hoped that local governments will be more independent in developing their resources and can play an active role in advancing their regions.</w:t>
      </w:r>
    </w:p>
    <w:p w:rsidR="0027072F" w:rsidRPr="00ED330C" w:rsidRDefault="0027072F" w:rsidP="00F11C26">
      <w:pPr>
        <w:adjustRightInd w:val="0"/>
        <w:snapToGrid w:val="0"/>
        <w:ind w:firstLine="709"/>
        <w:jc w:val="both"/>
      </w:pPr>
      <w:r w:rsidRPr="00ED330C">
        <w:lastRenderedPageBreak/>
        <w:t xml:space="preserve">Decentralization transfers political power from the central government to regional governments, but the fiscal policy also includes where subnational governments get financial transfers from the central government </w:t>
      </w:r>
      <w:r w:rsidRPr="00ED330C">
        <w:fldChar w:fldCharType="begin" w:fldLock="1"/>
      </w:r>
      <w:r w:rsidRPr="00ED330C">
        <w:instrText>ADDIN CSL_CITATION {"citationItems":[{"id":"ITEM-1","itemData":{"ISBN":"9780470014561","author":[{"dropping-particle":"","family":"Baltagi","given":"Badi H","non-dropping-particle":"","parse-names":false,"suffix":""}],"edition":"Third Edit","id":"ITEM-1","issued":{"date-parts":[["2005"]]},"publisher":"John wiley &amp; Sons, Ltd","publisher-place":"england","title":"Econometric Analysis of Panel Data","type":"book"},"uris":["http://www.mendeley.com/documents/?uuid=c69e4336-0bf7-40f0-891a-4053312552e8"]},{"id":"ITEM-2","itemData":{"author":[{"dropping-particle":"","family":"Kunst","given":"Robert M","non-dropping-particle":"","parse-names":false,"suffix":""}],"id":"ITEM-2","issued":{"date-parts":[["2013"]]},"page":"1-20","title":"Econometric Methods for Panel Data Based on the books by Baltagi : Econometric Analysis of Panel Data and by Hsiao : Analysis of Panel Data Outline Introduction Tests in panel models Poolability tests Testing for the presence of random effects The Hausman","type":"article-journal"},"uris":["http://www.mendeley.com/documents/?uuid=c2f5dcd3-1929-4e2b-b318-81a5e7d683f2"]}],"mendeley":{"formattedCitation":"(Baltagi, 2005; Kunst, 2013)","manualFormatting":"(Baltagi, 2005.; Kunst, 2013.; Hsiao, 2003)","plainTextFormattedCitation":"(Baltagi, 2005; Kunst, 2013)","previouslyFormattedCitation":"(Baltagi, 2005; Kunst, 2013)"},"properties":{"noteIndex":0},"schema":"https://github.com/citation-style-language/schema/raw/master/csl-citation.json"}</w:instrText>
      </w:r>
      <w:r w:rsidRPr="00ED330C">
        <w:fldChar w:fldCharType="separate"/>
      </w:r>
      <w:r w:rsidRPr="00ED330C">
        <w:rPr>
          <w:noProof/>
        </w:rPr>
        <w:t>(Suyanto, 2010)</w:t>
      </w:r>
      <w:r w:rsidRPr="00ED330C">
        <w:fldChar w:fldCharType="end"/>
      </w:r>
      <w:r w:rsidRPr="00ED330C">
        <w:t xml:space="preserve">. To achieve the goals of decentralization, local governments must explore other income sources optimally so that local revenue can be maximized to lessen dependence on the central government </w:t>
      </w:r>
      <w:r w:rsidRPr="00ED330C">
        <w:fldChar w:fldCharType="begin" w:fldLock="1"/>
      </w:r>
      <w:r w:rsidRPr="00ED330C">
        <w:instrText>ADDIN CSL_CITATION {"citationItems":[{"id":"ITEM-1","itemData":{"ISBN":"9780470014561","author":[{"dropping-particle":"","family":"Baltagi","given":"Badi H","non-dropping-particle":"","parse-names":false,"suffix":""}],"edition":"Third Edit","id":"ITEM-1","issued":{"date-parts":[["2005"]]},"publisher":"John wiley &amp; Sons, Ltd","publisher-place":"england","title":"Econometric Analysis of Panel Data","type":"book"},"uris":["http://www.mendeley.com/documents/?uuid=c69e4336-0bf7-40f0-891a-4053312552e8"]},{"id":"ITEM-2","itemData":{"author":[{"dropping-particle":"","family":"Kunst","given":"Robert M","non-dropping-particle":"","parse-names":false,"suffix":""}],"id":"ITEM-2","issued":{"date-parts":[["2013"]]},"page":"1-20","title":"Econometric Methods for Panel Data Based on the books by Baltagi : Econometric Analysis of Panel Data and by Hsiao : Analysis of Panel Data Outline Introduction Tests in panel models Poolability tests Testing for the presence of random effects The Hausman","type":"article-journal"},"uris":["http://www.mendeley.com/documents/?uuid=c2f5dcd3-1929-4e2b-b318-81a5e7d683f2"]}],"mendeley":{"formattedCitation":"(Baltagi, 2005; Kunst, 2013)","manualFormatting":"(Baltagi, 2005.; Kunst, 2013.; Hsiao, 2003)","plainTextFormattedCitation":"(Baltagi, 2005; Kunst, 2013)","previouslyFormattedCitation":"(Baltagi, 2005; Kunst, 2013)"},"properties":{"noteIndex":0},"schema":"https://github.com/citation-style-language/schema/raw/master/csl-citation.json"}</w:instrText>
      </w:r>
      <w:r w:rsidRPr="00ED330C">
        <w:fldChar w:fldCharType="separate"/>
      </w:r>
      <w:r w:rsidRPr="00ED330C">
        <w:rPr>
          <w:noProof/>
        </w:rPr>
        <w:t>(Inayati &amp; Setiawan, 2012; Nasir, 2019)</w:t>
      </w:r>
      <w:r w:rsidRPr="00ED330C">
        <w:fldChar w:fldCharType="end"/>
      </w:r>
      <w:r w:rsidRPr="00ED330C">
        <w:t xml:space="preserve">. This authority is given because local governments are more familiar with their regions' potentials and needs than the central government. It is an indicator in measuring the success of implementing the decentralized system. The greater the original local government revenue generated by a region, indicating that fiscal decentralization in that region has been implemented well. Thus, the central government's dependence level will also be smaller </w:t>
      </w:r>
      <w:r w:rsidRPr="00ED330C">
        <w:fldChar w:fldCharType="begin" w:fldLock="1"/>
      </w:r>
      <w:r w:rsidRPr="00ED330C">
        <w:instrText>ADDIN CSL_CITATION {"citationItems":[{"id":"ITEM-1","itemData":{"ISBN":"9780470014561","author":[{"dropping-particle":"","family":"Baltagi","given":"Badi H","non-dropping-particle":"","parse-names":false,"suffix":""}],"edition":"Third Edit","id":"ITEM-1","issued":{"date-parts":[["2005"]]},"publisher":"John wiley &amp; Sons, Ltd","publisher-place":"england","title":"Econometric Analysis of Panel Data","type":"book"},"uris":["http://www.mendeley.com/documents/?uuid=c69e4336-0bf7-40f0-891a-4053312552e8"]},{"id":"ITEM-2","itemData":{"author":[{"dropping-particle":"","family":"Kunst","given":"Robert M","non-dropping-particle":"","parse-names":false,"suffix":""}],"id":"ITEM-2","issued":{"date-parts":[["2013"]]},"page":"1-20","title":"Econometric Methods for Panel Data Based on the books by Baltagi : Econometric Analysis of Panel Data and by Hsiao : Analysis of Panel Data Outline Introduction Tests in panel models Poolability tests Testing for the presence of random effects The Hausman","type":"article-journal"},"uris":["http://www.mendeley.com/documents/?uuid=c2f5dcd3-1929-4e2b-b318-81a5e7d683f2"]}],"mendeley":{"formattedCitation":"(Baltagi, 2005; Kunst, 2013)","manualFormatting":"(Baltagi, 2005.; Kunst, 2013.; Hsiao, 2003)","plainTextFormattedCitation":"(Baltagi, 2005; Kunst, 2013)","previouslyFormattedCitation":"(Baltagi, 2005; Kunst, 2013)"},"properties":{"noteIndex":0},"schema":"https://github.com/citation-style-language/schema/raw/master/csl-citation.json"}</w:instrText>
      </w:r>
      <w:r w:rsidRPr="00ED330C">
        <w:fldChar w:fldCharType="separate"/>
      </w:r>
      <w:r w:rsidRPr="00ED330C">
        <w:rPr>
          <w:noProof/>
        </w:rPr>
        <w:t>(Bodman &amp;</w:t>
      </w:r>
      <w:r w:rsidRPr="00ED330C">
        <w:t xml:space="preserve"> Hodge, 2010).</w:t>
      </w:r>
      <w:r w:rsidRPr="00ED330C">
        <w:fldChar w:fldCharType="end"/>
      </w:r>
    </w:p>
    <w:p w:rsidR="0027072F" w:rsidRPr="0027072F" w:rsidRDefault="0027072F" w:rsidP="00F11C26">
      <w:pPr>
        <w:pStyle w:val="DaftarParagraf"/>
        <w:adjustRightInd w:val="0"/>
        <w:snapToGrid w:val="0"/>
        <w:spacing w:after="0" w:line="240" w:lineRule="auto"/>
        <w:ind w:left="0" w:firstLine="709"/>
        <w:jc w:val="both"/>
        <w:rPr>
          <w:rFonts w:ascii="Times New Roman" w:hAnsi="Times New Roman" w:cs="Times New Roman"/>
          <w:i w:val="0"/>
          <w:iCs w:val="0"/>
          <w:sz w:val="24"/>
          <w:szCs w:val="24"/>
        </w:rPr>
      </w:pPr>
      <w:r w:rsidRPr="0027072F">
        <w:rPr>
          <w:rFonts w:ascii="Times New Roman" w:hAnsi="Times New Roman" w:cs="Times New Roman"/>
          <w:i w:val="0"/>
          <w:iCs w:val="0"/>
          <w:sz w:val="24"/>
          <w:szCs w:val="24"/>
        </w:rPr>
        <w:t xml:space="preserve">Based on PMK Number 126/PMK.07/2019 concerning Regional Fiscal Capacity Maps, there are still many regencies or cities in Indonesia with a low level of fiscal capacity, so there is a relatively sizeable fiscal gap. According to </w:t>
      </w:r>
      <w:r w:rsidRPr="0027072F">
        <w:rPr>
          <w:rFonts w:ascii="Times New Roman" w:hAnsi="Times New Roman" w:cs="Times New Roman"/>
          <w:i w:val="0"/>
          <w:iCs w:val="0"/>
          <w:sz w:val="24"/>
          <w:szCs w:val="24"/>
        </w:rPr>
        <w:fldChar w:fldCharType="begin" w:fldLock="1"/>
      </w:r>
      <w:r w:rsidRPr="0027072F">
        <w:rPr>
          <w:rFonts w:ascii="Times New Roman" w:hAnsi="Times New Roman" w:cs="Times New Roman"/>
          <w:i w:val="0"/>
          <w:iCs w:val="0"/>
          <w:sz w:val="24"/>
          <w:szCs w:val="24"/>
        </w:rPr>
        <w:instrText>ADDIN CSL_CITATION {"citationItems":[{"id":"ITEM-1","itemData":{"ISBN":"9780470014561","author":[{"dropping-particle":"","family":"Baltagi","given":"Badi H","non-dropping-particle":"","parse-names":false,"suffix":""}],"edition":"Third Edit","id":"ITEM-1","issued":{"date-parts":[["2005"]]},"publisher":"John wiley &amp; Sons, Ltd","publisher-place":"england","title":"Econometric Analysis of Panel Data","type":"book"},"uris":["http://www.mendeley.com/documents/?uuid=c69e4336-0bf7-40f0-891a-4053312552e8"]},{"id":"ITEM-2","itemData":{"author":[{"dropping-particle":"","family":"Kunst","given":"Robert M","non-dropping-particle":"","parse-names":false,"suffix":""}],"id":"ITEM-2","issued":{"date-parts":[["2013"]]},"page":"1-20","title":"Econometric Methods for Panel Data Based on the books by Baltagi : Econometric Analysis of Panel Data and by Hsiao : Analysis of Panel Data Outline Introduction Tests in panel models Poolability tests Testing for the presence of random effects The Hausman","type":"article-journal"},"uris":["http://www.mendeley.com/documents/?uuid=c2f5dcd3-1929-4e2b-b318-81a5e7d683f2"]}],"mendeley":{"formattedCitation":"(Baltagi, 2005; Kunst, 2013)","manualFormatting":"(Baltagi, 2005.; Kunst, 2013.; Hsiao, 2003)","plainTextFormattedCitation":"(Baltagi, 2005; Kunst, 2013)","previouslyFormattedCitation":"(Baltagi, 2005; Kunst, 2013)"},"properties":{"noteIndex":0},"schema":"https://github.com/citation-style-language/schema/raw/master/csl-citation.json"}</w:instrText>
      </w:r>
      <w:r w:rsidRPr="0027072F">
        <w:rPr>
          <w:rFonts w:ascii="Times New Roman" w:hAnsi="Times New Roman" w:cs="Times New Roman"/>
          <w:i w:val="0"/>
          <w:iCs w:val="0"/>
          <w:sz w:val="24"/>
          <w:szCs w:val="24"/>
        </w:rPr>
        <w:fldChar w:fldCharType="separate"/>
      </w:r>
      <w:r w:rsidRPr="0027072F">
        <w:rPr>
          <w:rFonts w:ascii="Times New Roman" w:hAnsi="Times New Roman" w:cs="Times New Roman"/>
          <w:i w:val="0"/>
          <w:iCs w:val="0"/>
          <w:noProof/>
          <w:sz w:val="24"/>
          <w:szCs w:val="24"/>
        </w:rPr>
        <w:t>Amalia</w:t>
      </w:r>
      <w:r w:rsidRPr="0027072F">
        <w:rPr>
          <w:rFonts w:ascii="Times New Roman" w:hAnsi="Times New Roman" w:cs="Times New Roman"/>
          <w:i w:val="0"/>
          <w:iCs w:val="0"/>
          <w:sz w:val="24"/>
          <w:szCs w:val="24"/>
        </w:rPr>
        <w:t xml:space="preserve"> (2015)</w:t>
      </w:r>
      <w:r w:rsidRPr="0027072F">
        <w:rPr>
          <w:rFonts w:ascii="Times New Roman" w:hAnsi="Times New Roman" w:cs="Times New Roman"/>
          <w:i w:val="0"/>
          <w:iCs w:val="0"/>
          <w:sz w:val="24"/>
          <w:szCs w:val="24"/>
        </w:rPr>
        <w:fldChar w:fldCharType="end"/>
      </w:r>
      <w:r w:rsidRPr="0027072F">
        <w:rPr>
          <w:rFonts w:ascii="Times New Roman" w:hAnsi="Times New Roman" w:cs="Times New Roman"/>
          <w:i w:val="0"/>
          <w:iCs w:val="0"/>
          <w:sz w:val="24"/>
          <w:szCs w:val="24"/>
        </w:rPr>
        <w:t>, several regions have abundant human resources and natural resources but have scarcity in investment opportunities and economic infrastructure. On the other hand, some regions have good management in the financial system even though they have shortcomings in natural resources and human resources, but can maximize their regions' considerable tax potential. Meanwhile, several other regions have experienced limitations in both economic infrastructure and resources. As a consequence, the per capita gross domestic product (GDP) produced varies from province to province. To overcome fiscal imbalances, the central government took steps by transferring the balanced budget to the regions. These funds are sources of funding for the local government and the main source, namely, original local government revenue.</w:t>
      </w:r>
    </w:p>
    <w:p w:rsidR="0027072F" w:rsidRPr="0027072F" w:rsidRDefault="0027072F" w:rsidP="00F11C26">
      <w:pPr>
        <w:pStyle w:val="DaftarParagraf"/>
        <w:adjustRightInd w:val="0"/>
        <w:snapToGrid w:val="0"/>
        <w:spacing w:after="0" w:line="240" w:lineRule="auto"/>
        <w:ind w:left="0" w:firstLine="709"/>
        <w:jc w:val="both"/>
        <w:rPr>
          <w:rFonts w:ascii="Times New Roman" w:hAnsi="Times New Roman" w:cs="Times New Roman"/>
          <w:i w:val="0"/>
          <w:iCs w:val="0"/>
          <w:sz w:val="24"/>
          <w:szCs w:val="24"/>
        </w:rPr>
      </w:pPr>
      <w:r w:rsidRPr="0027072F">
        <w:rPr>
          <w:rFonts w:ascii="Times New Roman" w:hAnsi="Times New Roman" w:cs="Times New Roman"/>
          <w:i w:val="0"/>
          <w:iCs w:val="0"/>
          <w:sz w:val="24"/>
          <w:szCs w:val="24"/>
        </w:rPr>
        <w:t xml:space="preserve">Original local government revenue (PAD) will affect how much the expenditure on local government expenditure. All local revenue obtained, both from local government and central government transfers, is used for </w:t>
      </w:r>
      <w:r w:rsidRPr="0027072F">
        <w:rPr>
          <w:rFonts w:ascii="Times New Roman" w:hAnsi="Times New Roman" w:cs="Times New Roman"/>
          <w:i w:val="0"/>
          <w:iCs w:val="0"/>
          <w:color w:val="222222"/>
          <w:sz w:val="24"/>
          <w:szCs w:val="24"/>
          <w:lang w:val="en"/>
        </w:rPr>
        <w:t>local government expenditure</w:t>
      </w:r>
      <w:r w:rsidRPr="0027072F">
        <w:rPr>
          <w:rFonts w:ascii="Times New Roman" w:hAnsi="Times New Roman" w:cs="Times New Roman"/>
          <w:b/>
          <w:bCs/>
          <w:i w:val="0"/>
          <w:iCs w:val="0"/>
          <w:color w:val="222222"/>
          <w:sz w:val="24"/>
          <w:szCs w:val="24"/>
          <w:lang w:val="en"/>
        </w:rPr>
        <w:t xml:space="preserve"> </w:t>
      </w:r>
      <w:r w:rsidRPr="0027072F">
        <w:rPr>
          <w:rFonts w:ascii="Times New Roman" w:hAnsi="Times New Roman" w:cs="Times New Roman"/>
          <w:i w:val="0"/>
          <w:iCs w:val="0"/>
          <w:sz w:val="24"/>
          <w:szCs w:val="24"/>
        </w:rPr>
        <w:t>to improve community welfare and regional development (</w:t>
      </w:r>
      <w:r w:rsidRPr="0027072F">
        <w:rPr>
          <w:rFonts w:ascii="Times New Roman" w:hAnsi="Times New Roman" w:cs="Times New Roman"/>
          <w:i w:val="0"/>
          <w:iCs w:val="0"/>
          <w:sz w:val="24"/>
          <w:szCs w:val="24"/>
        </w:rPr>
        <w:fldChar w:fldCharType="begin" w:fldLock="1"/>
      </w:r>
      <w:r w:rsidRPr="0027072F">
        <w:rPr>
          <w:rFonts w:ascii="Times New Roman" w:hAnsi="Times New Roman" w:cs="Times New Roman"/>
          <w:i w:val="0"/>
          <w:iCs w:val="0"/>
          <w:sz w:val="24"/>
          <w:szCs w:val="24"/>
        </w:rPr>
        <w:instrText>ADDIN CSL_CITATION {"citationItems":[{"id":"ITEM-1","itemData":{"ISBN":"9780470014561","author":[{"dropping-particle":"","family":"Baltagi","given":"Badi H","non-dropping-particle":"","parse-names":false,"suffix":""}],"edition":"Third Edit","id":"ITEM-1","issued":{"date-parts":[["2005"]]},"publisher":"John wiley &amp; Sons, Ltd","publisher-place":"england","title":"Econometric Analysis of Panel Data","type":"book"},"uris":["http://www.mendeley.com/documents/?uuid=c69e4336-0bf7-40f0-891a-4053312552e8"]},{"id":"ITEM-2","itemData":{"author":[{"dropping-particle":"","family":"Kunst","given":"Robert M","non-dropping-particle":"","parse-names":false,"suffix":""}],"id":"ITEM-2","issued":{"date-parts":[["2013"]]},"page":"1-20","title":"Econometric Methods for Panel Data Based on the books by Baltagi : Econometric Analysis of Panel Data and by Hsiao : Analysis of Panel Data Outline Introduction Tests in panel models Poolability tests Testing for the presence of random effects The Hausman","type":"article-journal"},"uris":["http://www.mendeley.com/documents/?uuid=c2f5dcd3-1929-4e2b-b318-81a5e7d683f2"]}],"mendeley":{"formattedCitation":"(Baltagi, 2005; Kunst, 2013)","manualFormatting":"(Baltagi, 2005.; Kunst, 2013.; Hsiao, 2003)","plainTextFormattedCitation":"(Baltagi, 2005; Kunst, 2013)","previouslyFormattedCitation":"(Baltagi, 2005; Kunst, 2013)"},"properties":{"noteIndex":0},"schema":"https://github.com/citation-style-language/schema/raw/master/csl-citation.json"}</w:instrText>
      </w:r>
      <w:r w:rsidRPr="0027072F">
        <w:rPr>
          <w:rFonts w:ascii="Times New Roman" w:hAnsi="Times New Roman" w:cs="Times New Roman"/>
          <w:i w:val="0"/>
          <w:iCs w:val="0"/>
          <w:sz w:val="24"/>
          <w:szCs w:val="24"/>
        </w:rPr>
        <w:fldChar w:fldCharType="separate"/>
      </w:r>
      <w:r w:rsidRPr="0027072F">
        <w:rPr>
          <w:rFonts w:ascii="Times New Roman" w:hAnsi="Times New Roman" w:cs="Times New Roman"/>
          <w:i w:val="0"/>
          <w:iCs w:val="0"/>
          <w:sz w:val="24"/>
          <w:szCs w:val="24"/>
        </w:rPr>
        <w:t>Aragon, 2013)</w:t>
      </w:r>
      <w:r w:rsidRPr="0027072F">
        <w:rPr>
          <w:rFonts w:ascii="Times New Roman" w:hAnsi="Times New Roman" w:cs="Times New Roman"/>
          <w:i w:val="0"/>
          <w:iCs w:val="0"/>
          <w:sz w:val="24"/>
          <w:szCs w:val="24"/>
        </w:rPr>
        <w:fldChar w:fldCharType="end"/>
      </w:r>
      <w:r w:rsidRPr="0027072F">
        <w:rPr>
          <w:rFonts w:ascii="Times New Roman" w:hAnsi="Times New Roman" w:cs="Times New Roman"/>
          <w:i w:val="0"/>
          <w:iCs w:val="0"/>
          <w:sz w:val="24"/>
          <w:szCs w:val="24"/>
        </w:rPr>
        <w:t>. Of course, each region has different priority needs for public services, so that the expenditure of each region has a fluctuating value.</w:t>
      </w:r>
    </w:p>
    <w:p w:rsidR="0027072F" w:rsidRPr="0027072F" w:rsidRDefault="0027072F" w:rsidP="00F11C26">
      <w:pPr>
        <w:pStyle w:val="NormalWeb"/>
        <w:adjustRightInd w:val="0"/>
        <w:snapToGrid w:val="0"/>
        <w:spacing w:before="0" w:beforeAutospacing="0" w:after="0" w:afterAutospacing="0"/>
        <w:ind w:firstLine="709"/>
        <w:jc w:val="both"/>
        <w:rPr>
          <w:lang w:val="en-US"/>
        </w:rPr>
      </w:pPr>
      <w:r w:rsidRPr="0027072F">
        <w:t xml:space="preserve">The </w:t>
      </w:r>
      <w:proofErr w:type="spellStart"/>
      <w:r w:rsidRPr="0027072F">
        <w:t>budget</w:t>
      </w:r>
      <w:proofErr w:type="spellEnd"/>
      <w:r w:rsidRPr="0027072F">
        <w:t xml:space="preserve"> </w:t>
      </w:r>
      <w:proofErr w:type="spellStart"/>
      <w:r w:rsidRPr="0027072F">
        <w:t>for</w:t>
      </w:r>
      <w:proofErr w:type="spellEnd"/>
      <w:r w:rsidRPr="0027072F">
        <w:t xml:space="preserve"> transfer </w:t>
      </w:r>
      <w:proofErr w:type="spellStart"/>
      <w:r w:rsidRPr="0027072F">
        <w:t>funds</w:t>
      </w:r>
      <w:proofErr w:type="spellEnd"/>
      <w:r w:rsidRPr="0027072F">
        <w:t xml:space="preserve"> </w:t>
      </w:r>
      <w:proofErr w:type="spellStart"/>
      <w:r w:rsidRPr="0027072F">
        <w:t>to</w:t>
      </w:r>
      <w:proofErr w:type="spellEnd"/>
      <w:r w:rsidRPr="0027072F">
        <w:t xml:space="preserve"> </w:t>
      </w:r>
      <w:proofErr w:type="spellStart"/>
      <w:r w:rsidRPr="0027072F">
        <w:t>the</w:t>
      </w:r>
      <w:proofErr w:type="spellEnd"/>
      <w:r w:rsidRPr="0027072F">
        <w:t xml:space="preserve"> </w:t>
      </w:r>
      <w:proofErr w:type="spellStart"/>
      <w:r w:rsidRPr="0027072F">
        <w:t>regions</w:t>
      </w:r>
      <w:proofErr w:type="spellEnd"/>
      <w:r w:rsidRPr="0027072F">
        <w:t xml:space="preserve"> </w:t>
      </w:r>
      <w:proofErr w:type="spellStart"/>
      <w:r w:rsidRPr="0027072F">
        <w:t>is</w:t>
      </w:r>
      <w:proofErr w:type="spellEnd"/>
      <w:r w:rsidRPr="0027072F">
        <w:t xml:space="preserve"> </w:t>
      </w:r>
      <w:proofErr w:type="spellStart"/>
      <w:r w:rsidRPr="0027072F">
        <w:t>increasing</w:t>
      </w:r>
      <w:proofErr w:type="spellEnd"/>
      <w:r w:rsidRPr="0027072F">
        <w:t xml:space="preserve"> </w:t>
      </w:r>
      <w:proofErr w:type="spellStart"/>
      <w:r w:rsidRPr="0027072F">
        <w:t>every</w:t>
      </w:r>
      <w:proofErr w:type="spellEnd"/>
      <w:r w:rsidRPr="0027072F">
        <w:t xml:space="preserve"> </w:t>
      </w:r>
      <w:proofErr w:type="spellStart"/>
      <w:r w:rsidRPr="0027072F">
        <w:t>year</w:t>
      </w:r>
      <w:proofErr w:type="spellEnd"/>
      <w:r w:rsidRPr="0027072F">
        <w:t xml:space="preserve">. </w:t>
      </w:r>
      <w:proofErr w:type="spellStart"/>
      <w:r w:rsidRPr="0027072F">
        <w:t>It</w:t>
      </w:r>
      <w:proofErr w:type="spellEnd"/>
      <w:r w:rsidRPr="0027072F">
        <w:t xml:space="preserve"> </w:t>
      </w:r>
      <w:proofErr w:type="spellStart"/>
      <w:r w:rsidRPr="0027072F">
        <w:t>is</w:t>
      </w:r>
      <w:proofErr w:type="spellEnd"/>
      <w:r w:rsidRPr="0027072F">
        <w:t xml:space="preserve"> </w:t>
      </w:r>
      <w:proofErr w:type="spellStart"/>
      <w:r w:rsidRPr="0027072F">
        <w:t>hoped</w:t>
      </w:r>
      <w:proofErr w:type="spellEnd"/>
      <w:r w:rsidRPr="0027072F">
        <w:t xml:space="preserve"> </w:t>
      </w:r>
      <w:proofErr w:type="spellStart"/>
      <w:r w:rsidRPr="0027072F">
        <w:t>that</w:t>
      </w:r>
      <w:proofErr w:type="spellEnd"/>
      <w:r w:rsidRPr="0027072F">
        <w:t xml:space="preserve"> </w:t>
      </w:r>
      <w:proofErr w:type="spellStart"/>
      <w:r w:rsidRPr="0027072F">
        <w:t>the</w:t>
      </w:r>
      <w:proofErr w:type="spellEnd"/>
      <w:r w:rsidRPr="0027072F">
        <w:t xml:space="preserve"> </w:t>
      </w:r>
      <w:proofErr w:type="spellStart"/>
      <w:r w:rsidRPr="0027072F">
        <w:t>allocation</w:t>
      </w:r>
      <w:proofErr w:type="spellEnd"/>
      <w:r w:rsidRPr="0027072F">
        <w:t xml:space="preserve"> </w:t>
      </w:r>
      <w:proofErr w:type="spellStart"/>
      <w:r w:rsidRPr="0027072F">
        <w:t>of</w:t>
      </w:r>
      <w:proofErr w:type="spellEnd"/>
      <w:r w:rsidRPr="0027072F">
        <w:t xml:space="preserve"> </w:t>
      </w:r>
      <w:proofErr w:type="spellStart"/>
      <w:r w:rsidRPr="0027072F">
        <w:t>balancing</w:t>
      </w:r>
      <w:proofErr w:type="spellEnd"/>
      <w:r w:rsidRPr="0027072F">
        <w:t xml:space="preserve"> </w:t>
      </w:r>
      <w:proofErr w:type="spellStart"/>
      <w:r w:rsidRPr="0027072F">
        <w:t>fund</w:t>
      </w:r>
      <w:proofErr w:type="spellEnd"/>
      <w:r w:rsidRPr="0027072F">
        <w:t xml:space="preserve"> </w:t>
      </w:r>
      <w:proofErr w:type="spellStart"/>
      <w:r w:rsidRPr="0027072F">
        <w:t>transfers</w:t>
      </w:r>
      <w:proofErr w:type="spellEnd"/>
      <w:r w:rsidRPr="0027072F">
        <w:t xml:space="preserve"> </w:t>
      </w:r>
      <w:proofErr w:type="spellStart"/>
      <w:r w:rsidRPr="0027072F">
        <w:t>from</w:t>
      </w:r>
      <w:proofErr w:type="spellEnd"/>
      <w:r w:rsidRPr="0027072F">
        <w:t xml:space="preserve"> </w:t>
      </w:r>
      <w:proofErr w:type="spellStart"/>
      <w:r w:rsidRPr="0027072F">
        <w:t>the</w:t>
      </w:r>
      <w:proofErr w:type="spellEnd"/>
      <w:r w:rsidRPr="0027072F">
        <w:t xml:space="preserve"> </w:t>
      </w:r>
      <w:proofErr w:type="spellStart"/>
      <w:r w:rsidRPr="0027072F">
        <w:t>budgeted</w:t>
      </w:r>
      <w:proofErr w:type="spellEnd"/>
      <w:r w:rsidRPr="0027072F">
        <w:t xml:space="preserve"> </w:t>
      </w:r>
      <w:proofErr w:type="spellStart"/>
      <w:r w:rsidRPr="0027072F">
        <w:t>government</w:t>
      </w:r>
      <w:proofErr w:type="spellEnd"/>
      <w:r w:rsidRPr="0027072F">
        <w:t xml:space="preserve"> </w:t>
      </w:r>
      <w:proofErr w:type="spellStart"/>
      <w:r w:rsidRPr="0027072F">
        <w:t>revenues</w:t>
      </w:r>
      <w:proofErr w:type="spellEnd"/>
      <w:r w:rsidRPr="0027072F">
        <w:t xml:space="preserve"> </w:t>
      </w:r>
      <w:proofErr w:type="spellStart"/>
      <w:r w:rsidRPr="0027072F">
        <w:t>and</w:t>
      </w:r>
      <w:proofErr w:type="spellEnd"/>
      <w:r w:rsidRPr="0027072F">
        <w:t xml:space="preserve"> </w:t>
      </w:r>
      <w:proofErr w:type="spellStart"/>
      <w:r w:rsidRPr="0027072F">
        <w:t>expenditures</w:t>
      </w:r>
      <w:proofErr w:type="spellEnd"/>
      <w:r w:rsidRPr="0027072F">
        <w:t xml:space="preserve"> </w:t>
      </w:r>
      <w:r w:rsidRPr="0027072F">
        <w:rPr>
          <w:lang w:val="en-US"/>
        </w:rPr>
        <w:t>(</w:t>
      </w:r>
      <w:r w:rsidRPr="0027072F">
        <w:t>APBN</w:t>
      </w:r>
      <w:r w:rsidRPr="0027072F">
        <w:rPr>
          <w:lang w:val="en-US"/>
        </w:rPr>
        <w:t>)</w:t>
      </w:r>
      <w:r w:rsidRPr="0027072F">
        <w:t xml:space="preserve"> </w:t>
      </w:r>
      <w:proofErr w:type="spellStart"/>
      <w:r w:rsidRPr="0027072F">
        <w:t>can</w:t>
      </w:r>
      <w:proofErr w:type="spellEnd"/>
      <w:r w:rsidRPr="0027072F">
        <w:t xml:space="preserve"> </w:t>
      </w:r>
      <w:proofErr w:type="spellStart"/>
      <w:r w:rsidRPr="0027072F">
        <w:t>increase</w:t>
      </w:r>
      <w:proofErr w:type="spellEnd"/>
      <w:r w:rsidRPr="0027072F">
        <w:t xml:space="preserve"> regional </w:t>
      </w:r>
      <w:proofErr w:type="spellStart"/>
      <w:r w:rsidRPr="0027072F">
        <w:t>economic</w:t>
      </w:r>
      <w:proofErr w:type="spellEnd"/>
      <w:r w:rsidRPr="0027072F">
        <w:t xml:space="preserve"> </w:t>
      </w:r>
      <w:proofErr w:type="spellStart"/>
      <w:r w:rsidRPr="0027072F">
        <w:t>growth</w:t>
      </w:r>
      <w:proofErr w:type="spellEnd"/>
      <w:r w:rsidRPr="0027072F">
        <w:t xml:space="preserve"> </w:t>
      </w:r>
      <w:proofErr w:type="spellStart"/>
      <w:r w:rsidRPr="0027072F">
        <w:t>and</w:t>
      </w:r>
      <w:proofErr w:type="spellEnd"/>
      <w:r w:rsidRPr="0027072F">
        <w:t xml:space="preserve"> </w:t>
      </w:r>
      <w:proofErr w:type="spellStart"/>
      <w:r w:rsidRPr="0027072F">
        <w:t>reduce</w:t>
      </w:r>
      <w:proofErr w:type="spellEnd"/>
      <w:r w:rsidRPr="0027072F">
        <w:t xml:space="preserve"> </w:t>
      </w:r>
      <w:proofErr w:type="spellStart"/>
      <w:r w:rsidRPr="0027072F">
        <w:t>the</w:t>
      </w:r>
      <w:proofErr w:type="spellEnd"/>
      <w:r w:rsidRPr="0027072F">
        <w:t xml:space="preserve"> </w:t>
      </w:r>
      <w:proofErr w:type="spellStart"/>
      <w:r w:rsidRPr="0027072F">
        <w:t>fiscal</w:t>
      </w:r>
      <w:proofErr w:type="spellEnd"/>
      <w:r w:rsidRPr="0027072F">
        <w:t xml:space="preserve"> gap </w:t>
      </w:r>
      <w:proofErr w:type="spellStart"/>
      <w:r w:rsidRPr="0027072F">
        <w:t>between</w:t>
      </w:r>
      <w:proofErr w:type="spellEnd"/>
      <w:r w:rsidRPr="0027072F">
        <w:t xml:space="preserve"> </w:t>
      </w:r>
      <w:proofErr w:type="spellStart"/>
      <w:r w:rsidRPr="0027072F">
        <w:t>regions</w:t>
      </w:r>
      <w:proofErr w:type="spellEnd"/>
      <w:r w:rsidRPr="0027072F">
        <w:t xml:space="preserve">. </w:t>
      </w:r>
      <w:proofErr w:type="spellStart"/>
      <w:r w:rsidRPr="0027072F">
        <w:t>However</w:t>
      </w:r>
      <w:proofErr w:type="spellEnd"/>
      <w:r w:rsidRPr="0027072F">
        <w:t xml:space="preserve">, </w:t>
      </w:r>
      <w:proofErr w:type="spellStart"/>
      <w:r w:rsidRPr="0027072F">
        <w:t>the</w:t>
      </w:r>
      <w:proofErr w:type="spellEnd"/>
      <w:r w:rsidRPr="0027072F">
        <w:t xml:space="preserve"> </w:t>
      </w:r>
      <w:proofErr w:type="spellStart"/>
      <w:r w:rsidRPr="0027072F">
        <w:t>provision</w:t>
      </w:r>
      <w:proofErr w:type="spellEnd"/>
      <w:r w:rsidRPr="0027072F">
        <w:t xml:space="preserve"> </w:t>
      </w:r>
      <w:proofErr w:type="spellStart"/>
      <w:r w:rsidRPr="0027072F">
        <w:t>of</w:t>
      </w:r>
      <w:proofErr w:type="spellEnd"/>
      <w:r w:rsidRPr="0027072F">
        <w:t xml:space="preserve"> </w:t>
      </w:r>
      <w:proofErr w:type="spellStart"/>
      <w:r w:rsidRPr="0027072F">
        <w:t>these</w:t>
      </w:r>
      <w:proofErr w:type="spellEnd"/>
      <w:r w:rsidRPr="0027072F">
        <w:t xml:space="preserve"> </w:t>
      </w:r>
      <w:proofErr w:type="spellStart"/>
      <w:r w:rsidRPr="0027072F">
        <w:t>funds</w:t>
      </w:r>
      <w:proofErr w:type="spellEnd"/>
      <w:r w:rsidRPr="0027072F">
        <w:t xml:space="preserve"> </w:t>
      </w:r>
      <w:proofErr w:type="spellStart"/>
      <w:r w:rsidRPr="0027072F">
        <w:t>raises</w:t>
      </w:r>
      <w:proofErr w:type="spellEnd"/>
      <w:r w:rsidRPr="0027072F">
        <w:t xml:space="preserve"> a problem </w:t>
      </w:r>
      <w:proofErr w:type="spellStart"/>
      <w:r w:rsidRPr="0027072F">
        <w:t>where</w:t>
      </w:r>
      <w:proofErr w:type="spellEnd"/>
      <w:r w:rsidRPr="0027072F">
        <w:t xml:space="preserve"> </w:t>
      </w:r>
      <w:proofErr w:type="spellStart"/>
      <w:r w:rsidRPr="0027072F">
        <w:t>local</w:t>
      </w:r>
      <w:proofErr w:type="spellEnd"/>
      <w:r w:rsidRPr="0027072F">
        <w:t xml:space="preserve"> </w:t>
      </w:r>
      <w:proofErr w:type="spellStart"/>
      <w:r w:rsidRPr="0027072F">
        <w:t>governments</w:t>
      </w:r>
      <w:proofErr w:type="spellEnd"/>
      <w:r w:rsidRPr="0027072F">
        <w:t xml:space="preserve"> are </w:t>
      </w:r>
      <w:proofErr w:type="spellStart"/>
      <w:r w:rsidRPr="0027072F">
        <w:t>too</w:t>
      </w:r>
      <w:proofErr w:type="spellEnd"/>
      <w:r w:rsidRPr="0027072F">
        <w:t xml:space="preserve"> </w:t>
      </w:r>
      <w:proofErr w:type="spellStart"/>
      <w:r w:rsidRPr="0027072F">
        <w:t>dependent</w:t>
      </w:r>
      <w:proofErr w:type="spellEnd"/>
      <w:r w:rsidRPr="0027072F">
        <w:t xml:space="preserve"> </w:t>
      </w:r>
      <w:proofErr w:type="spellStart"/>
      <w:r w:rsidRPr="0027072F">
        <w:t>on</w:t>
      </w:r>
      <w:proofErr w:type="spellEnd"/>
      <w:r w:rsidRPr="0027072F">
        <w:t xml:space="preserve"> </w:t>
      </w:r>
      <w:r w:rsidRPr="0027072F">
        <w:rPr>
          <w:lang w:val="en-US"/>
        </w:rPr>
        <w:t>balanced budget</w:t>
      </w:r>
      <w:r w:rsidRPr="0027072F">
        <w:t xml:space="preserve"> </w:t>
      </w:r>
      <w:proofErr w:type="spellStart"/>
      <w:r w:rsidRPr="0027072F">
        <w:t>from</w:t>
      </w:r>
      <w:proofErr w:type="spellEnd"/>
      <w:r w:rsidRPr="0027072F">
        <w:t xml:space="preserve"> </w:t>
      </w:r>
      <w:proofErr w:type="spellStart"/>
      <w:r w:rsidRPr="0027072F">
        <w:t>the</w:t>
      </w:r>
      <w:proofErr w:type="spellEnd"/>
      <w:r w:rsidRPr="0027072F">
        <w:t xml:space="preserve"> </w:t>
      </w:r>
      <w:proofErr w:type="spellStart"/>
      <w:r w:rsidRPr="0027072F">
        <w:t>central</w:t>
      </w:r>
      <w:proofErr w:type="spellEnd"/>
      <w:r w:rsidRPr="0027072F">
        <w:t xml:space="preserve"> </w:t>
      </w:r>
      <w:proofErr w:type="spellStart"/>
      <w:r w:rsidRPr="0027072F">
        <w:t>government</w:t>
      </w:r>
      <w:proofErr w:type="spellEnd"/>
      <w:r w:rsidRPr="0027072F">
        <w:t xml:space="preserve"> in </w:t>
      </w:r>
      <w:proofErr w:type="spellStart"/>
      <w:r w:rsidRPr="0027072F">
        <w:t>financing</w:t>
      </w:r>
      <w:proofErr w:type="spellEnd"/>
      <w:r w:rsidRPr="0027072F">
        <w:t xml:space="preserve"> </w:t>
      </w:r>
      <w:r w:rsidRPr="0027072F">
        <w:rPr>
          <w:color w:val="222222"/>
          <w:lang w:val="en"/>
        </w:rPr>
        <w:t xml:space="preserve">local government expenditure </w:t>
      </w:r>
      <w:proofErr w:type="spellStart"/>
      <w:r w:rsidRPr="0027072F">
        <w:t>compared</w:t>
      </w:r>
      <w:proofErr w:type="spellEnd"/>
      <w:r w:rsidRPr="0027072F">
        <w:t xml:space="preserve"> </w:t>
      </w:r>
      <w:proofErr w:type="spellStart"/>
      <w:r w:rsidRPr="0027072F">
        <w:t>to</w:t>
      </w:r>
      <w:proofErr w:type="spellEnd"/>
      <w:r w:rsidRPr="0027072F">
        <w:t xml:space="preserve"> </w:t>
      </w:r>
      <w:proofErr w:type="spellStart"/>
      <w:r w:rsidRPr="0027072F">
        <w:t>optimizing</w:t>
      </w:r>
      <w:proofErr w:type="spellEnd"/>
      <w:r w:rsidRPr="0027072F">
        <w:t xml:space="preserve"> </w:t>
      </w:r>
      <w:proofErr w:type="spellStart"/>
      <w:r w:rsidRPr="0027072F">
        <w:t>their</w:t>
      </w:r>
      <w:proofErr w:type="spellEnd"/>
      <w:r w:rsidRPr="0027072F">
        <w:t xml:space="preserve"> </w:t>
      </w:r>
      <w:proofErr w:type="spellStart"/>
      <w:r w:rsidRPr="0027072F">
        <w:t>original</w:t>
      </w:r>
      <w:proofErr w:type="spellEnd"/>
      <w:r w:rsidRPr="0027072F">
        <w:t xml:space="preserve"> </w:t>
      </w:r>
      <w:proofErr w:type="spellStart"/>
      <w:r w:rsidRPr="0027072F">
        <w:t>local</w:t>
      </w:r>
      <w:proofErr w:type="spellEnd"/>
      <w:r w:rsidRPr="0027072F">
        <w:t xml:space="preserve"> </w:t>
      </w:r>
      <w:proofErr w:type="spellStart"/>
      <w:r w:rsidRPr="0027072F">
        <w:t>government</w:t>
      </w:r>
      <w:proofErr w:type="spellEnd"/>
      <w:r w:rsidRPr="0027072F">
        <w:t xml:space="preserve"> </w:t>
      </w:r>
      <w:proofErr w:type="spellStart"/>
      <w:r w:rsidRPr="0027072F">
        <w:t>revenue</w:t>
      </w:r>
      <w:proofErr w:type="spellEnd"/>
      <w:r w:rsidRPr="0027072F">
        <w:rPr>
          <w:lang w:val="en-US"/>
        </w:rPr>
        <w:t xml:space="preserve">. </w:t>
      </w:r>
      <w:proofErr w:type="spellStart"/>
      <w:r w:rsidRPr="0027072F">
        <w:t>This</w:t>
      </w:r>
      <w:proofErr w:type="spellEnd"/>
      <w:r w:rsidRPr="0027072F">
        <w:t xml:space="preserve"> </w:t>
      </w:r>
      <w:proofErr w:type="spellStart"/>
      <w:r w:rsidRPr="0027072F">
        <w:t>dependence</w:t>
      </w:r>
      <w:proofErr w:type="spellEnd"/>
      <w:r w:rsidRPr="0027072F">
        <w:t xml:space="preserve"> </w:t>
      </w:r>
      <w:proofErr w:type="spellStart"/>
      <w:r w:rsidRPr="0027072F">
        <w:t>gives</w:t>
      </w:r>
      <w:proofErr w:type="spellEnd"/>
      <w:r w:rsidRPr="0027072F">
        <w:t xml:space="preserve"> </w:t>
      </w:r>
      <w:proofErr w:type="spellStart"/>
      <w:r w:rsidRPr="0027072F">
        <w:t>rise</w:t>
      </w:r>
      <w:proofErr w:type="spellEnd"/>
      <w:r w:rsidRPr="0027072F">
        <w:t xml:space="preserve"> </w:t>
      </w:r>
      <w:proofErr w:type="spellStart"/>
      <w:r w:rsidRPr="0027072F">
        <w:t>to</w:t>
      </w:r>
      <w:proofErr w:type="spellEnd"/>
      <w:r w:rsidRPr="0027072F">
        <w:t xml:space="preserve"> </w:t>
      </w:r>
      <w:proofErr w:type="spellStart"/>
      <w:r w:rsidRPr="0027072F">
        <w:t>the</w:t>
      </w:r>
      <w:proofErr w:type="spellEnd"/>
      <w:r w:rsidRPr="0027072F">
        <w:t xml:space="preserve"> </w:t>
      </w:r>
      <w:proofErr w:type="spellStart"/>
      <w:r w:rsidRPr="0027072F">
        <w:t>flypaper</w:t>
      </w:r>
      <w:proofErr w:type="spellEnd"/>
      <w:r w:rsidRPr="0027072F">
        <w:t xml:space="preserve"> </w:t>
      </w:r>
      <w:proofErr w:type="spellStart"/>
      <w:r w:rsidRPr="0027072F">
        <w:t>effect</w:t>
      </w:r>
      <w:proofErr w:type="spellEnd"/>
      <w:r w:rsidRPr="0027072F">
        <w:t xml:space="preserve"> </w:t>
      </w:r>
      <w:proofErr w:type="spellStart"/>
      <w:r w:rsidRPr="0027072F">
        <w:t>phenomenon</w:t>
      </w:r>
      <w:proofErr w:type="spellEnd"/>
      <w:r w:rsidRPr="0027072F">
        <w:t xml:space="preserve">, </w:t>
      </w:r>
      <w:proofErr w:type="spellStart"/>
      <w:r w:rsidRPr="0027072F">
        <w:t>which</w:t>
      </w:r>
      <w:proofErr w:type="spellEnd"/>
      <w:r w:rsidRPr="0027072F">
        <w:t xml:space="preserve"> </w:t>
      </w:r>
      <w:proofErr w:type="spellStart"/>
      <w:r w:rsidRPr="0027072F">
        <w:t>is</w:t>
      </w:r>
      <w:proofErr w:type="spellEnd"/>
      <w:r w:rsidRPr="0027072F">
        <w:t xml:space="preserve"> a </w:t>
      </w:r>
      <w:proofErr w:type="spellStart"/>
      <w:r w:rsidRPr="0027072F">
        <w:t>condition</w:t>
      </w:r>
      <w:proofErr w:type="spellEnd"/>
      <w:r w:rsidRPr="0027072F">
        <w:t xml:space="preserve"> in regional </w:t>
      </w:r>
      <w:proofErr w:type="spellStart"/>
      <w:r w:rsidRPr="0027072F">
        <w:t>spending</w:t>
      </w:r>
      <w:proofErr w:type="spellEnd"/>
      <w:r w:rsidRPr="0027072F">
        <w:t xml:space="preserve"> in </w:t>
      </w:r>
      <w:proofErr w:type="spellStart"/>
      <w:r w:rsidRPr="0027072F">
        <w:t>which</w:t>
      </w:r>
      <w:proofErr w:type="spellEnd"/>
      <w:r w:rsidRPr="0027072F">
        <w:t xml:space="preserve"> </w:t>
      </w:r>
      <w:proofErr w:type="spellStart"/>
      <w:r w:rsidRPr="0027072F">
        <w:t>local</w:t>
      </w:r>
      <w:proofErr w:type="spellEnd"/>
      <w:r w:rsidRPr="0027072F">
        <w:t xml:space="preserve"> </w:t>
      </w:r>
      <w:proofErr w:type="spellStart"/>
      <w:r w:rsidRPr="0027072F">
        <w:t>governments</w:t>
      </w:r>
      <w:proofErr w:type="spellEnd"/>
      <w:r w:rsidRPr="0027072F">
        <w:t xml:space="preserve"> </w:t>
      </w:r>
      <w:proofErr w:type="spellStart"/>
      <w:r w:rsidRPr="0027072F">
        <w:t>give</w:t>
      </w:r>
      <w:proofErr w:type="spellEnd"/>
      <w:r w:rsidRPr="0027072F">
        <w:t xml:space="preserve"> a </w:t>
      </w:r>
      <w:proofErr w:type="spellStart"/>
      <w:r w:rsidRPr="0027072F">
        <w:t>more</w:t>
      </w:r>
      <w:proofErr w:type="spellEnd"/>
      <w:r w:rsidRPr="0027072F">
        <w:t xml:space="preserve"> </w:t>
      </w:r>
      <w:proofErr w:type="spellStart"/>
      <w:r w:rsidRPr="0027072F">
        <w:t>significant</w:t>
      </w:r>
      <w:proofErr w:type="spellEnd"/>
      <w:r w:rsidRPr="0027072F">
        <w:t xml:space="preserve"> </w:t>
      </w:r>
      <w:proofErr w:type="spellStart"/>
      <w:r w:rsidRPr="0027072F">
        <w:t>response</w:t>
      </w:r>
      <w:proofErr w:type="spellEnd"/>
      <w:r w:rsidRPr="0027072F">
        <w:t xml:space="preserve"> </w:t>
      </w:r>
      <w:proofErr w:type="spellStart"/>
      <w:r w:rsidRPr="0027072F">
        <w:t>to</w:t>
      </w:r>
      <w:proofErr w:type="spellEnd"/>
      <w:r w:rsidRPr="0027072F">
        <w:t xml:space="preserve"> transfer </w:t>
      </w:r>
      <w:proofErr w:type="spellStart"/>
      <w:r w:rsidRPr="0027072F">
        <w:t>funds</w:t>
      </w:r>
      <w:proofErr w:type="spellEnd"/>
      <w:r w:rsidRPr="0027072F">
        <w:t xml:space="preserve"> </w:t>
      </w:r>
      <w:proofErr w:type="spellStart"/>
      <w:r w:rsidRPr="0027072F">
        <w:t>than</w:t>
      </w:r>
      <w:proofErr w:type="spellEnd"/>
      <w:r w:rsidRPr="0027072F">
        <w:t xml:space="preserve"> </w:t>
      </w:r>
      <w:proofErr w:type="spellStart"/>
      <w:r w:rsidRPr="0027072F">
        <w:t>their</w:t>
      </w:r>
      <w:proofErr w:type="spellEnd"/>
      <w:r w:rsidRPr="0027072F">
        <w:t xml:space="preserve"> </w:t>
      </w:r>
      <w:proofErr w:type="spellStart"/>
      <w:r w:rsidRPr="0027072F">
        <w:t>original</w:t>
      </w:r>
      <w:proofErr w:type="spellEnd"/>
      <w:r w:rsidRPr="0027072F">
        <w:t xml:space="preserve"> </w:t>
      </w:r>
      <w:proofErr w:type="spellStart"/>
      <w:r w:rsidRPr="0027072F">
        <w:t>local</w:t>
      </w:r>
      <w:proofErr w:type="spellEnd"/>
      <w:r w:rsidRPr="0027072F">
        <w:t xml:space="preserve"> </w:t>
      </w:r>
      <w:proofErr w:type="spellStart"/>
      <w:r w:rsidRPr="0027072F">
        <w:t>government</w:t>
      </w:r>
      <w:proofErr w:type="spellEnd"/>
      <w:r w:rsidRPr="0027072F">
        <w:t xml:space="preserve"> </w:t>
      </w:r>
      <w:proofErr w:type="spellStart"/>
      <w:r w:rsidRPr="0027072F">
        <w:t>revenue</w:t>
      </w:r>
      <w:proofErr w:type="spellEnd"/>
      <w:r w:rsidRPr="0027072F">
        <w:rPr>
          <w:lang w:val="en-US"/>
        </w:rPr>
        <w:t>.</w:t>
      </w:r>
    </w:p>
    <w:p w:rsidR="0027072F" w:rsidRDefault="0027072F" w:rsidP="00F11C26">
      <w:pPr>
        <w:pStyle w:val="DaftarParagraf"/>
        <w:adjustRightInd w:val="0"/>
        <w:snapToGrid w:val="0"/>
        <w:spacing w:after="0" w:line="240" w:lineRule="auto"/>
        <w:ind w:left="0" w:firstLine="709"/>
        <w:jc w:val="both"/>
        <w:rPr>
          <w:rFonts w:ascii="Times New Roman" w:hAnsi="Times New Roman" w:cs="Times New Roman"/>
          <w:i w:val="0"/>
          <w:iCs w:val="0"/>
          <w:sz w:val="24"/>
          <w:szCs w:val="24"/>
        </w:rPr>
      </w:pPr>
      <w:r w:rsidRPr="0027072F">
        <w:rPr>
          <w:rFonts w:ascii="Times New Roman" w:hAnsi="Times New Roman" w:cs="Times New Roman"/>
          <w:i w:val="0"/>
          <w:iCs w:val="0"/>
          <w:sz w:val="24"/>
          <w:szCs w:val="24"/>
        </w:rPr>
        <w:t xml:space="preserve">The current reality is the low contribution of original local government revenue to total regional revenue. </w:t>
      </w:r>
      <w:proofErr w:type="gramStart"/>
      <w:r w:rsidRPr="0027072F">
        <w:rPr>
          <w:rFonts w:ascii="Times New Roman" w:hAnsi="Times New Roman" w:cs="Times New Roman"/>
          <w:i w:val="0"/>
          <w:iCs w:val="0"/>
          <w:sz w:val="24"/>
          <w:szCs w:val="24"/>
        </w:rPr>
        <w:t>Likewise</w:t>
      </w:r>
      <w:proofErr w:type="gramEnd"/>
      <w:r w:rsidRPr="0027072F">
        <w:rPr>
          <w:rFonts w:ascii="Times New Roman" w:hAnsi="Times New Roman" w:cs="Times New Roman"/>
          <w:i w:val="0"/>
          <w:iCs w:val="0"/>
          <w:sz w:val="24"/>
          <w:szCs w:val="24"/>
        </w:rPr>
        <w:t xml:space="preserve"> with conditions that occur in the Regency/City of West Kalimantan Province as presented </w:t>
      </w:r>
      <w:r w:rsidR="00BA297F">
        <w:rPr>
          <w:rFonts w:ascii="Times New Roman" w:hAnsi="Times New Roman" w:cs="Times New Roman"/>
          <w:i w:val="0"/>
          <w:iCs w:val="0"/>
          <w:sz w:val="24"/>
          <w:szCs w:val="24"/>
        </w:rPr>
        <w:t>are as follows</w:t>
      </w:r>
      <w:r w:rsidRPr="0027072F">
        <w:rPr>
          <w:rFonts w:ascii="Times New Roman" w:hAnsi="Times New Roman" w:cs="Times New Roman"/>
          <w:i w:val="0"/>
          <w:iCs w:val="0"/>
          <w:sz w:val="24"/>
          <w:szCs w:val="24"/>
        </w:rPr>
        <w:t>:</w:t>
      </w:r>
    </w:p>
    <w:p w:rsidR="0027072F" w:rsidRDefault="0027072F" w:rsidP="00F11C26">
      <w:pPr>
        <w:pStyle w:val="DaftarParagraf"/>
        <w:adjustRightInd w:val="0"/>
        <w:snapToGrid w:val="0"/>
        <w:spacing w:after="0" w:line="240" w:lineRule="auto"/>
        <w:ind w:left="0"/>
        <w:jc w:val="both"/>
        <w:rPr>
          <w:rFonts w:ascii="Times New Roman" w:hAnsi="Times New Roman" w:cs="Times New Roman"/>
          <w:i w:val="0"/>
          <w:iCs w:val="0"/>
          <w:sz w:val="24"/>
          <w:szCs w:val="24"/>
        </w:rPr>
      </w:pPr>
    </w:p>
    <w:p w:rsidR="0027072F" w:rsidRDefault="0027072F" w:rsidP="00F11C26">
      <w:pPr>
        <w:pStyle w:val="DaftarParagraf"/>
        <w:adjustRightInd w:val="0"/>
        <w:snapToGrid w:val="0"/>
        <w:spacing w:after="0" w:line="240" w:lineRule="auto"/>
        <w:ind w:left="0"/>
        <w:jc w:val="both"/>
        <w:rPr>
          <w:rFonts w:ascii="Times New Roman" w:hAnsi="Times New Roman" w:cs="Times New Roman"/>
          <w:i w:val="0"/>
          <w:iCs w:val="0"/>
          <w:sz w:val="24"/>
          <w:szCs w:val="24"/>
        </w:rPr>
      </w:pPr>
    </w:p>
    <w:p w:rsidR="0027072F" w:rsidRDefault="0027072F" w:rsidP="00F11C26">
      <w:pPr>
        <w:pStyle w:val="DaftarParagraf"/>
        <w:adjustRightInd w:val="0"/>
        <w:snapToGrid w:val="0"/>
        <w:spacing w:after="0" w:line="240" w:lineRule="auto"/>
        <w:ind w:left="0"/>
        <w:jc w:val="both"/>
        <w:rPr>
          <w:rFonts w:ascii="Times New Roman" w:hAnsi="Times New Roman" w:cs="Times New Roman"/>
          <w:i w:val="0"/>
          <w:iCs w:val="0"/>
          <w:sz w:val="24"/>
          <w:szCs w:val="24"/>
        </w:rPr>
      </w:pPr>
    </w:p>
    <w:p w:rsidR="0027072F" w:rsidRDefault="0027072F" w:rsidP="0027072F">
      <w:pPr>
        <w:pStyle w:val="DaftarParagraf"/>
        <w:adjustRightInd w:val="0"/>
        <w:snapToGrid w:val="0"/>
        <w:spacing w:after="120" w:line="240" w:lineRule="auto"/>
        <w:ind w:left="0"/>
        <w:jc w:val="both"/>
        <w:rPr>
          <w:rFonts w:ascii="Times New Roman" w:hAnsi="Times New Roman" w:cs="Times New Roman"/>
          <w:i w:val="0"/>
          <w:iCs w:val="0"/>
          <w:sz w:val="24"/>
          <w:szCs w:val="24"/>
        </w:rPr>
      </w:pPr>
    </w:p>
    <w:p w:rsidR="009044BB" w:rsidRDefault="009044BB" w:rsidP="0027072F">
      <w:pPr>
        <w:pStyle w:val="DaftarParagraf"/>
        <w:adjustRightInd w:val="0"/>
        <w:snapToGrid w:val="0"/>
        <w:spacing w:after="120" w:line="240" w:lineRule="auto"/>
        <w:ind w:left="0"/>
        <w:jc w:val="both"/>
        <w:rPr>
          <w:rFonts w:ascii="Times New Roman" w:hAnsi="Times New Roman" w:cs="Times New Roman"/>
          <w:i w:val="0"/>
          <w:iCs w:val="0"/>
          <w:sz w:val="24"/>
          <w:szCs w:val="24"/>
        </w:rPr>
      </w:pPr>
    </w:p>
    <w:p w:rsidR="009044BB" w:rsidRDefault="009044BB" w:rsidP="0027072F">
      <w:pPr>
        <w:pStyle w:val="DaftarParagraf"/>
        <w:adjustRightInd w:val="0"/>
        <w:snapToGrid w:val="0"/>
        <w:spacing w:after="120" w:line="240" w:lineRule="auto"/>
        <w:ind w:left="0"/>
        <w:jc w:val="both"/>
        <w:rPr>
          <w:rFonts w:ascii="Times New Roman" w:hAnsi="Times New Roman" w:cs="Times New Roman"/>
          <w:i w:val="0"/>
          <w:iCs w:val="0"/>
          <w:sz w:val="24"/>
          <w:szCs w:val="24"/>
        </w:rPr>
      </w:pPr>
    </w:p>
    <w:p w:rsidR="00F11C26" w:rsidRPr="0027072F" w:rsidRDefault="00F11C26" w:rsidP="0027072F">
      <w:pPr>
        <w:pStyle w:val="DaftarParagraf"/>
        <w:adjustRightInd w:val="0"/>
        <w:snapToGrid w:val="0"/>
        <w:spacing w:after="120" w:line="240" w:lineRule="auto"/>
        <w:ind w:left="0"/>
        <w:jc w:val="both"/>
        <w:rPr>
          <w:rFonts w:ascii="Times New Roman" w:hAnsi="Times New Roman" w:cs="Times New Roman"/>
          <w:i w:val="0"/>
          <w:iCs w:val="0"/>
          <w:sz w:val="24"/>
          <w:szCs w:val="24"/>
        </w:rPr>
      </w:pPr>
    </w:p>
    <w:p w:rsidR="0027072F" w:rsidRPr="0027072F" w:rsidRDefault="0027072F" w:rsidP="00804BA7">
      <w:pPr>
        <w:pStyle w:val="DaftarParagraf"/>
        <w:spacing w:after="0" w:line="240" w:lineRule="auto"/>
        <w:ind w:left="0" w:firstLine="720"/>
        <w:jc w:val="center"/>
        <w:rPr>
          <w:rFonts w:ascii="Times New Roman" w:hAnsi="Times New Roman" w:cs="Times New Roman"/>
          <w:b/>
          <w:bCs/>
          <w:i w:val="0"/>
          <w:iCs w:val="0"/>
          <w:sz w:val="24"/>
          <w:szCs w:val="24"/>
        </w:rPr>
      </w:pPr>
      <w:r w:rsidRPr="0027072F">
        <w:rPr>
          <w:rFonts w:ascii="Times New Roman" w:hAnsi="Times New Roman" w:cs="Times New Roman"/>
          <w:b/>
          <w:bCs/>
          <w:i w:val="0"/>
          <w:iCs w:val="0"/>
          <w:sz w:val="24"/>
          <w:szCs w:val="24"/>
        </w:rPr>
        <w:lastRenderedPageBreak/>
        <w:t xml:space="preserve">Table 1. PAD, DAK, DBH, and DAU in </w:t>
      </w:r>
    </w:p>
    <w:p w:rsidR="0027072F" w:rsidRDefault="0027072F" w:rsidP="00804BA7">
      <w:pPr>
        <w:pStyle w:val="DaftarParagraf"/>
        <w:spacing w:after="0" w:line="240" w:lineRule="auto"/>
        <w:ind w:left="0" w:firstLine="720"/>
        <w:jc w:val="center"/>
        <w:rPr>
          <w:rFonts w:ascii="Times New Roman" w:hAnsi="Times New Roman" w:cs="Times New Roman"/>
          <w:b/>
          <w:bCs/>
          <w:i w:val="0"/>
          <w:iCs w:val="0"/>
          <w:sz w:val="24"/>
          <w:szCs w:val="24"/>
        </w:rPr>
      </w:pPr>
      <w:r w:rsidRPr="0027072F">
        <w:rPr>
          <w:rFonts w:ascii="Times New Roman" w:hAnsi="Times New Roman" w:cs="Times New Roman"/>
          <w:b/>
          <w:bCs/>
          <w:i w:val="0"/>
          <w:iCs w:val="0"/>
          <w:sz w:val="24"/>
          <w:szCs w:val="24"/>
        </w:rPr>
        <w:t>Regency/City in West Kalimantan Province, 2013-2018</w:t>
      </w:r>
    </w:p>
    <w:p w:rsidR="00804BA7" w:rsidRPr="0027072F" w:rsidRDefault="00804BA7" w:rsidP="00804BA7">
      <w:pPr>
        <w:pStyle w:val="DaftarParagraf"/>
        <w:spacing w:after="0" w:line="240" w:lineRule="auto"/>
        <w:ind w:left="0" w:firstLine="720"/>
        <w:jc w:val="center"/>
        <w:rPr>
          <w:rFonts w:ascii="Times New Roman" w:hAnsi="Times New Roman" w:cs="Times New Roman"/>
          <w:b/>
          <w:bCs/>
          <w:i w:val="0"/>
          <w:iCs w:val="0"/>
          <w:sz w:val="24"/>
          <w:szCs w:val="24"/>
        </w:rPr>
      </w:pPr>
    </w:p>
    <w:tbl>
      <w:tblPr>
        <w:tblW w:w="8430" w:type="dxa"/>
        <w:jc w:val="center"/>
        <w:tblBorders>
          <w:top w:val="single" w:sz="4" w:space="0" w:color="auto"/>
          <w:bottom w:val="single" w:sz="4" w:space="0" w:color="auto"/>
        </w:tblBorders>
        <w:tblLook w:val="04A0" w:firstRow="1" w:lastRow="0" w:firstColumn="1" w:lastColumn="0" w:noHBand="0" w:noVBand="1"/>
      </w:tblPr>
      <w:tblGrid>
        <w:gridCol w:w="681"/>
        <w:gridCol w:w="1906"/>
        <w:gridCol w:w="2019"/>
        <w:gridCol w:w="2099"/>
        <w:gridCol w:w="1737"/>
      </w:tblGrid>
      <w:tr w:rsidR="0027072F" w:rsidRPr="00D31DFB" w:rsidTr="00F11C26">
        <w:trPr>
          <w:trHeight w:val="300"/>
          <w:jc w:val="center"/>
        </w:trPr>
        <w:tc>
          <w:tcPr>
            <w:tcW w:w="669" w:type="dxa"/>
            <w:tcBorders>
              <w:top w:val="single" w:sz="4" w:space="0" w:color="auto"/>
              <w:bottom w:val="single" w:sz="4" w:space="0" w:color="auto"/>
            </w:tcBorders>
            <w:shd w:val="clear" w:color="auto" w:fill="auto"/>
            <w:noWrap/>
            <w:vAlign w:val="bottom"/>
            <w:hideMark/>
          </w:tcPr>
          <w:p w:rsidR="0027072F" w:rsidRPr="00D31DFB" w:rsidRDefault="0027072F" w:rsidP="00F11C26">
            <w:pPr>
              <w:adjustRightInd w:val="0"/>
              <w:snapToGrid w:val="0"/>
              <w:jc w:val="center"/>
              <w:rPr>
                <w:b/>
                <w:bCs/>
                <w:color w:val="000000"/>
                <w:sz w:val="22"/>
                <w:szCs w:val="22"/>
              </w:rPr>
            </w:pPr>
            <w:r w:rsidRPr="00D31DFB">
              <w:rPr>
                <w:b/>
                <w:bCs/>
                <w:color w:val="000000"/>
                <w:sz w:val="22"/>
                <w:szCs w:val="22"/>
              </w:rPr>
              <w:t>Year</w:t>
            </w:r>
          </w:p>
        </w:tc>
        <w:tc>
          <w:tcPr>
            <w:tcW w:w="1906" w:type="dxa"/>
            <w:tcBorders>
              <w:top w:val="single" w:sz="4" w:space="0" w:color="auto"/>
              <w:bottom w:val="single" w:sz="4" w:space="0" w:color="auto"/>
            </w:tcBorders>
            <w:shd w:val="clear" w:color="auto" w:fill="auto"/>
            <w:noWrap/>
            <w:vAlign w:val="bottom"/>
            <w:hideMark/>
          </w:tcPr>
          <w:p w:rsidR="0027072F" w:rsidRPr="00D31DFB" w:rsidRDefault="0027072F" w:rsidP="00F11C26">
            <w:pPr>
              <w:adjustRightInd w:val="0"/>
              <w:snapToGrid w:val="0"/>
              <w:jc w:val="center"/>
              <w:rPr>
                <w:b/>
                <w:bCs/>
                <w:color w:val="000000"/>
                <w:sz w:val="22"/>
                <w:szCs w:val="22"/>
              </w:rPr>
            </w:pPr>
            <w:r w:rsidRPr="00D31DFB">
              <w:rPr>
                <w:b/>
                <w:bCs/>
                <w:color w:val="000000"/>
                <w:sz w:val="22"/>
                <w:szCs w:val="22"/>
              </w:rPr>
              <w:t>PAD</w:t>
            </w:r>
          </w:p>
        </w:tc>
        <w:tc>
          <w:tcPr>
            <w:tcW w:w="2019" w:type="dxa"/>
            <w:tcBorders>
              <w:top w:val="single" w:sz="4" w:space="0" w:color="auto"/>
              <w:bottom w:val="single" w:sz="4" w:space="0" w:color="auto"/>
            </w:tcBorders>
            <w:shd w:val="clear" w:color="auto" w:fill="auto"/>
            <w:noWrap/>
            <w:vAlign w:val="bottom"/>
            <w:hideMark/>
          </w:tcPr>
          <w:p w:rsidR="0027072F" w:rsidRPr="00D31DFB" w:rsidRDefault="0027072F" w:rsidP="00F11C26">
            <w:pPr>
              <w:adjustRightInd w:val="0"/>
              <w:snapToGrid w:val="0"/>
              <w:jc w:val="center"/>
              <w:rPr>
                <w:b/>
                <w:bCs/>
                <w:color w:val="000000"/>
                <w:sz w:val="22"/>
                <w:szCs w:val="22"/>
              </w:rPr>
            </w:pPr>
            <w:r w:rsidRPr="00D31DFB">
              <w:rPr>
                <w:b/>
                <w:bCs/>
                <w:color w:val="000000"/>
                <w:sz w:val="22"/>
                <w:szCs w:val="22"/>
              </w:rPr>
              <w:t>DAU</w:t>
            </w:r>
          </w:p>
        </w:tc>
        <w:tc>
          <w:tcPr>
            <w:tcW w:w="2099" w:type="dxa"/>
            <w:tcBorders>
              <w:top w:val="single" w:sz="4" w:space="0" w:color="auto"/>
              <w:bottom w:val="single" w:sz="4" w:space="0" w:color="auto"/>
            </w:tcBorders>
            <w:shd w:val="clear" w:color="auto" w:fill="auto"/>
            <w:noWrap/>
            <w:vAlign w:val="bottom"/>
            <w:hideMark/>
          </w:tcPr>
          <w:p w:rsidR="0027072F" w:rsidRPr="00D31DFB" w:rsidRDefault="0027072F" w:rsidP="00F11C26">
            <w:pPr>
              <w:adjustRightInd w:val="0"/>
              <w:snapToGrid w:val="0"/>
              <w:jc w:val="center"/>
              <w:rPr>
                <w:b/>
                <w:bCs/>
                <w:color w:val="000000"/>
                <w:sz w:val="22"/>
                <w:szCs w:val="22"/>
              </w:rPr>
            </w:pPr>
            <w:r w:rsidRPr="00D31DFB">
              <w:rPr>
                <w:b/>
                <w:bCs/>
                <w:color w:val="000000"/>
                <w:sz w:val="22"/>
                <w:szCs w:val="22"/>
              </w:rPr>
              <w:t>DAK</w:t>
            </w:r>
          </w:p>
        </w:tc>
        <w:tc>
          <w:tcPr>
            <w:tcW w:w="1737" w:type="dxa"/>
            <w:tcBorders>
              <w:top w:val="single" w:sz="4" w:space="0" w:color="auto"/>
              <w:bottom w:val="single" w:sz="4" w:space="0" w:color="auto"/>
            </w:tcBorders>
            <w:shd w:val="clear" w:color="auto" w:fill="auto"/>
            <w:noWrap/>
            <w:vAlign w:val="bottom"/>
            <w:hideMark/>
          </w:tcPr>
          <w:p w:rsidR="0027072F" w:rsidRPr="00D31DFB" w:rsidRDefault="0027072F" w:rsidP="00F11C26">
            <w:pPr>
              <w:adjustRightInd w:val="0"/>
              <w:snapToGrid w:val="0"/>
              <w:jc w:val="center"/>
              <w:rPr>
                <w:b/>
                <w:bCs/>
                <w:color w:val="000000"/>
                <w:sz w:val="22"/>
                <w:szCs w:val="22"/>
              </w:rPr>
            </w:pPr>
            <w:r w:rsidRPr="00D31DFB">
              <w:rPr>
                <w:b/>
                <w:bCs/>
                <w:color w:val="000000"/>
                <w:sz w:val="22"/>
                <w:szCs w:val="22"/>
              </w:rPr>
              <w:t xml:space="preserve">DBH </w:t>
            </w:r>
          </w:p>
        </w:tc>
      </w:tr>
      <w:tr w:rsidR="0027072F" w:rsidRPr="00D31DFB" w:rsidTr="00F11C26">
        <w:trPr>
          <w:trHeight w:val="300"/>
          <w:jc w:val="center"/>
        </w:trPr>
        <w:tc>
          <w:tcPr>
            <w:tcW w:w="669" w:type="dxa"/>
            <w:tcBorders>
              <w:top w:val="single" w:sz="4" w:space="0" w:color="auto"/>
            </w:tcBorders>
            <w:shd w:val="clear" w:color="auto" w:fill="auto"/>
            <w:noWrap/>
            <w:vAlign w:val="bottom"/>
            <w:hideMark/>
          </w:tcPr>
          <w:p w:rsidR="0027072F" w:rsidRPr="00D31DFB" w:rsidRDefault="0027072F" w:rsidP="00F11C26">
            <w:pPr>
              <w:adjustRightInd w:val="0"/>
              <w:snapToGrid w:val="0"/>
              <w:jc w:val="center"/>
              <w:rPr>
                <w:color w:val="000000"/>
                <w:sz w:val="22"/>
                <w:szCs w:val="22"/>
              </w:rPr>
            </w:pPr>
            <w:r w:rsidRPr="00D31DFB">
              <w:rPr>
                <w:color w:val="000000"/>
                <w:sz w:val="22"/>
                <w:szCs w:val="22"/>
              </w:rPr>
              <w:t>2013</w:t>
            </w:r>
          </w:p>
        </w:tc>
        <w:tc>
          <w:tcPr>
            <w:tcW w:w="1906" w:type="dxa"/>
            <w:tcBorders>
              <w:top w:val="single" w:sz="4" w:space="0" w:color="auto"/>
            </w:tcBorders>
            <w:shd w:val="clear" w:color="auto" w:fill="auto"/>
            <w:noWrap/>
            <w:vAlign w:val="bottom"/>
            <w:hideMark/>
          </w:tcPr>
          <w:p w:rsidR="0027072F" w:rsidRPr="00D31DFB" w:rsidRDefault="0027072F" w:rsidP="00F11C26">
            <w:pPr>
              <w:adjustRightInd w:val="0"/>
              <w:snapToGrid w:val="0"/>
              <w:jc w:val="right"/>
              <w:rPr>
                <w:color w:val="000000"/>
                <w:sz w:val="22"/>
                <w:szCs w:val="22"/>
              </w:rPr>
            </w:pPr>
            <w:r w:rsidRPr="00D31DFB">
              <w:rPr>
                <w:color w:val="000000"/>
                <w:sz w:val="22"/>
                <w:szCs w:val="22"/>
              </w:rPr>
              <w:t>881.621.587.520</w:t>
            </w:r>
          </w:p>
        </w:tc>
        <w:tc>
          <w:tcPr>
            <w:tcW w:w="2019" w:type="dxa"/>
            <w:tcBorders>
              <w:top w:val="single" w:sz="4" w:space="0" w:color="auto"/>
            </w:tcBorders>
            <w:shd w:val="clear" w:color="auto" w:fill="auto"/>
            <w:noWrap/>
            <w:vAlign w:val="bottom"/>
            <w:hideMark/>
          </w:tcPr>
          <w:p w:rsidR="0027072F" w:rsidRPr="00D31DFB" w:rsidRDefault="0027072F" w:rsidP="00F11C26">
            <w:pPr>
              <w:adjustRightInd w:val="0"/>
              <w:snapToGrid w:val="0"/>
              <w:jc w:val="right"/>
              <w:rPr>
                <w:color w:val="000000"/>
                <w:sz w:val="22"/>
                <w:szCs w:val="22"/>
              </w:rPr>
            </w:pPr>
            <w:r w:rsidRPr="00D31DFB">
              <w:rPr>
                <w:color w:val="000000"/>
                <w:sz w:val="22"/>
                <w:szCs w:val="22"/>
              </w:rPr>
              <w:t>8.162.096.541.000</w:t>
            </w:r>
          </w:p>
        </w:tc>
        <w:tc>
          <w:tcPr>
            <w:tcW w:w="2099" w:type="dxa"/>
            <w:tcBorders>
              <w:top w:val="single" w:sz="4" w:space="0" w:color="auto"/>
            </w:tcBorders>
            <w:shd w:val="clear" w:color="auto" w:fill="auto"/>
            <w:noWrap/>
            <w:vAlign w:val="bottom"/>
            <w:hideMark/>
          </w:tcPr>
          <w:p w:rsidR="0027072F" w:rsidRPr="00D31DFB" w:rsidRDefault="0027072F" w:rsidP="00F11C26">
            <w:pPr>
              <w:adjustRightInd w:val="0"/>
              <w:snapToGrid w:val="0"/>
              <w:jc w:val="right"/>
              <w:rPr>
                <w:color w:val="000000"/>
                <w:sz w:val="22"/>
                <w:szCs w:val="22"/>
              </w:rPr>
            </w:pPr>
            <w:r w:rsidRPr="00D31DFB">
              <w:rPr>
                <w:color w:val="000000"/>
                <w:sz w:val="22"/>
                <w:szCs w:val="22"/>
              </w:rPr>
              <w:t>1.155.999.941.000</w:t>
            </w:r>
          </w:p>
        </w:tc>
        <w:tc>
          <w:tcPr>
            <w:tcW w:w="1737" w:type="dxa"/>
            <w:tcBorders>
              <w:top w:val="single" w:sz="4" w:space="0" w:color="auto"/>
            </w:tcBorders>
            <w:shd w:val="clear" w:color="auto" w:fill="auto"/>
            <w:noWrap/>
            <w:vAlign w:val="bottom"/>
            <w:hideMark/>
          </w:tcPr>
          <w:p w:rsidR="0027072F" w:rsidRPr="00D31DFB" w:rsidRDefault="0027072F" w:rsidP="00F11C26">
            <w:pPr>
              <w:adjustRightInd w:val="0"/>
              <w:snapToGrid w:val="0"/>
              <w:jc w:val="right"/>
              <w:rPr>
                <w:color w:val="000000"/>
                <w:sz w:val="22"/>
                <w:szCs w:val="22"/>
              </w:rPr>
            </w:pPr>
            <w:r w:rsidRPr="00D31DFB">
              <w:rPr>
                <w:color w:val="000000"/>
                <w:sz w:val="22"/>
                <w:szCs w:val="22"/>
              </w:rPr>
              <w:t>686.536.192.448</w:t>
            </w:r>
          </w:p>
        </w:tc>
      </w:tr>
      <w:tr w:rsidR="0027072F" w:rsidRPr="00D31DFB" w:rsidTr="00F11C26">
        <w:trPr>
          <w:trHeight w:val="300"/>
          <w:jc w:val="center"/>
        </w:trPr>
        <w:tc>
          <w:tcPr>
            <w:tcW w:w="669" w:type="dxa"/>
            <w:shd w:val="clear" w:color="auto" w:fill="auto"/>
            <w:noWrap/>
            <w:vAlign w:val="bottom"/>
            <w:hideMark/>
          </w:tcPr>
          <w:p w:rsidR="0027072F" w:rsidRPr="00D31DFB" w:rsidRDefault="0027072F" w:rsidP="00F11C26">
            <w:pPr>
              <w:adjustRightInd w:val="0"/>
              <w:snapToGrid w:val="0"/>
              <w:jc w:val="center"/>
              <w:rPr>
                <w:color w:val="000000"/>
                <w:sz w:val="22"/>
                <w:szCs w:val="22"/>
              </w:rPr>
            </w:pPr>
            <w:r w:rsidRPr="00D31DFB">
              <w:rPr>
                <w:color w:val="000000"/>
                <w:sz w:val="22"/>
                <w:szCs w:val="22"/>
              </w:rPr>
              <w:t>2014</w:t>
            </w:r>
          </w:p>
        </w:tc>
        <w:tc>
          <w:tcPr>
            <w:tcW w:w="1906" w:type="dxa"/>
            <w:shd w:val="clear" w:color="auto" w:fill="auto"/>
            <w:noWrap/>
            <w:vAlign w:val="bottom"/>
            <w:hideMark/>
          </w:tcPr>
          <w:p w:rsidR="0027072F" w:rsidRPr="00D31DFB" w:rsidRDefault="0027072F" w:rsidP="00F11C26">
            <w:pPr>
              <w:adjustRightInd w:val="0"/>
              <w:snapToGrid w:val="0"/>
              <w:jc w:val="right"/>
              <w:rPr>
                <w:color w:val="000000"/>
                <w:sz w:val="22"/>
                <w:szCs w:val="22"/>
              </w:rPr>
            </w:pPr>
            <w:r w:rsidRPr="00D31DFB">
              <w:rPr>
                <w:color w:val="000000"/>
                <w:sz w:val="22"/>
                <w:szCs w:val="22"/>
              </w:rPr>
              <w:t>1.209.896.028.900</w:t>
            </w:r>
          </w:p>
        </w:tc>
        <w:tc>
          <w:tcPr>
            <w:tcW w:w="2019" w:type="dxa"/>
            <w:shd w:val="clear" w:color="auto" w:fill="auto"/>
            <w:noWrap/>
            <w:vAlign w:val="bottom"/>
            <w:hideMark/>
          </w:tcPr>
          <w:p w:rsidR="0027072F" w:rsidRPr="00D31DFB" w:rsidRDefault="0027072F" w:rsidP="00F11C26">
            <w:pPr>
              <w:adjustRightInd w:val="0"/>
              <w:snapToGrid w:val="0"/>
              <w:jc w:val="right"/>
              <w:rPr>
                <w:color w:val="000000"/>
                <w:sz w:val="22"/>
                <w:szCs w:val="22"/>
              </w:rPr>
            </w:pPr>
            <w:r w:rsidRPr="00D31DFB">
              <w:rPr>
                <w:color w:val="000000"/>
                <w:sz w:val="22"/>
                <w:szCs w:val="22"/>
              </w:rPr>
              <w:t>9.003.893.687.000</w:t>
            </w:r>
          </w:p>
        </w:tc>
        <w:tc>
          <w:tcPr>
            <w:tcW w:w="2099" w:type="dxa"/>
            <w:shd w:val="clear" w:color="auto" w:fill="auto"/>
            <w:noWrap/>
            <w:vAlign w:val="bottom"/>
            <w:hideMark/>
          </w:tcPr>
          <w:p w:rsidR="0027072F" w:rsidRPr="00D31DFB" w:rsidRDefault="0027072F" w:rsidP="00F11C26">
            <w:pPr>
              <w:adjustRightInd w:val="0"/>
              <w:snapToGrid w:val="0"/>
              <w:jc w:val="right"/>
              <w:rPr>
                <w:color w:val="000000"/>
                <w:sz w:val="22"/>
                <w:szCs w:val="22"/>
              </w:rPr>
            </w:pPr>
            <w:r w:rsidRPr="00D31DFB">
              <w:rPr>
                <w:color w:val="000000"/>
                <w:sz w:val="22"/>
                <w:szCs w:val="22"/>
              </w:rPr>
              <w:t>1.193.812.650.000</w:t>
            </w:r>
          </w:p>
        </w:tc>
        <w:tc>
          <w:tcPr>
            <w:tcW w:w="1737" w:type="dxa"/>
            <w:shd w:val="clear" w:color="auto" w:fill="auto"/>
            <w:noWrap/>
            <w:vAlign w:val="bottom"/>
            <w:hideMark/>
          </w:tcPr>
          <w:p w:rsidR="0027072F" w:rsidRPr="00D31DFB" w:rsidRDefault="0027072F" w:rsidP="00F11C26">
            <w:pPr>
              <w:adjustRightInd w:val="0"/>
              <w:snapToGrid w:val="0"/>
              <w:jc w:val="right"/>
              <w:rPr>
                <w:color w:val="000000"/>
                <w:sz w:val="22"/>
                <w:szCs w:val="22"/>
              </w:rPr>
            </w:pPr>
            <w:r w:rsidRPr="00D31DFB">
              <w:rPr>
                <w:color w:val="000000"/>
                <w:sz w:val="22"/>
                <w:szCs w:val="22"/>
              </w:rPr>
              <w:t>701.735.983.560</w:t>
            </w:r>
          </w:p>
        </w:tc>
      </w:tr>
      <w:tr w:rsidR="0027072F" w:rsidRPr="00D31DFB" w:rsidTr="00F11C26">
        <w:trPr>
          <w:trHeight w:val="300"/>
          <w:jc w:val="center"/>
        </w:trPr>
        <w:tc>
          <w:tcPr>
            <w:tcW w:w="669" w:type="dxa"/>
            <w:shd w:val="clear" w:color="auto" w:fill="auto"/>
            <w:noWrap/>
            <w:vAlign w:val="bottom"/>
            <w:hideMark/>
          </w:tcPr>
          <w:p w:rsidR="0027072F" w:rsidRPr="00D31DFB" w:rsidRDefault="0027072F" w:rsidP="00F11C26">
            <w:pPr>
              <w:adjustRightInd w:val="0"/>
              <w:snapToGrid w:val="0"/>
              <w:jc w:val="center"/>
              <w:rPr>
                <w:color w:val="000000"/>
                <w:sz w:val="22"/>
                <w:szCs w:val="22"/>
              </w:rPr>
            </w:pPr>
            <w:r w:rsidRPr="00D31DFB">
              <w:rPr>
                <w:color w:val="000000"/>
                <w:sz w:val="22"/>
                <w:szCs w:val="22"/>
              </w:rPr>
              <w:t>2015</w:t>
            </w:r>
          </w:p>
        </w:tc>
        <w:tc>
          <w:tcPr>
            <w:tcW w:w="1906" w:type="dxa"/>
            <w:shd w:val="clear" w:color="auto" w:fill="auto"/>
            <w:noWrap/>
            <w:vAlign w:val="bottom"/>
            <w:hideMark/>
          </w:tcPr>
          <w:p w:rsidR="0027072F" w:rsidRPr="00D31DFB" w:rsidRDefault="0027072F" w:rsidP="00F11C26">
            <w:pPr>
              <w:adjustRightInd w:val="0"/>
              <w:snapToGrid w:val="0"/>
              <w:jc w:val="right"/>
              <w:rPr>
                <w:color w:val="000000"/>
                <w:sz w:val="22"/>
                <w:szCs w:val="22"/>
              </w:rPr>
            </w:pPr>
            <w:r w:rsidRPr="00D31DFB">
              <w:rPr>
                <w:color w:val="000000"/>
                <w:sz w:val="22"/>
                <w:szCs w:val="22"/>
              </w:rPr>
              <w:t>1.179.038.326.330</w:t>
            </w:r>
          </w:p>
        </w:tc>
        <w:tc>
          <w:tcPr>
            <w:tcW w:w="2019" w:type="dxa"/>
            <w:shd w:val="clear" w:color="auto" w:fill="auto"/>
            <w:noWrap/>
            <w:vAlign w:val="bottom"/>
            <w:hideMark/>
          </w:tcPr>
          <w:p w:rsidR="0027072F" w:rsidRPr="00D31DFB" w:rsidRDefault="0027072F" w:rsidP="00F11C26">
            <w:pPr>
              <w:adjustRightInd w:val="0"/>
              <w:snapToGrid w:val="0"/>
              <w:jc w:val="right"/>
              <w:rPr>
                <w:color w:val="000000"/>
                <w:sz w:val="22"/>
                <w:szCs w:val="22"/>
              </w:rPr>
            </w:pPr>
            <w:r w:rsidRPr="00D31DFB">
              <w:rPr>
                <w:color w:val="000000"/>
                <w:sz w:val="22"/>
                <w:szCs w:val="22"/>
              </w:rPr>
              <w:t>9.422.549.308.000</w:t>
            </w:r>
          </w:p>
        </w:tc>
        <w:tc>
          <w:tcPr>
            <w:tcW w:w="2099" w:type="dxa"/>
            <w:shd w:val="clear" w:color="auto" w:fill="auto"/>
            <w:noWrap/>
            <w:vAlign w:val="bottom"/>
            <w:hideMark/>
          </w:tcPr>
          <w:p w:rsidR="0027072F" w:rsidRPr="00D31DFB" w:rsidRDefault="0027072F" w:rsidP="00F11C26">
            <w:pPr>
              <w:adjustRightInd w:val="0"/>
              <w:snapToGrid w:val="0"/>
              <w:jc w:val="right"/>
              <w:rPr>
                <w:color w:val="000000"/>
                <w:sz w:val="22"/>
                <w:szCs w:val="22"/>
              </w:rPr>
            </w:pPr>
            <w:r w:rsidRPr="00D31DFB">
              <w:rPr>
                <w:color w:val="000000"/>
                <w:sz w:val="22"/>
                <w:szCs w:val="22"/>
              </w:rPr>
              <w:t>1.701.356.508.000</w:t>
            </w:r>
          </w:p>
        </w:tc>
        <w:tc>
          <w:tcPr>
            <w:tcW w:w="1737" w:type="dxa"/>
            <w:shd w:val="clear" w:color="auto" w:fill="auto"/>
            <w:noWrap/>
            <w:vAlign w:val="bottom"/>
            <w:hideMark/>
          </w:tcPr>
          <w:p w:rsidR="0027072F" w:rsidRPr="00D31DFB" w:rsidRDefault="0027072F" w:rsidP="00F11C26">
            <w:pPr>
              <w:adjustRightInd w:val="0"/>
              <w:snapToGrid w:val="0"/>
              <w:jc w:val="right"/>
              <w:rPr>
                <w:color w:val="000000"/>
                <w:sz w:val="22"/>
                <w:szCs w:val="22"/>
              </w:rPr>
            </w:pPr>
            <w:r w:rsidRPr="00D31DFB">
              <w:rPr>
                <w:color w:val="000000"/>
                <w:sz w:val="22"/>
                <w:szCs w:val="22"/>
              </w:rPr>
              <w:t>620.004.776.190</w:t>
            </w:r>
          </w:p>
        </w:tc>
      </w:tr>
      <w:tr w:rsidR="0027072F" w:rsidRPr="00D31DFB" w:rsidTr="00F11C26">
        <w:trPr>
          <w:trHeight w:val="300"/>
          <w:jc w:val="center"/>
        </w:trPr>
        <w:tc>
          <w:tcPr>
            <w:tcW w:w="669" w:type="dxa"/>
            <w:shd w:val="clear" w:color="auto" w:fill="auto"/>
            <w:noWrap/>
            <w:vAlign w:val="bottom"/>
            <w:hideMark/>
          </w:tcPr>
          <w:p w:rsidR="0027072F" w:rsidRPr="00D31DFB" w:rsidRDefault="0027072F" w:rsidP="00F11C26">
            <w:pPr>
              <w:adjustRightInd w:val="0"/>
              <w:snapToGrid w:val="0"/>
              <w:jc w:val="center"/>
              <w:rPr>
                <w:color w:val="000000"/>
                <w:sz w:val="22"/>
                <w:szCs w:val="22"/>
              </w:rPr>
            </w:pPr>
            <w:r w:rsidRPr="00D31DFB">
              <w:rPr>
                <w:color w:val="000000"/>
                <w:sz w:val="22"/>
                <w:szCs w:val="22"/>
              </w:rPr>
              <w:t>2016</w:t>
            </w:r>
          </w:p>
        </w:tc>
        <w:tc>
          <w:tcPr>
            <w:tcW w:w="1906" w:type="dxa"/>
            <w:shd w:val="clear" w:color="auto" w:fill="auto"/>
            <w:noWrap/>
            <w:vAlign w:val="bottom"/>
            <w:hideMark/>
          </w:tcPr>
          <w:p w:rsidR="0027072F" w:rsidRPr="00D31DFB" w:rsidRDefault="0027072F" w:rsidP="00F11C26">
            <w:pPr>
              <w:adjustRightInd w:val="0"/>
              <w:snapToGrid w:val="0"/>
              <w:jc w:val="right"/>
              <w:rPr>
                <w:color w:val="000000"/>
                <w:sz w:val="22"/>
                <w:szCs w:val="22"/>
              </w:rPr>
            </w:pPr>
            <w:r w:rsidRPr="00D31DFB">
              <w:rPr>
                <w:color w:val="000000"/>
                <w:sz w:val="22"/>
                <w:szCs w:val="22"/>
              </w:rPr>
              <w:t>1.346.239.806.977</w:t>
            </w:r>
          </w:p>
        </w:tc>
        <w:tc>
          <w:tcPr>
            <w:tcW w:w="2019" w:type="dxa"/>
            <w:shd w:val="clear" w:color="auto" w:fill="auto"/>
            <w:noWrap/>
            <w:vAlign w:val="bottom"/>
            <w:hideMark/>
          </w:tcPr>
          <w:p w:rsidR="0027072F" w:rsidRPr="00D31DFB" w:rsidRDefault="0027072F" w:rsidP="00F11C26">
            <w:pPr>
              <w:adjustRightInd w:val="0"/>
              <w:snapToGrid w:val="0"/>
              <w:jc w:val="right"/>
              <w:rPr>
                <w:color w:val="000000"/>
                <w:sz w:val="22"/>
                <w:szCs w:val="22"/>
              </w:rPr>
            </w:pPr>
            <w:r w:rsidRPr="00D31DFB">
              <w:rPr>
                <w:color w:val="000000"/>
                <w:sz w:val="22"/>
                <w:szCs w:val="22"/>
              </w:rPr>
              <w:t>10.160.916.598.000</w:t>
            </w:r>
          </w:p>
        </w:tc>
        <w:tc>
          <w:tcPr>
            <w:tcW w:w="2099" w:type="dxa"/>
            <w:shd w:val="clear" w:color="auto" w:fill="auto"/>
            <w:noWrap/>
            <w:vAlign w:val="bottom"/>
            <w:hideMark/>
          </w:tcPr>
          <w:p w:rsidR="0027072F" w:rsidRPr="00D31DFB" w:rsidRDefault="0027072F" w:rsidP="00F11C26">
            <w:pPr>
              <w:adjustRightInd w:val="0"/>
              <w:snapToGrid w:val="0"/>
              <w:jc w:val="right"/>
              <w:rPr>
                <w:color w:val="000000"/>
                <w:sz w:val="22"/>
                <w:szCs w:val="22"/>
              </w:rPr>
            </w:pPr>
            <w:r w:rsidRPr="00D31DFB">
              <w:rPr>
                <w:color w:val="000000"/>
                <w:sz w:val="22"/>
                <w:szCs w:val="22"/>
              </w:rPr>
              <w:t>3.005.578.791.664</w:t>
            </w:r>
          </w:p>
        </w:tc>
        <w:tc>
          <w:tcPr>
            <w:tcW w:w="1737" w:type="dxa"/>
            <w:shd w:val="clear" w:color="auto" w:fill="auto"/>
            <w:noWrap/>
            <w:vAlign w:val="bottom"/>
            <w:hideMark/>
          </w:tcPr>
          <w:p w:rsidR="0027072F" w:rsidRPr="00D31DFB" w:rsidRDefault="0027072F" w:rsidP="00F11C26">
            <w:pPr>
              <w:adjustRightInd w:val="0"/>
              <w:snapToGrid w:val="0"/>
              <w:jc w:val="right"/>
              <w:rPr>
                <w:color w:val="000000"/>
                <w:sz w:val="22"/>
                <w:szCs w:val="22"/>
              </w:rPr>
            </w:pPr>
            <w:r w:rsidRPr="00D31DFB">
              <w:rPr>
                <w:color w:val="000000"/>
                <w:sz w:val="22"/>
                <w:szCs w:val="22"/>
              </w:rPr>
              <w:t>580.263.461.698</w:t>
            </w:r>
          </w:p>
        </w:tc>
      </w:tr>
      <w:tr w:rsidR="0027072F" w:rsidRPr="00D31DFB" w:rsidTr="00F11C26">
        <w:trPr>
          <w:trHeight w:val="300"/>
          <w:jc w:val="center"/>
        </w:trPr>
        <w:tc>
          <w:tcPr>
            <w:tcW w:w="669" w:type="dxa"/>
            <w:shd w:val="clear" w:color="auto" w:fill="auto"/>
            <w:noWrap/>
            <w:vAlign w:val="bottom"/>
            <w:hideMark/>
          </w:tcPr>
          <w:p w:rsidR="0027072F" w:rsidRPr="00D31DFB" w:rsidRDefault="0027072F" w:rsidP="00F11C26">
            <w:pPr>
              <w:adjustRightInd w:val="0"/>
              <w:snapToGrid w:val="0"/>
              <w:jc w:val="center"/>
              <w:rPr>
                <w:color w:val="000000"/>
                <w:sz w:val="22"/>
                <w:szCs w:val="22"/>
              </w:rPr>
            </w:pPr>
            <w:r w:rsidRPr="00D31DFB">
              <w:rPr>
                <w:color w:val="000000"/>
                <w:sz w:val="22"/>
                <w:szCs w:val="22"/>
              </w:rPr>
              <w:t>2017</w:t>
            </w:r>
          </w:p>
        </w:tc>
        <w:tc>
          <w:tcPr>
            <w:tcW w:w="1906" w:type="dxa"/>
            <w:shd w:val="clear" w:color="auto" w:fill="auto"/>
            <w:noWrap/>
            <w:vAlign w:val="bottom"/>
            <w:hideMark/>
          </w:tcPr>
          <w:p w:rsidR="0027072F" w:rsidRPr="00D31DFB" w:rsidRDefault="0027072F" w:rsidP="00F11C26">
            <w:pPr>
              <w:adjustRightInd w:val="0"/>
              <w:snapToGrid w:val="0"/>
              <w:jc w:val="right"/>
              <w:rPr>
                <w:color w:val="000000"/>
                <w:sz w:val="22"/>
                <w:szCs w:val="22"/>
              </w:rPr>
            </w:pPr>
            <w:r w:rsidRPr="00D31DFB">
              <w:rPr>
                <w:color w:val="000000"/>
                <w:sz w:val="22"/>
                <w:szCs w:val="22"/>
              </w:rPr>
              <w:t>1.975.023.900.860</w:t>
            </w:r>
          </w:p>
        </w:tc>
        <w:tc>
          <w:tcPr>
            <w:tcW w:w="2019" w:type="dxa"/>
            <w:shd w:val="clear" w:color="auto" w:fill="auto"/>
            <w:noWrap/>
            <w:vAlign w:val="bottom"/>
            <w:hideMark/>
          </w:tcPr>
          <w:p w:rsidR="0027072F" w:rsidRPr="00D31DFB" w:rsidRDefault="0027072F" w:rsidP="00F11C26">
            <w:pPr>
              <w:adjustRightInd w:val="0"/>
              <w:snapToGrid w:val="0"/>
              <w:jc w:val="right"/>
              <w:rPr>
                <w:color w:val="000000"/>
                <w:sz w:val="22"/>
                <w:szCs w:val="22"/>
              </w:rPr>
            </w:pPr>
            <w:r w:rsidRPr="00D31DFB">
              <w:rPr>
                <w:color w:val="000000"/>
                <w:sz w:val="22"/>
                <w:szCs w:val="22"/>
              </w:rPr>
              <w:t>10.073.735.391.000</w:t>
            </w:r>
          </w:p>
        </w:tc>
        <w:tc>
          <w:tcPr>
            <w:tcW w:w="2099" w:type="dxa"/>
            <w:shd w:val="clear" w:color="auto" w:fill="auto"/>
            <w:noWrap/>
            <w:vAlign w:val="bottom"/>
            <w:hideMark/>
          </w:tcPr>
          <w:p w:rsidR="0027072F" w:rsidRPr="00D31DFB" w:rsidRDefault="0027072F" w:rsidP="00F11C26">
            <w:pPr>
              <w:adjustRightInd w:val="0"/>
              <w:snapToGrid w:val="0"/>
              <w:jc w:val="right"/>
              <w:rPr>
                <w:color w:val="000000"/>
                <w:sz w:val="22"/>
                <w:szCs w:val="22"/>
              </w:rPr>
            </w:pPr>
            <w:r w:rsidRPr="00D31DFB">
              <w:rPr>
                <w:color w:val="000000"/>
                <w:sz w:val="22"/>
                <w:szCs w:val="22"/>
              </w:rPr>
              <w:t>3.617.520.146.100</w:t>
            </w:r>
          </w:p>
        </w:tc>
        <w:tc>
          <w:tcPr>
            <w:tcW w:w="1737" w:type="dxa"/>
            <w:shd w:val="clear" w:color="auto" w:fill="auto"/>
            <w:noWrap/>
            <w:vAlign w:val="bottom"/>
            <w:hideMark/>
          </w:tcPr>
          <w:p w:rsidR="0027072F" w:rsidRPr="00D31DFB" w:rsidRDefault="0027072F" w:rsidP="00F11C26">
            <w:pPr>
              <w:adjustRightInd w:val="0"/>
              <w:snapToGrid w:val="0"/>
              <w:jc w:val="right"/>
              <w:rPr>
                <w:color w:val="000000"/>
                <w:sz w:val="22"/>
                <w:szCs w:val="22"/>
              </w:rPr>
            </w:pPr>
            <w:r w:rsidRPr="00D31DFB">
              <w:rPr>
                <w:color w:val="000000"/>
                <w:sz w:val="22"/>
                <w:szCs w:val="22"/>
              </w:rPr>
              <w:t>479.720.280.130</w:t>
            </w:r>
          </w:p>
        </w:tc>
      </w:tr>
      <w:tr w:rsidR="0027072F" w:rsidRPr="00D31DFB" w:rsidTr="00F11C26">
        <w:trPr>
          <w:trHeight w:val="300"/>
          <w:jc w:val="center"/>
        </w:trPr>
        <w:tc>
          <w:tcPr>
            <w:tcW w:w="669" w:type="dxa"/>
            <w:shd w:val="clear" w:color="auto" w:fill="auto"/>
            <w:noWrap/>
            <w:vAlign w:val="bottom"/>
            <w:hideMark/>
          </w:tcPr>
          <w:p w:rsidR="0027072F" w:rsidRPr="00D31DFB" w:rsidRDefault="0027072F" w:rsidP="00F11C26">
            <w:pPr>
              <w:adjustRightInd w:val="0"/>
              <w:snapToGrid w:val="0"/>
              <w:jc w:val="center"/>
              <w:rPr>
                <w:color w:val="000000"/>
                <w:sz w:val="22"/>
                <w:szCs w:val="22"/>
              </w:rPr>
            </w:pPr>
            <w:r w:rsidRPr="00D31DFB">
              <w:rPr>
                <w:color w:val="000000"/>
                <w:sz w:val="22"/>
                <w:szCs w:val="22"/>
              </w:rPr>
              <w:t>2018</w:t>
            </w:r>
          </w:p>
        </w:tc>
        <w:tc>
          <w:tcPr>
            <w:tcW w:w="1906" w:type="dxa"/>
            <w:shd w:val="clear" w:color="auto" w:fill="auto"/>
            <w:noWrap/>
            <w:vAlign w:val="bottom"/>
            <w:hideMark/>
          </w:tcPr>
          <w:p w:rsidR="0027072F" w:rsidRPr="00D31DFB" w:rsidRDefault="0027072F" w:rsidP="00F11C26">
            <w:pPr>
              <w:adjustRightInd w:val="0"/>
              <w:snapToGrid w:val="0"/>
              <w:jc w:val="right"/>
              <w:rPr>
                <w:color w:val="000000"/>
                <w:sz w:val="22"/>
                <w:szCs w:val="22"/>
              </w:rPr>
            </w:pPr>
            <w:r w:rsidRPr="00D31DFB">
              <w:rPr>
                <w:color w:val="000000"/>
                <w:sz w:val="22"/>
                <w:szCs w:val="22"/>
              </w:rPr>
              <w:t>1.840.200.868.680</w:t>
            </w:r>
          </w:p>
        </w:tc>
        <w:tc>
          <w:tcPr>
            <w:tcW w:w="2019" w:type="dxa"/>
            <w:shd w:val="clear" w:color="auto" w:fill="auto"/>
            <w:noWrap/>
            <w:vAlign w:val="bottom"/>
            <w:hideMark/>
          </w:tcPr>
          <w:p w:rsidR="0027072F" w:rsidRPr="00D31DFB" w:rsidRDefault="0027072F" w:rsidP="00F11C26">
            <w:pPr>
              <w:adjustRightInd w:val="0"/>
              <w:snapToGrid w:val="0"/>
              <w:jc w:val="right"/>
              <w:rPr>
                <w:color w:val="000000"/>
                <w:sz w:val="22"/>
                <w:szCs w:val="22"/>
              </w:rPr>
            </w:pPr>
            <w:r w:rsidRPr="00D31DFB">
              <w:rPr>
                <w:color w:val="000000"/>
                <w:sz w:val="22"/>
                <w:szCs w:val="22"/>
              </w:rPr>
              <w:t>10.095.490.363.000</w:t>
            </w:r>
          </w:p>
        </w:tc>
        <w:tc>
          <w:tcPr>
            <w:tcW w:w="2099" w:type="dxa"/>
            <w:shd w:val="clear" w:color="auto" w:fill="auto"/>
            <w:noWrap/>
            <w:vAlign w:val="bottom"/>
            <w:hideMark/>
          </w:tcPr>
          <w:p w:rsidR="0027072F" w:rsidRPr="00D31DFB" w:rsidRDefault="0027072F" w:rsidP="00F11C26">
            <w:pPr>
              <w:adjustRightInd w:val="0"/>
              <w:snapToGrid w:val="0"/>
              <w:jc w:val="right"/>
              <w:rPr>
                <w:color w:val="000000"/>
                <w:sz w:val="22"/>
                <w:szCs w:val="22"/>
              </w:rPr>
            </w:pPr>
            <w:r w:rsidRPr="00D31DFB">
              <w:rPr>
                <w:color w:val="000000"/>
                <w:sz w:val="22"/>
                <w:szCs w:val="22"/>
              </w:rPr>
              <w:t>3.349.572.463.340</w:t>
            </w:r>
          </w:p>
        </w:tc>
        <w:tc>
          <w:tcPr>
            <w:tcW w:w="1737" w:type="dxa"/>
            <w:shd w:val="clear" w:color="auto" w:fill="auto"/>
            <w:noWrap/>
            <w:vAlign w:val="bottom"/>
            <w:hideMark/>
          </w:tcPr>
          <w:p w:rsidR="0027072F" w:rsidRPr="00D31DFB" w:rsidRDefault="0027072F" w:rsidP="00F11C26">
            <w:pPr>
              <w:adjustRightInd w:val="0"/>
              <w:snapToGrid w:val="0"/>
              <w:jc w:val="right"/>
              <w:rPr>
                <w:color w:val="000000"/>
                <w:sz w:val="22"/>
                <w:szCs w:val="22"/>
              </w:rPr>
            </w:pPr>
            <w:r w:rsidRPr="00D31DFB">
              <w:rPr>
                <w:color w:val="000000"/>
                <w:sz w:val="22"/>
                <w:szCs w:val="22"/>
              </w:rPr>
              <w:t>535.151.662.350</w:t>
            </w:r>
          </w:p>
        </w:tc>
      </w:tr>
    </w:tbl>
    <w:p w:rsidR="0027072F" w:rsidRPr="00D31DFB" w:rsidRDefault="00D31DFB" w:rsidP="00D31DFB">
      <w:pPr>
        <w:jc w:val="both"/>
      </w:pPr>
      <w:r w:rsidRPr="00D31DFB">
        <w:t>Source : Statistics Indonesia (2018)</w:t>
      </w:r>
    </w:p>
    <w:p w:rsidR="00D31DFB" w:rsidRPr="00D31DFB" w:rsidRDefault="00D31DFB" w:rsidP="00F11C26">
      <w:pPr>
        <w:jc w:val="both"/>
      </w:pPr>
    </w:p>
    <w:p w:rsidR="0027072F" w:rsidRPr="00D31DFB" w:rsidRDefault="0027072F" w:rsidP="00F11C26">
      <w:pPr>
        <w:adjustRightInd w:val="0"/>
        <w:snapToGrid w:val="0"/>
        <w:ind w:firstLine="720"/>
        <w:jc w:val="both"/>
        <w:rPr>
          <w:color w:val="000000"/>
        </w:rPr>
      </w:pPr>
      <w:proofErr w:type="spellStart"/>
      <w:r w:rsidRPr="00D31DFB">
        <w:t>Table</w:t>
      </w:r>
      <w:proofErr w:type="spellEnd"/>
      <w:r w:rsidRPr="00D31DFB">
        <w:t xml:space="preserve"> 1 </w:t>
      </w:r>
      <w:r w:rsidR="00643F5C">
        <w:rPr>
          <w:lang w:val="en-US"/>
        </w:rPr>
        <w:t>shows</w:t>
      </w:r>
      <w:r w:rsidRPr="00D31DFB">
        <w:t xml:space="preserve"> </w:t>
      </w:r>
      <w:proofErr w:type="spellStart"/>
      <w:r w:rsidRPr="00D31DFB">
        <w:t>that</w:t>
      </w:r>
      <w:proofErr w:type="spellEnd"/>
      <w:r w:rsidRPr="00D31DFB">
        <w:t xml:space="preserve"> in 2013-2018, </w:t>
      </w:r>
      <w:proofErr w:type="spellStart"/>
      <w:r w:rsidRPr="00D31DFB">
        <w:t>the</w:t>
      </w:r>
      <w:proofErr w:type="spellEnd"/>
      <w:r w:rsidRPr="00D31DFB">
        <w:t xml:space="preserve"> </w:t>
      </w:r>
      <w:proofErr w:type="spellStart"/>
      <w:r w:rsidRPr="00D31DFB">
        <w:t>realization</w:t>
      </w:r>
      <w:proofErr w:type="spellEnd"/>
      <w:r w:rsidRPr="00D31DFB">
        <w:t xml:space="preserve"> </w:t>
      </w:r>
      <w:proofErr w:type="spellStart"/>
      <w:r w:rsidRPr="00D31DFB">
        <w:t>of</w:t>
      </w:r>
      <w:proofErr w:type="spellEnd"/>
      <w:r w:rsidRPr="00D31DFB">
        <w:t xml:space="preserve"> </w:t>
      </w:r>
      <w:proofErr w:type="spellStart"/>
      <w:r w:rsidRPr="00D31DFB">
        <w:t>original</w:t>
      </w:r>
      <w:proofErr w:type="spellEnd"/>
      <w:r w:rsidRPr="00D31DFB">
        <w:t xml:space="preserve"> </w:t>
      </w:r>
      <w:proofErr w:type="spellStart"/>
      <w:r w:rsidRPr="00D31DFB">
        <w:t>local</w:t>
      </w:r>
      <w:proofErr w:type="spellEnd"/>
      <w:r w:rsidRPr="00D31DFB">
        <w:t xml:space="preserve"> </w:t>
      </w:r>
      <w:proofErr w:type="spellStart"/>
      <w:r w:rsidRPr="00D31DFB">
        <w:t>government</w:t>
      </w:r>
      <w:proofErr w:type="spellEnd"/>
      <w:r w:rsidRPr="00D31DFB">
        <w:t xml:space="preserve"> </w:t>
      </w:r>
      <w:proofErr w:type="spellStart"/>
      <w:r w:rsidRPr="00D31DFB">
        <w:t>revenue</w:t>
      </w:r>
      <w:proofErr w:type="spellEnd"/>
      <w:r w:rsidRPr="00D31DFB">
        <w:t xml:space="preserve"> </w:t>
      </w:r>
      <w:proofErr w:type="spellStart"/>
      <w:r w:rsidRPr="00D31DFB">
        <w:t>was</w:t>
      </w:r>
      <w:proofErr w:type="spellEnd"/>
      <w:r w:rsidRPr="00D31DFB">
        <w:t xml:space="preserve"> </w:t>
      </w:r>
      <w:proofErr w:type="spellStart"/>
      <w:r w:rsidRPr="00D31DFB">
        <w:t>about</w:t>
      </w:r>
      <w:proofErr w:type="spellEnd"/>
      <w:r w:rsidRPr="00D31DFB">
        <w:t xml:space="preserve"> Rp </w:t>
      </w:r>
      <w:r w:rsidRPr="00D31DFB">
        <w:rPr>
          <w:color w:val="000000"/>
        </w:rPr>
        <w:t xml:space="preserve">8.432.020.519.267 </w:t>
      </w:r>
      <w:proofErr w:type="spellStart"/>
      <w:r w:rsidRPr="00D31DFB">
        <w:t>while</w:t>
      </w:r>
      <w:proofErr w:type="spellEnd"/>
      <w:r w:rsidRPr="00D31DFB">
        <w:t xml:space="preserve"> </w:t>
      </w:r>
      <w:proofErr w:type="spellStart"/>
      <w:r w:rsidRPr="00D31DFB">
        <w:t>the</w:t>
      </w:r>
      <w:proofErr w:type="spellEnd"/>
      <w:r w:rsidRPr="00D31DFB">
        <w:t xml:space="preserve"> total </w:t>
      </w:r>
      <w:proofErr w:type="spellStart"/>
      <w:r w:rsidRPr="00D31DFB">
        <w:t>of</w:t>
      </w:r>
      <w:proofErr w:type="spellEnd"/>
      <w:r w:rsidRPr="00D31DFB">
        <w:t xml:space="preserve"> </w:t>
      </w:r>
      <w:proofErr w:type="spellStart"/>
      <w:r w:rsidRPr="00D31DFB">
        <w:t>balanced</w:t>
      </w:r>
      <w:proofErr w:type="spellEnd"/>
      <w:r w:rsidRPr="00D31DFB">
        <w:t xml:space="preserve"> </w:t>
      </w:r>
      <w:proofErr w:type="spellStart"/>
      <w:r w:rsidRPr="00D31DFB">
        <w:t>budget</w:t>
      </w:r>
      <w:proofErr w:type="spellEnd"/>
      <w:r w:rsidRPr="00D31DFB">
        <w:t xml:space="preserve"> </w:t>
      </w:r>
      <w:proofErr w:type="spellStart"/>
      <w:r w:rsidRPr="00D31DFB">
        <w:t>was</w:t>
      </w:r>
      <w:proofErr w:type="spellEnd"/>
      <w:r w:rsidRPr="00D31DFB">
        <w:t xml:space="preserve"> </w:t>
      </w:r>
      <w:proofErr w:type="spellStart"/>
      <w:r w:rsidRPr="00D31DFB">
        <w:t>greater</w:t>
      </w:r>
      <w:proofErr w:type="spellEnd"/>
      <w:r w:rsidRPr="00D31DFB">
        <w:t xml:space="preserve"> </w:t>
      </w:r>
      <w:proofErr w:type="spellStart"/>
      <w:r w:rsidRPr="00D31DFB">
        <w:t>than</w:t>
      </w:r>
      <w:proofErr w:type="spellEnd"/>
      <w:r w:rsidRPr="00D31DFB">
        <w:t xml:space="preserve"> PAD, </w:t>
      </w:r>
      <w:proofErr w:type="spellStart"/>
      <w:r w:rsidRPr="00D31DFB">
        <w:t>namely</w:t>
      </w:r>
      <w:proofErr w:type="spellEnd"/>
      <w:r w:rsidRPr="00D31DFB">
        <w:t xml:space="preserve"> Rp</w:t>
      </w:r>
      <w:r w:rsidRPr="00D31DFB">
        <w:rPr>
          <w:color w:val="000000"/>
        </w:rPr>
        <w:t>74.545.934.744.480</w:t>
      </w:r>
      <w:r w:rsidRPr="00D31DFB">
        <w:t xml:space="preserve">. The PAD generated only contributes 8,58% of total regional revenue. This value is much smaller than the proportion of the central government’s balanced budget, which reached 75,89%. It shows that the regional government in the Regency/City of West Kalimantan Province has not maximized potential regional income sources. With the number of balanced budgets that are much more responsive to </w:t>
      </w:r>
      <w:r w:rsidRPr="00D31DFB">
        <w:rPr>
          <w:color w:val="222222"/>
          <w:lang w:val="en"/>
        </w:rPr>
        <w:t xml:space="preserve">local government expenditure </w:t>
      </w:r>
      <w:r w:rsidRPr="00D31DFB">
        <w:t>than PAD, it indicates a high degree of dependence on transfer funds from the central government, thus enabling the flypaper effect phenomenon. This phenomenon contrasts with the original objectives of decentralization and regional autonomy, which demand local governments’ independence.</w:t>
      </w:r>
    </w:p>
    <w:p w:rsidR="00C769AA" w:rsidRPr="00D31DFB" w:rsidRDefault="0027072F" w:rsidP="00F11C26">
      <w:pPr>
        <w:adjustRightInd w:val="0"/>
        <w:snapToGrid w:val="0"/>
        <w:ind w:firstLine="720"/>
        <w:jc w:val="both"/>
      </w:pPr>
      <w:r w:rsidRPr="00D31DFB">
        <w:t xml:space="preserve">Research on the flypaper effect phenomenon has been conducted before in several countries and provinces in Indonesia. However, only a few studies have focused on the West Kalimantan region. </w:t>
      </w:r>
      <w:r w:rsidR="00F11C26" w:rsidRPr="00D31DFB">
        <w:t>T</w:t>
      </w:r>
      <w:r w:rsidRPr="00D31DFB">
        <w:t xml:space="preserve">he variables studied are original local government revenue, balanced budget consisting of general allocation funds, special allocation funds, sharing funds and </w:t>
      </w:r>
      <w:r w:rsidRPr="00D31DFB">
        <w:rPr>
          <w:color w:val="222222"/>
          <w:lang w:val="en"/>
        </w:rPr>
        <w:t xml:space="preserve">local government expenditure </w:t>
      </w:r>
      <w:r w:rsidRPr="00D31DFB">
        <w:t>with the 2013-2018 research period. Data processing was performed using STATA analysis tools. This study aims to see whether the flypaper effect phenomenon occurs in original local government revenue and budget balanced of local government expenditure in Regencies/Cities in West Kalimantan Province. This study's results are expected to contribute to the central and regional governments in evaluating their regional financial performance so that fiscal decentralization can be realized.</w:t>
      </w:r>
    </w:p>
    <w:p w:rsidR="00DA26AF" w:rsidRPr="00D31DFB" w:rsidRDefault="00DA26AF" w:rsidP="00A84AA6">
      <w:pPr>
        <w:adjustRightInd w:val="0"/>
        <w:snapToGrid w:val="0"/>
        <w:jc w:val="both"/>
        <w:rPr>
          <w:b/>
        </w:rPr>
      </w:pPr>
    </w:p>
    <w:p w:rsidR="00DA26AF" w:rsidRPr="00D31DFB" w:rsidRDefault="00DA26AF" w:rsidP="00A84AA6">
      <w:pPr>
        <w:adjustRightInd w:val="0"/>
        <w:snapToGrid w:val="0"/>
        <w:jc w:val="both"/>
        <w:rPr>
          <w:b/>
        </w:rPr>
      </w:pPr>
    </w:p>
    <w:p w:rsidR="00F11C26" w:rsidRPr="00D31DFB" w:rsidRDefault="00A84AA6" w:rsidP="00A84AA6">
      <w:pPr>
        <w:adjustRightInd w:val="0"/>
        <w:snapToGrid w:val="0"/>
        <w:jc w:val="both"/>
        <w:rPr>
          <w:b/>
        </w:rPr>
      </w:pPr>
      <w:r w:rsidRPr="00D31DFB">
        <w:rPr>
          <w:b/>
        </w:rPr>
        <w:t>LITERATURE</w:t>
      </w:r>
      <w:r w:rsidR="00F11C26" w:rsidRPr="00D31DFB">
        <w:rPr>
          <w:b/>
        </w:rPr>
        <w:t xml:space="preserve"> REVIEW</w:t>
      </w:r>
    </w:p>
    <w:p w:rsidR="00F11C26" w:rsidRPr="00D31DFB" w:rsidRDefault="00F11C26" w:rsidP="00A84AA6">
      <w:pPr>
        <w:adjustRightInd w:val="0"/>
        <w:snapToGrid w:val="0"/>
        <w:jc w:val="both"/>
        <w:rPr>
          <w:b/>
        </w:rPr>
      </w:pPr>
      <w:r w:rsidRPr="00D31DFB">
        <w:rPr>
          <w:b/>
          <w:bCs/>
        </w:rPr>
        <w:t xml:space="preserve">Original Local Government Revenue </w:t>
      </w:r>
    </w:p>
    <w:p w:rsidR="00F11C26" w:rsidRPr="00D31DFB" w:rsidRDefault="00F11C26" w:rsidP="00A84AA6">
      <w:pPr>
        <w:pStyle w:val="NormalWeb"/>
        <w:adjustRightInd w:val="0"/>
        <w:snapToGrid w:val="0"/>
        <w:spacing w:before="0" w:beforeAutospacing="0" w:after="0" w:afterAutospacing="0"/>
        <w:ind w:firstLine="709"/>
        <w:jc w:val="both"/>
        <w:rPr>
          <w:bCs/>
          <w:lang w:val="en-US"/>
        </w:rPr>
      </w:pPr>
      <w:proofErr w:type="spellStart"/>
      <w:r w:rsidRPr="00D31DFB">
        <w:rPr>
          <w:bCs/>
        </w:rPr>
        <w:t>Original</w:t>
      </w:r>
      <w:proofErr w:type="spellEnd"/>
      <w:r w:rsidRPr="00D31DFB">
        <w:rPr>
          <w:bCs/>
        </w:rPr>
        <w:t xml:space="preserve"> </w:t>
      </w:r>
      <w:proofErr w:type="spellStart"/>
      <w:r w:rsidRPr="00D31DFB">
        <w:rPr>
          <w:bCs/>
        </w:rPr>
        <w:t>local</w:t>
      </w:r>
      <w:proofErr w:type="spellEnd"/>
      <w:r w:rsidRPr="00D31DFB">
        <w:rPr>
          <w:bCs/>
        </w:rPr>
        <w:t xml:space="preserve"> </w:t>
      </w:r>
      <w:proofErr w:type="spellStart"/>
      <w:r w:rsidRPr="00D31DFB">
        <w:rPr>
          <w:bCs/>
        </w:rPr>
        <w:t>government</w:t>
      </w:r>
      <w:proofErr w:type="spellEnd"/>
      <w:r w:rsidRPr="00D31DFB">
        <w:rPr>
          <w:bCs/>
        </w:rPr>
        <w:t xml:space="preserve"> </w:t>
      </w:r>
      <w:proofErr w:type="spellStart"/>
      <w:r w:rsidRPr="00D31DFB">
        <w:rPr>
          <w:bCs/>
        </w:rPr>
        <w:t>revenue</w:t>
      </w:r>
      <w:proofErr w:type="spellEnd"/>
      <w:r w:rsidRPr="00D31DFB">
        <w:rPr>
          <w:bCs/>
        </w:rPr>
        <w:t xml:space="preserve"> </w:t>
      </w:r>
      <w:proofErr w:type="spellStart"/>
      <w:r w:rsidRPr="00D31DFB">
        <w:rPr>
          <w:bCs/>
        </w:rPr>
        <w:t>is</w:t>
      </w:r>
      <w:proofErr w:type="spellEnd"/>
      <w:r w:rsidRPr="00D31DFB">
        <w:rPr>
          <w:bCs/>
        </w:rPr>
        <w:t xml:space="preserve"> a </w:t>
      </w:r>
      <w:proofErr w:type="spellStart"/>
      <w:r w:rsidRPr="00D31DFB">
        <w:rPr>
          <w:bCs/>
        </w:rPr>
        <w:t>revenue</w:t>
      </w:r>
      <w:proofErr w:type="spellEnd"/>
      <w:r w:rsidRPr="00D31DFB">
        <w:rPr>
          <w:bCs/>
        </w:rPr>
        <w:t xml:space="preserve"> </w:t>
      </w:r>
      <w:proofErr w:type="spellStart"/>
      <w:r w:rsidRPr="00D31DFB">
        <w:rPr>
          <w:bCs/>
        </w:rPr>
        <w:t>source</w:t>
      </w:r>
      <w:proofErr w:type="spellEnd"/>
      <w:r w:rsidRPr="00D31DFB">
        <w:rPr>
          <w:bCs/>
        </w:rPr>
        <w:t xml:space="preserve"> </w:t>
      </w:r>
      <w:proofErr w:type="spellStart"/>
      <w:r w:rsidRPr="00D31DFB">
        <w:rPr>
          <w:bCs/>
        </w:rPr>
        <w:t>obtained</w:t>
      </w:r>
      <w:proofErr w:type="spellEnd"/>
      <w:r w:rsidRPr="00D31DFB">
        <w:rPr>
          <w:bCs/>
        </w:rPr>
        <w:t xml:space="preserve"> </w:t>
      </w:r>
      <w:proofErr w:type="spellStart"/>
      <w:r w:rsidRPr="00D31DFB">
        <w:rPr>
          <w:bCs/>
        </w:rPr>
        <w:t>from</w:t>
      </w:r>
      <w:proofErr w:type="spellEnd"/>
      <w:r w:rsidRPr="00D31DFB">
        <w:rPr>
          <w:bCs/>
        </w:rPr>
        <w:t xml:space="preserve"> </w:t>
      </w:r>
      <w:proofErr w:type="spellStart"/>
      <w:r w:rsidRPr="00D31DFB">
        <w:rPr>
          <w:bCs/>
        </w:rPr>
        <w:t>various</w:t>
      </w:r>
      <w:proofErr w:type="spellEnd"/>
      <w:r w:rsidRPr="00D31DFB">
        <w:rPr>
          <w:bCs/>
        </w:rPr>
        <w:t xml:space="preserve"> </w:t>
      </w:r>
      <w:proofErr w:type="spellStart"/>
      <w:r w:rsidRPr="00D31DFB">
        <w:rPr>
          <w:bCs/>
        </w:rPr>
        <w:t>potentials</w:t>
      </w:r>
      <w:proofErr w:type="spellEnd"/>
      <w:r w:rsidRPr="00D31DFB">
        <w:rPr>
          <w:bCs/>
        </w:rPr>
        <w:t xml:space="preserve"> </w:t>
      </w:r>
      <w:proofErr w:type="spellStart"/>
      <w:r w:rsidRPr="00D31DFB">
        <w:rPr>
          <w:bCs/>
        </w:rPr>
        <w:t>owned</w:t>
      </w:r>
      <w:proofErr w:type="spellEnd"/>
      <w:r w:rsidRPr="00D31DFB">
        <w:rPr>
          <w:bCs/>
        </w:rPr>
        <w:t xml:space="preserve"> </w:t>
      </w:r>
      <w:proofErr w:type="spellStart"/>
      <w:r w:rsidRPr="00D31DFB">
        <w:rPr>
          <w:bCs/>
        </w:rPr>
        <w:t>by</w:t>
      </w:r>
      <w:proofErr w:type="spellEnd"/>
      <w:r w:rsidRPr="00D31DFB">
        <w:rPr>
          <w:bCs/>
        </w:rPr>
        <w:t xml:space="preserve"> </w:t>
      </w:r>
      <w:proofErr w:type="spellStart"/>
      <w:r w:rsidRPr="00D31DFB">
        <w:rPr>
          <w:bCs/>
        </w:rPr>
        <w:t>the</w:t>
      </w:r>
      <w:proofErr w:type="spellEnd"/>
      <w:r w:rsidRPr="00D31DFB">
        <w:rPr>
          <w:bCs/>
        </w:rPr>
        <w:t xml:space="preserve"> area, </w:t>
      </w:r>
      <w:proofErr w:type="spellStart"/>
      <w:r w:rsidRPr="00D31DFB">
        <w:rPr>
          <w:bCs/>
        </w:rPr>
        <w:t>which</w:t>
      </w:r>
      <w:proofErr w:type="spellEnd"/>
      <w:r w:rsidRPr="00D31DFB">
        <w:rPr>
          <w:bCs/>
        </w:rPr>
        <w:t xml:space="preserve"> </w:t>
      </w:r>
      <w:proofErr w:type="spellStart"/>
      <w:r w:rsidRPr="00D31DFB">
        <w:rPr>
          <w:bCs/>
        </w:rPr>
        <w:t>is</w:t>
      </w:r>
      <w:proofErr w:type="spellEnd"/>
      <w:r w:rsidRPr="00D31DFB">
        <w:rPr>
          <w:bCs/>
        </w:rPr>
        <w:t xml:space="preserve"> </w:t>
      </w:r>
      <w:proofErr w:type="spellStart"/>
      <w:r w:rsidRPr="00D31DFB">
        <w:rPr>
          <w:bCs/>
        </w:rPr>
        <w:t>collected</w:t>
      </w:r>
      <w:proofErr w:type="spellEnd"/>
      <w:r w:rsidRPr="00D31DFB">
        <w:rPr>
          <w:bCs/>
        </w:rPr>
        <w:t xml:space="preserve"> </w:t>
      </w:r>
      <w:proofErr w:type="spellStart"/>
      <w:r w:rsidRPr="00D31DFB">
        <w:rPr>
          <w:bCs/>
        </w:rPr>
        <w:t>based</w:t>
      </w:r>
      <w:proofErr w:type="spellEnd"/>
      <w:r w:rsidRPr="00D31DFB">
        <w:rPr>
          <w:bCs/>
        </w:rPr>
        <w:t xml:space="preserve"> </w:t>
      </w:r>
      <w:proofErr w:type="spellStart"/>
      <w:r w:rsidRPr="00D31DFB">
        <w:rPr>
          <w:bCs/>
        </w:rPr>
        <w:t>on</w:t>
      </w:r>
      <w:proofErr w:type="spellEnd"/>
      <w:r w:rsidRPr="00D31DFB">
        <w:rPr>
          <w:bCs/>
        </w:rPr>
        <w:t xml:space="preserve"> </w:t>
      </w:r>
      <w:proofErr w:type="spellStart"/>
      <w:r w:rsidRPr="00D31DFB">
        <w:rPr>
          <w:bCs/>
        </w:rPr>
        <w:t>applicable</w:t>
      </w:r>
      <w:proofErr w:type="spellEnd"/>
      <w:r w:rsidRPr="00D31DFB">
        <w:rPr>
          <w:bCs/>
        </w:rPr>
        <w:t xml:space="preserve"> </w:t>
      </w:r>
      <w:proofErr w:type="spellStart"/>
      <w:r w:rsidRPr="00D31DFB">
        <w:rPr>
          <w:bCs/>
        </w:rPr>
        <w:t>regulations</w:t>
      </w:r>
      <w:proofErr w:type="spellEnd"/>
      <w:r w:rsidR="00CF0C7D">
        <w:rPr>
          <w:bCs/>
          <w:lang w:val="en-US"/>
        </w:rPr>
        <w:t xml:space="preserve"> (</w:t>
      </w:r>
      <w:r w:rsidR="00CF0C7D" w:rsidRPr="00D31DFB">
        <w:fldChar w:fldCharType="begin" w:fldLock="1"/>
      </w:r>
      <w:r w:rsidR="00CF0C7D" w:rsidRPr="00D31DFB">
        <w:instrText>ADDIN CSL_CITATION {"citationItems":[{"id":"ITEM-1","itemData":{"ISBN":"9780470014561","author":[{"dropping-particle":"","family":"Baltagi","given":"Badi H","non-dropping-particle":"","parse-names":false,"suffix":""}],"edition":"Third Edit","id":"ITEM-1","issued":{"date-parts":[["2005"]]},"publisher":"John wiley &amp; Sons, Ltd","publisher-place":"england","title":"Econometric Analysis of Panel Data","type":"book"},"uris":["http://www.mendeley.com/documents/?uuid=c69e4336-0bf7-40f0-891a-4053312552e8"]},{"id":"ITEM-2","itemData":{"author":[{"dropping-particle":"","family":"Kunst","given":"Robert M","non-dropping-particle":"","parse-names":false,"suffix":""}],"id":"ITEM-2","issued":{"date-parts":[["2013"]]},"page":"1-20","title":"Econometric Methods for Panel Data Based on the books by Baltagi : Econometric Analysis of Panel Data and by Hsiao : Analysis of Panel Data Outline Introduction Tests in panel models Poolability tests Testing for the presence of random effects The Hausman","type":"article-journal"},"uris":["http://www.mendeley.com/documents/?uuid=c2f5dcd3-1929-4e2b-b318-81a5e7d683f2"]}],"mendeley":{"formattedCitation":"(Baltagi, 2005; Kunst, 2013)","manualFormatting":"(Baltagi, 2005.; Kunst, 2013.; Hsiao, 2003)","plainTextFormattedCitation":"(Baltagi, 2005; Kunst, 2013)","previouslyFormattedCitation":"(Baltagi, 2005; Kunst, 2013)"},"properties":{"noteIndex":0},"schema":"https://github.com/citation-style-language/schema/raw/master/csl-citation.json"}</w:instrText>
      </w:r>
      <w:r w:rsidR="00CF0C7D" w:rsidRPr="00D31DFB">
        <w:fldChar w:fldCharType="separate"/>
      </w:r>
      <w:r w:rsidR="00CF0C7D" w:rsidRPr="00D31DFB">
        <w:rPr>
          <w:noProof/>
          <w:lang w:val="en-US"/>
        </w:rPr>
        <w:t>Iskandar</w:t>
      </w:r>
      <w:r w:rsidR="00CF0C7D">
        <w:rPr>
          <w:lang w:val="en-US"/>
        </w:rPr>
        <w:t xml:space="preserve">, </w:t>
      </w:r>
      <w:r w:rsidR="00CF0C7D" w:rsidRPr="00D31DFB">
        <w:t>201</w:t>
      </w:r>
      <w:r w:rsidR="00CF0C7D" w:rsidRPr="00D31DFB">
        <w:rPr>
          <w:lang w:val="en-US"/>
        </w:rPr>
        <w:t>2),</w:t>
      </w:r>
      <w:r w:rsidR="00CF0C7D" w:rsidRPr="00D31DFB">
        <w:fldChar w:fldCharType="end"/>
      </w:r>
      <w:r w:rsidRPr="00D31DFB">
        <w:rPr>
          <w:bCs/>
        </w:rPr>
        <w:t xml:space="preserve">. </w:t>
      </w:r>
      <w:r w:rsidRPr="00D31DFB">
        <w:rPr>
          <w:bCs/>
          <w:lang w:val="en-US"/>
        </w:rPr>
        <w:t>It</w:t>
      </w:r>
      <w:r w:rsidRPr="00D31DFB">
        <w:rPr>
          <w:bCs/>
        </w:rPr>
        <w:t xml:space="preserve"> </w:t>
      </w:r>
      <w:proofErr w:type="spellStart"/>
      <w:r w:rsidRPr="00D31DFB">
        <w:rPr>
          <w:bCs/>
        </w:rPr>
        <w:t>is</w:t>
      </w:r>
      <w:proofErr w:type="spellEnd"/>
      <w:r w:rsidRPr="00D31DFB">
        <w:rPr>
          <w:bCs/>
        </w:rPr>
        <w:t xml:space="preserve"> </w:t>
      </w:r>
      <w:proofErr w:type="spellStart"/>
      <w:r w:rsidRPr="00D31DFB">
        <w:rPr>
          <w:bCs/>
        </w:rPr>
        <w:t>intended</w:t>
      </w:r>
      <w:proofErr w:type="spellEnd"/>
      <w:r w:rsidRPr="00D31DFB">
        <w:rPr>
          <w:bCs/>
        </w:rPr>
        <w:t xml:space="preserve"> </w:t>
      </w:r>
      <w:proofErr w:type="spellStart"/>
      <w:r w:rsidRPr="00D31DFB">
        <w:rPr>
          <w:bCs/>
        </w:rPr>
        <w:t>to</w:t>
      </w:r>
      <w:proofErr w:type="spellEnd"/>
      <w:r w:rsidRPr="00D31DFB">
        <w:rPr>
          <w:bCs/>
        </w:rPr>
        <w:t xml:space="preserve"> </w:t>
      </w:r>
      <w:proofErr w:type="spellStart"/>
      <w:r w:rsidRPr="00D31DFB">
        <w:rPr>
          <w:bCs/>
        </w:rPr>
        <w:t>finance</w:t>
      </w:r>
      <w:proofErr w:type="spellEnd"/>
      <w:r w:rsidRPr="00D31DFB">
        <w:rPr>
          <w:bCs/>
        </w:rPr>
        <w:t xml:space="preserve"> regional </w:t>
      </w:r>
      <w:proofErr w:type="spellStart"/>
      <w:r w:rsidRPr="00D31DFB">
        <w:rPr>
          <w:bCs/>
        </w:rPr>
        <w:t>expenditures</w:t>
      </w:r>
      <w:proofErr w:type="spellEnd"/>
      <w:r w:rsidRPr="00D31DFB">
        <w:rPr>
          <w:bCs/>
        </w:rPr>
        <w:t xml:space="preserve"> in </w:t>
      </w:r>
      <w:proofErr w:type="spellStart"/>
      <w:r w:rsidRPr="00D31DFB">
        <w:rPr>
          <w:bCs/>
        </w:rPr>
        <w:t>implementing</w:t>
      </w:r>
      <w:proofErr w:type="spellEnd"/>
      <w:r w:rsidRPr="00D31DFB">
        <w:rPr>
          <w:bCs/>
        </w:rPr>
        <w:t xml:space="preserve"> regional </w:t>
      </w:r>
      <w:proofErr w:type="spellStart"/>
      <w:r w:rsidRPr="00D31DFB">
        <w:rPr>
          <w:bCs/>
        </w:rPr>
        <w:t>development</w:t>
      </w:r>
      <w:proofErr w:type="spellEnd"/>
      <w:r w:rsidRPr="00D31DFB">
        <w:rPr>
          <w:bCs/>
        </w:rPr>
        <w:t xml:space="preserve"> </w:t>
      </w:r>
      <w:proofErr w:type="spellStart"/>
      <w:r w:rsidRPr="00D31DFB">
        <w:rPr>
          <w:bCs/>
        </w:rPr>
        <w:t>and</w:t>
      </w:r>
      <w:proofErr w:type="spellEnd"/>
      <w:r w:rsidRPr="00D31DFB">
        <w:rPr>
          <w:bCs/>
        </w:rPr>
        <w:t xml:space="preserve"> </w:t>
      </w:r>
      <w:proofErr w:type="spellStart"/>
      <w:r w:rsidRPr="00D31DFB">
        <w:rPr>
          <w:bCs/>
        </w:rPr>
        <w:t>improving</w:t>
      </w:r>
      <w:proofErr w:type="spellEnd"/>
      <w:r w:rsidRPr="00D31DFB">
        <w:rPr>
          <w:bCs/>
        </w:rPr>
        <w:t xml:space="preserve"> </w:t>
      </w:r>
      <w:proofErr w:type="spellStart"/>
      <w:r w:rsidRPr="00D31DFB">
        <w:rPr>
          <w:bCs/>
        </w:rPr>
        <w:t>the</w:t>
      </w:r>
      <w:proofErr w:type="spellEnd"/>
      <w:r w:rsidRPr="00D31DFB">
        <w:rPr>
          <w:bCs/>
        </w:rPr>
        <w:t xml:space="preserve"> </w:t>
      </w:r>
      <w:proofErr w:type="spellStart"/>
      <w:r w:rsidRPr="00D31DFB">
        <w:rPr>
          <w:bCs/>
        </w:rPr>
        <w:t>quality</w:t>
      </w:r>
      <w:proofErr w:type="spellEnd"/>
      <w:r w:rsidRPr="00D31DFB">
        <w:rPr>
          <w:bCs/>
        </w:rPr>
        <w:t xml:space="preserve"> </w:t>
      </w:r>
      <w:proofErr w:type="spellStart"/>
      <w:r w:rsidRPr="00D31DFB">
        <w:rPr>
          <w:bCs/>
        </w:rPr>
        <w:t>of</w:t>
      </w:r>
      <w:proofErr w:type="spellEnd"/>
      <w:r w:rsidRPr="00D31DFB">
        <w:rPr>
          <w:bCs/>
        </w:rPr>
        <w:t xml:space="preserve"> </w:t>
      </w:r>
      <w:proofErr w:type="spellStart"/>
      <w:r w:rsidRPr="00D31DFB">
        <w:rPr>
          <w:bCs/>
        </w:rPr>
        <w:t>public</w:t>
      </w:r>
      <w:proofErr w:type="spellEnd"/>
      <w:r w:rsidRPr="00D31DFB">
        <w:rPr>
          <w:bCs/>
        </w:rPr>
        <w:t xml:space="preserve"> </w:t>
      </w:r>
      <w:proofErr w:type="spellStart"/>
      <w:r w:rsidRPr="00D31DFB">
        <w:rPr>
          <w:bCs/>
        </w:rPr>
        <w:t>services</w:t>
      </w:r>
      <w:proofErr w:type="spellEnd"/>
      <w:r w:rsidRPr="00D31DFB">
        <w:rPr>
          <w:bCs/>
        </w:rPr>
        <w:t xml:space="preserve">. The </w:t>
      </w:r>
      <w:proofErr w:type="spellStart"/>
      <w:r w:rsidRPr="00D31DFB">
        <w:rPr>
          <w:bCs/>
        </w:rPr>
        <w:t>original</w:t>
      </w:r>
      <w:proofErr w:type="spellEnd"/>
      <w:r w:rsidRPr="00D31DFB">
        <w:rPr>
          <w:bCs/>
        </w:rPr>
        <w:t xml:space="preserve"> </w:t>
      </w:r>
      <w:proofErr w:type="spellStart"/>
      <w:r w:rsidRPr="00D31DFB">
        <w:rPr>
          <w:bCs/>
        </w:rPr>
        <w:t>local</w:t>
      </w:r>
      <w:proofErr w:type="spellEnd"/>
      <w:r w:rsidRPr="00D31DFB">
        <w:rPr>
          <w:bCs/>
        </w:rPr>
        <w:t xml:space="preserve"> </w:t>
      </w:r>
      <w:proofErr w:type="spellStart"/>
      <w:r w:rsidRPr="00D31DFB">
        <w:rPr>
          <w:bCs/>
        </w:rPr>
        <w:t>government</w:t>
      </w:r>
      <w:proofErr w:type="spellEnd"/>
      <w:r w:rsidRPr="00D31DFB">
        <w:rPr>
          <w:bCs/>
        </w:rPr>
        <w:t xml:space="preserve"> </w:t>
      </w:r>
      <w:proofErr w:type="spellStart"/>
      <w:r w:rsidRPr="00D31DFB">
        <w:rPr>
          <w:bCs/>
        </w:rPr>
        <w:t>revenue</w:t>
      </w:r>
      <w:proofErr w:type="spellEnd"/>
      <w:r w:rsidRPr="00D31DFB">
        <w:rPr>
          <w:bCs/>
          <w:lang w:val="en-US"/>
        </w:rPr>
        <w:t xml:space="preserve"> </w:t>
      </w:r>
      <w:proofErr w:type="spellStart"/>
      <w:r w:rsidRPr="00D31DFB">
        <w:rPr>
          <w:bCs/>
        </w:rPr>
        <w:t>generated</w:t>
      </w:r>
      <w:proofErr w:type="spellEnd"/>
      <w:r w:rsidRPr="00D31DFB">
        <w:rPr>
          <w:bCs/>
        </w:rPr>
        <w:t xml:space="preserve"> </w:t>
      </w:r>
      <w:proofErr w:type="spellStart"/>
      <w:r w:rsidRPr="00D31DFB">
        <w:rPr>
          <w:bCs/>
        </w:rPr>
        <w:t>will</w:t>
      </w:r>
      <w:proofErr w:type="spellEnd"/>
      <w:r w:rsidRPr="00D31DFB">
        <w:rPr>
          <w:bCs/>
        </w:rPr>
        <w:t xml:space="preserve"> </w:t>
      </w:r>
      <w:proofErr w:type="spellStart"/>
      <w:r w:rsidRPr="00D31DFB">
        <w:rPr>
          <w:bCs/>
        </w:rPr>
        <w:t>show</w:t>
      </w:r>
      <w:proofErr w:type="spellEnd"/>
      <w:r w:rsidRPr="00D31DFB">
        <w:rPr>
          <w:bCs/>
        </w:rPr>
        <w:t xml:space="preserve"> </w:t>
      </w:r>
      <w:proofErr w:type="spellStart"/>
      <w:r w:rsidRPr="00D31DFB">
        <w:rPr>
          <w:bCs/>
        </w:rPr>
        <w:t>the</w:t>
      </w:r>
      <w:proofErr w:type="spellEnd"/>
      <w:r w:rsidRPr="00D31DFB">
        <w:rPr>
          <w:bCs/>
        </w:rPr>
        <w:t xml:space="preserve"> </w:t>
      </w:r>
      <w:proofErr w:type="spellStart"/>
      <w:r w:rsidRPr="00D31DFB">
        <w:rPr>
          <w:bCs/>
        </w:rPr>
        <w:t>extent</w:t>
      </w:r>
      <w:proofErr w:type="spellEnd"/>
      <w:r w:rsidRPr="00D31DFB">
        <w:rPr>
          <w:bCs/>
        </w:rPr>
        <w:t xml:space="preserve"> </w:t>
      </w:r>
      <w:proofErr w:type="spellStart"/>
      <w:r w:rsidRPr="00D31DFB">
        <w:rPr>
          <w:bCs/>
        </w:rPr>
        <w:t>to</w:t>
      </w:r>
      <w:proofErr w:type="spellEnd"/>
      <w:r w:rsidRPr="00D31DFB">
        <w:rPr>
          <w:bCs/>
        </w:rPr>
        <w:t xml:space="preserve"> </w:t>
      </w:r>
      <w:proofErr w:type="spellStart"/>
      <w:r w:rsidRPr="00D31DFB">
        <w:rPr>
          <w:bCs/>
        </w:rPr>
        <w:t>which</w:t>
      </w:r>
      <w:proofErr w:type="spellEnd"/>
      <w:r w:rsidRPr="00D31DFB">
        <w:rPr>
          <w:bCs/>
        </w:rPr>
        <w:t xml:space="preserve"> </w:t>
      </w:r>
      <w:proofErr w:type="spellStart"/>
      <w:r w:rsidRPr="00D31DFB">
        <w:rPr>
          <w:bCs/>
        </w:rPr>
        <w:t>local</w:t>
      </w:r>
      <w:proofErr w:type="spellEnd"/>
      <w:r w:rsidRPr="00D31DFB">
        <w:rPr>
          <w:bCs/>
        </w:rPr>
        <w:t xml:space="preserve"> </w:t>
      </w:r>
      <w:proofErr w:type="spellStart"/>
      <w:r w:rsidRPr="00D31DFB">
        <w:rPr>
          <w:bCs/>
        </w:rPr>
        <w:t>governments</w:t>
      </w:r>
      <w:proofErr w:type="spellEnd"/>
      <w:r w:rsidRPr="00D31DFB">
        <w:rPr>
          <w:bCs/>
        </w:rPr>
        <w:t xml:space="preserve"> </w:t>
      </w:r>
      <w:proofErr w:type="spellStart"/>
      <w:r w:rsidRPr="00D31DFB">
        <w:rPr>
          <w:bCs/>
        </w:rPr>
        <w:t>have</w:t>
      </w:r>
      <w:proofErr w:type="spellEnd"/>
      <w:r w:rsidRPr="00D31DFB">
        <w:rPr>
          <w:bCs/>
        </w:rPr>
        <w:t xml:space="preserve"> </w:t>
      </w:r>
      <w:proofErr w:type="spellStart"/>
      <w:r w:rsidRPr="00D31DFB">
        <w:rPr>
          <w:bCs/>
        </w:rPr>
        <w:t>succeeded</w:t>
      </w:r>
      <w:proofErr w:type="spellEnd"/>
      <w:r w:rsidRPr="00D31DFB">
        <w:rPr>
          <w:bCs/>
        </w:rPr>
        <w:t xml:space="preserve"> in </w:t>
      </w:r>
      <w:proofErr w:type="spellStart"/>
      <w:r w:rsidRPr="00D31DFB">
        <w:rPr>
          <w:bCs/>
        </w:rPr>
        <w:t>exploring</w:t>
      </w:r>
      <w:proofErr w:type="spellEnd"/>
      <w:r w:rsidRPr="00D31DFB">
        <w:rPr>
          <w:bCs/>
        </w:rPr>
        <w:t xml:space="preserve"> </w:t>
      </w:r>
      <w:proofErr w:type="spellStart"/>
      <w:r w:rsidRPr="00D31DFB">
        <w:rPr>
          <w:bCs/>
        </w:rPr>
        <w:t>the</w:t>
      </w:r>
      <w:proofErr w:type="spellEnd"/>
      <w:r w:rsidRPr="00D31DFB">
        <w:rPr>
          <w:bCs/>
        </w:rPr>
        <w:t xml:space="preserve"> </w:t>
      </w:r>
      <w:proofErr w:type="spellStart"/>
      <w:r w:rsidRPr="00D31DFB">
        <w:rPr>
          <w:bCs/>
        </w:rPr>
        <w:t>sources</w:t>
      </w:r>
      <w:proofErr w:type="spellEnd"/>
      <w:r w:rsidRPr="00D31DFB">
        <w:rPr>
          <w:bCs/>
        </w:rPr>
        <w:t xml:space="preserve"> </w:t>
      </w:r>
      <w:proofErr w:type="spellStart"/>
      <w:r w:rsidRPr="00D31DFB">
        <w:rPr>
          <w:bCs/>
        </w:rPr>
        <w:t>of</w:t>
      </w:r>
      <w:proofErr w:type="spellEnd"/>
      <w:r w:rsidRPr="00D31DFB">
        <w:rPr>
          <w:bCs/>
        </w:rPr>
        <w:t xml:space="preserve"> </w:t>
      </w:r>
      <w:proofErr w:type="spellStart"/>
      <w:r w:rsidRPr="00D31DFB">
        <w:rPr>
          <w:bCs/>
        </w:rPr>
        <w:t>revenue</w:t>
      </w:r>
      <w:proofErr w:type="spellEnd"/>
      <w:r w:rsidRPr="00D31DFB">
        <w:rPr>
          <w:bCs/>
        </w:rPr>
        <w:t xml:space="preserve"> </w:t>
      </w:r>
      <w:proofErr w:type="spellStart"/>
      <w:r w:rsidRPr="00D31DFB">
        <w:rPr>
          <w:bCs/>
        </w:rPr>
        <w:t>they</w:t>
      </w:r>
      <w:proofErr w:type="spellEnd"/>
      <w:r w:rsidRPr="00D31DFB">
        <w:rPr>
          <w:bCs/>
        </w:rPr>
        <w:t xml:space="preserve"> </w:t>
      </w:r>
      <w:proofErr w:type="spellStart"/>
      <w:r w:rsidRPr="00D31DFB">
        <w:rPr>
          <w:bCs/>
        </w:rPr>
        <w:t>have</w:t>
      </w:r>
      <w:proofErr w:type="spellEnd"/>
      <w:r w:rsidRPr="00D31DFB">
        <w:rPr>
          <w:bCs/>
        </w:rPr>
        <w:t xml:space="preserve">. If </w:t>
      </w:r>
      <w:proofErr w:type="spellStart"/>
      <w:r w:rsidRPr="00D31DFB">
        <w:rPr>
          <w:bCs/>
        </w:rPr>
        <w:t>the</w:t>
      </w:r>
      <w:proofErr w:type="spellEnd"/>
      <w:r w:rsidRPr="00D31DFB">
        <w:rPr>
          <w:bCs/>
        </w:rPr>
        <w:t xml:space="preserve"> </w:t>
      </w:r>
      <w:proofErr w:type="spellStart"/>
      <w:r w:rsidRPr="00D31DFB">
        <w:rPr>
          <w:bCs/>
        </w:rPr>
        <w:t>income</w:t>
      </w:r>
      <w:proofErr w:type="spellEnd"/>
      <w:r w:rsidRPr="00D31DFB">
        <w:rPr>
          <w:bCs/>
        </w:rPr>
        <w:t xml:space="preserve"> </w:t>
      </w:r>
      <w:proofErr w:type="spellStart"/>
      <w:r w:rsidRPr="00D31DFB">
        <w:rPr>
          <w:bCs/>
        </w:rPr>
        <w:t>value</w:t>
      </w:r>
      <w:proofErr w:type="spellEnd"/>
      <w:r w:rsidRPr="00D31DFB">
        <w:rPr>
          <w:bCs/>
        </w:rPr>
        <w:t xml:space="preserve"> </w:t>
      </w:r>
      <w:proofErr w:type="spellStart"/>
      <w:r w:rsidRPr="00D31DFB">
        <w:rPr>
          <w:bCs/>
        </w:rPr>
        <w:t>is</w:t>
      </w:r>
      <w:proofErr w:type="spellEnd"/>
      <w:r w:rsidRPr="00D31DFB">
        <w:rPr>
          <w:bCs/>
        </w:rPr>
        <w:t xml:space="preserve"> </w:t>
      </w:r>
      <w:r w:rsidRPr="00D31DFB">
        <w:rPr>
          <w:bCs/>
          <w:lang w:val="en-US"/>
        </w:rPr>
        <w:t>enormous</w:t>
      </w:r>
      <w:r w:rsidRPr="00D31DFB">
        <w:rPr>
          <w:bCs/>
        </w:rPr>
        <w:t xml:space="preserve">, </w:t>
      </w:r>
      <w:proofErr w:type="spellStart"/>
      <w:r w:rsidRPr="00D31DFB">
        <w:rPr>
          <w:bCs/>
        </w:rPr>
        <w:t>the</w:t>
      </w:r>
      <w:proofErr w:type="spellEnd"/>
      <w:r w:rsidRPr="00D31DFB">
        <w:rPr>
          <w:bCs/>
        </w:rPr>
        <w:t xml:space="preserve"> level </w:t>
      </w:r>
      <w:proofErr w:type="spellStart"/>
      <w:r w:rsidRPr="00D31DFB">
        <w:rPr>
          <w:bCs/>
        </w:rPr>
        <w:t>of</w:t>
      </w:r>
      <w:proofErr w:type="spellEnd"/>
      <w:r w:rsidRPr="00D31DFB">
        <w:rPr>
          <w:bCs/>
        </w:rPr>
        <w:t xml:space="preserve"> </w:t>
      </w:r>
      <w:proofErr w:type="spellStart"/>
      <w:r w:rsidRPr="00D31DFB">
        <w:rPr>
          <w:bCs/>
        </w:rPr>
        <w:t>decentralization</w:t>
      </w:r>
      <w:proofErr w:type="spellEnd"/>
      <w:r w:rsidRPr="00D31DFB">
        <w:rPr>
          <w:bCs/>
        </w:rPr>
        <w:t xml:space="preserve"> </w:t>
      </w:r>
      <w:proofErr w:type="spellStart"/>
      <w:r w:rsidRPr="00D31DFB">
        <w:rPr>
          <w:bCs/>
        </w:rPr>
        <w:t>will</w:t>
      </w:r>
      <w:proofErr w:type="spellEnd"/>
      <w:r w:rsidRPr="00D31DFB">
        <w:rPr>
          <w:bCs/>
        </w:rPr>
        <w:t xml:space="preserve"> </w:t>
      </w:r>
      <w:proofErr w:type="spellStart"/>
      <w:r w:rsidRPr="00D31DFB">
        <w:rPr>
          <w:bCs/>
        </w:rPr>
        <w:t>also</w:t>
      </w:r>
      <w:proofErr w:type="spellEnd"/>
      <w:r w:rsidRPr="00D31DFB">
        <w:rPr>
          <w:bCs/>
        </w:rPr>
        <w:t xml:space="preserve"> </w:t>
      </w:r>
      <w:proofErr w:type="spellStart"/>
      <w:r w:rsidRPr="00D31DFB">
        <w:rPr>
          <w:bCs/>
        </w:rPr>
        <w:t>increase</w:t>
      </w:r>
      <w:proofErr w:type="spellEnd"/>
      <w:r w:rsidRPr="00D31DFB">
        <w:rPr>
          <w:bCs/>
        </w:rPr>
        <w:t xml:space="preserve">, </w:t>
      </w:r>
      <w:proofErr w:type="spellStart"/>
      <w:r w:rsidRPr="00D31DFB">
        <w:rPr>
          <w:bCs/>
        </w:rPr>
        <w:t>and</w:t>
      </w:r>
      <w:proofErr w:type="spellEnd"/>
      <w:r w:rsidRPr="00D31DFB">
        <w:rPr>
          <w:bCs/>
        </w:rPr>
        <w:t xml:space="preserve"> </w:t>
      </w:r>
      <w:proofErr w:type="spellStart"/>
      <w:r w:rsidRPr="00D31DFB">
        <w:rPr>
          <w:bCs/>
        </w:rPr>
        <w:t>vice</w:t>
      </w:r>
      <w:proofErr w:type="spellEnd"/>
      <w:r w:rsidRPr="00D31DFB">
        <w:rPr>
          <w:bCs/>
        </w:rPr>
        <w:t xml:space="preserve"> </w:t>
      </w:r>
      <w:proofErr w:type="spellStart"/>
      <w:r w:rsidRPr="00D31DFB">
        <w:rPr>
          <w:bCs/>
        </w:rPr>
        <w:t>versa</w:t>
      </w:r>
      <w:proofErr w:type="spellEnd"/>
      <w:r w:rsidRPr="00D31DFB">
        <w:rPr>
          <w:bCs/>
        </w:rPr>
        <w:t xml:space="preserve"> </w:t>
      </w:r>
      <w:r w:rsidRPr="00D31DFB">
        <w:fldChar w:fldCharType="begin" w:fldLock="1"/>
      </w:r>
      <w:r w:rsidRPr="00D31DFB">
        <w:instrText>ADDIN CSL_CITATION {"citationItems":[{"id":"ITEM-1","itemData":{"ISBN":"9780470014561","author":[{"dropping-particle":"","family":"Baltagi","given":"Badi H","non-dropping-particle":"","parse-names":false,"suffix":""}],"edition":"Third Edit","id":"ITEM-1","issued":{"date-parts":[["2005"]]},"publisher":"John wiley &amp; Sons, Ltd","publisher-place":"england","title":"Econometric Analysis of Panel Data","type":"book"},"uris":["http://www.mendeley.com/documents/?uuid=c69e4336-0bf7-40f0-891a-4053312552e8"]},{"id":"ITEM-2","itemData":{"author":[{"dropping-particle":"","family":"Kunst","given":"Robert M","non-dropping-particle":"","parse-names":false,"suffix":""}],"id":"ITEM-2","issued":{"date-parts":[["2013"]]},"page":"1-20","title":"Econometric Methods for Panel Data Based on the books by Baltagi : Econometric Analysis of Panel Data and by Hsiao : Analysis of Panel Data Outline Introduction Tests in panel models Poolability tests Testing for the presence of random effects The Hausman","type":"article-journal"},"uris":["http://www.mendeley.com/documents/?uuid=c2f5dcd3-1929-4e2b-b318-81a5e7d683f2"]}],"mendeley":{"formattedCitation":"(Baltagi, 2005; Kunst, 2013)","manualFormatting":"(Baltagi, 2005.; Kunst, 2013.; Hsiao, 2003)","plainTextFormattedCitation":"(Baltagi, 2005; Kunst, 2013)","previouslyFormattedCitation":"(Baltagi, 2005; Kunst, 2013)"},"properties":{"noteIndex":0},"schema":"https://github.com/citation-style-language/schema/raw/master/csl-citation.json"}</w:instrText>
      </w:r>
      <w:r w:rsidRPr="00D31DFB">
        <w:fldChar w:fldCharType="separate"/>
      </w:r>
      <w:r w:rsidRPr="00D31DFB">
        <w:rPr>
          <w:noProof/>
        </w:rPr>
        <w:t>(</w:t>
      </w:r>
      <w:r w:rsidRPr="00D31DFB">
        <w:rPr>
          <w:noProof/>
          <w:lang w:val="en-US"/>
        </w:rPr>
        <w:t>Bodman &amp;</w:t>
      </w:r>
      <w:r w:rsidRPr="00D31DFB">
        <w:t xml:space="preserve"> Hodge, 2010</w:t>
      </w:r>
      <w:r w:rsidRPr="00D31DFB">
        <w:rPr>
          <w:lang w:val="en-US"/>
        </w:rPr>
        <w:t>).</w:t>
      </w:r>
      <w:r w:rsidRPr="00D31DFB">
        <w:fldChar w:fldCharType="end"/>
      </w:r>
      <w:r w:rsidRPr="00D31DFB">
        <w:rPr>
          <w:lang w:val="en-US"/>
        </w:rPr>
        <w:t xml:space="preserve"> </w:t>
      </w:r>
      <w:r w:rsidRPr="00D31DFB">
        <w:rPr>
          <w:bCs/>
        </w:rPr>
        <w:t xml:space="preserve">The </w:t>
      </w:r>
      <w:proofErr w:type="spellStart"/>
      <w:r w:rsidRPr="00D31DFB">
        <w:rPr>
          <w:bCs/>
        </w:rPr>
        <w:t>components</w:t>
      </w:r>
      <w:proofErr w:type="spellEnd"/>
      <w:r w:rsidRPr="00D31DFB">
        <w:rPr>
          <w:bCs/>
        </w:rPr>
        <w:t xml:space="preserve"> </w:t>
      </w:r>
      <w:proofErr w:type="spellStart"/>
      <w:r w:rsidRPr="00D31DFB">
        <w:rPr>
          <w:bCs/>
        </w:rPr>
        <w:t>of</w:t>
      </w:r>
      <w:proofErr w:type="spellEnd"/>
      <w:r w:rsidRPr="00D31DFB">
        <w:rPr>
          <w:bCs/>
        </w:rPr>
        <w:t xml:space="preserve"> </w:t>
      </w:r>
      <w:proofErr w:type="spellStart"/>
      <w:r w:rsidRPr="00D31DFB">
        <w:t>original</w:t>
      </w:r>
      <w:proofErr w:type="spellEnd"/>
      <w:r w:rsidRPr="00D31DFB">
        <w:t xml:space="preserve"> </w:t>
      </w:r>
      <w:proofErr w:type="spellStart"/>
      <w:r w:rsidRPr="00D31DFB">
        <w:t>local</w:t>
      </w:r>
      <w:proofErr w:type="spellEnd"/>
      <w:r w:rsidRPr="00D31DFB">
        <w:t xml:space="preserve"> </w:t>
      </w:r>
      <w:proofErr w:type="spellStart"/>
      <w:r w:rsidRPr="00D31DFB">
        <w:t>government</w:t>
      </w:r>
      <w:proofErr w:type="spellEnd"/>
      <w:r w:rsidRPr="00D31DFB">
        <w:t xml:space="preserve"> </w:t>
      </w:r>
      <w:proofErr w:type="spellStart"/>
      <w:r w:rsidRPr="00D31DFB">
        <w:t>revenue</w:t>
      </w:r>
      <w:proofErr w:type="spellEnd"/>
      <w:r w:rsidRPr="00D31DFB">
        <w:rPr>
          <w:bCs/>
        </w:rPr>
        <w:t xml:space="preserve"> </w:t>
      </w:r>
      <w:r w:rsidRPr="00D31DFB">
        <w:rPr>
          <w:bCs/>
          <w:lang w:val="en-US"/>
        </w:rPr>
        <w:t>within</w:t>
      </w:r>
      <w:r w:rsidRPr="00D31DFB">
        <w:rPr>
          <w:bCs/>
        </w:rPr>
        <w:t xml:space="preserve"> </w:t>
      </w:r>
      <w:proofErr w:type="spellStart"/>
      <w:r w:rsidRPr="00D31DFB">
        <w:rPr>
          <w:bCs/>
        </w:rPr>
        <w:t>West</w:t>
      </w:r>
      <w:proofErr w:type="spellEnd"/>
      <w:r w:rsidRPr="00D31DFB">
        <w:rPr>
          <w:bCs/>
        </w:rPr>
        <w:t xml:space="preserve"> Kalimantan </w:t>
      </w:r>
      <w:proofErr w:type="spellStart"/>
      <w:r w:rsidRPr="00D31DFB">
        <w:rPr>
          <w:bCs/>
        </w:rPr>
        <w:t>Province</w:t>
      </w:r>
      <w:proofErr w:type="spellEnd"/>
      <w:r w:rsidRPr="00D31DFB">
        <w:rPr>
          <w:bCs/>
        </w:rPr>
        <w:t xml:space="preserve"> </w:t>
      </w:r>
      <w:proofErr w:type="spellStart"/>
      <w:r w:rsidRPr="00D31DFB">
        <w:rPr>
          <w:bCs/>
        </w:rPr>
        <w:t>consist</w:t>
      </w:r>
      <w:proofErr w:type="spellEnd"/>
      <w:r w:rsidRPr="00D31DFB">
        <w:rPr>
          <w:bCs/>
        </w:rPr>
        <w:t xml:space="preserve"> </w:t>
      </w:r>
      <w:proofErr w:type="spellStart"/>
      <w:r w:rsidRPr="00D31DFB">
        <w:rPr>
          <w:bCs/>
        </w:rPr>
        <w:t>of</w:t>
      </w:r>
      <w:proofErr w:type="spellEnd"/>
      <w:r w:rsidRPr="00D31DFB">
        <w:rPr>
          <w:bCs/>
          <w:lang w:val="en-US"/>
        </w:rPr>
        <w:t xml:space="preserve"> : (1) local</w:t>
      </w:r>
      <w:r w:rsidRPr="00D31DFB">
        <w:rPr>
          <w:bCs/>
        </w:rPr>
        <w:t xml:space="preserve"> </w:t>
      </w:r>
      <w:proofErr w:type="spellStart"/>
      <w:r w:rsidRPr="00D31DFB">
        <w:rPr>
          <w:bCs/>
        </w:rPr>
        <w:t>taxes</w:t>
      </w:r>
      <w:proofErr w:type="spellEnd"/>
      <w:r w:rsidRPr="00D31DFB">
        <w:rPr>
          <w:bCs/>
        </w:rPr>
        <w:t xml:space="preserve">, </w:t>
      </w:r>
      <w:proofErr w:type="spellStart"/>
      <w:r w:rsidRPr="00D31DFB">
        <w:rPr>
          <w:bCs/>
        </w:rPr>
        <w:t>which</w:t>
      </w:r>
      <w:proofErr w:type="spellEnd"/>
      <w:r w:rsidRPr="00D31DFB">
        <w:rPr>
          <w:bCs/>
        </w:rPr>
        <w:t xml:space="preserve"> </w:t>
      </w:r>
      <w:proofErr w:type="spellStart"/>
      <w:r w:rsidRPr="00D31DFB">
        <w:rPr>
          <w:bCs/>
        </w:rPr>
        <w:t>provide</w:t>
      </w:r>
      <w:proofErr w:type="spellEnd"/>
      <w:r w:rsidRPr="00D31DFB">
        <w:rPr>
          <w:bCs/>
        </w:rPr>
        <w:t xml:space="preserve"> </w:t>
      </w:r>
      <w:proofErr w:type="spellStart"/>
      <w:r w:rsidRPr="00D31DFB">
        <w:rPr>
          <w:bCs/>
        </w:rPr>
        <w:t>the</w:t>
      </w:r>
      <w:proofErr w:type="spellEnd"/>
      <w:r w:rsidRPr="00D31DFB">
        <w:rPr>
          <w:bCs/>
        </w:rPr>
        <w:t xml:space="preserve"> </w:t>
      </w:r>
      <w:proofErr w:type="spellStart"/>
      <w:r w:rsidRPr="00D31DFB">
        <w:rPr>
          <w:bCs/>
        </w:rPr>
        <w:t>most</w:t>
      </w:r>
      <w:proofErr w:type="spellEnd"/>
      <w:r w:rsidRPr="00D31DFB">
        <w:rPr>
          <w:bCs/>
        </w:rPr>
        <w:t xml:space="preserve"> </w:t>
      </w:r>
      <w:proofErr w:type="spellStart"/>
      <w:r w:rsidRPr="00D31DFB">
        <w:rPr>
          <w:bCs/>
        </w:rPr>
        <w:t>considerable</w:t>
      </w:r>
      <w:proofErr w:type="spellEnd"/>
      <w:r w:rsidRPr="00D31DFB">
        <w:rPr>
          <w:bCs/>
        </w:rPr>
        <w:t xml:space="preserve"> </w:t>
      </w:r>
      <w:proofErr w:type="spellStart"/>
      <w:r w:rsidRPr="00D31DFB">
        <w:rPr>
          <w:bCs/>
        </w:rPr>
        <w:t>contribution</w:t>
      </w:r>
      <w:proofErr w:type="spellEnd"/>
      <w:r w:rsidRPr="00D31DFB">
        <w:rPr>
          <w:bCs/>
        </w:rPr>
        <w:t xml:space="preserve"> </w:t>
      </w:r>
      <w:proofErr w:type="spellStart"/>
      <w:r w:rsidRPr="00D31DFB">
        <w:rPr>
          <w:bCs/>
        </w:rPr>
        <w:t>to</w:t>
      </w:r>
      <w:proofErr w:type="spellEnd"/>
      <w:r w:rsidRPr="00D31DFB">
        <w:rPr>
          <w:bCs/>
        </w:rPr>
        <w:t xml:space="preserve"> PAD,</w:t>
      </w:r>
      <w:r w:rsidRPr="00D31DFB">
        <w:rPr>
          <w:bCs/>
          <w:lang w:val="en-US"/>
        </w:rPr>
        <w:t xml:space="preserve"> (2) retributions</w:t>
      </w:r>
      <w:r w:rsidRPr="00D31DFB">
        <w:rPr>
          <w:bCs/>
        </w:rPr>
        <w:t xml:space="preserve">, </w:t>
      </w:r>
      <w:proofErr w:type="spellStart"/>
      <w:r w:rsidRPr="00D31DFB">
        <w:rPr>
          <w:bCs/>
        </w:rPr>
        <w:t>with</w:t>
      </w:r>
      <w:proofErr w:type="spellEnd"/>
      <w:r w:rsidRPr="00D31DFB">
        <w:rPr>
          <w:bCs/>
        </w:rPr>
        <w:t xml:space="preserve"> </w:t>
      </w:r>
      <w:proofErr w:type="spellStart"/>
      <w:r w:rsidRPr="00D31DFB">
        <w:rPr>
          <w:bCs/>
        </w:rPr>
        <w:t>the</w:t>
      </w:r>
      <w:proofErr w:type="spellEnd"/>
      <w:r w:rsidRPr="00D31DFB">
        <w:rPr>
          <w:bCs/>
        </w:rPr>
        <w:t xml:space="preserve"> </w:t>
      </w:r>
      <w:proofErr w:type="spellStart"/>
      <w:r w:rsidRPr="00D31DFB">
        <w:rPr>
          <w:bCs/>
        </w:rPr>
        <w:t>most</w:t>
      </w:r>
      <w:proofErr w:type="spellEnd"/>
      <w:r w:rsidRPr="00D31DFB">
        <w:rPr>
          <w:bCs/>
        </w:rPr>
        <w:t xml:space="preserve"> </w:t>
      </w:r>
      <w:proofErr w:type="spellStart"/>
      <w:r w:rsidRPr="00D31DFB">
        <w:rPr>
          <w:bCs/>
        </w:rPr>
        <w:t>considerable</w:t>
      </w:r>
      <w:proofErr w:type="spellEnd"/>
      <w:r w:rsidRPr="00D31DFB">
        <w:rPr>
          <w:bCs/>
        </w:rPr>
        <w:t xml:space="preserve"> </w:t>
      </w:r>
      <w:proofErr w:type="spellStart"/>
      <w:r w:rsidRPr="00D31DFB">
        <w:rPr>
          <w:bCs/>
        </w:rPr>
        <w:t>portion</w:t>
      </w:r>
      <w:proofErr w:type="spellEnd"/>
      <w:r w:rsidRPr="00D31DFB">
        <w:rPr>
          <w:bCs/>
        </w:rPr>
        <w:t xml:space="preserve"> in </w:t>
      </w:r>
      <w:proofErr w:type="spellStart"/>
      <w:r w:rsidRPr="00D31DFB">
        <w:rPr>
          <w:bCs/>
        </w:rPr>
        <w:t>public</w:t>
      </w:r>
      <w:proofErr w:type="spellEnd"/>
      <w:r w:rsidRPr="00D31DFB">
        <w:rPr>
          <w:bCs/>
        </w:rPr>
        <w:t xml:space="preserve"> </w:t>
      </w:r>
      <w:proofErr w:type="spellStart"/>
      <w:r w:rsidRPr="00D31DFB">
        <w:rPr>
          <w:bCs/>
        </w:rPr>
        <w:t>service</w:t>
      </w:r>
      <w:proofErr w:type="spellEnd"/>
      <w:r w:rsidRPr="00D31DFB">
        <w:rPr>
          <w:bCs/>
        </w:rPr>
        <w:t xml:space="preserve"> </w:t>
      </w:r>
      <w:proofErr w:type="spellStart"/>
      <w:r w:rsidRPr="00D31DFB">
        <w:rPr>
          <w:bCs/>
        </w:rPr>
        <w:t>fees</w:t>
      </w:r>
      <w:proofErr w:type="spellEnd"/>
      <w:r w:rsidRPr="00D31DFB">
        <w:rPr>
          <w:bCs/>
        </w:rPr>
        <w:t>,</w:t>
      </w:r>
      <w:r w:rsidRPr="00D31DFB">
        <w:rPr>
          <w:bCs/>
          <w:lang w:val="en-US"/>
        </w:rPr>
        <w:t xml:space="preserve"> (3) the </w:t>
      </w:r>
      <w:proofErr w:type="spellStart"/>
      <w:r w:rsidRPr="00D31DFB">
        <w:t>income</w:t>
      </w:r>
      <w:proofErr w:type="spellEnd"/>
      <w:r w:rsidRPr="00D31DFB">
        <w:t xml:space="preserve"> </w:t>
      </w:r>
      <w:proofErr w:type="spellStart"/>
      <w:r w:rsidRPr="00D31DFB">
        <w:t>of</w:t>
      </w:r>
      <w:proofErr w:type="spellEnd"/>
      <w:r w:rsidRPr="00D31DFB">
        <w:t xml:space="preserve"> regional </w:t>
      </w:r>
      <w:proofErr w:type="spellStart"/>
      <w:r w:rsidRPr="00D31DFB">
        <w:t>government</w:t>
      </w:r>
      <w:proofErr w:type="spellEnd"/>
      <w:r w:rsidRPr="00D31DFB">
        <w:t xml:space="preserve"> </w:t>
      </w:r>
      <w:proofErr w:type="spellStart"/>
      <w:r w:rsidRPr="00D31DFB">
        <w:t>corporate</w:t>
      </w:r>
      <w:proofErr w:type="spellEnd"/>
      <w:r w:rsidRPr="00D31DFB">
        <w:t xml:space="preserve"> </w:t>
      </w:r>
      <w:proofErr w:type="spellStart"/>
      <w:r w:rsidRPr="00D31DFB">
        <w:t>and</w:t>
      </w:r>
      <w:proofErr w:type="spellEnd"/>
      <w:r w:rsidRPr="00D31DFB">
        <w:t xml:space="preserve"> </w:t>
      </w:r>
      <w:proofErr w:type="spellStart"/>
      <w:r w:rsidRPr="00D31DFB">
        <w:t>management</w:t>
      </w:r>
      <w:proofErr w:type="spellEnd"/>
      <w:r w:rsidRPr="00D31DFB">
        <w:t xml:space="preserve"> </w:t>
      </w:r>
      <w:proofErr w:type="spellStart"/>
      <w:r w:rsidRPr="00D31DFB">
        <w:t>of</w:t>
      </w:r>
      <w:proofErr w:type="spellEnd"/>
      <w:r w:rsidRPr="00D31DFB">
        <w:t xml:space="preserve"> </w:t>
      </w:r>
      <w:proofErr w:type="spellStart"/>
      <w:r w:rsidRPr="00D31DFB">
        <w:t>separated</w:t>
      </w:r>
      <w:proofErr w:type="spellEnd"/>
      <w:r w:rsidRPr="00D31DFB">
        <w:t xml:space="preserve"> </w:t>
      </w:r>
      <w:r w:rsidRPr="00D31DFB">
        <w:lastRenderedPageBreak/>
        <w:t xml:space="preserve">regional </w:t>
      </w:r>
      <w:proofErr w:type="spellStart"/>
      <w:r w:rsidRPr="00D31DFB">
        <w:t>government</w:t>
      </w:r>
      <w:proofErr w:type="spellEnd"/>
      <w:r w:rsidRPr="00D31DFB">
        <w:t xml:space="preserve"> </w:t>
      </w:r>
      <w:proofErr w:type="spellStart"/>
      <w:r w:rsidRPr="00D31DFB">
        <w:t>wealth</w:t>
      </w:r>
      <w:proofErr w:type="spellEnd"/>
      <w:r w:rsidRPr="00D31DFB">
        <w:rPr>
          <w:lang w:val="en-US"/>
        </w:rPr>
        <w:t>; (4) moreover,</w:t>
      </w:r>
      <w:r w:rsidRPr="00D31DFB">
        <w:t xml:space="preserve"> </w:t>
      </w:r>
      <w:r w:rsidRPr="00D31DFB">
        <w:rPr>
          <w:lang w:val="en-US"/>
        </w:rPr>
        <w:t>an</w:t>
      </w:r>
      <w:proofErr w:type="spellStart"/>
      <w:r w:rsidRPr="00D31DFB">
        <w:t>other</w:t>
      </w:r>
      <w:proofErr w:type="spellEnd"/>
      <w:r w:rsidRPr="00D31DFB">
        <w:t xml:space="preserve"> </w:t>
      </w:r>
      <w:proofErr w:type="spellStart"/>
      <w:r w:rsidRPr="00D31DFB">
        <w:t>local</w:t>
      </w:r>
      <w:proofErr w:type="spellEnd"/>
      <w:r w:rsidRPr="00D31DFB">
        <w:t xml:space="preserve"> </w:t>
      </w:r>
      <w:proofErr w:type="spellStart"/>
      <w:r w:rsidRPr="00D31DFB">
        <w:t>government</w:t>
      </w:r>
      <w:proofErr w:type="spellEnd"/>
      <w:r w:rsidRPr="00D31DFB">
        <w:t xml:space="preserve"> </w:t>
      </w:r>
      <w:proofErr w:type="spellStart"/>
      <w:r w:rsidRPr="00D31DFB">
        <w:t>revenue</w:t>
      </w:r>
      <w:proofErr w:type="spellEnd"/>
      <w:r w:rsidRPr="00D31DFB">
        <w:rPr>
          <w:lang w:val="en-US"/>
        </w:rPr>
        <w:t xml:space="preserve"> </w:t>
      </w:r>
      <w:proofErr w:type="spellStart"/>
      <w:r w:rsidRPr="00D31DFB">
        <w:rPr>
          <w:bCs/>
        </w:rPr>
        <w:t>provides</w:t>
      </w:r>
      <w:proofErr w:type="spellEnd"/>
      <w:r w:rsidRPr="00D31DFB">
        <w:rPr>
          <w:bCs/>
        </w:rPr>
        <w:t xml:space="preserve"> </w:t>
      </w:r>
      <w:proofErr w:type="spellStart"/>
      <w:r w:rsidRPr="00D31DFB">
        <w:rPr>
          <w:bCs/>
        </w:rPr>
        <w:t>the</w:t>
      </w:r>
      <w:proofErr w:type="spellEnd"/>
      <w:r w:rsidRPr="00D31DFB">
        <w:rPr>
          <w:bCs/>
        </w:rPr>
        <w:t xml:space="preserve"> </w:t>
      </w:r>
      <w:proofErr w:type="spellStart"/>
      <w:r w:rsidRPr="00D31DFB">
        <w:rPr>
          <w:bCs/>
        </w:rPr>
        <w:t>second-largest</w:t>
      </w:r>
      <w:proofErr w:type="spellEnd"/>
      <w:r w:rsidRPr="00D31DFB">
        <w:rPr>
          <w:bCs/>
        </w:rPr>
        <w:t xml:space="preserve"> </w:t>
      </w:r>
      <w:proofErr w:type="spellStart"/>
      <w:r w:rsidRPr="00D31DFB">
        <w:rPr>
          <w:bCs/>
        </w:rPr>
        <w:t>contribution</w:t>
      </w:r>
      <w:proofErr w:type="spellEnd"/>
      <w:r w:rsidRPr="00D31DFB">
        <w:rPr>
          <w:bCs/>
        </w:rPr>
        <w:t xml:space="preserve"> </w:t>
      </w:r>
      <w:proofErr w:type="spellStart"/>
      <w:r w:rsidRPr="00D31DFB">
        <w:rPr>
          <w:bCs/>
        </w:rPr>
        <w:t>after</w:t>
      </w:r>
      <w:proofErr w:type="spellEnd"/>
      <w:r w:rsidRPr="00D31DFB">
        <w:rPr>
          <w:bCs/>
        </w:rPr>
        <w:t xml:space="preserve"> </w:t>
      </w:r>
      <w:proofErr w:type="spellStart"/>
      <w:r w:rsidRPr="00D31DFB">
        <w:rPr>
          <w:bCs/>
        </w:rPr>
        <w:t>taxes</w:t>
      </w:r>
      <w:proofErr w:type="spellEnd"/>
      <w:r w:rsidRPr="00D31DFB">
        <w:rPr>
          <w:bCs/>
        </w:rPr>
        <w:t xml:space="preserve"> </w:t>
      </w:r>
      <w:proofErr w:type="spellStart"/>
      <w:r w:rsidRPr="00D31DFB">
        <w:rPr>
          <w:bCs/>
        </w:rPr>
        <w:t>on</w:t>
      </w:r>
      <w:proofErr w:type="spellEnd"/>
      <w:r w:rsidRPr="00D31DFB">
        <w:rPr>
          <w:bCs/>
        </w:rPr>
        <w:t xml:space="preserve"> PAD</w:t>
      </w:r>
      <w:r w:rsidRPr="00D31DFB">
        <w:rPr>
          <w:bCs/>
          <w:lang w:val="en-US"/>
        </w:rPr>
        <w:t xml:space="preserve"> </w:t>
      </w:r>
      <w:r w:rsidRPr="00D31DFB">
        <w:fldChar w:fldCharType="begin" w:fldLock="1"/>
      </w:r>
      <w:r w:rsidRPr="00D31DFB">
        <w:instrText>ADDIN CSL_CITATION {"citationItems":[{"id":"ITEM-1","itemData":{"ISBN":"9780470014561","author":[{"dropping-particle":"","family":"Baltagi","given":"Badi H","non-dropping-particle":"","parse-names":false,"suffix":""}],"edition":"Third Edit","id":"ITEM-1","issued":{"date-parts":[["2005"]]},"publisher":"John wiley &amp; Sons, Ltd","publisher-place":"england","title":"Econometric Analysis of Panel Data","type":"book"},"uris":["http://www.mendeley.com/documents/?uuid=c69e4336-0bf7-40f0-891a-4053312552e8"]},{"id":"ITEM-2","itemData":{"author":[{"dropping-particle":"","family":"Kunst","given":"Robert M","non-dropping-particle":"","parse-names":false,"suffix":""}],"id":"ITEM-2","issued":{"date-parts":[["2013"]]},"page":"1-20","title":"Econometric Methods for Panel Data Based on the books by Baltagi : Econometric Analysis of Panel Data and by Hsiao : Analysis of Panel Data Outline Introduction Tests in panel models Poolability tests Testing for the presence of random effects The Hausman","type":"article-journal"},"uris":["http://www.mendeley.com/documents/?uuid=c2f5dcd3-1929-4e2b-b318-81a5e7d683f2"]}],"mendeley":{"formattedCitation":"(Baltagi, 2005; Kunst, 2013)","manualFormatting":"(Baltagi, 2005.; Kunst, 2013.; Hsiao, 2003)","plainTextFormattedCitation":"(Baltagi, 2005; Kunst, 2013)","previouslyFormattedCitation":"(Baltagi, 2005; Kunst, 2013)"},"properties":{"noteIndex":0},"schema":"https://github.com/citation-style-language/schema/raw/master/csl-citation.json"}</w:instrText>
      </w:r>
      <w:r w:rsidRPr="00D31DFB">
        <w:fldChar w:fldCharType="separate"/>
      </w:r>
      <w:r w:rsidRPr="00D31DFB">
        <w:rPr>
          <w:noProof/>
        </w:rPr>
        <w:t>(Nasir, 2019)</w:t>
      </w:r>
      <w:r w:rsidRPr="00D31DFB">
        <w:fldChar w:fldCharType="end"/>
      </w:r>
      <w:r w:rsidRPr="00D31DFB">
        <w:rPr>
          <w:bCs/>
          <w:lang w:val="en-US"/>
        </w:rPr>
        <w:t>.</w:t>
      </w:r>
    </w:p>
    <w:p w:rsidR="00A84AA6" w:rsidRPr="00D31DFB" w:rsidRDefault="00A84AA6" w:rsidP="00A84AA6">
      <w:pPr>
        <w:pStyle w:val="NormalWeb"/>
        <w:adjustRightInd w:val="0"/>
        <w:snapToGrid w:val="0"/>
        <w:spacing w:before="0" w:beforeAutospacing="0" w:after="0" w:afterAutospacing="0"/>
        <w:jc w:val="both"/>
        <w:rPr>
          <w:bCs/>
          <w:lang w:val="en-US"/>
        </w:rPr>
      </w:pPr>
    </w:p>
    <w:p w:rsidR="00F11C26" w:rsidRPr="00D31DFB" w:rsidRDefault="00F11C26" w:rsidP="00A84AA6">
      <w:pPr>
        <w:adjustRightInd w:val="0"/>
        <w:snapToGrid w:val="0"/>
        <w:jc w:val="both"/>
        <w:rPr>
          <w:b/>
          <w:bCs/>
        </w:rPr>
      </w:pPr>
      <w:r w:rsidRPr="00D31DFB">
        <w:rPr>
          <w:b/>
          <w:bCs/>
        </w:rPr>
        <w:t xml:space="preserve">Balanced Budget </w:t>
      </w:r>
    </w:p>
    <w:p w:rsidR="00F11C26" w:rsidRPr="00D31DFB" w:rsidRDefault="00F11C26" w:rsidP="00A84AA6">
      <w:pPr>
        <w:adjustRightInd w:val="0"/>
        <w:snapToGrid w:val="0"/>
        <w:ind w:firstLine="709"/>
        <w:jc w:val="both"/>
        <w:rPr>
          <w:bCs/>
        </w:rPr>
      </w:pPr>
      <w:r w:rsidRPr="00D31DFB">
        <w:t xml:space="preserve">Balanced </w:t>
      </w:r>
      <w:proofErr w:type="spellStart"/>
      <w:r w:rsidRPr="00D31DFB">
        <w:t>budgets</w:t>
      </w:r>
      <w:proofErr w:type="spellEnd"/>
      <w:r w:rsidRPr="00D31DFB">
        <w:rPr>
          <w:bCs/>
        </w:rPr>
        <w:t xml:space="preserve"> are </w:t>
      </w:r>
      <w:proofErr w:type="spellStart"/>
      <w:r w:rsidRPr="00D31DFB">
        <w:rPr>
          <w:bCs/>
        </w:rPr>
        <w:t>funding</w:t>
      </w:r>
      <w:proofErr w:type="spellEnd"/>
      <w:r w:rsidRPr="00D31DFB">
        <w:rPr>
          <w:bCs/>
        </w:rPr>
        <w:t xml:space="preserve"> </w:t>
      </w:r>
      <w:proofErr w:type="spellStart"/>
      <w:r w:rsidRPr="00D31DFB">
        <w:rPr>
          <w:bCs/>
        </w:rPr>
        <w:t>assistance</w:t>
      </w:r>
      <w:proofErr w:type="spellEnd"/>
      <w:r w:rsidRPr="00D31DFB">
        <w:rPr>
          <w:bCs/>
        </w:rPr>
        <w:t xml:space="preserve"> </w:t>
      </w:r>
      <w:proofErr w:type="spellStart"/>
      <w:r w:rsidRPr="00D31DFB">
        <w:rPr>
          <w:bCs/>
        </w:rPr>
        <w:t>from</w:t>
      </w:r>
      <w:proofErr w:type="spellEnd"/>
      <w:r w:rsidRPr="00D31DFB">
        <w:rPr>
          <w:bCs/>
        </w:rPr>
        <w:t xml:space="preserve"> APBN </w:t>
      </w:r>
      <w:proofErr w:type="spellStart"/>
      <w:r w:rsidRPr="00D31DFB">
        <w:rPr>
          <w:bCs/>
        </w:rPr>
        <w:t>revenues</w:t>
      </w:r>
      <w:proofErr w:type="spellEnd"/>
      <w:r w:rsidRPr="00D31DFB">
        <w:rPr>
          <w:bCs/>
        </w:rPr>
        <w:t xml:space="preserve"> </w:t>
      </w:r>
      <w:proofErr w:type="spellStart"/>
      <w:r w:rsidRPr="00D31DFB">
        <w:rPr>
          <w:bCs/>
        </w:rPr>
        <w:t>transferred</w:t>
      </w:r>
      <w:proofErr w:type="spellEnd"/>
      <w:r w:rsidRPr="00D31DFB">
        <w:rPr>
          <w:bCs/>
        </w:rPr>
        <w:t xml:space="preserve"> </w:t>
      </w:r>
      <w:proofErr w:type="spellStart"/>
      <w:r w:rsidRPr="00D31DFB">
        <w:rPr>
          <w:bCs/>
        </w:rPr>
        <w:t>to</w:t>
      </w:r>
      <w:proofErr w:type="spellEnd"/>
      <w:r w:rsidRPr="00D31DFB">
        <w:rPr>
          <w:bCs/>
        </w:rPr>
        <w:t xml:space="preserve"> </w:t>
      </w:r>
      <w:proofErr w:type="spellStart"/>
      <w:r w:rsidRPr="00D31DFB">
        <w:rPr>
          <w:bCs/>
        </w:rPr>
        <w:t>local</w:t>
      </w:r>
      <w:proofErr w:type="spellEnd"/>
      <w:r w:rsidRPr="00D31DFB">
        <w:rPr>
          <w:bCs/>
        </w:rPr>
        <w:t xml:space="preserve"> </w:t>
      </w:r>
      <w:proofErr w:type="spellStart"/>
      <w:r w:rsidRPr="00D31DFB">
        <w:rPr>
          <w:bCs/>
        </w:rPr>
        <w:t>governments</w:t>
      </w:r>
      <w:proofErr w:type="spellEnd"/>
      <w:r w:rsidRPr="00D31DFB">
        <w:rPr>
          <w:bCs/>
        </w:rPr>
        <w:t xml:space="preserve">. The aim is to address financial gaps caused by differences in potential sources of income for each region. With this, it is hoped that it can assist regions in financing their needs to facilitate regions in realizing decentralization. A </w:t>
      </w:r>
      <w:r w:rsidRPr="00D31DFB">
        <w:t>balanced budget</w:t>
      </w:r>
      <w:r w:rsidRPr="00D31DFB">
        <w:rPr>
          <w:bCs/>
        </w:rPr>
        <w:t xml:space="preserve"> consists of the first, namely sharing funds (DBH), whose sources come from taxes and not taxes or natural resources. It is a fund from APBN revenue sharing provided by the central government to local governments with a specific state revenue percentage. The DBH allocation is given based on two principles, namely by origin, where a larger percentage is given to regions that contribute to generating state revenue, and other regions are divided based on equalization. In contrast, by actual, the distribution is based on actual revenue, both tax, and non-tax.</w:t>
      </w:r>
    </w:p>
    <w:p w:rsidR="00F11C26" w:rsidRPr="00D31DFB" w:rsidRDefault="00F11C26" w:rsidP="00A84AA6">
      <w:pPr>
        <w:adjustRightInd w:val="0"/>
        <w:snapToGrid w:val="0"/>
        <w:ind w:firstLine="709"/>
        <w:jc w:val="both"/>
        <w:rPr>
          <w:bCs/>
        </w:rPr>
      </w:pPr>
      <w:r w:rsidRPr="00D31DFB">
        <w:rPr>
          <w:bCs/>
        </w:rPr>
        <w:t xml:space="preserve">The second is the general allocation fund, which is the most considerable portion of the transfer funds given to local governments to all autonomous regions. DAU is entirely left to the regions and is mostly used to finance general routine expenditures. DAU is given to fill the fiscal gap caused by an imbalance between each region's capacity and fiscal needs. So that with the DAU, it is expected that financial capacity is evenly distributed between each region. According to </w:t>
      </w:r>
      <w:r w:rsidRPr="00D31DFB">
        <w:fldChar w:fldCharType="begin" w:fldLock="1"/>
      </w:r>
      <w:r w:rsidRPr="00D31DFB">
        <w:instrText>ADDIN CSL_CITATION {"citationItems":[{"id":"ITEM-1","itemData":{"ISBN":"9780470014561","author":[{"dropping-particle":"","family":"Baltagi","given":"Badi H","non-dropping-particle":"","parse-names":false,"suffix":""}],"edition":"Third Edit","id":"ITEM-1","issued":{"date-parts":[["2005"]]},"publisher":"John wiley &amp; Sons, Ltd","publisher-place":"england","title":"Econometric Analysis of Panel Data","type":"book"},"uris":["http://www.mendeley.com/documents/?uuid=c69e4336-0bf7-40f0-891a-4053312552e8"]},{"id":"ITEM-2","itemData":{"author":[{"dropping-particle":"","family":"Kunst","given":"Robert M","non-dropping-particle":"","parse-names":false,"suffix":""}],"id":"ITEM-2","issued":{"date-parts":[["2013"]]},"page":"1-20","title":"Econometric Methods for Panel Data Based on the books by Baltagi : Econometric Analysis of Panel Data and by Hsiao : Analysis of Panel Data Outline Introduction Tests in panel models Poolability tests Testing for the presence of random effects The Hausman","type":"article-journal"},"uris":["http://www.mendeley.com/documents/?uuid=c2f5dcd3-1929-4e2b-b318-81a5e7d683f2"]}],"mendeley":{"formattedCitation":"(Baltagi, 2005; Kunst, 2013)","manualFormatting":"(Baltagi, 2005.; Kunst, 2013.; Hsiao, 2003)","plainTextFormattedCitation":"(Baltagi, 2005; Kunst, 2013)","previouslyFormattedCitation":"(Baltagi, 2005; Kunst, 2013)"},"properties":{"noteIndex":0},"schema":"https://github.com/citation-style-language/schema/raw/master/csl-citation.json"}</w:instrText>
      </w:r>
      <w:r w:rsidRPr="00D31DFB">
        <w:fldChar w:fldCharType="separate"/>
      </w:r>
      <w:r w:rsidRPr="00D31DFB">
        <w:rPr>
          <w:noProof/>
        </w:rPr>
        <w:t>Inayati &amp; Setiawan (2012)</w:t>
      </w:r>
      <w:r w:rsidRPr="00D31DFB">
        <w:fldChar w:fldCharType="end"/>
      </w:r>
      <w:r w:rsidRPr="00D31DFB">
        <w:rPr>
          <w:bCs/>
        </w:rPr>
        <w:t>, the fiscal gap's size determines the amount of DAU disbursement to a region. The fiscal gap is obtained from reducing the needs of regions with regional potential.</w:t>
      </w:r>
    </w:p>
    <w:p w:rsidR="00F11C26" w:rsidRPr="00D31DFB" w:rsidRDefault="00F11C26" w:rsidP="00A84AA6">
      <w:pPr>
        <w:adjustRightInd w:val="0"/>
        <w:snapToGrid w:val="0"/>
        <w:ind w:firstLine="709"/>
        <w:jc w:val="both"/>
        <w:rPr>
          <w:bCs/>
        </w:rPr>
      </w:pPr>
      <w:r w:rsidRPr="00D31DFB">
        <w:rPr>
          <w:bCs/>
        </w:rPr>
        <w:t>The last component of the balanced budget is the special allocation fund, which is funds allocated to specific regions, either province, regencies, or cities to assist in funding special needs, which are included in national priorities and become part of regional government affairs. Several criteria need to be considered in the provision of DAK, namely: (1) regional fiscal capacity in funding regional development needs as reflected in the APBD, known as general criteria; (2) Characteristics and specificities of an area such as food security areas, border areas, coastal areas, islands, remote, underdeveloped, and prone to natural disasters, are stipulated as unique criteria; and (3) the condition of facilities and infrastructure for each activity to be financed by DAK is based on technical ministries or ministries’ indicators where these are designated as technical criteria.</w:t>
      </w:r>
    </w:p>
    <w:p w:rsidR="00A84AA6" w:rsidRPr="00D31DFB" w:rsidRDefault="00A84AA6" w:rsidP="00A84AA6">
      <w:pPr>
        <w:adjustRightInd w:val="0"/>
        <w:snapToGrid w:val="0"/>
        <w:ind w:firstLine="709"/>
        <w:jc w:val="both"/>
        <w:rPr>
          <w:bCs/>
        </w:rPr>
      </w:pPr>
    </w:p>
    <w:p w:rsidR="00F11C26" w:rsidRPr="00D31DFB" w:rsidRDefault="00F11C26" w:rsidP="00A84AA6">
      <w:pPr>
        <w:pStyle w:val="NormalWeb"/>
        <w:adjustRightInd w:val="0"/>
        <w:snapToGrid w:val="0"/>
        <w:spacing w:before="0" w:beforeAutospacing="0" w:after="0" w:afterAutospacing="0"/>
        <w:jc w:val="both"/>
        <w:rPr>
          <w:b/>
          <w:bCs/>
          <w:color w:val="222222"/>
          <w:lang w:val="en"/>
        </w:rPr>
      </w:pPr>
      <w:r w:rsidRPr="00D31DFB">
        <w:rPr>
          <w:b/>
          <w:bCs/>
          <w:color w:val="222222"/>
          <w:lang w:val="en"/>
        </w:rPr>
        <w:t xml:space="preserve">Local Government Expenditure </w:t>
      </w:r>
    </w:p>
    <w:p w:rsidR="00A84AA6" w:rsidRPr="00D31DFB" w:rsidRDefault="00F11C26" w:rsidP="00A84AA6">
      <w:pPr>
        <w:pStyle w:val="NormalWeb"/>
        <w:adjustRightInd w:val="0"/>
        <w:snapToGrid w:val="0"/>
        <w:spacing w:before="0" w:beforeAutospacing="0" w:after="0" w:afterAutospacing="0"/>
        <w:ind w:firstLine="720"/>
        <w:jc w:val="both"/>
        <w:rPr>
          <w:lang w:val="en-US"/>
        </w:rPr>
      </w:pPr>
      <w:r w:rsidRPr="00D31DFB">
        <w:rPr>
          <w:color w:val="222222"/>
          <w:lang w:val="en"/>
        </w:rPr>
        <w:t>Local government expenditure is the regional government's total expenditure in financing its government affairs following the stipulated provisions.</w:t>
      </w:r>
      <w:r w:rsidRPr="00D31DFB">
        <w:rPr>
          <w:lang w:val="en-US"/>
        </w:rPr>
        <w:t xml:space="preserve"> It is classified into two types of classifications, namely: (1) based on government affairs, which consists of spending on the implementation of mandatory and optional affairs; (2) based on programs and activities, which include indirect spending and direct spending. Regional revenue and regional expenditure have an interrelated relationship. </w:t>
      </w:r>
      <w:r w:rsidRPr="00D31DFB">
        <w:rPr>
          <w:color w:val="222222"/>
          <w:lang w:val="en"/>
        </w:rPr>
        <w:t xml:space="preserve">Local government expenditure </w:t>
      </w:r>
      <w:r w:rsidRPr="00D31DFB">
        <w:rPr>
          <w:lang w:val="en-US"/>
        </w:rPr>
        <w:t>plays an essential role in increasing the income of a region. Regional income is the source used by local governments to carry out regional spending. An increase in the gross regional domestic product will increase the region's amount of revenue to impact increasing spending to finance regional development.</w:t>
      </w:r>
    </w:p>
    <w:p w:rsidR="00A84AA6" w:rsidRPr="00D31DFB" w:rsidRDefault="00A84AA6" w:rsidP="00A84AA6">
      <w:pPr>
        <w:pStyle w:val="NormalWeb"/>
        <w:adjustRightInd w:val="0"/>
        <w:snapToGrid w:val="0"/>
        <w:spacing w:before="0" w:beforeAutospacing="0" w:after="0" w:afterAutospacing="0"/>
        <w:ind w:firstLine="720"/>
        <w:jc w:val="both"/>
        <w:rPr>
          <w:lang w:val="en-US"/>
        </w:rPr>
      </w:pPr>
    </w:p>
    <w:p w:rsidR="00F11C26" w:rsidRPr="00A84AA6" w:rsidRDefault="00F11C26" w:rsidP="00A84AA6">
      <w:pPr>
        <w:pStyle w:val="NormalWeb"/>
        <w:adjustRightInd w:val="0"/>
        <w:snapToGrid w:val="0"/>
        <w:spacing w:before="0" w:beforeAutospacing="0" w:after="0" w:afterAutospacing="0"/>
        <w:jc w:val="both"/>
        <w:rPr>
          <w:lang w:val="en-US"/>
        </w:rPr>
      </w:pPr>
      <w:r w:rsidRPr="00A84AA6">
        <w:rPr>
          <w:b/>
          <w:bCs/>
          <w:lang w:val="en-US"/>
        </w:rPr>
        <w:t>Flypaper Effect</w:t>
      </w:r>
    </w:p>
    <w:p w:rsidR="00F11C26" w:rsidRPr="00A84AA6" w:rsidRDefault="00F11C26" w:rsidP="00A84AA6">
      <w:pPr>
        <w:pStyle w:val="NormalWeb"/>
        <w:adjustRightInd w:val="0"/>
        <w:snapToGrid w:val="0"/>
        <w:spacing w:before="0" w:beforeAutospacing="0" w:after="0" w:afterAutospacing="0"/>
        <w:ind w:firstLine="709"/>
        <w:jc w:val="both"/>
        <w:rPr>
          <w:b/>
          <w:bCs/>
          <w:lang w:val="en-US"/>
        </w:rPr>
      </w:pPr>
      <w:r w:rsidRPr="00A84AA6">
        <w:rPr>
          <w:lang w:val="en-US"/>
        </w:rPr>
        <w:t xml:space="preserve">The flypaper effect is a condition in which local governments tend to be responsive to assistance funds provided by the central government or better known as transfer funds, rather </w:t>
      </w:r>
      <w:r w:rsidRPr="00A84AA6">
        <w:rPr>
          <w:lang w:val="en-US"/>
        </w:rPr>
        <w:lastRenderedPageBreak/>
        <w:t>than the original regional income itself in financing regional expenditures (</w:t>
      </w:r>
      <w:r w:rsidRPr="00A84AA6">
        <w:fldChar w:fldCharType="begin" w:fldLock="1"/>
      </w:r>
      <w:r w:rsidRPr="00A84AA6">
        <w:instrText>ADDIN CSL_CITATION {"citationItems":[{"id":"ITEM-1","itemData":{"ISBN":"9780470014561","author":[{"dropping-particle":"","family":"Baltagi","given":"Badi H","non-dropping-particle":"","parse-names":false,"suffix":""}],"edition":"Third Edit","id":"ITEM-1","issued":{"date-parts":[["2005"]]},"publisher":"John wiley &amp; Sons, Ltd","publisher-place":"england","title":"Econometric Analysis of Panel Data","type":"book"},"uris":["http://www.mendeley.com/documents/?uuid=c69e4336-0bf7-40f0-891a-4053312552e8"]},{"id":"ITEM-2","itemData":{"author":[{"dropping-particle":"","family":"Kunst","given":"Robert M","non-dropping-particle":"","parse-names":false,"suffix":""}],"id":"ITEM-2","issued":{"date-parts":[["2013"]]},"page":"1-20","title":"Econometric Methods for Panel Data Based on the books by Baltagi : Econometric Analysis of Panel Data and by Hsiao : Analysis of Panel Data Outline Introduction Tests in panel models Poolability tests Testing for the presence of random effects The Hausman","type":"article-journal"},"uris":["http://www.mendeley.com/documents/?uuid=c2f5dcd3-1929-4e2b-b318-81a5e7d683f2"]}],"mendeley":{"formattedCitation":"(Baltagi, 2005; Kunst, 2013)","manualFormatting":"(Baltagi, 2005.; Kunst, 2013.; Hsiao, 2003)","plainTextFormattedCitation":"(Baltagi, 2005; Kunst, 2013)","previouslyFormattedCitation":"(Baltagi, 2005; Kunst, 2013)"},"properties":{"noteIndex":0},"schema":"https://github.com/citation-style-language/schema/raw/master/csl-citation.json"}</w:instrText>
      </w:r>
      <w:r w:rsidRPr="00A84AA6">
        <w:fldChar w:fldCharType="separate"/>
      </w:r>
      <w:r w:rsidRPr="00A84AA6">
        <w:rPr>
          <w:noProof/>
          <w:lang w:val="en-US"/>
        </w:rPr>
        <w:t xml:space="preserve">Aragon, </w:t>
      </w:r>
      <w:r w:rsidRPr="00A84AA6">
        <w:rPr>
          <w:noProof/>
        </w:rPr>
        <w:t>201</w:t>
      </w:r>
      <w:r w:rsidRPr="00A84AA6">
        <w:rPr>
          <w:noProof/>
          <w:lang w:val="en-US"/>
        </w:rPr>
        <w:t xml:space="preserve">3; </w:t>
      </w:r>
      <w:r w:rsidRPr="00A84AA6">
        <w:rPr>
          <w:lang w:val="en-US"/>
        </w:rPr>
        <w:t>Vegh &amp; Vuletin, 2015</w:t>
      </w:r>
      <w:r w:rsidRPr="00A84AA6">
        <w:rPr>
          <w:noProof/>
          <w:lang w:val="en-US"/>
        </w:rPr>
        <w:t xml:space="preserve"> </w:t>
      </w:r>
      <w:r w:rsidRPr="00A84AA6">
        <w:rPr>
          <w:noProof/>
        </w:rPr>
        <w:t>)</w:t>
      </w:r>
      <w:r w:rsidRPr="00A84AA6">
        <w:fldChar w:fldCharType="end"/>
      </w:r>
      <w:r w:rsidRPr="00A84AA6">
        <w:rPr>
          <w:bCs/>
          <w:lang w:val="en-US"/>
        </w:rPr>
        <w:t xml:space="preserve">. </w:t>
      </w:r>
      <w:r w:rsidRPr="00A84AA6">
        <w:rPr>
          <w:lang w:val="en-US"/>
        </w:rPr>
        <w:t xml:space="preserve">The flypaper effect can occur if </w:t>
      </w:r>
      <w:r w:rsidRPr="00A84AA6">
        <w:rPr>
          <w:color w:val="222222"/>
          <w:lang w:val="en"/>
        </w:rPr>
        <w:t>local government expenditure</w:t>
      </w:r>
      <w:r w:rsidRPr="00A84AA6">
        <w:rPr>
          <w:lang w:val="en-US"/>
        </w:rPr>
        <w:t xml:space="preserve"> has a smaller coefficient value than the effect of transfer funds on regional spending. </w:t>
      </w:r>
      <w:r w:rsidRPr="00A84AA6">
        <w:fldChar w:fldCharType="begin" w:fldLock="1"/>
      </w:r>
      <w:r w:rsidRPr="00A84AA6">
        <w:instrText>ADDIN CSL_CITATION {"citationItems":[{"id":"ITEM-1","itemData":{"ISBN":"9780470014561","author":[{"dropping-particle":"","family":"Baltagi","given":"Badi H","non-dropping-particle":"","parse-names":false,"suffix":""}],"edition":"Third Edit","id":"ITEM-1","issued":{"date-parts":[["2005"]]},"publisher":"John wiley &amp; Sons, Ltd","publisher-place":"england","title":"Econometric Analysis of Panel Data","type":"book"},"uris":["http://www.mendeley.com/documents/?uuid=c69e4336-0bf7-40f0-891a-4053312552e8"]},{"id":"ITEM-2","itemData":{"author":[{"dropping-particle":"","family":"Kunst","given":"Robert M","non-dropping-particle":"","parse-names":false,"suffix":""}],"id":"ITEM-2","issued":{"date-parts":[["2013"]]},"page":"1-20","title":"Econometric Methods for Panel Data Based on the books by Baltagi : Econometric Analysis of Panel Data and by Hsiao : Analysis of Panel Data Outline Introduction Tests in panel models Poolability tests Testing for the presence of random effects The Hausman","type":"article-journal"},"uris":["http://www.mendeley.com/documents/?uuid=c2f5dcd3-1929-4e2b-b318-81a5e7d683f2"]}],"mendeley":{"formattedCitation":"(Baltagi, 2005; Kunst, 2013)","manualFormatting":"(Baltagi, 2005.; Kunst, 2013.; Hsiao, 2003)","plainTextFormattedCitation":"(Baltagi, 2005; Kunst, 2013)","previouslyFormattedCitation":"(Baltagi, 2005; Kunst, 2013)"},"properties":{"noteIndex":0},"schema":"https://github.com/citation-style-language/schema/raw/master/csl-citation.json"}</w:instrText>
      </w:r>
      <w:r w:rsidRPr="00A84AA6">
        <w:fldChar w:fldCharType="separate"/>
      </w:r>
      <w:r w:rsidRPr="00A84AA6">
        <w:rPr>
          <w:lang w:val="en-US"/>
        </w:rPr>
        <w:t>Sag ̆bas &amp; Saruc (2004)</w:t>
      </w:r>
      <w:r w:rsidRPr="00A84AA6">
        <w:rPr>
          <w:noProof/>
          <w:lang w:val="en-US"/>
        </w:rPr>
        <w:t xml:space="preserve"> </w:t>
      </w:r>
      <w:r w:rsidRPr="00A84AA6">
        <w:fldChar w:fldCharType="end"/>
      </w:r>
      <w:r w:rsidRPr="00A84AA6">
        <w:rPr>
          <w:lang w:val="en-US"/>
        </w:rPr>
        <w:t>have examined the flypaper effect in Turkey. According to him, two theories underlie the flypaper effect, namely the fiscal illusion, where residents do not understand and misperceptions about financing and cost-sharing of public goods, and the bureaucratic model, which considers flypaper to occur because the behavior of bureaucrats is more comfortable to spend transfer funds in maximizing the budget-compared to attempts to raise taxes. The study results reveal that the bureaucratic model is more capable of tracking the flypaper effect phenomenon.</w:t>
      </w:r>
    </w:p>
    <w:p w:rsidR="00F11C26" w:rsidRPr="00A84AA6" w:rsidRDefault="00F11C26" w:rsidP="00A84AA6">
      <w:pPr>
        <w:pStyle w:val="NormalWeb"/>
        <w:adjustRightInd w:val="0"/>
        <w:snapToGrid w:val="0"/>
        <w:spacing w:before="0" w:beforeAutospacing="0" w:after="0" w:afterAutospacing="0"/>
        <w:ind w:firstLine="709"/>
        <w:jc w:val="both"/>
        <w:rPr>
          <w:lang w:val="en-US"/>
        </w:rPr>
      </w:pPr>
      <w:r w:rsidRPr="00A84AA6">
        <w:rPr>
          <w:lang w:val="en-US"/>
        </w:rPr>
        <w:t xml:space="preserve">The flypaper effect phenomenon has occurred in several countries. </w:t>
      </w:r>
      <w:r w:rsidRPr="00A84AA6">
        <w:fldChar w:fldCharType="begin" w:fldLock="1"/>
      </w:r>
      <w:r w:rsidRPr="00A84AA6">
        <w:instrText>ADDIN CSL_CITATION {"citationItems":[{"id":"ITEM-1","itemData":{"ISBN":"9780470014561","author":[{"dropping-particle":"","family":"Baltagi","given":"Badi H","non-dropping-particle":"","parse-names":false,"suffix":""}],"edition":"Third Edit","id":"ITEM-1","issued":{"date-parts":[["2005"]]},"publisher":"John wiley &amp; Sons, Ltd","publisher-place":"england","title":"Econometric Analysis of Panel Data","type":"book"},"uris":["http://www.mendeley.com/documents/?uuid=c69e4336-0bf7-40f0-891a-4053312552e8"]},{"id":"ITEM-2","itemData":{"author":[{"dropping-particle":"","family":"Kunst","given":"Robert M","non-dropping-particle":"","parse-names":false,"suffix":""}],"id":"ITEM-2","issued":{"date-parts":[["2013"]]},"page":"1-20","title":"Econometric Methods for Panel Data Based on the books by Baltagi : Econometric Analysis of Panel Data and by Hsiao : Analysis of Panel Data Outline Introduction Tests in panel models Poolability tests Testing for the presence of random effects The Hausman","type":"article-journal"},"uris":["http://www.mendeley.com/documents/?uuid=c2f5dcd3-1929-4e2b-b318-81a5e7d683f2"]}],"mendeley":{"formattedCitation":"(Baltagi, 2005; Kunst, 2013)","manualFormatting":"(Baltagi, 2005.; Kunst, 2013.; Hsiao, 2003)","plainTextFormattedCitation":"(Baltagi, 2005; Kunst, 2013)","previouslyFormattedCitation":"(Baltagi, 2005; Kunst, 2013)"},"properties":{"noteIndex":0},"schema":"https://github.com/citation-style-language/schema/raw/master/csl-citation.json"}</w:instrText>
      </w:r>
      <w:r w:rsidRPr="00A84AA6">
        <w:fldChar w:fldCharType="separate"/>
      </w:r>
      <w:r w:rsidRPr="00A84AA6">
        <w:rPr>
          <w:noProof/>
          <w:lang w:val="en-US"/>
        </w:rPr>
        <w:t>Aragon (</w:t>
      </w:r>
      <w:r w:rsidRPr="00A84AA6">
        <w:rPr>
          <w:noProof/>
        </w:rPr>
        <w:t>201</w:t>
      </w:r>
      <w:r w:rsidRPr="00A84AA6">
        <w:rPr>
          <w:noProof/>
          <w:lang w:val="en-US"/>
        </w:rPr>
        <w:t>3</w:t>
      </w:r>
      <w:r w:rsidRPr="00A84AA6">
        <w:rPr>
          <w:noProof/>
        </w:rPr>
        <w:t>)</w:t>
      </w:r>
      <w:r w:rsidRPr="00A84AA6">
        <w:fldChar w:fldCharType="end"/>
      </w:r>
      <w:r w:rsidRPr="00A84AA6">
        <w:rPr>
          <w:lang w:val="en-US"/>
        </w:rPr>
        <w:t xml:space="preserve"> has conducted research on local expenditure, transfers, and taxes in Peruvian cities. The results prove strongly that central government grants have a more significant stimulating effect than local taxes collected by local governments. </w:t>
      </w:r>
      <w:r w:rsidR="009044BB">
        <w:rPr>
          <w:lang w:val="en-US"/>
        </w:rPr>
        <w:t>The</w:t>
      </w:r>
      <w:r w:rsidRPr="00A84AA6">
        <w:rPr>
          <w:lang w:val="en-US"/>
        </w:rPr>
        <w:t xml:space="preserve"> expensive local taxes can explain the flypaper effect. Furthermore, in Mexico, </w:t>
      </w:r>
      <w:r w:rsidRPr="00A84AA6">
        <w:fldChar w:fldCharType="begin" w:fldLock="1"/>
      </w:r>
      <w:r w:rsidRPr="00A84AA6">
        <w:instrText>ADDIN CSL_CITATION {"citationItems":[{"id":"ITEM-1","itemData":{"ISBN":"9780470014561","author":[{"dropping-particle":"","family":"Baltagi","given":"Badi H","non-dropping-particle":"","parse-names":false,"suffix":""}],"edition":"Third Edit","id":"ITEM-1","issued":{"date-parts":[["2005"]]},"publisher":"John wiley &amp; Sons, Ltd","publisher-place":"england","title":"Econometric Analysis of Panel Data","type":"book"},"uris":["http://www.mendeley.com/documents/?uuid=c69e4336-0bf7-40f0-891a-4053312552e8"]},{"id":"ITEM-2","itemData":{"author":[{"dropping-particle":"","family":"Kunst","given":"Robert M","non-dropping-particle":"","parse-names":false,"suffix":""}],"id":"ITEM-2","issued":{"date-parts":[["2013"]]},"page":"1-20","title":"Econometric Methods for Panel Data Based on the books by Baltagi : Econometric Analysis of Panel Data and by Hsiao : Analysis of Panel Data Outline Introduction Tests in panel models Poolability tests Testing for the presence of random effects The Hausman","type":"article-journal"},"uris":["http://www.mendeley.com/documents/?uuid=c2f5dcd3-1929-4e2b-b318-81a5e7d683f2"]}],"mendeley":{"formattedCitation":"(Baltagi, 2005; Kunst, 2013)","manualFormatting":"(Baltagi, 2005.; Kunst, 2013.; Hsiao, 2003)","plainTextFormattedCitation":"(Baltagi, 2005; Kunst, 2013)","previouslyFormattedCitation":"(Baltagi, 2005; Kunst, 2013)"},"properties":{"noteIndex":0},"schema":"https://github.com/citation-style-language/schema/raw/master/csl-citation.json"}</w:instrText>
      </w:r>
      <w:r w:rsidRPr="00A84AA6">
        <w:fldChar w:fldCharType="separate"/>
      </w:r>
      <w:r w:rsidRPr="00A84AA6">
        <w:rPr>
          <w:noProof/>
          <w:lang w:val="en-US"/>
        </w:rPr>
        <w:t>Sour</w:t>
      </w:r>
      <w:r w:rsidRPr="00A84AA6">
        <w:rPr>
          <w:lang w:val="en-US"/>
        </w:rPr>
        <w:t xml:space="preserve"> (2013</w:t>
      </w:r>
      <w:r w:rsidRPr="00A84AA6">
        <w:rPr>
          <w:noProof/>
        </w:rPr>
        <w:t>)</w:t>
      </w:r>
      <w:r w:rsidRPr="00A84AA6">
        <w:fldChar w:fldCharType="end"/>
      </w:r>
      <w:r w:rsidRPr="00A84AA6">
        <w:rPr>
          <w:lang w:val="en-US"/>
        </w:rPr>
        <w:t xml:space="preserve"> discusses the flypaper effect on local governments with panel data for 17 years, from 1990 to 2007. The results prove a flypaper effect shown in local government spending, which is driven more by increasing unconditional transfers from the government than an increase in the income of members of that community.</w:t>
      </w:r>
    </w:p>
    <w:p w:rsidR="00F11C26" w:rsidRPr="00A84AA6" w:rsidRDefault="00F11C26" w:rsidP="00A84AA6">
      <w:pPr>
        <w:pStyle w:val="NormalWeb"/>
        <w:adjustRightInd w:val="0"/>
        <w:snapToGrid w:val="0"/>
        <w:spacing w:before="0" w:beforeAutospacing="0" w:after="0" w:afterAutospacing="0"/>
        <w:ind w:firstLine="709"/>
        <w:jc w:val="both"/>
        <w:rPr>
          <w:lang w:val="en-US"/>
        </w:rPr>
      </w:pPr>
      <w:r w:rsidRPr="00A84AA6">
        <w:fldChar w:fldCharType="begin" w:fldLock="1"/>
      </w:r>
      <w:r w:rsidRPr="00A84AA6">
        <w:instrText>ADDIN CSL_CITATION {"citationItems":[{"id":"ITEM-1","itemData":{"ISBN":"9780470014561","author":[{"dropping-particle":"","family":"Baltagi","given":"Badi H","non-dropping-particle":"","parse-names":false,"suffix":""}],"edition":"Third Edit","id":"ITEM-1","issued":{"date-parts":[["2005"]]},"publisher":"John wiley &amp; Sons, Ltd","publisher-place":"england","title":"Econometric Analysis of Panel Data","type":"book"},"uris":["http://www.mendeley.com/documents/?uuid=c69e4336-0bf7-40f0-891a-4053312552e8"]},{"id":"ITEM-2","itemData":{"author":[{"dropping-particle":"","family":"Kunst","given":"Robert M","non-dropping-particle":"","parse-names":false,"suffix":""}],"id":"ITEM-2","issued":{"date-parts":[["2013"]]},"page":"1-20","title":"Econometric Methods for Panel Data Based on the books by Baltagi : Econometric Analysis of Panel Data and by Hsiao : Analysis of Panel Data Outline Introduction Tests in panel models Poolability tests Testing for the presence of random effects The Hausman","type":"article-journal"},"uris":["http://www.mendeley.com/documents/?uuid=c2f5dcd3-1929-4e2b-b318-81a5e7d683f2"]}],"mendeley":{"formattedCitation":"(Baltagi, 2005; Kunst, 2013)","manualFormatting":"(Baltagi, 2005.; Kunst, 2013.; Hsiao, 2003)","plainTextFormattedCitation":"(Baltagi, 2005; Kunst, 2013)","previouslyFormattedCitation":"(Baltagi, 2005; Kunst, 2013)"},"properties":{"noteIndex":0},"schema":"https://github.com/citation-style-language/schema/raw/master/csl-citation.json"}</w:instrText>
      </w:r>
      <w:r w:rsidRPr="00A84AA6">
        <w:fldChar w:fldCharType="separate"/>
      </w:r>
      <w:r w:rsidRPr="00A84AA6">
        <w:rPr>
          <w:lang w:val="en-US"/>
        </w:rPr>
        <w:t>Cruz &amp; Silva</w:t>
      </w:r>
      <w:r w:rsidRPr="00A84AA6">
        <w:rPr>
          <w:noProof/>
          <w:lang w:val="en-US"/>
        </w:rPr>
        <w:t xml:space="preserve"> (</w:t>
      </w:r>
      <w:r w:rsidRPr="00A84AA6">
        <w:rPr>
          <w:lang w:val="en-US"/>
        </w:rPr>
        <w:t>2020</w:t>
      </w:r>
      <w:r w:rsidRPr="00A84AA6">
        <w:rPr>
          <w:noProof/>
        </w:rPr>
        <w:t>)</w:t>
      </w:r>
      <w:r w:rsidRPr="00A84AA6">
        <w:fldChar w:fldCharType="end"/>
      </w:r>
      <w:r w:rsidRPr="00A84AA6">
        <w:rPr>
          <w:lang w:val="en-US"/>
        </w:rPr>
        <w:t xml:space="preserve"> have examined the flypaper effect of intergovernmental transfers in Brazil's education sector. The results found that the elasticity of education costs for funds from federal government transfers is significantly greater than the elasticity of the government's responses to local income, thus indicating that there has been a flypaper effect. However, this study is not in line with </w:t>
      </w:r>
      <w:r w:rsidRPr="00A84AA6">
        <w:fldChar w:fldCharType="begin" w:fldLock="1"/>
      </w:r>
      <w:r w:rsidRPr="00A84AA6">
        <w:instrText>ADDIN CSL_CITATION {"citationItems":[{"id":"ITEM-1","itemData":{"ISBN":"9780470014561","author":[{"dropping-particle":"","family":"Baltagi","given":"Badi H","non-dropping-particle":"","parse-names":false,"suffix":""}],"edition":"Third Edit","id":"ITEM-1","issued":{"date-parts":[["2005"]]},"publisher":"John wiley &amp; Sons, Ltd","publisher-place":"england","title":"Econometric Analysis of Panel Data","type":"book"},"uris":["http://www.mendeley.com/documents/?uuid=c69e4336-0bf7-40f0-891a-4053312552e8"]},{"id":"ITEM-2","itemData":{"author":[{"dropping-particle":"","family":"Kunst","given":"Robert M","non-dropping-particle":"","parse-names":false,"suffix":""}],"id":"ITEM-2","issued":{"date-parts":[["2013"]]},"page":"1-20","title":"Econometric Methods for Panel Data Based on the books by Baltagi : Econometric Analysis of Panel Data and by Hsiao : Analysis of Panel Data Outline Introduction Tests in panel models Poolability tests Testing for the presence of random effects The Hausman","type":"article-journal"},"uris":["http://www.mendeley.com/documents/?uuid=c2f5dcd3-1929-4e2b-b318-81a5e7d683f2"]}],"mendeley":{"formattedCitation":"(Baltagi, 2005; Kunst, 2013)","manualFormatting":"(Baltagi, 2005.; Kunst, 2013.; Hsiao, 2003)","plainTextFormattedCitation":"(Baltagi, 2005; Kunst, 2013)","previouslyFormattedCitation":"(Baltagi, 2005; Kunst, 2013)"},"properties":{"noteIndex":0},"schema":"https://github.com/citation-style-language/schema/raw/master/csl-citation.json"}</w:instrText>
      </w:r>
      <w:r w:rsidRPr="00A84AA6">
        <w:fldChar w:fldCharType="separate"/>
      </w:r>
      <w:r w:rsidRPr="00A84AA6">
        <w:rPr>
          <w:lang w:val="en-US"/>
        </w:rPr>
        <w:t xml:space="preserve"> Thornton's</w:t>
      </w:r>
      <w:r w:rsidRPr="00A84AA6">
        <w:rPr>
          <w:noProof/>
          <w:lang w:val="en-US"/>
        </w:rPr>
        <w:t xml:space="preserve"> (</w:t>
      </w:r>
      <w:r w:rsidRPr="00A84AA6">
        <w:rPr>
          <w:lang w:val="en-US"/>
        </w:rPr>
        <w:t>2011</w:t>
      </w:r>
      <w:r w:rsidRPr="00A84AA6">
        <w:rPr>
          <w:noProof/>
        </w:rPr>
        <w:t>)</w:t>
      </w:r>
      <w:r w:rsidRPr="00A84AA6">
        <w:fldChar w:fldCharType="end"/>
      </w:r>
      <w:r w:rsidRPr="00A84AA6">
        <w:rPr>
          <w:lang w:val="en-US"/>
        </w:rPr>
        <w:t xml:space="preserve"> study, which examines the effect of grants from the federal government with a sample of non-profit companies. The results showed that no flypaper effect was found in non-profit companies.</w:t>
      </w:r>
    </w:p>
    <w:p w:rsidR="00F11C26" w:rsidRPr="00A84AA6" w:rsidRDefault="00F11C26" w:rsidP="00A84AA6">
      <w:pPr>
        <w:pStyle w:val="NormalWeb"/>
        <w:adjustRightInd w:val="0"/>
        <w:snapToGrid w:val="0"/>
        <w:spacing w:before="0" w:beforeAutospacing="0" w:after="0" w:afterAutospacing="0"/>
        <w:ind w:firstLine="709"/>
        <w:jc w:val="both"/>
        <w:rPr>
          <w:lang w:val="en-US"/>
        </w:rPr>
      </w:pPr>
      <w:r w:rsidRPr="00A84AA6">
        <w:rPr>
          <w:lang w:val="en-US"/>
        </w:rPr>
        <w:t>Meanwhile, in Indonesia,</w:t>
      </w:r>
      <w:r w:rsidRPr="00A84AA6">
        <w:fldChar w:fldCharType="begin" w:fldLock="1"/>
      </w:r>
      <w:r w:rsidRPr="00A84AA6">
        <w:instrText>ADDIN CSL_CITATION {"citationItems":[{"id":"ITEM-1","itemData":{"ISBN":"9780470014561","author":[{"dropping-particle":"","family":"Baltagi","given":"Badi H","non-dropping-particle":"","parse-names":false,"suffix":""}],"edition":"Third Edit","id":"ITEM-1","issued":{"date-parts":[["2005"]]},"publisher":"John wiley &amp; Sons, Ltd","publisher-place":"england","title":"Econometric Analysis of Panel Data","type":"book"},"uris":["http://www.mendeley.com/documents/?uuid=c69e4336-0bf7-40f0-891a-4053312552e8"]},{"id":"ITEM-2","itemData":{"author":[{"dropping-particle":"","family":"Kunst","given":"Robert M","non-dropping-particle":"","parse-names":false,"suffix":""}],"id":"ITEM-2","issued":{"date-parts":[["2013"]]},"page":"1-20","title":"Econometric Methods for Panel Data Based on the books by Baltagi : Econometric Analysis of Panel Data and by Hsiao : Analysis of Panel Data Outline Introduction Tests in panel models Poolability tests Testing for the presence of random effects The Hausman","type":"article-journal"},"uris":["http://www.mendeley.com/documents/?uuid=c2f5dcd3-1929-4e2b-b318-81a5e7d683f2"]}],"mendeley":{"formattedCitation":"(Baltagi, 2005; Kunst, 2013)","manualFormatting":"(Baltagi, 2005.; Kunst, 2013.; Hsiao, 2003)","plainTextFormattedCitation":"(Baltagi, 2005; Kunst, 2013)","previouslyFormattedCitation":"(Baltagi, 2005; Kunst, 2013)"},"properties":{"noteIndex":0},"schema":"https://github.com/citation-style-language/schema/raw/master/csl-citation.json"}</w:instrText>
      </w:r>
      <w:r w:rsidRPr="00A84AA6">
        <w:fldChar w:fldCharType="separate"/>
      </w:r>
      <w:r w:rsidRPr="00A84AA6">
        <w:rPr>
          <w:lang w:val="en-US"/>
        </w:rPr>
        <w:t xml:space="preserve"> Amalia</w:t>
      </w:r>
      <w:r w:rsidRPr="00A84AA6">
        <w:rPr>
          <w:noProof/>
          <w:lang w:val="en-US"/>
        </w:rPr>
        <w:t xml:space="preserve"> (</w:t>
      </w:r>
      <w:r w:rsidRPr="00A84AA6">
        <w:rPr>
          <w:lang w:val="en-US"/>
        </w:rPr>
        <w:t>2017</w:t>
      </w:r>
      <w:r w:rsidRPr="00A84AA6">
        <w:rPr>
          <w:noProof/>
        </w:rPr>
        <w:t>)</w:t>
      </w:r>
      <w:r w:rsidRPr="00A84AA6">
        <w:fldChar w:fldCharType="end"/>
      </w:r>
      <w:r w:rsidRPr="00A84AA6">
        <w:rPr>
          <w:lang w:val="en-US"/>
        </w:rPr>
        <w:t xml:space="preserve"> has examined the effect of the flypaper effect on regional spending and its impact on regional inequality in Indonesia</w:t>
      </w:r>
      <w:r w:rsidR="005C56B0">
        <w:rPr>
          <w:lang w:val="en-US"/>
        </w:rPr>
        <w:t xml:space="preserve"> </w:t>
      </w:r>
      <w:r w:rsidRPr="00A84AA6">
        <w:rPr>
          <w:lang w:val="en-US"/>
        </w:rPr>
        <w:t xml:space="preserve">from 2008-2013. By using multiple regression analysis, it is found that the </w:t>
      </w:r>
      <w:proofErr w:type="spellStart"/>
      <w:r w:rsidRPr="00A84AA6">
        <w:t>original</w:t>
      </w:r>
      <w:proofErr w:type="spellEnd"/>
      <w:r w:rsidRPr="00A84AA6">
        <w:t xml:space="preserve"> </w:t>
      </w:r>
      <w:proofErr w:type="spellStart"/>
      <w:r w:rsidRPr="00A84AA6">
        <w:t>local</w:t>
      </w:r>
      <w:proofErr w:type="spellEnd"/>
      <w:r w:rsidRPr="00A84AA6">
        <w:t xml:space="preserve"> </w:t>
      </w:r>
      <w:proofErr w:type="spellStart"/>
      <w:r w:rsidRPr="00A84AA6">
        <w:t>government</w:t>
      </w:r>
      <w:proofErr w:type="spellEnd"/>
      <w:r w:rsidRPr="00A84AA6">
        <w:t xml:space="preserve"> </w:t>
      </w:r>
      <w:proofErr w:type="spellStart"/>
      <w:r w:rsidRPr="00A84AA6">
        <w:t>revenue</w:t>
      </w:r>
      <w:proofErr w:type="spellEnd"/>
      <w:r w:rsidRPr="00A84AA6">
        <w:t xml:space="preserve"> </w:t>
      </w:r>
      <w:r w:rsidRPr="00A84AA6">
        <w:rPr>
          <w:lang w:val="en-US"/>
        </w:rPr>
        <w:t xml:space="preserve">and general allocation funds significantly affect regional spending and regional disparities in the provinces of East and West Indonesia, so it can be concluded that there has been a flypaper effect in these areas. </w:t>
      </w:r>
      <w:r w:rsidRPr="00A84AA6">
        <w:fldChar w:fldCharType="begin" w:fldLock="1"/>
      </w:r>
      <w:r w:rsidRPr="00A84AA6">
        <w:instrText>ADDIN CSL_CITATION {"citationItems":[{"id":"ITEM-1","itemData":{"ISBN":"9780470014561","author":[{"dropping-particle":"","family":"Baltagi","given":"Badi H","non-dropping-particle":"","parse-names":false,"suffix":""}],"edition":"Third Edit","id":"ITEM-1","issued":{"date-parts":[["2005"]]},"publisher":"John wiley &amp; Sons, Ltd","publisher-place":"england","title":"Econometric Analysis of Panel Data","type":"book"},"uris":["http://www.mendeley.com/documents/?uuid=c69e4336-0bf7-40f0-891a-4053312552e8"]},{"id":"ITEM-2","itemData":{"author":[{"dropping-particle":"","family":"Kunst","given":"Robert M","non-dropping-particle":"","parse-names":false,"suffix":""}],"id":"ITEM-2","issued":{"date-parts":[["2013"]]},"page":"1-20","title":"Econometric Methods for Panel Data Based on the books by Baltagi : Econometric Analysis of Panel Data and by Hsiao : Analysis of Panel Data Outline Introduction Tests in panel models Poolability tests Testing for the presence of random effects The Hausman","type":"article-journal"},"uris":["http://www.mendeley.com/documents/?uuid=c2f5dcd3-1929-4e2b-b318-81a5e7d683f2"]}],"mendeley":{"formattedCitation":"(Baltagi, 2005; Kunst, 2013)","manualFormatting":"(Baltagi, 2005.; Kunst, 2013.; Hsiao, 2003)","plainTextFormattedCitation":"(Baltagi, 2005; Kunst, 2013)","previouslyFormattedCitation":"(Baltagi, 2005; Kunst, 2013)"},"properties":{"noteIndex":0},"schema":"https://github.com/citation-style-language/schema/raw/master/csl-citation.json"}</w:instrText>
      </w:r>
      <w:r w:rsidRPr="00A84AA6">
        <w:fldChar w:fldCharType="separate"/>
      </w:r>
      <w:r w:rsidRPr="00A84AA6">
        <w:rPr>
          <w:lang w:val="en-US"/>
        </w:rPr>
        <w:t xml:space="preserve"> Armawaddin, Rumbia, &amp; Afiat</w:t>
      </w:r>
      <w:r w:rsidRPr="00A84AA6">
        <w:rPr>
          <w:noProof/>
          <w:lang w:val="en-US"/>
        </w:rPr>
        <w:t xml:space="preserve"> (</w:t>
      </w:r>
      <w:r w:rsidRPr="00A84AA6">
        <w:rPr>
          <w:lang w:val="en-US"/>
        </w:rPr>
        <w:t>2017</w:t>
      </w:r>
      <w:r w:rsidRPr="00A84AA6">
        <w:rPr>
          <w:noProof/>
        </w:rPr>
        <w:t>)</w:t>
      </w:r>
      <w:r w:rsidRPr="00A84AA6">
        <w:fldChar w:fldCharType="end"/>
      </w:r>
      <w:r w:rsidRPr="00A84AA6">
        <w:rPr>
          <w:lang w:val="en-US"/>
        </w:rPr>
        <w:t xml:space="preserve"> </w:t>
      </w:r>
      <w:r w:rsidRPr="00A84AA6">
        <w:rPr>
          <w:noProof/>
        </w:rPr>
        <w:t xml:space="preserve"> </w:t>
      </w:r>
      <w:r w:rsidRPr="00A84AA6">
        <w:rPr>
          <w:lang w:val="en-US"/>
        </w:rPr>
        <w:t>also revealed that the flypaper effect in Sulawesi's regencies and cities originated from DAK, during DAU and DBH.</w:t>
      </w:r>
    </w:p>
    <w:p w:rsidR="00F11C26" w:rsidRPr="00A84AA6" w:rsidRDefault="00F11C26" w:rsidP="00A84AA6">
      <w:pPr>
        <w:pStyle w:val="NormalWeb"/>
        <w:adjustRightInd w:val="0"/>
        <w:snapToGrid w:val="0"/>
        <w:spacing w:before="0" w:beforeAutospacing="0" w:after="0" w:afterAutospacing="0"/>
        <w:ind w:firstLine="709"/>
        <w:jc w:val="both"/>
        <w:rPr>
          <w:lang w:val="en-US"/>
        </w:rPr>
      </w:pPr>
      <w:r w:rsidRPr="00A84AA6">
        <w:rPr>
          <w:lang w:val="en-US"/>
        </w:rPr>
        <w:t xml:space="preserve">Different research results were conducted by </w:t>
      </w:r>
      <w:r w:rsidRPr="00A84AA6">
        <w:fldChar w:fldCharType="begin" w:fldLock="1"/>
      </w:r>
      <w:r w:rsidRPr="00A84AA6">
        <w:instrText>ADDIN CSL_CITATION {"citationItems":[{"id":"ITEM-1","itemData":{"ISBN":"9780470014561","author":[{"dropping-particle":"","family":"Baltagi","given":"Badi H","non-dropping-particle":"","parse-names":false,"suffix":""}],"edition":"Third Edit","id":"ITEM-1","issued":{"date-parts":[["2005"]]},"publisher":"John wiley &amp; Sons, Ltd","publisher-place":"england","title":"Econometric Analysis of Panel Data","type":"book"},"uris":["http://www.mendeley.com/documents/?uuid=c69e4336-0bf7-40f0-891a-4053312552e8"]},{"id":"ITEM-2","itemData":{"author":[{"dropping-particle":"","family":"Kunst","given":"Robert M","non-dropping-particle":"","parse-names":false,"suffix":""}],"id":"ITEM-2","issued":{"date-parts":[["2013"]]},"page":"1-20","title":"Econometric Methods for Panel Data Based on the books by Baltagi : Econometric Analysis of Panel Data and by Hsiao : Analysis of Panel Data Outline Introduction Tests in panel models Poolability tests Testing for the presence of random effects The Hausman","type":"article-journal"},"uris":["http://www.mendeley.com/documents/?uuid=c2f5dcd3-1929-4e2b-b318-81a5e7d683f2"]}],"mendeley":{"formattedCitation":"(Baltagi, 2005; Kunst, 2013)","manualFormatting":"(Baltagi, 2005.; Kunst, 2013.; Hsiao, 2003)","plainTextFormattedCitation":"(Baltagi, 2005; Kunst, 2013)","previouslyFormattedCitation":"(Baltagi, 2005; Kunst, 2013)"},"properties":{"noteIndex":0},"schema":"https://github.com/citation-style-language/schema/raw/master/csl-citation.json"}</w:instrText>
      </w:r>
      <w:r w:rsidRPr="00A84AA6">
        <w:fldChar w:fldCharType="separate"/>
      </w:r>
      <w:r w:rsidRPr="00A84AA6">
        <w:rPr>
          <w:lang w:val="en-US"/>
        </w:rPr>
        <w:t>Iskandar</w:t>
      </w:r>
      <w:r w:rsidRPr="00A84AA6">
        <w:t xml:space="preserve"> </w:t>
      </w:r>
      <w:r w:rsidRPr="00A84AA6">
        <w:rPr>
          <w:lang w:val="en-US"/>
        </w:rPr>
        <w:t>(</w:t>
      </w:r>
      <w:r w:rsidRPr="00A84AA6">
        <w:t>201</w:t>
      </w:r>
      <w:r w:rsidRPr="00A84AA6">
        <w:rPr>
          <w:lang w:val="en-US"/>
        </w:rPr>
        <w:t>2)</w:t>
      </w:r>
      <w:r w:rsidRPr="00A84AA6">
        <w:fldChar w:fldCharType="end"/>
      </w:r>
      <w:r w:rsidRPr="00A84AA6">
        <w:rPr>
          <w:lang w:val="en-US"/>
        </w:rPr>
        <w:t>,</w:t>
      </w:r>
      <w:r w:rsidRPr="00A84AA6">
        <w:rPr>
          <w:bCs/>
          <w:lang w:val="en-US"/>
        </w:rPr>
        <w:t xml:space="preserve"> </w:t>
      </w:r>
      <w:r w:rsidRPr="00A84AA6">
        <w:rPr>
          <w:lang w:val="en-US"/>
        </w:rPr>
        <w:t xml:space="preserve">who examined the flypaper effect on unconditional grants in West Java province. A total of 13 regencies and six cities became the population in this study. The result is that the PAD coefficient value is more significant than unconditional grants, so there is no flypaper effect in the province. </w:t>
      </w:r>
      <w:r w:rsidRPr="00A84AA6">
        <w:fldChar w:fldCharType="begin" w:fldLock="1"/>
      </w:r>
      <w:r w:rsidRPr="00A84AA6">
        <w:instrText>ADDIN CSL_CITATION {"citationItems":[{"id":"ITEM-1","itemData":{"ISBN":"9780470014561","author":[{"dropping-particle":"","family":"Baltagi","given":"Badi H","non-dropping-particle":"","parse-names":false,"suffix":""}],"edition":"Third Edit","id":"ITEM-1","issued":{"date-parts":[["2005"]]},"publisher":"John wiley &amp; Sons, Ltd","publisher-place":"england","title":"Econometric Analysis of Panel Data","type":"book"},"uris":["http://www.mendeley.com/documents/?uuid=c69e4336-0bf7-40f0-891a-4053312552e8"]},{"id":"ITEM-2","itemData":{"author":[{"dropping-particle":"","family":"Kunst","given":"Robert M","non-dropping-particle":"","parse-names":false,"suffix":""}],"id":"ITEM-2","issued":{"date-parts":[["2013"]]},"page":"1-20","title":"Econometric Methods for Panel Data Based on the books by Baltagi : Econometric Analysis of Panel Data and by Hsiao : Analysis of Panel Data Outline Introduction Tests in panel models Poolability tests Testing for the presence of random effects The Hausman","type":"article-journal"},"uris":["http://www.mendeley.com/documents/?uuid=c2f5dcd3-1929-4e2b-b318-81a5e7d683f2"]}],"mendeley":{"formattedCitation":"(Baltagi, 2005; Kunst, 2013)","manualFormatting":"(Baltagi, 2005.; Kunst, 2013.; Hsiao, 2003)","plainTextFormattedCitation":"(Baltagi, 2005; Kunst, 2013)","previouslyFormattedCitation":"(Baltagi, 2005; Kunst, 2013)"},"properties":{"noteIndex":0},"schema":"https://github.com/citation-style-language/schema/raw/master/csl-citation.json"}</w:instrText>
      </w:r>
      <w:r w:rsidRPr="00A84AA6">
        <w:fldChar w:fldCharType="separate"/>
      </w:r>
      <w:r w:rsidRPr="00A84AA6">
        <w:rPr>
          <w:lang w:val="en-US"/>
        </w:rPr>
        <w:t>Nugoho</w:t>
      </w:r>
      <w:r w:rsidRPr="00A84AA6">
        <w:t xml:space="preserve"> </w:t>
      </w:r>
      <w:r w:rsidRPr="00A84AA6">
        <w:rPr>
          <w:lang w:val="en-US"/>
        </w:rPr>
        <w:t>(</w:t>
      </w:r>
      <w:r w:rsidRPr="00A84AA6">
        <w:t>201</w:t>
      </w:r>
      <w:r w:rsidRPr="00A84AA6">
        <w:rPr>
          <w:lang w:val="en-US"/>
        </w:rPr>
        <w:t>7)</w:t>
      </w:r>
      <w:r w:rsidRPr="00A84AA6">
        <w:fldChar w:fldCharType="end"/>
      </w:r>
      <w:r w:rsidRPr="00A84AA6">
        <w:rPr>
          <w:lang w:val="en-US"/>
        </w:rPr>
        <w:t xml:space="preserve"> focuses his research by identifying the flypaper effect on regional expenditure with samples obtained by five regencies and cities in Yogyakarta Province during the 2006-2015 period. The results found were that there was no flypaper effect on expenditures on goods and services because the government tended to meet expenditures on goods and services. </w:t>
      </w:r>
    </w:p>
    <w:p w:rsidR="00F11C26" w:rsidRPr="00A84AA6" w:rsidRDefault="00F11C26" w:rsidP="00A84AA6">
      <w:pPr>
        <w:pStyle w:val="NormalWeb"/>
        <w:adjustRightInd w:val="0"/>
        <w:snapToGrid w:val="0"/>
        <w:spacing w:before="0" w:beforeAutospacing="0" w:after="0" w:afterAutospacing="0"/>
        <w:jc w:val="both"/>
        <w:rPr>
          <w:lang w:val="en-US"/>
        </w:rPr>
      </w:pPr>
    </w:p>
    <w:p w:rsidR="00F11C26" w:rsidRPr="00A84AA6" w:rsidRDefault="00F11C26" w:rsidP="00A84AA6">
      <w:pPr>
        <w:pStyle w:val="NormalWeb"/>
        <w:adjustRightInd w:val="0"/>
        <w:snapToGrid w:val="0"/>
        <w:spacing w:before="0" w:beforeAutospacing="0" w:after="0" w:afterAutospacing="0"/>
        <w:jc w:val="both"/>
        <w:rPr>
          <w:b/>
          <w:bCs/>
          <w:lang w:val="en-US"/>
        </w:rPr>
      </w:pPr>
      <w:r w:rsidRPr="00A84AA6">
        <w:rPr>
          <w:b/>
          <w:bCs/>
          <w:lang w:val="en-US"/>
        </w:rPr>
        <w:t xml:space="preserve">Hypothesis </w:t>
      </w:r>
    </w:p>
    <w:p w:rsidR="000022C9" w:rsidRPr="00D31DFB" w:rsidRDefault="00F11C26" w:rsidP="00A84AA6">
      <w:pPr>
        <w:tabs>
          <w:tab w:val="left" w:pos="0"/>
        </w:tabs>
        <w:adjustRightInd w:val="0"/>
        <w:snapToGrid w:val="0"/>
        <w:ind w:left="567" w:hanging="567"/>
        <w:jc w:val="both"/>
      </w:pPr>
      <w:r w:rsidRPr="00D31DFB">
        <w:t xml:space="preserve">H1: </w:t>
      </w:r>
      <w:proofErr w:type="spellStart"/>
      <w:r w:rsidRPr="00D31DFB">
        <w:t>There</w:t>
      </w:r>
      <w:proofErr w:type="spellEnd"/>
      <w:r w:rsidRPr="00D31DFB">
        <w:t xml:space="preserve"> </w:t>
      </w:r>
      <w:proofErr w:type="spellStart"/>
      <w:r w:rsidRPr="00D31DFB">
        <w:t>is</w:t>
      </w:r>
      <w:proofErr w:type="spellEnd"/>
      <w:r w:rsidRPr="00D31DFB">
        <w:t xml:space="preserve"> a </w:t>
      </w:r>
      <w:proofErr w:type="spellStart"/>
      <w:r w:rsidRPr="00D31DFB">
        <w:t>flypaper</w:t>
      </w:r>
      <w:proofErr w:type="spellEnd"/>
      <w:r w:rsidRPr="00D31DFB">
        <w:t xml:space="preserve"> effect on the relationship between original local government revenue and a balanced budget on local government expenditure in West Kalimantan Province.</w:t>
      </w:r>
    </w:p>
    <w:p w:rsidR="00DA26AF" w:rsidRDefault="00DA26AF" w:rsidP="00A84AA6">
      <w:pPr>
        <w:adjustRightInd w:val="0"/>
        <w:snapToGrid w:val="0"/>
      </w:pPr>
    </w:p>
    <w:p w:rsidR="005C56B0" w:rsidRDefault="005C56B0" w:rsidP="00A84AA6">
      <w:pPr>
        <w:adjustRightInd w:val="0"/>
        <w:snapToGrid w:val="0"/>
      </w:pPr>
    </w:p>
    <w:p w:rsidR="00BA297F" w:rsidRDefault="00BA297F" w:rsidP="00A84AA6">
      <w:pPr>
        <w:adjustRightInd w:val="0"/>
        <w:snapToGrid w:val="0"/>
      </w:pPr>
    </w:p>
    <w:p w:rsidR="00BA297F" w:rsidRPr="00D31DFB" w:rsidRDefault="00BA297F" w:rsidP="00A84AA6">
      <w:pPr>
        <w:adjustRightInd w:val="0"/>
        <w:snapToGrid w:val="0"/>
      </w:pPr>
    </w:p>
    <w:p w:rsidR="00A84AA6" w:rsidRPr="00D31DFB" w:rsidRDefault="00A84AA6" w:rsidP="00A84AA6">
      <w:pPr>
        <w:adjustRightInd w:val="0"/>
        <w:snapToGrid w:val="0"/>
        <w:rPr>
          <w:b/>
          <w:bCs/>
        </w:rPr>
      </w:pPr>
      <w:r w:rsidRPr="00D31DFB">
        <w:rPr>
          <w:b/>
          <w:bCs/>
        </w:rPr>
        <w:lastRenderedPageBreak/>
        <w:t xml:space="preserve">METHODOLOGY </w:t>
      </w:r>
    </w:p>
    <w:p w:rsidR="00A84AA6" w:rsidRPr="00D31DFB" w:rsidRDefault="00A84AA6" w:rsidP="00A84AA6">
      <w:pPr>
        <w:tabs>
          <w:tab w:val="left" w:pos="567"/>
          <w:tab w:val="left" w:pos="709"/>
        </w:tabs>
        <w:adjustRightInd w:val="0"/>
        <w:snapToGrid w:val="0"/>
        <w:jc w:val="both"/>
      </w:pPr>
      <w:r w:rsidRPr="00D31DFB">
        <w:tab/>
      </w:r>
      <w:r w:rsidRPr="00D31DFB">
        <w:tab/>
        <w:t xml:space="preserve">The data in this study are </w:t>
      </w:r>
      <w:proofErr w:type="spellStart"/>
      <w:r w:rsidRPr="00D31DFB">
        <w:t>annually</w:t>
      </w:r>
      <w:proofErr w:type="spellEnd"/>
      <w:r w:rsidRPr="00D31DFB">
        <w:t xml:space="preserve"> </w:t>
      </w:r>
      <w:proofErr w:type="spellStart"/>
      <w:r w:rsidRPr="00D31DFB">
        <w:t>secondary</w:t>
      </w:r>
      <w:proofErr w:type="spellEnd"/>
      <w:r w:rsidRPr="00D31DFB">
        <w:t xml:space="preserve"> data </w:t>
      </w:r>
      <w:proofErr w:type="spellStart"/>
      <w:r w:rsidRPr="00D31DFB">
        <w:t>covers</w:t>
      </w:r>
      <w:proofErr w:type="spellEnd"/>
      <w:r w:rsidRPr="00D31DFB">
        <w:t xml:space="preserve"> 14 </w:t>
      </w:r>
      <w:proofErr w:type="spellStart"/>
      <w:r w:rsidRPr="00D31DFB">
        <w:t>regions</w:t>
      </w:r>
      <w:proofErr w:type="spellEnd"/>
      <w:r w:rsidRPr="00D31DFB">
        <w:t xml:space="preserve">, </w:t>
      </w:r>
      <w:proofErr w:type="spellStart"/>
      <w:r w:rsidRPr="00D31DFB">
        <w:t>namely</w:t>
      </w:r>
      <w:proofErr w:type="spellEnd"/>
      <w:r w:rsidRPr="00D31DFB">
        <w:t xml:space="preserve"> Sambas, Bengkayang, Landak, Mempawah, Sanggau, Ketapang, Sintang, Kapuas Hulu, Sekadau, Melawi, </w:t>
      </w:r>
      <w:proofErr w:type="spellStart"/>
      <w:r w:rsidRPr="00D31DFB">
        <w:t>Kayong</w:t>
      </w:r>
      <w:proofErr w:type="spellEnd"/>
      <w:r w:rsidRPr="00D31DFB">
        <w:t xml:space="preserve"> Utara, Kubu Raya, Pontianak, </w:t>
      </w:r>
      <w:proofErr w:type="spellStart"/>
      <w:r w:rsidRPr="00D31DFB">
        <w:t>and</w:t>
      </w:r>
      <w:proofErr w:type="spellEnd"/>
      <w:r w:rsidRPr="00D31DFB">
        <w:t xml:space="preserve"> Singkawang </w:t>
      </w:r>
      <w:proofErr w:type="spellStart"/>
      <w:r w:rsidRPr="00D31DFB">
        <w:t>from</w:t>
      </w:r>
      <w:proofErr w:type="spellEnd"/>
      <w:r w:rsidRPr="00D31DFB">
        <w:t xml:space="preserve"> </w:t>
      </w:r>
      <w:proofErr w:type="spellStart"/>
      <w:r w:rsidRPr="00D31DFB">
        <w:t>West</w:t>
      </w:r>
      <w:proofErr w:type="spellEnd"/>
      <w:r w:rsidRPr="00D31DFB">
        <w:t xml:space="preserve"> Kalimantan Province obtained from Indonesian Statistic Publication and Finance Ministry Publication between 2013 and 2018. This research focuses on examining the effect of original local government revenue and a balanced Budget on local government expenditure in West Kalimantan Province.</w:t>
      </w:r>
    </w:p>
    <w:p w:rsidR="00A84AA6" w:rsidRPr="00D31DFB" w:rsidRDefault="00A84AA6" w:rsidP="00A84AA6">
      <w:pPr>
        <w:adjustRightInd w:val="0"/>
        <w:snapToGrid w:val="0"/>
        <w:ind w:firstLine="720"/>
        <w:jc w:val="both"/>
      </w:pPr>
      <w:r w:rsidRPr="00D31DFB">
        <w:t xml:space="preserve">This study's dependent variable is government spending, defined as each region's total spending in Indonesian rupiah (IDR). In contrast, the explanatory variables are original local government revenue (PAD), the total amount of general allocation fund (DAU), special allocation fund (DAK), and sharing fund (DBH) by each region in the Indonesian Rupiah (IDR), respectively. This research uses panel regression to analyze to utilize this objective. </w:t>
      </w:r>
    </w:p>
    <w:p w:rsidR="00A84AA6" w:rsidRPr="00D31DFB" w:rsidRDefault="00A84AA6" w:rsidP="00A84AA6">
      <w:pPr>
        <w:adjustRightInd w:val="0"/>
        <w:snapToGrid w:val="0"/>
        <w:ind w:firstLine="720"/>
        <w:jc w:val="both"/>
      </w:pPr>
      <w:r w:rsidRPr="00D31DFB">
        <w:t xml:space="preserve">Several advantages are using panel data. Firstly, using panel data can give a large number of observations and increase the degree of freedom. Second, it also benefits to reduce the collinearity within the independent variables, therefore, improve the estimation of the variables. Third, panel data controls the individual heterogeneity. </w:t>
      </w:r>
      <w:proofErr w:type="spellStart"/>
      <w:r w:rsidRPr="00D31DFB">
        <w:t>Fourth</w:t>
      </w:r>
      <w:proofErr w:type="spellEnd"/>
      <w:r w:rsidRPr="00D31DFB">
        <w:t xml:space="preserve">, Panel data are better able to study the dynamics of adjustment. Fifth, It can identify and measure effects that could not be better detected in pure time series or cross-sectional data. It allows us to build and test more complex behavioral models. Sixth, the data generated in panel data makes it possible to obtain more precise predictions for individual results than time-series data alone. However, panel data also has some disadvantages: heterogeneity bias, selectivity bias, and cross-section dependence </w:t>
      </w:r>
      <w:r w:rsidRPr="00D31DFB">
        <w:fldChar w:fldCharType="begin" w:fldLock="1"/>
      </w:r>
      <w:r w:rsidRPr="00D31DFB">
        <w:instrText>ADDIN CSL_CITATION {"citationItems":[{"id":"ITEM-1","itemData":{"ISBN":"9780470014561","author":[{"dropping-particle":"","family":"Baltagi","given":"Badi H","non-dropping-particle":"","parse-names":false,"suffix":""}],"edition":"Third Edit","id":"ITEM-1","issued":{"date-parts":[["2005"]]},"publisher":"John wiley &amp; Sons, Ltd","publisher-place":"england","title":"Econometric Analysis of Panel Data","type":"book"},"uris":["http://www.mendeley.com/documents/?uuid=c69e4336-0bf7-40f0-891a-4053312552e8"]},{"id":"ITEM-2","itemData":{"DOI":"10.1016/0014-2921(89)90131-1","ISSN":"00142921","author":[{"dropping-particle":"","family":"Klevmarken","given":"N. Anders","non-dropping-particle":"","parse-names":false,"suffix":""}],"container-title":"European Economic Review","id":"ITEM-2","issue":"2-3","issued":{"date-parts":[["1989","3","1"]]},"page":"523-529","publisher":"North-Holland","title":"Panel Studies: What We Can Learn from them? Introduction","type":"article-journal","volume":"33"},"uris":["http://www.mendeley.com/documents/?uuid=0b209aaa-8f1c-3c5c-b497-22df6dc99d5a"]},{"id":"ITEM-3","itemData":{"DOI":"10.5771/9783845289892-15","ISBN":"1566396581","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approach.","author":[{"dropping-particle":"","family":"Hsiao","given":"Cheng","non-dropping-particle":"","parse-names":false,"suffix":""}],"container-title":"Cambridge University Press","id":"ITEM-3","issued":{"date-parts":[["2003"]]},"title":"Analysis of Panel Data Second Edition","type":"book"},"uris":["http://www.mendeley.com/documents/?uuid=cdc7d8d1-38d5-4548-80ff-c1afffcf29e5"]}],"mendeley":{"formattedCitation":"(Baltagi, 2005; Hsiao, 2003; Klevmarken, 1989)","plainTextFormattedCitation":"(Baltagi, 2005; Hsiao, 2003; Klevmarken, 1989)","previouslyFormattedCitation":"(Baltagi, 2005; Hsiao, 2003; Klevmarken, 1989)"},"properties":{"noteIndex":0},"schema":"https://github.com/citation-style-language/schema/raw/master/csl-citation.json"}</w:instrText>
      </w:r>
      <w:r w:rsidRPr="00D31DFB">
        <w:fldChar w:fldCharType="separate"/>
      </w:r>
      <w:r w:rsidRPr="00D31DFB">
        <w:rPr>
          <w:noProof/>
        </w:rPr>
        <w:t>(Klevmarken, 1989; Hsiao, 2003; Baltagi, 2005)</w:t>
      </w:r>
      <w:r w:rsidRPr="00D31DFB">
        <w:fldChar w:fldCharType="end"/>
      </w:r>
      <w:r w:rsidRPr="00D31DFB">
        <w:t xml:space="preserve">. Although it has some limitations, panel data is the most suitable for used in this model as it combines both cross-section and time-series to analyze the objective. </w:t>
      </w:r>
    </w:p>
    <w:p w:rsidR="00A84AA6" w:rsidRPr="00D31DFB" w:rsidRDefault="00A84AA6" w:rsidP="00A84AA6">
      <w:pPr>
        <w:adjustRightInd w:val="0"/>
        <w:snapToGrid w:val="0"/>
        <w:jc w:val="both"/>
      </w:pPr>
    </w:p>
    <w:p w:rsidR="00A84AA6" w:rsidRPr="00D31DFB" w:rsidRDefault="00A84AA6" w:rsidP="00A84AA6">
      <w:pPr>
        <w:adjustRightInd w:val="0"/>
        <w:snapToGrid w:val="0"/>
        <w:jc w:val="both"/>
        <w:rPr>
          <w:b/>
          <w:bCs/>
        </w:rPr>
      </w:pPr>
      <w:r w:rsidRPr="00D31DFB">
        <w:rPr>
          <w:b/>
          <w:bCs/>
        </w:rPr>
        <w:t xml:space="preserve">Panel Regression Model </w:t>
      </w:r>
    </w:p>
    <w:p w:rsidR="00A84AA6" w:rsidRPr="00D31DFB" w:rsidRDefault="00A84AA6" w:rsidP="00A84AA6">
      <w:pPr>
        <w:adjustRightInd w:val="0"/>
        <w:snapToGrid w:val="0"/>
        <w:jc w:val="both"/>
      </w:pPr>
      <w:r w:rsidRPr="00D31DFB">
        <w:fldChar w:fldCharType="begin" w:fldLock="1"/>
      </w:r>
      <w:r w:rsidRPr="00D31DFB">
        <w:instrText>ADDIN CSL_CITATION {"citationItems":[{"id":"ITEM-1","itemData":{"abstract":"Pannel data","author":[{"dropping-particle":"","family":"Oscar","given":"Torres-reyna","non-dropping-particle":"","parse-names":false,"suffix":""}],"container-title":"Data and Statistical Services","id":"ITEM-1","issue":"December","issued":{"date-parts":[["2010"]]},"page":"1-40","title":"Panel data analysis fixed and random effects using Stata","type":"article-journal","volume":"3"},"uris":["http://www.mendeley.com/documents/?uuid=01236149-8206-4d61-ac13-628ff1f08d12"]},{"id":"ITEM-2","itemData":{"DOI":"10.5923/j.statistics.20170706.01","author":[{"dropping-particle":"","family":"Nwakuya","given":"M T","non-dropping-particle":"","parse-names":false,"suffix":""},{"dropping-particle":"","family":"Ijomah","given":"M A","non-dropping-particle":"","parse-names":false,"suffix":""}],"container-title":"International Journal of Statistics and Applications","id":"ITEM-2","issue":"6","issued":{"date-parts":[["2017"]]},"page":"275-279","title":"Fixed Effect Versus Random Effects Modeling in a Panel Data Analysis; A Consideration of Economic and Political Indicators in Six African Countries","type":"article-journal","volume":"7"},"uris":["http://www.mendeley.com/documents/?uuid=db5d8ba2-e558-4731-b651-036bd86154a2"]},{"id":"ITEM-3","itemData":{"DOI":"10.7232/iems.2019.18.3.495","ISSN":"22346473","abstract":"Poverty and income inequality are being one of the most challenging issues in many developing countries, including Indonesia. Considering the higher level of the poverty rate in Indonesia, the study about poverty reduction is crucial and currently under discussion in previous studies. Thus, this study is written to examine what is education and health budgets could be reducing the poverty rate in Indonesia. The study utilizes annual data gathered from the Central Bureau of Statistics over the 2007-2017 period and analyzed using panel data by assisting the Eviews-10. The empirical result finds that the budget allocated for education and health significantly reduce the poverty rate in Indonesia. Therefore, it is suggested that to further reduce the poverty level, the government should allocate more budget of education and health for the poor and there is a need to monitor the public service performance with the aim the allocation of expenditure can be more efficient and effective. Besides, it is necessary to increase the number of pro-poor programs such as free public health and education insurance to fulfill the basic needs of the poor.","author":[{"dropping-particle":"","family":"Muhammad","given":"Said","non-dropping-particle":"","parse-names":false,"suffix":""},{"dropping-particle":"","family":"Zulham","given":"T.","non-dropping-particle":"","parse-names":false,"suffix":""},{"dropping-particle":"","family":"Sapha","given":"Diana","non-dropping-particle":"","parse-names":false,"suffix":""},{"dropping-particle":"","family":"Fitriyani","given":"","non-dropping-particle":"","parse-names":false,"suffix":""},{"dropping-particle":"","family":"Saputra","given":"Jumadil","non-dropping-particle":"","parse-names":false,"suffix":""}],"container-title":"Industrial Engineering and Management Systems","id":"ITEM-3","issue":"3","issued":{"date-parts":[["2019"]]},"page":"495-500","title":"Investigating the public spending and economical growth on the poverty reduction in Indonesia","type":"article-journal","volume":"18"},"uris":["http://www.mendeley.com/documents/?uuid=89433772-fc21-4da3-8ef7-5d8d378729bc"]}],"mendeley":{"formattedCitation":"(Muhammad et al., 2019; Nwakuya &amp; Ijomah, 2017; Oscar, 2010)","manualFormatting":"(Baltagi, 2005)","plainTextFormattedCitation":"(Muhammad et al., 2019; Nwakuya &amp; Ijomah, 2017; Oscar, 2010)","previouslyFormattedCitation":"(Muhammad et al., 2019; Nwakuya &amp; Ijomah, 2017; Oscar, 2010)"},"properties":{"noteIndex":0},"schema":"https://github.com/citation-style-language/schema/raw/master/csl-citation.json"}</w:instrText>
      </w:r>
      <w:r w:rsidRPr="00D31DFB">
        <w:fldChar w:fldCharType="separate"/>
      </w:r>
      <w:r w:rsidRPr="00D31DFB">
        <w:rPr>
          <w:noProof/>
        </w:rPr>
        <w:t>Baltagi, (2005)</w:t>
      </w:r>
      <w:r w:rsidRPr="00D31DFB">
        <w:fldChar w:fldCharType="end"/>
      </w:r>
      <w:r w:rsidRPr="00D31DFB">
        <w:t xml:space="preserve"> described the panel regression model which can be written as: </w:t>
      </w:r>
    </w:p>
    <w:p w:rsidR="00A84AA6" w:rsidRPr="00D31DFB" w:rsidRDefault="00172CBF" w:rsidP="005A7C47">
      <w:pPr>
        <w:adjustRightInd w:val="0"/>
        <w:snapToGrid w:val="0"/>
        <w:ind w:firstLine="1560"/>
        <w:jc w:val="both"/>
        <w:rPr>
          <w:rFonts w:eastAsiaTheme="minorEastAsia"/>
        </w:rPr>
      </w:pPr>
      <m:oMath>
        <m:sSub>
          <m:sSubPr>
            <m:ctrlPr>
              <w:rPr>
                <w:rFonts w:ascii="Cambria Math" w:hAnsi="Cambria Math"/>
              </w:rPr>
            </m:ctrlPr>
          </m:sSubPr>
          <m:e>
            <m:r>
              <m:rPr>
                <m:sty m:val="p"/>
              </m:rPr>
              <w:rPr>
                <w:rFonts w:ascii="Cambria Math" w:hAnsi="Cambria Math"/>
              </w:rPr>
              <m:t>Y</m:t>
            </m:r>
          </m:e>
          <m:sub>
            <m:r>
              <m:rPr>
                <m:sty m:val="p"/>
              </m:rPr>
              <w:rPr>
                <w:rFonts w:ascii="Cambria Math" w:hAnsi="Cambria Math"/>
              </w:rPr>
              <m:t>it</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1</m:t>
            </m:r>
          </m:sub>
        </m:sSub>
        <m:sSub>
          <m:sSubPr>
            <m:ctrlPr>
              <w:rPr>
                <w:rFonts w:ascii="Cambria Math" w:hAnsi="Cambria Math"/>
              </w:rPr>
            </m:ctrlPr>
          </m:sSubPr>
          <m:e>
            <m:r>
              <m:rPr>
                <m:sty m:val="p"/>
              </m:rPr>
              <w:rPr>
                <w:rFonts w:ascii="Cambria Math" w:hAnsi="Cambria Math"/>
              </w:rPr>
              <m:t>X</m:t>
            </m:r>
          </m:e>
          <m:sub>
            <m:r>
              <m:rPr>
                <m:sty m:val="p"/>
              </m:rPr>
              <w:rPr>
                <w:rFonts w:ascii="Cambria Math" w:hAnsi="Cambria Math"/>
              </w:rPr>
              <m:t>1it</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X</m:t>
            </m:r>
          </m:e>
          <m:sub>
            <m:r>
              <m:rPr>
                <m:sty m:val="p"/>
              </m:rPr>
              <w:rPr>
                <w:rFonts w:ascii="Cambria Math" w:hAnsi="Cambria Math"/>
              </w:rPr>
              <m:t>2it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n</m:t>
            </m:r>
          </m:sub>
        </m:sSub>
        <m:sSub>
          <m:sSubPr>
            <m:ctrlPr>
              <w:rPr>
                <w:rFonts w:ascii="Cambria Math" w:hAnsi="Cambria Math"/>
              </w:rPr>
            </m:ctrlPr>
          </m:sSubPr>
          <m:e>
            <m:r>
              <m:rPr>
                <m:sty m:val="p"/>
              </m:rPr>
              <w:rPr>
                <w:rFonts w:ascii="Cambria Math" w:hAnsi="Cambria Math"/>
              </w:rPr>
              <m:t>X</m:t>
            </m:r>
          </m:e>
          <m:sub>
            <m:r>
              <m:rPr>
                <m:sty m:val="p"/>
              </m:rPr>
              <w:rPr>
                <w:rFonts w:ascii="Cambria Math" w:hAnsi="Cambria Math"/>
              </w:rPr>
              <m:t>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ε</m:t>
            </m:r>
          </m:e>
          <m:sub>
            <m:r>
              <m:rPr>
                <m:sty m:val="p"/>
              </m:rPr>
              <w:rPr>
                <w:rFonts w:ascii="Cambria Math" w:hAnsi="Cambria Math"/>
              </w:rPr>
              <m:t>it</m:t>
            </m:r>
          </m:sub>
        </m:sSub>
        <m:r>
          <m:rPr>
            <m:sty m:val="p"/>
          </m:rPr>
          <w:rPr>
            <w:rFonts w:ascii="Cambria Math" w:hAnsi="Cambria Math"/>
          </w:rPr>
          <m:t>~IID</m:t>
        </m:r>
        <m:r>
          <m:rPr>
            <m:sty m:val="p"/>
          </m:rPr>
          <w:rPr>
            <w:rFonts w:ascii="Cambria Math" w:eastAsiaTheme="minorEastAsia" w:hAnsi="Cambria Math"/>
          </w:rPr>
          <m:t>(0, s2u)</m:t>
        </m:r>
      </m:oMath>
      <w:r w:rsidR="005A7C47" w:rsidRPr="00D31DFB">
        <w:rPr>
          <w:rFonts w:eastAsiaTheme="minorEastAsia"/>
        </w:rPr>
        <w:tab/>
      </w:r>
      <w:r w:rsidR="005A7C47" w:rsidRPr="00D31DFB">
        <w:rPr>
          <w:rFonts w:eastAsiaTheme="minorEastAsia"/>
        </w:rPr>
        <w:tab/>
        <w:t xml:space="preserve">  (1)</w:t>
      </w:r>
    </w:p>
    <w:p w:rsidR="00A84AA6" w:rsidRPr="00D31DFB" w:rsidRDefault="00A84AA6" w:rsidP="00A84AA6">
      <w:pPr>
        <w:adjustRightInd w:val="0"/>
        <w:snapToGrid w:val="0"/>
        <w:jc w:val="both"/>
      </w:pPr>
      <w:r w:rsidRPr="00D31DFB">
        <w:t>Panel data in this study can be inscribed as:</w:t>
      </w:r>
    </w:p>
    <w:p w:rsidR="00A84AA6" w:rsidRPr="00D31DFB" w:rsidRDefault="00D31DFB" w:rsidP="002471A3">
      <w:pPr>
        <w:adjustRightInd w:val="0"/>
        <w:snapToGrid w:val="0"/>
        <w:ind w:firstLine="1276"/>
        <w:jc w:val="both"/>
        <w:rPr>
          <w:rFonts w:eastAsiaTheme="minorEastAsia"/>
        </w:rPr>
      </w:pPr>
      <m:oMath>
        <m:r>
          <m:rPr>
            <m:sty m:val="p"/>
          </m:rPr>
          <w:rPr>
            <w:rFonts w:ascii="Cambria Math" w:hAnsi="Cambria Math"/>
          </w:rPr>
          <m:t xml:space="preserve">Gov= </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PAD</m:t>
            </m:r>
          </m:e>
          <m:sub>
            <m:r>
              <m:rPr>
                <m:sty m:val="p"/>
              </m:rPr>
              <w:rPr>
                <w:rFonts w:ascii="Cambria Math" w:hAnsi="Cambria Math"/>
              </w:rPr>
              <m:t>1</m:t>
            </m:r>
          </m:sub>
        </m:sSub>
        <m:sSub>
          <m:sSubPr>
            <m:ctrlPr>
              <w:rPr>
                <w:rFonts w:ascii="Cambria Math" w:hAnsi="Cambria Math"/>
              </w:rPr>
            </m:ctrlPr>
          </m:sSubPr>
          <m:e>
            <m:r>
              <m:rPr>
                <m:sty m:val="p"/>
              </m:rPr>
              <w:rPr>
                <w:rFonts w:ascii="Cambria Math" w:hAnsi="Cambria Math"/>
              </w:rPr>
              <m:t>X</m:t>
            </m:r>
          </m:e>
          <m:sub>
            <m:r>
              <m:rPr>
                <m:sty m:val="p"/>
              </m:rPr>
              <w:rPr>
                <w:rFonts w:ascii="Cambria Math" w:hAnsi="Cambria Math"/>
              </w:rPr>
              <m:t>1it</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DAU</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X</m:t>
            </m:r>
          </m:e>
          <m:sub>
            <m:r>
              <m:rPr>
                <m:sty m:val="p"/>
              </m:rPr>
              <w:rPr>
                <w:rFonts w:ascii="Cambria Math" w:hAnsi="Cambria Math"/>
              </w:rPr>
              <m:t>2it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DAK</m:t>
            </m:r>
          </m:e>
          <m:sub>
            <m:r>
              <m:rPr>
                <m:sty m:val="p"/>
              </m:rPr>
              <w:rPr>
                <w:rFonts w:ascii="Cambria Math" w:hAnsi="Cambria Math"/>
              </w:rPr>
              <m:t>3</m:t>
            </m:r>
          </m:sub>
        </m:sSub>
        <m:sSub>
          <m:sSubPr>
            <m:ctrlPr>
              <w:rPr>
                <w:rFonts w:ascii="Cambria Math" w:hAnsi="Cambria Math"/>
              </w:rPr>
            </m:ctrlPr>
          </m:sSubPr>
          <m:e>
            <m:r>
              <m:rPr>
                <m:sty m:val="p"/>
              </m:rPr>
              <w:rPr>
                <w:rFonts w:ascii="Cambria Math" w:hAnsi="Cambria Math"/>
              </w:rPr>
              <m:t>X</m:t>
            </m:r>
          </m:e>
          <m:sub>
            <m:r>
              <m:rPr>
                <m:sty m:val="p"/>
              </m:rPr>
              <w:rPr>
                <w:rFonts w:ascii="Cambria Math" w:hAnsi="Cambria Math"/>
              </w:rPr>
              <m:t>3it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DBH</m:t>
            </m:r>
          </m:e>
          <m:sub>
            <m:r>
              <m:rPr>
                <m:sty m:val="p"/>
              </m:rPr>
              <w:rPr>
                <w:rFonts w:ascii="Cambria Math" w:hAnsi="Cambria Math"/>
              </w:rPr>
              <m:t>3</m:t>
            </m:r>
          </m:sub>
        </m:sSub>
        <m:sSub>
          <m:sSubPr>
            <m:ctrlPr>
              <w:rPr>
                <w:rFonts w:ascii="Cambria Math" w:hAnsi="Cambria Math"/>
              </w:rPr>
            </m:ctrlPr>
          </m:sSubPr>
          <m:e>
            <m:r>
              <m:rPr>
                <m:sty m:val="p"/>
              </m:rPr>
              <w:rPr>
                <w:rFonts w:ascii="Cambria Math" w:hAnsi="Cambria Math"/>
              </w:rPr>
              <m:t>X</m:t>
            </m:r>
          </m:e>
          <m:sub>
            <m:r>
              <m:rPr>
                <m:sty m:val="p"/>
              </m:rPr>
              <w:rPr>
                <w:rFonts w:ascii="Cambria Math" w:hAnsi="Cambria Math"/>
              </w:rPr>
              <m:t>3it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ε</m:t>
            </m:r>
          </m:e>
          <m:sub>
            <m:r>
              <m:rPr>
                <m:sty m:val="p"/>
              </m:rPr>
              <w:rPr>
                <w:rFonts w:ascii="Cambria Math" w:hAnsi="Cambria Math"/>
              </w:rPr>
              <m:t>it</m:t>
            </m:r>
          </m:sub>
        </m:sSub>
      </m:oMath>
      <w:r w:rsidR="002471A3" w:rsidRPr="00D31DFB">
        <w:rPr>
          <w:rFonts w:eastAsiaTheme="minorEastAsia"/>
        </w:rPr>
        <w:tab/>
        <w:t xml:space="preserve">           </w:t>
      </w:r>
      <w:r w:rsidR="002471A3" w:rsidRPr="00D31DFB">
        <w:rPr>
          <w:rFonts w:eastAsiaTheme="minorEastAsia"/>
        </w:rPr>
        <w:tab/>
        <w:t xml:space="preserve">  (2)</w:t>
      </w:r>
    </w:p>
    <w:p w:rsidR="002471A3" w:rsidRPr="00D31DFB" w:rsidRDefault="002471A3" w:rsidP="002471A3">
      <w:pPr>
        <w:adjustRightInd w:val="0"/>
        <w:snapToGrid w:val="0"/>
        <w:ind w:firstLine="1276"/>
        <w:jc w:val="both"/>
        <w:rPr>
          <w:rFonts w:eastAsiaTheme="minorEastAsia"/>
        </w:rPr>
      </w:pPr>
    </w:p>
    <w:p w:rsidR="00A84AA6" w:rsidRPr="00D31DFB" w:rsidRDefault="00A84AA6" w:rsidP="00A84AA6">
      <w:pPr>
        <w:adjustRightInd w:val="0"/>
        <w:snapToGrid w:val="0"/>
        <w:jc w:val="both"/>
      </w:pPr>
      <w:r w:rsidRPr="00D31DFB">
        <w:t xml:space="preserve">Explanation: </w:t>
      </w:r>
    </w:p>
    <w:p w:rsidR="00A84AA6" w:rsidRPr="00D31DFB" w:rsidRDefault="00A84AA6" w:rsidP="00A84AA6">
      <w:pPr>
        <w:adjustRightInd w:val="0"/>
        <w:snapToGrid w:val="0"/>
        <w:jc w:val="both"/>
      </w:pPr>
      <w:r w:rsidRPr="00D31DFB">
        <w:t xml:space="preserve">Gov </w:t>
      </w:r>
      <w:r w:rsidRPr="00D31DFB">
        <w:tab/>
        <w:t xml:space="preserve">: the total of government spending </w:t>
      </w:r>
    </w:p>
    <w:p w:rsidR="00A84AA6" w:rsidRPr="00B54640" w:rsidRDefault="00A84AA6" w:rsidP="00A84AA6">
      <w:pPr>
        <w:adjustRightInd w:val="0"/>
        <w:snapToGrid w:val="0"/>
        <w:jc w:val="both"/>
        <w:rPr>
          <w:lang w:val="en-US"/>
        </w:rPr>
      </w:pPr>
      <w:r w:rsidRPr="00D31DFB">
        <w:t xml:space="preserve">PAD </w:t>
      </w:r>
      <w:r w:rsidRPr="00D31DFB">
        <w:tab/>
        <w:t xml:space="preserve">: </w:t>
      </w:r>
      <w:r w:rsidR="00B54640">
        <w:rPr>
          <w:lang w:val="en-US"/>
        </w:rPr>
        <w:t>original local government revenue</w:t>
      </w:r>
    </w:p>
    <w:p w:rsidR="00A84AA6" w:rsidRPr="00D31DFB" w:rsidRDefault="00A84AA6" w:rsidP="00A84AA6">
      <w:pPr>
        <w:adjustRightInd w:val="0"/>
        <w:snapToGrid w:val="0"/>
        <w:jc w:val="both"/>
      </w:pPr>
      <w:r w:rsidRPr="00D31DFB">
        <w:t xml:space="preserve">DAU </w:t>
      </w:r>
      <w:r w:rsidRPr="00D31DFB">
        <w:tab/>
        <w:t xml:space="preserve">: </w:t>
      </w:r>
      <w:proofErr w:type="spellStart"/>
      <w:r w:rsidRPr="00D31DFB">
        <w:t>general</w:t>
      </w:r>
      <w:proofErr w:type="spellEnd"/>
      <w:r w:rsidRPr="00D31DFB">
        <w:t xml:space="preserve"> </w:t>
      </w:r>
      <w:proofErr w:type="spellStart"/>
      <w:r w:rsidRPr="00D31DFB">
        <w:t>allocation</w:t>
      </w:r>
      <w:proofErr w:type="spellEnd"/>
      <w:r w:rsidRPr="00D31DFB">
        <w:t xml:space="preserve"> </w:t>
      </w:r>
      <w:proofErr w:type="spellStart"/>
      <w:r w:rsidRPr="00D31DFB">
        <w:t>fund</w:t>
      </w:r>
      <w:proofErr w:type="spellEnd"/>
    </w:p>
    <w:p w:rsidR="00A84AA6" w:rsidRPr="00D31DFB" w:rsidRDefault="00A84AA6" w:rsidP="00A84AA6">
      <w:pPr>
        <w:adjustRightInd w:val="0"/>
        <w:snapToGrid w:val="0"/>
        <w:jc w:val="both"/>
      </w:pPr>
      <w:r w:rsidRPr="00D31DFB">
        <w:t xml:space="preserve">DAK </w:t>
      </w:r>
      <w:r w:rsidRPr="00D31DFB">
        <w:tab/>
        <w:t>: specific allocation fund</w:t>
      </w:r>
    </w:p>
    <w:p w:rsidR="00A84AA6" w:rsidRPr="00D31DFB" w:rsidRDefault="00A84AA6" w:rsidP="00A84AA6">
      <w:pPr>
        <w:adjustRightInd w:val="0"/>
        <w:snapToGrid w:val="0"/>
        <w:jc w:val="both"/>
      </w:pPr>
      <w:r w:rsidRPr="00D31DFB">
        <w:t xml:space="preserve">DBH </w:t>
      </w:r>
      <w:r w:rsidRPr="00D31DFB">
        <w:tab/>
        <w:t>: the revenue sharing fund, respectively</w:t>
      </w:r>
    </w:p>
    <w:p w:rsidR="00A84AA6" w:rsidRPr="00D31DFB" w:rsidRDefault="00A84AA6" w:rsidP="00A84AA6">
      <w:pPr>
        <w:adjustRightInd w:val="0"/>
        <w:snapToGrid w:val="0"/>
        <w:jc w:val="both"/>
      </w:pPr>
      <w:r w:rsidRPr="00D31DFB">
        <w:t xml:space="preserve">i </w:t>
      </w:r>
      <w:r w:rsidRPr="00D31DFB">
        <w:tab/>
        <w:t>: I 15 regions in West Kalimantan, Indonesia (i = 1, ..., 15)</w:t>
      </w:r>
    </w:p>
    <w:p w:rsidR="00A84AA6" w:rsidRPr="00D31DFB" w:rsidRDefault="00A84AA6" w:rsidP="00A84AA6">
      <w:pPr>
        <w:adjustRightInd w:val="0"/>
        <w:snapToGrid w:val="0"/>
        <w:jc w:val="both"/>
      </w:pPr>
      <w:r w:rsidRPr="00D31DFB">
        <w:t xml:space="preserve">t </w:t>
      </w:r>
      <w:r w:rsidRPr="00D31DFB">
        <w:tab/>
        <w:t xml:space="preserve">: </w:t>
      </w:r>
      <w:proofErr w:type="spellStart"/>
      <w:r w:rsidRPr="00D31DFB">
        <w:t>t</w:t>
      </w:r>
      <w:r w:rsidRPr="00D31DFB">
        <w:rPr>
          <w:vertAlign w:val="superscript"/>
        </w:rPr>
        <w:t>th</w:t>
      </w:r>
      <w:proofErr w:type="spellEnd"/>
      <w:r w:rsidRPr="00D31DFB">
        <w:t xml:space="preserve"> </w:t>
      </w:r>
      <w:proofErr w:type="spellStart"/>
      <w:r w:rsidRPr="00D31DFB">
        <w:t>time</w:t>
      </w:r>
      <w:proofErr w:type="spellEnd"/>
      <w:r w:rsidRPr="00D31DFB">
        <w:t xml:space="preserve"> </w:t>
      </w:r>
      <w:proofErr w:type="spellStart"/>
      <w:r w:rsidRPr="00D31DFB">
        <w:t>period</w:t>
      </w:r>
      <w:proofErr w:type="spellEnd"/>
      <w:r w:rsidRPr="00D31DFB">
        <w:t>, i = 1, ..,t (2013-2018).</w:t>
      </w:r>
    </w:p>
    <w:p w:rsidR="00A84AA6" w:rsidRPr="00D31DFB" w:rsidRDefault="00A84AA6" w:rsidP="00A84AA6">
      <w:pPr>
        <w:adjustRightInd w:val="0"/>
        <w:snapToGrid w:val="0"/>
        <w:jc w:val="both"/>
      </w:pPr>
    </w:p>
    <w:p w:rsidR="00A84AA6" w:rsidRPr="00D31DFB" w:rsidRDefault="00A84AA6" w:rsidP="00A84AA6">
      <w:pPr>
        <w:adjustRightInd w:val="0"/>
        <w:snapToGrid w:val="0"/>
        <w:jc w:val="both"/>
        <w:rPr>
          <w:b/>
          <w:bCs/>
        </w:rPr>
      </w:pPr>
      <w:r w:rsidRPr="00D31DFB">
        <w:rPr>
          <w:b/>
          <w:bCs/>
        </w:rPr>
        <w:t>Fixed and Random Effect Models</w:t>
      </w:r>
    </w:p>
    <w:p w:rsidR="00A84AA6" w:rsidRPr="00D31DFB" w:rsidRDefault="00A84AA6" w:rsidP="00A84AA6">
      <w:pPr>
        <w:adjustRightInd w:val="0"/>
        <w:snapToGrid w:val="0"/>
        <w:jc w:val="both"/>
      </w:pPr>
      <w:r w:rsidRPr="00D31DFB">
        <w:t>Panel data differs from a regular time-series or cross-section regression, where needed to used several estimations to address the inference problems (heteroscedasticity and autocorrelation) because of a c</w:t>
      </w:r>
      <w:r w:rsidRPr="00D31DFB">
        <w:rPr>
          <w:spacing w:val="-1"/>
          <w:shd w:val="clear" w:color="auto" w:fill="FFFFFF"/>
        </w:rPr>
        <w:t xml:space="preserve">ombination of time series and cross-section. There are several estimations used, which are the </w:t>
      </w:r>
      <w:r w:rsidRPr="00D31DFB">
        <w:t xml:space="preserve">fixed effects model (FEM) or the least-squares dummy variable (LSDV) model and the random-effects model (REM) or error components model </w:t>
      </w:r>
      <w:r w:rsidRPr="00D31DFB">
        <w:fldChar w:fldCharType="begin" w:fldLock="1"/>
      </w:r>
      <w:r w:rsidRPr="00D31DFB">
        <w:instrText>ADDIN CSL_CITATION {"citationItems":[{"id":"ITEM-1","itemData":{"DOI":"10.7232/iems.2019.18.3.495","ISSN":"22346473","abstract":"Poverty and income inequality are being one of the most challenging issues in many developing countries, including Indonesia. Considering the higher level of the poverty rate in Indonesia, the study about poverty reduction is crucial and currently under discussion in previous studies. Thus, this study is written to examine what is education and health budgets could be reducing the poverty rate in Indonesia. The study utilizes annual data gathered from the Central Bureau of Statistics over the 2007-2017 period and analyzed using panel data by assisting the Eviews-10. The empirical result finds that the budget allocated for education and health significantly reduce the poverty rate in Indonesia. Therefore, it is suggested that to further reduce the poverty level, the government should allocate more budget of education and health for the poor and there is a need to monitor the public service performance with the aim the allocation of expenditure can be more efficient and effective. Besides, it is necessary to increase the number of pro-poor programs such as free public health and education insurance to fulfill the basic needs of the poor.","author":[{"dropping-particle":"","family":"Muhammad","given":"Said","non-dropping-particle":"","parse-names":false,"suffix":""},{"dropping-particle":"","family":"Zulham","given":"T.","non-dropping-particle":"","parse-names":false,"suffix":""},{"dropping-particle":"","family":"Sapha","given":"Diana","non-dropping-particle":"","parse-names":false,"suffix":""},{"dropping-particle":"","family":"Fitriyani","given":"","non-dropping-particle":"","parse-names":false,"suffix":""},{"dropping-particle":"","family":"Saputra","given":"Jumadil","non-dropping-particle":"","parse-names":false,"suffix":""}],"container-title":"Industrial Engineering and Management Systems","id":"ITEM-1","issue":"3","issued":{"date-parts":[["2019"]]},"page":"495-500","title":"Investigating the public spending and economical growth on the poverty reduction in Indonesia","type":"article-journal","volume":"18"},"uris":["http://www.mendeley.com/documents/?uuid=89433772-fc21-4da3-8ef7-5d8d378729bc"]},{"id":"ITEM-2","itemData":{"DOI":"10.1186/1478-7954-4-13","ISBN":"1548-7660","ISSN":"1548-7660","PMID":"17076901","abstract":"Panel data econometrics is obviously one of the main fields in the profession, but most of the models used are difficult to estimate with R. plm is a package for R which intends to make the estimation of linear panel models straightforward. plm provides functions to estimate a wide variety of models and to make (robust) inference.","author":[{"dropping-particle":"","family":"Croissant","given":"Y","non-dropping-particle":"","parse-names":false,"suffix":""},{"dropping-particle":"","family":"Millo","given":"G","non-dropping-particle":"","parse-names":false,"suffix":""}],"container-title":"Journal of Statistical Software","id":"ITEM-2","issue":"2","issued":{"date-parts":[["2008"]]},"page":"1-43","title":"Panel data econometrics in R: The plum package","type":"article-journal","volume":"27"},"uris":["http://www.mendeley.com/documents/?uuid=53b5fae8-80cf-49fd-a967-30cff5d0f23a"]}],"mendeley":{"formattedCitation":"(Croissant &amp; Millo, 2008; Muhammad et al., 2019)","plainTextFormattedCitation":"(Croissant &amp; Millo, 2008; Muhammad et al., 2019)","previouslyFormattedCitation":"(Croissant &amp; Millo, 2008; Muhammad et al., 2019)"},"properties":{"noteIndex":0},"schema":"https://github.com/citation-style-language/schema/raw/master/csl-citation.json"}</w:instrText>
      </w:r>
      <w:r w:rsidRPr="00D31DFB">
        <w:fldChar w:fldCharType="separate"/>
      </w:r>
      <w:r w:rsidRPr="00D31DFB">
        <w:rPr>
          <w:noProof/>
        </w:rPr>
        <w:t>(Croissant &amp; Millo, 2008; Muhammad et al., 2019)</w:t>
      </w:r>
      <w:r w:rsidRPr="00D31DFB">
        <w:fldChar w:fldCharType="end"/>
      </w:r>
      <w:r w:rsidRPr="00D31DFB">
        <w:t>.</w:t>
      </w:r>
    </w:p>
    <w:p w:rsidR="00A84AA6" w:rsidRPr="00D31DFB" w:rsidRDefault="00A84AA6" w:rsidP="00A84AA6">
      <w:pPr>
        <w:adjustRightInd w:val="0"/>
        <w:snapToGrid w:val="0"/>
        <w:ind w:firstLine="720"/>
        <w:jc w:val="both"/>
      </w:pPr>
      <w:r w:rsidRPr="00D31DFB">
        <w:lastRenderedPageBreak/>
        <w:t xml:space="preserve">The fixed-effects model is an appropriate specification if we are focusing on a specific set of observations. Nevertheless, there are too many standards in the fixed effects model, and the </w:t>
      </w:r>
      <w:proofErr w:type="spellStart"/>
      <w:r w:rsidRPr="00D31DFB">
        <w:t>loss</w:t>
      </w:r>
      <w:proofErr w:type="spellEnd"/>
      <w:r w:rsidRPr="00D31DFB">
        <w:t xml:space="preserve"> </w:t>
      </w:r>
      <w:proofErr w:type="spellStart"/>
      <w:r w:rsidRPr="00D31DFB">
        <w:t>of</w:t>
      </w:r>
      <w:proofErr w:type="spellEnd"/>
      <w:r w:rsidRPr="00D31DFB">
        <w:t xml:space="preserve"> </w:t>
      </w:r>
      <w:proofErr w:type="spellStart"/>
      <w:r w:rsidRPr="00D31DFB">
        <w:t>degrees</w:t>
      </w:r>
      <w:proofErr w:type="spellEnd"/>
      <w:r w:rsidRPr="00D31DFB">
        <w:t xml:space="preserve"> </w:t>
      </w:r>
      <w:proofErr w:type="spellStart"/>
      <w:r w:rsidRPr="00D31DFB">
        <w:t>of</w:t>
      </w:r>
      <w:proofErr w:type="spellEnd"/>
      <w:r w:rsidRPr="00D31DFB">
        <w:t xml:space="preserve"> </w:t>
      </w:r>
      <w:proofErr w:type="spellStart"/>
      <w:r w:rsidRPr="00D31DFB">
        <w:t>freedom</w:t>
      </w:r>
      <w:proofErr w:type="spellEnd"/>
      <w:r w:rsidRPr="00D31DFB">
        <w:t xml:space="preserve"> </w:t>
      </w:r>
      <w:proofErr w:type="spellStart"/>
      <w:r w:rsidRPr="00D31DFB">
        <w:t>can</w:t>
      </w:r>
      <w:proofErr w:type="spellEnd"/>
      <w:r w:rsidRPr="00D31DFB">
        <w:t xml:space="preserve"> </w:t>
      </w:r>
      <w:proofErr w:type="spellStart"/>
      <w:r w:rsidRPr="00D31DFB">
        <w:t>be</w:t>
      </w:r>
      <w:proofErr w:type="spellEnd"/>
      <w:r w:rsidRPr="00D31DFB">
        <w:t xml:space="preserve"> </w:t>
      </w:r>
      <w:proofErr w:type="spellStart"/>
      <w:r w:rsidRPr="00D31DFB">
        <w:t>avoided</w:t>
      </w:r>
      <w:proofErr w:type="spellEnd"/>
      <w:r w:rsidRPr="00D31DFB">
        <w:t xml:space="preserve"> </w:t>
      </w:r>
      <w:proofErr w:type="spellStart"/>
      <w:r w:rsidRPr="00D31DFB">
        <w:t>if</w:t>
      </w:r>
      <w:proofErr w:type="spellEnd"/>
      <w:r w:rsidRPr="00D31DFB">
        <w:t xml:space="preserve"> µi, </w:t>
      </w:r>
      <w:proofErr w:type="spellStart"/>
      <w:r w:rsidRPr="00D31DFB">
        <w:t>hence</w:t>
      </w:r>
      <w:proofErr w:type="spellEnd"/>
      <w:r w:rsidRPr="00D31DFB">
        <w:t xml:space="preserve"> a </w:t>
      </w:r>
      <w:proofErr w:type="spellStart"/>
      <w:r w:rsidRPr="00D31DFB">
        <w:t>random</w:t>
      </w:r>
      <w:proofErr w:type="spellEnd"/>
      <w:r w:rsidRPr="00D31DFB">
        <w:t xml:space="preserve"> </w:t>
      </w:r>
      <w:proofErr w:type="spellStart"/>
      <w:r w:rsidRPr="00D31DFB">
        <w:t>effect</w:t>
      </w:r>
      <w:proofErr w:type="spellEnd"/>
      <w:r w:rsidRPr="00D31DFB">
        <w:t xml:space="preserve"> </w:t>
      </w:r>
      <w:proofErr w:type="spellStart"/>
      <w:r w:rsidRPr="00D31DFB">
        <w:t>must</w:t>
      </w:r>
      <w:proofErr w:type="spellEnd"/>
      <w:r w:rsidRPr="00D31DFB">
        <w:t xml:space="preserve"> </w:t>
      </w:r>
      <w:proofErr w:type="spellStart"/>
      <w:r w:rsidRPr="00D31DFB">
        <w:t>be</w:t>
      </w:r>
      <w:proofErr w:type="spellEnd"/>
      <w:r w:rsidRPr="00D31DFB">
        <w:t xml:space="preserve"> assumed </w:t>
      </w:r>
      <w:r w:rsidRPr="00D31DFB">
        <w:fldChar w:fldCharType="begin" w:fldLock="1"/>
      </w:r>
      <w:r w:rsidRPr="00D31DFB">
        <w:instrText>ADDIN CSL_CITATION {"citationItems":[{"id":"ITEM-1","itemData":{"abstract":"The present work is a part of a larger study on panel data. Panel data or longitudinal data (the older terminology) refers to a data set containing observations on multiple phenomena over multiple time periods. Thus it has two dimensions: spatial (cross-sectional) and temporal (time series). The main advantage of panel data comes from its solution to the difficulties involved in interpreting the partial regression coefficients in the framework of a cross-section only or time series only multiple regression. Depending upon the assumptions about the error components of the panel data model, whether they are fixed or random, we have two types of models, fixed effects and random effects. In this paper we explain these models with regression results using a part of a data set from a famous study on investment theory by Yehuda Grunfeld (1958), who tried to analyse the effect of the (previous period) real value of the firm and the (previous period) real capital stock on real gross investment. We consider mainly three types of panel data analytic models: (1) constant coefficients (pooled regression) models, (2) fixed effects models, and (3) random effects models. The fixed effects model is discussed under two assumptions: (1) heterogeneous intercepts and homogeneous slope, and (2) heterogeneous intercepts and slopes. We discuss all the relevant statistical tests in the context of all these models.","author":[{"dropping-particle":"","family":"Pillai","given":"Vijayamohanan","non-dropping-particle":"","parse-names":false,"suffix":""}],"container-title":"Munich Personal RePEc Archive","id":"ITEM-1","issue":"70986","issued":{"date-parts":[["2016"]]},"page":"1-56","title":"Panel Data Analysis with Stata Part 1 Fixed Effects and Random Effects Models","type":"article-journal"},"uris":["http://www.mendeley.com/documents/?uuid=7eb6d14d-a31f-47bd-a06e-720200801556"]}],"mendeley":{"formattedCitation":"(Pillai, 2016)","manualFormatting":"(Pillai, 2016.; Baltagi, 2015)","plainTextFormattedCitation":"(Pillai, 2016)","previouslyFormattedCitation":"(Pillai, 2016)"},"properties":{"noteIndex":0},"schema":"https://github.com/citation-style-language/schema/raw/master/csl-citation.json"}</w:instrText>
      </w:r>
      <w:r w:rsidRPr="00D31DFB">
        <w:fldChar w:fldCharType="separate"/>
      </w:r>
      <w:r w:rsidRPr="00D31DFB">
        <w:rPr>
          <w:noProof/>
        </w:rPr>
        <w:t>(Baltagi, 2015; Pillai, 2016)</w:t>
      </w:r>
      <w:r w:rsidRPr="00D31DFB">
        <w:fldChar w:fldCharType="end"/>
      </w:r>
      <w:r w:rsidRPr="00D31DFB">
        <w:t xml:space="preserve">. Besides, </w:t>
      </w:r>
      <w:r w:rsidRPr="00D31DFB">
        <w:fldChar w:fldCharType="begin" w:fldLock="1"/>
      </w:r>
      <w:r w:rsidRPr="00D31DFB">
        <w:instrText>ADDIN CSL_CITATION {"citationItems":[{"id":"ITEM-1","itemData":{"author":[{"dropping-particle":"","family":"Hausman","given":"J. A.","non-dropping-particle":"","parse-names":false,"suffix":""},{"dropping-particle":"","family":"Taylor","given":"W. E.","non-dropping-particle":"","parse-names":false,"suffix":""}],"container-title":"Econometrica","id":"ITEM-1","issued":{"date-parts":[["1980"]]},"page":"1377-1398","title":"Panel Data and Unobservable Idividual Effects","type":"article-journal"},"uris":["http://www.mendeley.com/documents/?uuid=be38f279-dbff-4304-8ceb-5ca8b84bd786"]}],"mendeley":{"formattedCitation":"(Hausman &amp; Taylor, 1980)","manualFormatting":"(Hausman, 1978)","plainTextFormattedCitation":"(Hausman &amp; Taylor, 1980)","previouslyFormattedCitation":"(Hausman &amp; Taylor, 1980)"},"properties":{"noteIndex":0},"schema":"https://github.com/citation-style-language/schema/raw/master/csl-citation.json"}</w:instrText>
      </w:r>
      <w:r w:rsidRPr="00D31DFB">
        <w:fldChar w:fldCharType="separate"/>
      </w:r>
      <w:r w:rsidRPr="00D31DFB">
        <w:rPr>
          <w:noProof/>
        </w:rPr>
        <w:t>Hausman (1980)</w:t>
      </w:r>
      <w:r w:rsidRPr="00D31DFB">
        <w:fldChar w:fldCharType="end"/>
      </w:r>
      <w:r w:rsidRPr="00D31DFB">
        <w:t xml:space="preserve"> in </w:t>
      </w:r>
      <w:r w:rsidRPr="00D31DFB">
        <w:fldChar w:fldCharType="begin" w:fldLock="1"/>
      </w:r>
      <w:r w:rsidRPr="00D31DFB">
        <w:instrText>ADDIN CSL_CITATION {"citationItems":[{"id":"ITEM-1","itemData":{"author":[{"dropping-particle":"","family":"Hausman","given":"J. A.","non-dropping-particle":"","parse-names":false,"suffix":""},{"dropping-particle":"","family":"Taylor","given":"W. E.","non-dropping-particle":"","parse-names":false,"suffix":""}],"container-title":"Econometrica","id":"ITEM-1","issued":{"date-parts":[["1980"]]},"page":"1377-1398","title":"Panel Data and Unobservable Idividual Effects","type":"article-journal"},"uris":["http://www.mendeley.com/documents/?uuid=be38f279-dbff-4304-8ceb-5ca8b84bd786"]}],"mendeley":{"formattedCitation":"(Hausman &amp; Taylor, 1980)","manualFormatting":"(Hausman, 1978)","plainTextFormattedCitation":"(Hausman &amp; Taylor, 1980)","previouslyFormattedCitation":"(Hausman &amp; Taylor, 1980)"},"properties":{"noteIndex":0},"schema":"https://github.com/citation-style-language/schema/raw/master/csl-citation.json"}</w:instrText>
      </w:r>
      <w:r w:rsidRPr="00D31DFB">
        <w:fldChar w:fldCharType="separate"/>
      </w:r>
      <w:r w:rsidRPr="00D31DFB">
        <w:t>Arellano</w:t>
      </w:r>
      <w:r w:rsidRPr="00D31DFB">
        <w:rPr>
          <w:noProof/>
        </w:rPr>
        <w:t xml:space="preserve"> (1993)</w:t>
      </w:r>
      <w:r w:rsidRPr="00D31DFB">
        <w:fldChar w:fldCharType="end"/>
      </w:r>
      <w:r w:rsidRPr="00D31DFB">
        <w:t xml:space="preserve"> built the Hausman test to select the proper model between fixed and random effects. The model was developed based on the comparison between the within groups and the GLS estimators.</w:t>
      </w:r>
    </w:p>
    <w:p w:rsidR="00A84AA6" w:rsidRPr="00D31DFB" w:rsidRDefault="00A84AA6" w:rsidP="00A84AA6">
      <w:pPr>
        <w:adjustRightInd w:val="0"/>
        <w:snapToGrid w:val="0"/>
        <w:jc w:val="both"/>
      </w:pPr>
    </w:p>
    <w:p w:rsidR="00A84AA6" w:rsidRPr="00D31DFB" w:rsidRDefault="00A84AA6" w:rsidP="00A84AA6">
      <w:pPr>
        <w:adjustRightInd w:val="0"/>
        <w:snapToGrid w:val="0"/>
        <w:jc w:val="both"/>
        <w:rPr>
          <w:b/>
          <w:bCs/>
        </w:rPr>
      </w:pPr>
      <w:r w:rsidRPr="00D31DFB">
        <w:rPr>
          <w:b/>
          <w:bCs/>
        </w:rPr>
        <w:t xml:space="preserve">Flypaper Effect </w:t>
      </w:r>
    </w:p>
    <w:p w:rsidR="00A84AA6" w:rsidRPr="00D31DFB" w:rsidRDefault="00A84AA6" w:rsidP="00A84AA6">
      <w:pPr>
        <w:adjustRightInd w:val="0"/>
        <w:snapToGrid w:val="0"/>
        <w:ind w:firstLine="720"/>
        <w:jc w:val="both"/>
      </w:pPr>
      <w:r w:rsidRPr="00D31DFB">
        <w:t xml:space="preserve">In this study, we also analyze the flypaper effect to calculate whether local government expenditure is more determined by the transfer than the original local government revenue. </w:t>
      </w:r>
      <w:r w:rsidRPr="00D31DFB">
        <w:fldChar w:fldCharType="begin" w:fldLock="1"/>
      </w:r>
      <w:r w:rsidRPr="00D31DFB">
        <w:instrText>ADDIN CSL_CITATION {"citationItems":[{"id":"ITEM-1","itemData":{"author":[{"dropping-particle":"","family":"Dollery, Brian; Worthington","given":"Andrew","non-dropping-particle":"","parse-names":false,"suffix":""}],"container-title":"Всш","id":"ITEM-1","issue":"1","issued":{"date-parts":[["1995"]]},"page":"35-38","title":"Dollery, Brian and Worthington, Andrew (1995) Federal Expenditure And Fiscal Illusion: An Australian Test Of The Flypaper Hypothesis . Publius: The Journal of Federalism 25(1):pp. 23-34. Originally published by Lafayette College, journal now published by","type":"article-journal","volume":"1"},"uris":["http://www.mendeley.com/documents/?uuid=64cb8896-4034-4c08-980c-a23f0cbd83eb"]}],"mendeley":{"formattedCitation":"(Dollery, Brian; Worthington, 1995)","plainTextFormattedCitation":"(Dollery, Brian; Worthington, 1995)","previouslyFormattedCitation":"(Dollery, Brian; Worthington, 1995)"},"properties":{"noteIndex":0},"schema":"https://github.com/citation-style-language/schema/raw/master/csl-citation.json"}</w:instrText>
      </w:r>
      <w:r w:rsidRPr="00D31DFB">
        <w:fldChar w:fldCharType="separate"/>
      </w:r>
      <w:r w:rsidRPr="00D31DFB">
        <w:rPr>
          <w:noProof/>
        </w:rPr>
        <w:t>Dollery &amp; Worthington (1995)</w:t>
      </w:r>
      <w:r w:rsidRPr="00D31DFB">
        <w:fldChar w:fldCharType="end"/>
      </w:r>
      <w:r w:rsidRPr="00D31DFB">
        <w:t xml:space="preserve"> stated that “flypaper effect defined as a decrease in donor (federal) non-grant expenditures as a result of an increase in the tax price of federal expenditures would provide prima facie evidence of fiscal illusion at the level of the recipient (state).”</w:t>
      </w:r>
    </w:p>
    <w:p w:rsidR="00A84AA6" w:rsidRPr="00D31DFB" w:rsidRDefault="00A84AA6" w:rsidP="00A84AA6">
      <w:pPr>
        <w:adjustRightInd w:val="0"/>
        <w:snapToGrid w:val="0"/>
        <w:ind w:firstLine="720"/>
        <w:jc w:val="both"/>
      </w:pPr>
      <w:r w:rsidRPr="00D31DFB">
        <w:t xml:space="preserve">Determined the flypaper effect can be obtained by calculated the coefficient or value of the independent variables. If the balanced fund's value is greater than the original local government revenue, and both are significant, we can assume that the flypaper effect has happened. The flypaper effect also exists if the PAD's p-value is not significant </w:t>
      </w:r>
      <w:r w:rsidRPr="00D31DFB">
        <w:fldChar w:fldCharType="begin" w:fldLock="1"/>
      </w:r>
      <w:r w:rsidRPr="00D31DFB">
        <w:instrText>ADDIN CSL_CITATION {"citationItems":[{"id":"ITEM-1","itemData":{"ISBN":"9780470014561","author":[{"dropping-particle":"","family":"Baltagi","given":"Badi H","non-dropping-particle":"","parse-names":false,"suffix":""}],"edition":"Third Edit","id":"ITEM-1","issued":{"date-parts":[["2005"]]},"publisher":"John wiley &amp; Sons, Ltd","publisher-place":"england","title":"Econometric Analysis of Panel Data","type":"book"},"uris":["http://www.mendeley.com/documents/?uuid=c69e4336-0bf7-40f0-891a-4053312552e8"]},{"id":"ITEM-2","itemData":{"author":[{"dropping-particle":"","family":"Kunst","given":"Robert M","non-dropping-particle":"","parse-names":false,"suffix":""}],"id":"ITEM-2","issued":{"date-parts":[["2013"]]},"page":"1-20","title":"Econometric Methods for Panel Data Based on the books by Baltagi : Econometric Analysis of Panel Data and by Hsiao : Analysis of Panel Data Outline Introduction Tests in panel models Poolability tests Testing for the presence of random effects The Hausman","type":"article-journal"},"uris":["http://www.mendeley.com/documents/?uuid=c2f5dcd3-1929-4e2b-b318-81a5e7d683f2"]}],"mendeley":{"formattedCitation":"(Baltagi, 2005; Kunst, 2013)","manualFormatting":"(Baltagi, 2005.; Kunst, 2013.; Hsiao, 2003)","plainTextFormattedCitation":"(Baltagi, 2005; Kunst, 2013)","previouslyFormattedCitation":"(Baltagi, 2005; Kunst, 2013)"},"properties":{"noteIndex":0},"schema":"https://github.com/citation-style-language/schema/raw/master/csl-citation.json"}</w:instrText>
      </w:r>
      <w:r w:rsidRPr="00D31DFB">
        <w:fldChar w:fldCharType="separate"/>
      </w:r>
      <w:r w:rsidRPr="00D31DFB">
        <w:t>(Prakosa</w:t>
      </w:r>
      <w:r w:rsidRPr="00D31DFB">
        <w:rPr>
          <w:noProof/>
        </w:rPr>
        <w:t xml:space="preserve">, </w:t>
      </w:r>
      <w:r w:rsidRPr="00D31DFB">
        <w:t>2004; Iskandar, 2012; Solikin, 2016; Amalia, 2017</w:t>
      </w:r>
      <w:r w:rsidRPr="00D31DFB">
        <w:rPr>
          <w:noProof/>
        </w:rPr>
        <w:t>).</w:t>
      </w:r>
      <w:r w:rsidRPr="00D31DFB">
        <w:fldChar w:fldCharType="end"/>
      </w:r>
      <w:r w:rsidRPr="00D31DFB">
        <w:t xml:space="preserve"> </w:t>
      </w:r>
    </w:p>
    <w:p w:rsidR="00DA26AF" w:rsidRPr="00D31DFB" w:rsidRDefault="00DA26AF" w:rsidP="00A84AA6">
      <w:pPr>
        <w:adjustRightInd w:val="0"/>
        <w:snapToGrid w:val="0"/>
        <w:jc w:val="both"/>
      </w:pPr>
    </w:p>
    <w:p w:rsidR="00DA26AF" w:rsidRPr="00D31DFB" w:rsidRDefault="00DA26AF" w:rsidP="00A84AA6">
      <w:pPr>
        <w:adjustRightInd w:val="0"/>
        <w:snapToGrid w:val="0"/>
        <w:jc w:val="both"/>
      </w:pPr>
    </w:p>
    <w:p w:rsidR="00A84AA6" w:rsidRPr="00D31DFB" w:rsidRDefault="00A84AA6" w:rsidP="00A84AA6">
      <w:pPr>
        <w:adjustRightInd w:val="0"/>
        <w:snapToGrid w:val="0"/>
        <w:jc w:val="both"/>
        <w:rPr>
          <w:b/>
          <w:bCs/>
        </w:rPr>
      </w:pPr>
      <w:r w:rsidRPr="00D31DFB">
        <w:rPr>
          <w:b/>
          <w:bCs/>
        </w:rPr>
        <w:t>RESULTS AND DISCUSSION</w:t>
      </w:r>
    </w:p>
    <w:p w:rsidR="00A84AA6" w:rsidRPr="00D31DFB" w:rsidRDefault="00A84AA6" w:rsidP="00A84AA6">
      <w:pPr>
        <w:adjustRightInd w:val="0"/>
        <w:snapToGrid w:val="0"/>
        <w:ind w:firstLine="720"/>
        <w:jc w:val="both"/>
      </w:pPr>
      <w:r w:rsidRPr="00D31DFB">
        <w:t xml:space="preserve">The </w:t>
      </w:r>
      <w:proofErr w:type="spellStart"/>
      <w:r w:rsidRPr="00D31DFB">
        <w:t>first</w:t>
      </w:r>
      <w:proofErr w:type="spellEnd"/>
      <w:r w:rsidRPr="00D31DFB">
        <w:t xml:space="preserve"> </w:t>
      </w:r>
      <w:proofErr w:type="spellStart"/>
      <w:r w:rsidRPr="00D31DFB">
        <w:t>phase</w:t>
      </w:r>
      <w:proofErr w:type="spellEnd"/>
      <w:r w:rsidRPr="00D31DFB">
        <w:t xml:space="preserve"> </w:t>
      </w:r>
      <w:proofErr w:type="spellStart"/>
      <w:r w:rsidRPr="00D31DFB">
        <w:t>of</w:t>
      </w:r>
      <w:proofErr w:type="spellEnd"/>
      <w:r w:rsidRPr="00D31DFB">
        <w:t xml:space="preserve"> </w:t>
      </w:r>
      <w:proofErr w:type="spellStart"/>
      <w:r w:rsidRPr="00D31DFB">
        <w:t>the</w:t>
      </w:r>
      <w:proofErr w:type="spellEnd"/>
      <w:r w:rsidRPr="00D31DFB">
        <w:t xml:space="preserve"> </w:t>
      </w:r>
      <w:proofErr w:type="spellStart"/>
      <w:r w:rsidRPr="00D31DFB">
        <w:t>analysis</w:t>
      </w:r>
      <w:proofErr w:type="spellEnd"/>
      <w:r w:rsidRPr="00D31DFB">
        <w:t xml:space="preserve"> </w:t>
      </w:r>
      <w:proofErr w:type="spellStart"/>
      <w:r w:rsidRPr="00D31DFB">
        <w:t>was</w:t>
      </w:r>
      <w:proofErr w:type="spellEnd"/>
      <w:r w:rsidRPr="00D31DFB">
        <w:t xml:space="preserve"> </w:t>
      </w:r>
      <w:proofErr w:type="spellStart"/>
      <w:r w:rsidRPr="00D31DFB">
        <w:t>to</w:t>
      </w:r>
      <w:proofErr w:type="spellEnd"/>
      <w:r w:rsidRPr="00D31DFB">
        <w:t xml:space="preserve"> </w:t>
      </w:r>
      <w:r w:rsidR="00BA297F">
        <w:rPr>
          <w:lang w:val="en-US"/>
        </w:rPr>
        <w:t>represent</w:t>
      </w:r>
      <w:r w:rsidRPr="00D31DFB">
        <w:t xml:space="preserve"> </w:t>
      </w:r>
      <w:proofErr w:type="spellStart"/>
      <w:r w:rsidRPr="00D31DFB">
        <w:t>the</w:t>
      </w:r>
      <w:proofErr w:type="spellEnd"/>
      <w:r w:rsidRPr="00D31DFB">
        <w:t xml:space="preserve"> </w:t>
      </w:r>
      <w:proofErr w:type="spellStart"/>
      <w:r w:rsidRPr="00D31DFB">
        <w:t>descriptive</w:t>
      </w:r>
      <w:proofErr w:type="spellEnd"/>
      <w:r w:rsidRPr="00D31DFB">
        <w:t xml:space="preserve"> </w:t>
      </w:r>
      <w:proofErr w:type="spellStart"/>
      <w:r w:rsidRPr="00D31DFB">
        <w:t>statistic</w:t>
      </w:r>
      <w:proofErr w:type="spellEnd"/>
      <w:r w:rsidRPr="00D31DFB">
        <w:t xml:space="preserve"> </w:t>
      </w:r>
      <w:proofErr w:type="spellStart"/>
      <w:r w:rsidRPr="00D31DFB">
        <w:t>of</w:t>
      </w:r>
      <w:proofErr w:type="spellEnd"/>
      <w:r w:rsidRPr="00D31DFB">
        <w:t xml:space="preserve"> </w:t>
      </w:r>
      <w:proofErr w:type="spellStart"/>
      <w:r w:rsidRPr="00D31DFB">
        <w:t>all</w:t>
      </w:r>
      <w:proofErr w:type="spellEnd"/>
      <w:r w:rsidRPr="00D31DFB">
        <w:t xml:space="preserve"> </w:t>
      </w:r>
      <w:proofErr w:type="spellStart"/>
      <w:r w:rsidRPr="00D31DFB">
        <w:t>variables</w:t>
      </w:r>
      <w:proofErr w:type="spellEnd"/>
      <w:r w:rsidRPr="00D31DFB">
        <w:t xml:space="preserve"> </w:t>
      </w:r>
      <w:proofErr w:type="spellStart"/>
      <w:r w:rsidRPr="00D31DFB">
        <w:t>used</w:t>
      </w:r>
      <w:proofErr w:type="spellEnd"/>
      <w:r w:rsidRPr="00D31DFB">
        <w:t xml:space="preserve"> in </w:t>
      </w:r>
      <w:proofErr w:type="spellStart"/>
      <w:r w:rsidRPr="00D31DFB">
        <w:t>this</w:t>
      </w:r>
      <w:proofErr w:type="spellEnd"/>
      <w:r w:rsidRPr="00D31DFB">
        <w:t xml:space="preserve"> study. Then it is vital to determine the most suitable panel model in this research by using the Hausman test. Afterward, the panel regression analysis is necessary to be investigated. The results in Table 2 summarize the descriptive statistic about all variables used in this model, which are local government expenditure, PAD, DAU, DAK, and DBH. </w:t>
      </w:r>
    </w:p>
    <w:p w:rsidR="00A84AA6" w:rsidRPr="00D31DFB" w:rsidRDefault="00A84AA6" w:rsidP="00A84AA6">
      <w:pPr>
        <w:adjustRightInd w:val="0"/>
        <w:snapToGrid w:val="0"/>
        <w:ind w:firstLine="720"/>
        <w:jc w:val="both"/>
      </w:pPr>
    </w:p>
    <w:p w:rsidR="00A84AA6" w:rsidRPr="00D31DFB" w:rsidRDefault="00A84AA6" w:rsidP="00A84AA6">
      <w:pPr>
        <w:widowControl w:val="0"/>
        <w:autoSpaceDE w:val="0"/>
        <w:autoSpaceDN w:val="0"/>
        <w:adjustRightInd w:val="0"/>
        <w:snapToGrid w:val="0"/>
        <w:jc w:val="center"/>
        <w:rPr>
          <w:b/>
          <w:bCs/>
          <w:color w:val="000000"/>
          <w:lang w:val="en-ID" w:eastAsia="en-ID"/>
        </w:rPr>
      </w:pPr>
      <w:r w:rsidRPr="00D31DFB">
        <w:rPr>
          <w:b/>
          <w:bCs/>
          <w:color w:val="000000"/>
          <w:lang w:val="en-ID" w:eastAsia="en-ID"/>
        </w:rPr>
        <w:t>Table 2. Descriptive Statistic of Variables</w:t>
      </w:r>
    </w:p>
    <w:p w:rsidR="00804BA7" w:rsidRPr="00D31DFB" w:rsidRDefault="00804BA7" w:rsidP="00A84AA6">
      <w:pPr>
        <w:widowControl w:val="0"/>
        <w:autoSpaceDE w:val="0"/>
        <w:autoSpaceDN w:val="0"/>
        <w:adjustRightInd w:val="0"/>
        <w:snapToGrid w:val="0"/>
        <w:jc w:val="center"/>
        <w:rPr>
          <w:color w:val="000000"/>
          <w:lang w:val="en-ID" w:eastAsia="en-ID"/>
        </w:rPr>
      </w:pPr>
    </w:p>
    <w:tbl>
      <w:tblPr>
        <w:tblW w:w="8789" w:type="dxa"/>
        <w:jc w:val="center"/>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2410"/>
        <w:gridCol w:w="1305"/>
        <w:gridCol w:w="20"/>
        <w:gridCol w:w="1201"/>
        <w:gridCol w:w="1200"/>
        <w:gridCol w:w="1235"/>
        <w:gridCol w:w="1418"/>
      </w:tblGrid>
      <w:tr w:rsidR="00A84AA6" w:rsidRPr="00D31DFB" w:rsidTr="00A84AA6">
        <w:trPr>
          <w:trHeight w:val="504"/>
          <w:jc w:val="center"/>
        </w:trPr>
        <w:tc>
          <w:tcPr>
            <w:tcW w:w="2410" w:type="dxa"/>
            <w:tcBorders>
              <w:bottom w:val="single" w:sz="4" w:space="0" w:color="auto"/>
            </w:tcBorders>
          </w:tcPr>
          <w:p w:rsidR="00A84AA6" w:rsidRPr="00D31DFB" w:rsidRDefault="00A84AA6" w:rsidP="00A84AA6">
            <w:pPr>
              <w:pStyle w:val="TableParagraph"/>
              <w:adjustRightInd w:val="0"/>
              <w:snapToGrid w:val="0"/>
              <w:rPr>
                <w:rFonts w:ascii="Times New Roman" w:hAnsi="Times New Roman" w:cs="Times New Roman"/>
                <w:b/>
                <w:bCs/>
              </w:rPr>
            </w:pPr>
          </w:p>
          <w:p w:rsidR="00A84AA6" w:rsidRPr="00D31DFB" w:rsidRDefault="00A84AA6" w:rsidP="00A84AA6">
            <w:pPr>
              <w:pStyle w:val="TableParagraph"/>
              <w:adjustRightInd w:val="0"/>
              <w:snapToGrid w:val="0"/>
              <w:ind w:left="381"/>
              <w:rPr>
                <w:rFonts w:ascii="Times New Roman" w:hAnsi="Times New Roman" w:cs="Times New Roman"/>
                <w:b/>
                <w:bCs/>
              </w:rPr>
            </w:pPr>
            <w:r w:rsidRPr="00D31DFB">
              <w:rPr>
                <w:rFonts w:ascii="Times New Roman" w:hAnsi="Times New Roman" w:cs="Times New Roman"/>
                <w:b/>
                <w:bCs/>
              </w:rPr>
              <w:t>Variable</w:t>
            </w:r>
          </w:p>
        </w:tc>
        <w:tc>
          <w:tcPr>
            <w:tcW w:w="1305" w:type="dxa"/>
            <w:tcBorders>
              <w:bottom w:val="single" w:sz="4" w:space="0" w:color="auto"/>
            </w:tcBorders>
          </w:tcPr>
          <w:p w:rsidR="00A84AA6" w:rsidRPr="00D31DFB" w:rsidRDefault="00A84AA6" w:rsidP="00A84AA6">
            <w:pPr>
              <w:pStyle w:val="TableParagraph"/>
              <w:adjustRightInd w:val="0"/>
              <w:snapToGrid w:val="0"/>
              <w:rPr>
                <w:rFonts w:ascii="Times New Roman" w:hAnsi="Times New Roman" w:cs="Times New Roman"/>
                <w:b/>
                <w:bCs/>
              </w:rPr>
            </w:pPr>
          </w:p>
          <w:p w:rsidR="00A84AA6" w:rsidRPr="00D31DFB" w:rsidRDefault="00A84AA6" w:rsidP="00A84AA6">
            <w:pPr>
              <w:pStyle w:val="TableParagraph"/>
              <w:adjustRightInd w:val="0"/>
              <w:snapToGrid w:val="0"/>
              <w:ind w:right="167"/>
              <w:jc w:val="right"/>
              <w:rPr>
                <w:rFonts w:ascii="Times New Roman" w:hAnsi="Times New Roman" w:cs="Times New Roman"/>
                <w:b/>
                <w:bCs/>
              </w:rPr>
            </w:pPr>
            <w:r w:rsidRPr="00D31DFB">
              <w:rPr>
                <w:rFonts w:ascii="Times New Roman" w:hAnsi="Times New Roman" w:cs="Times New Roman"/>
                <w:b/>
                <w:bCs/>
              </w:rPr>
              <w:t>Mean</w:t>
            </w:r>
          </w:p>
        </w:tc>
        <w:tc>
          <w:tcPr>
            <w:tcW w:w="20" w:type="dxa"/>
            <w:tcBorders>
              <w:bottom w:val="single" w:sz="4" w:space="0" w:color="auto"/>
            </w:tcBorders>
          </w:tcPr>
          <w:p w:rsidR="00A84AA6" w:rsidRPr="00D31DFB" w:rsidRDefault="00A84AA6" w:rsidP="00A84AA6">
            <w:pPr>
              <w:pStyle w:val="TableParagraph"/>
              <w:adjustRightInd w:val="0"/>
              <w:snapToGrid w:val="0"/>
              <w:rPr>
                <w:rFonts w:ascii="Times New Roman" w:hAnsi="Times New Roman" w:cs="Times New Roman"/>
                <w:b/>
                <w:bCs/>
              </w:rPr>
            </w:pPr>
          </w:p>
        </w:tc>
        <w:tc>
          <w:tcPr>
            <w:tcW w:w="1201" w:type="dxa"/>
            <w:tcBorders>
              <w:bottom w:val="single" w:sz="4" w:space="0" w:color="auto"/>
            </w:tcBorders>
          </w:tcPr>
          <w:p w:rsidR="00A84AA6" w:rsidRPr="00D31DFB" w:rsidRDefault="00A84AA6" w:rsidP="00A84AA6">
            <w:pPr>
              <w:pStyle w:val="TableParagraph"/>
              <w:adjustRightInd w:val="0"/>
              <w:snapToGrid w:val="0"/>
              <w:rPr>
                <w:rFonts w:ascii="Times New Roman" w:hAnsi="Times New Roman" w:cs="Times New Roman"/>
                <w:b/>
                <w:bCs/>
              </w:rPr>
            </w:pPr>
          </w:p>
          <w:p w:rsidR="00A84AA6" w:rsidRPr="00D31DFB" w:rsidRDefault="00A84AA6" w:rsidP="00A84AA6">
            <w:pPr>
              <w:pStyle w:val="TableParagraph"/>
              <w:adjustRightInd w:val="0"/>
              <w:snapToGrid w:val="0"/>
              <w:ind w:right="56"/>
              <w:jc w:val="right"/>
              <w:rPr>
                <w:rFonts w:ascii="Times New Roman" w:hAnsi="Times New Roman" w:cs="Times New Roman"/>
                <w:b/>
                <w:bCs/>
              </w:rPr>
            </w:pPr>
            <w:r w:rsidRPr="00D31DFB">
              <w:rPr>
                <w:rFonts w:ascii="Times New Roman" w:hAnsi="Times New Roman" w:cs="Times New Roman"/>
                <w:b/>
                <w:bCs/>
              </w:rPr>
              <w:t>Std. Dev.</w:t>
            </w:r>
          </w:p>
        </w:tc>
        <w:tc>
          <w:tcPr>
            <w:tcW w:w="1200" w:type="dxa"/>
            <w:tcBorders>
              <w:bottom w:val="single" w:sz="4" w:space="0" w:color="auto"/>
            </w:tcBorders>
          </w:tcPr>
          <w:p w:rsidR="00A84AA6" w:rsidRPr="00D31DFB" w:rsidRDefault="00A84AA6" w:rsidP="00A84AA6">
            <w:pPr>
              <w:pStyle w:val="TableParagraph"/>
              <w:adjustRightInd w:val="0"/>
              <w:snapToGrid w:val="0"/>
              <w:rPr>
                <w:rFonts w:ascii="Times New Roman" w:hAnsi="Times New Roman" w:cs="Times New Roman"/>
                <w:b/>
                <w:bCs/>
              </w:rPr>
            </w:pPr>
          </w:p>
          <w:p w:rsidR="00A84AA6" w:rsidRPr="00D31DFB" w:rsidRDefault="00A84AA6" w:rsidP="00A84AA6">
            <w:pPr>
              <w:pStyle w:val="TableParagraph"/>
              <w:adjustRightInd w:val="0"/>
              <w:snapToGrid w:val="0"/>
              <w:ind w:right="167"/>
              <w:jc w:val="right"/>
              <w:rPr>
                <w:rFonts w:ascii="Times New Roman" w:hAnsi="Times New Roman" w:cs="Times New Roman"/>
                <w:b/>
                <w:bCs/>
              </w:rPr>
            </w:pPr>
            <w:r w:rsidRPr="00D31DFB">
              <w:rPr>
                <w:rFonts w:ascii="Times New Roman" w:hAnsi="Times New Roman" w:cs="Times New Roman"/>
                <w:b/>
                <w:bCs/>
              </w:rPr>
              <w:t>Min</w:t>
            </w:r>
          </w:p>
        </w:tc>
        <w:tc>
          <w:tcPr>
            <w:tcW w:w="1235" w:type="dxa"/>
            <w:tcBorders>
              <w:bottom w:val="single" w:sz="4" w:space="0" w:color="auto"/>
            </w:tcBorders>
          </w:tcPr>
          <w:p w:rsidR="00A84AA6" w:rsidRPr="00D31DFB" w:rsidRDefault="00A84AA6" w:rsidP="00A84AA6">
            <w:pPr>
              <w:pStyle w:val="TableParagraph"/>
              <w:adjustRightInd w:val="0"/>
              <w:snapToGrid w:val="0"/>
              <w:rPr>
                <w:rFonts w:ascii="Times New Roman" w:hAnsi="Times New Roman" w:cs="Times New Roman"/>
                <w:b/>
                <w:bCs/>
              </w:rPr>
            </w:pPr>
          </w:p>
          <w:p w:rsidR="00A84AA6" w:rsidRPr="00D31DFB" w:rsidRDefault="00A84AA6" w:rsidP="00A84AA6">
            <w:pPr>
              <w:pStyle w:val="TableParagraph"/>
              <w:adjustRightInd w:val="0"/>
              <w:snapToGrid w:val="0"/>
              <w:ind w:right="171"/>
              <w:jc w:val="right"/>
              <w:rPr>
                <w:rFonts w:ascii="Times New Roman" w:hAnsi="Times New Roman" w:cs="Times New Roman"/>
                <w:b/>
                <w:bCs/>
              </w:rPr>
            </w:pPr>
            <w:r w:rsidRPr="00D31DFB">
              <w:rPr>
                <w:rFonts w:ascii="Times New Roman" w:hAnsi="Times New Roman" w:cs="Times New Roman"/>
                <w:b/>
                <w:bCs/>
              </w:rPr>
              <w:t>Max</w:t>
            </w:r>
          </w:p>
        </w:tc>
        <w:tc>
          <w:tcPr>
            <w:tcW w:w="1418" w:type="dxa"/>
            <w:tcBorders>
              <w:bottom w:val="single" w:sz="4" w:space="0" w:color="auto"/>
            </w:tcBorders>
          </w:tcPr>
          <w:p w:rsidR="00A84AA6" w:rsidRPr="00D31DFB" w:rsidRDefault="00A84AA6" w:rsidP="00A84AA6">
            <w:pPr>
              <w:pStyle w:val="TableParagraph"/>
              <w:adjustRightInd w:val="0"/>
              <w:snapToGrid w:val="0"/>
              <w:rPr>
                <w:rFonts w:ascii="Times New Roman" w:hAnsi="Times New Roman" w:cs="Times New Roman"/>
                <w:b/>
                <w:bCs/>
              </w:rPr>
            </w:pPr>
          </w:p>
          <w:p w:rsidR="00A84AA6" w:rsidRPr="00D31DFB" w:rsidRDefault="00A84AA6" w:rsidP="00A84AA6">
            <w:pPr>
              <w:pStyle w:val="TableParagraph"/>
              <w:adjustRightInd w:val="0"/>
              <w:snapToGrid w:val="0"/>
              <w:ind w:right="4"/>
              <w:jc w:val="right"/>
              <w:rPr>
                <w:rFonts w:ascii="Times New Roman" w:hAnsi="Times New Roman" w:cs="Times New Roman"/>
                <w:b/>
                <w:bCs/>
              </w:rPr>
            </w:pPr>
            <w:r w:rsidRPr="00D31DFB">
              <w:rPr>
                <w:rFonts w:ascii="Times New Roman" w:hAnsi="Times New Roman" w:cs="Times New Roman"/>
                <w:b/>
                <w:bCs/>
              </w:rPr>
              <w:t>Observations</w:t>
            </w:r>
          </w:p>
        </w:tc>
      </w:tr>
      <w:tr w:rsidR="00A84AA6" w:rsidRPr="00D31DFB" w:rsidTr="00A84AA6">
        <w:trPr>
          <w:trHeight w:val="583"/>
          <w:jc w:val="center"/>
        </w:trPr>
        <w:tc>
          <w:tcPr>
            <w:tcW w:w="2410" w:type="dxa"/>
            <w:tcBorders>
              <w:top w:val="single" w:sz="4" w:space="0" w:color="auto"/>
              <w:bottom w:val="nil"/>
            </w:tcBorders>
          </w:tcPr>
          <w:p w:rsidR="00A84AA6" w:rsidRPr="00D31DFB" w:rsidRDefault="00A84AA6" w:rsidP="00A84AA6">
            <w:pPr>
              <w:pStyle w:val="TableParagraph"/>
              <w:adjustRightInd w:val="0"/>
              <w:snapToGrid w:val="0"/>
              <w:rPr>
                <w:rFonts w:ascii="Times New Roman" w:hAnsi="Times New Roman" w:cs="Times New Roman"/>
              </w:rPr>
            </w:pPr>
            <w:r w:rsidRPr="00D31DFB">
              <w:rPr>
                <w:rFonts w:ascii="Times New Roman" w:hAnsi="Times New Roman" w:cs="Times New Roman"/>
              </w:rPr>
              <w:t xml:space="preserve">  </w:t>
            </w:r>
            <w:proofErr w:type="gramStart"/>
            <w:r w:rsidRPr="00D31DFB">
              <w:rPr>
                <w:rFonts w:ascii="Times New Roman" w:hAnsi="Times New Roman" w:cs="Times New Roman"/>
              </w:rPr>
              <w:t>Expenditure  overall</w:t>
            </w:r>
            <w:proofErr w:type="gramEnd"/>
          </w:p>
          <w:p w:rsidR="00A84AA6" w:rsidRPr="00D31DFB" w:rsidRDefault="00A84AA6" w:rsidP="00A84AA6">
            <w:pPr>
              <w:pStyle w:val="TableParagraph"/>
              <w:adjustRightInd w:val="0"/>
              <w:snapToGrid w:val="0"/>
              <w:ind w:left="1374"/>
              <w:rPr>
                <w:rFonts w:ascii="Times New Roman" w:hAnsi="Times New Roman" w:cs="Times New Roman"/>
              </w:rPr>
            </w:pPr>
            <w:r w:rsidRPr="00D31DFB">
              <w:rPr>
                <w:rFonts w:ascii="Times New Roman" w:hAnsi="Times New Roman" w:cs="Times New Roman"/>
              </w:rPr>
              <w:t xml:space="preserve">  between        within</w:t>
            </w:r>
          </w:p>
        </w:tc>
        <w:tc>
          <w:tcPr>
            <w:tcW w:w="1305" w:type="dxa"/>
            <w:tcBorders>
              <w:top w:val="single" w:sz="4" w:space="0" w:color="auto"/>
              <w:bottom w:val="nil"/>
            </w:tcBorders>
          </w:tcPr>
          <w:p w:rsidR="00A84AA6" w:rsidRPr="00D31DFB" w:rsidRDefault="00A84AA6" w:rsidP="00A84AA6">
            <w:pPr>
              <w:pStyle w:val="TableParagraph"/>
              <w:adjustRightInd w:val="0"/>
              <w:snapToGrid w:val="0"/>
              <w:ind w:right="167"/>
              <w:jc w:val="right"/>
              <w:rPr>
                <w:rFonts w:ascii="Times New Roman" w:hAnsi="Times New Roman" w:cs="Times New Roman"/>
              </w:rPr>
            </w:pPr>
            <w:r w:rsidRPr="00D31DFB">
              <w:rPr>
                <w:rFonts w:ascii="Times New Roman" w:hAnsi="Times New Roman" w:cs="Times New Roman"/>
              </w:rPr>
              <w:t>1.19e+12</w:t>
            </w:r>
          </w:p>
        </w:tc>
        <w:tc>
          <w:tcPr>
            <w:tcW w:w="20" w:type="dxa"/>
            <w:tcBorders>
              <w:top w:val="single" w:sz="4" w:space="0" w:color="auto"/>
              <w:bottom w:val="nil"/>
            </w:tcBorders>
          </w:tcPr>
          <w:p w:rsidR="00A84AA6" w:rsidRPr="00D31DFB" w:rsidRDefault="00A84AA6" w:rsidP="00A84AA6">
            <w:pPr>
              <w:pStyle w:val="TableParagraph"/>
              <w:adjustRightInd w:val="0"/>
              <w:snapToGrid w:val="0"/>
              <w:ind w:left="169"/>
              <w:rPr>
                <w:rFonts w:ascii="Times New Roman" w:hAnsi="Times New Roman" w:cs="Times New Roman"/>
                <w:spacing w:val="6"/>
              </w:rPr>
            </w:pPr>
          </w:p>
        </w:tc>
        <w:tc>
          <w:tcPr>
            <w:tcW w:w="1201" w:type="dxa"/>
            <w:tcBorders>
              <w:top w:val="single" w:sz="4" w:space="0" w:color="auto"/>
              <w:bottom w:val="nil"/>
            </w:tcBorders>
          </w:tcPr>
          <w:p w:rsidR="00A84AA6" w:rsidRPr="00D31DFB" w:rsidRDefault="00A84AA6" w:rsidP="00A84AA6">
            <w:pPr>
              <w:pStyle w:val="TableParagraph"/>
              <w:adjustRightInd w:val="0"/>
              <w:snapToGrid w:val="0"/>
              <w:ind w:left="169"/>
              <w:rPr>
                <w:rFonts w:ascii="Times New Roman" w:hAnsi="Times New Roman" w:cs="Times New Roman"/>
              </w:rPr>
            </w:pPr>
            <w:r w:rsidRPr="00D31DFB">
              <w:rPr>
                <w:rFonts w:ascii="Times New Roman" w:hAnsi="Times New Roman" w:cs="Times New Roman"/>
                <w:spacing w:val="6"/>
              </w:rPr>
              <w:t>4.13e+11</w:t>
            </w:r>
          </w:p>
          <w:p w:rsidR="00A84AA6" w:rsidRPr="00D31DFB" w:rsidRDefault="00A84AA6" w:rsidP="00A84AA6">
            <w:pPr>
              <w:pStyle w:val="TableParagraph"/>
              <w:adjustRightInd w:val="0"/>
              <w:snapToGrid w:val="0"/>
              <w:ind w:left="169"/>
              <w:rPr>
                <w:rFonts w:ascii="Times New Roman" w:hAnsi="Times New Roman" w:cs="Times New Roman"/>
              </w:rPr>
            </w:pPr>
            <w:r w:rsidRPr="00D31DFB">
              <w:rPr>
                <w:rFonts w:ascii="Times New Roman" w:hAnsi="Times New Roman" w:cs="Times New Roman"/>
                <w:spacing w:val="6"/>
              </w:rPr>
              <w:t>3.57e+11</w:t>
            </w:r>
          </w:p>
          <w:p w:rsidR="00A84AA6" w:rsidRPr="00D31DFB" w:rsidRDefault="00A84AA6" w:rsidP="00A84AA6">
            <w:pPr>
              <w:pStyle w:val="TableParagraph"/>
              <w:adjustRightInd w:val="0"/>
              <w:snapToGrid w:val="0"/>
              <w:ind w:left="169"/>
              <w:rPr>
                <w:rFonts w:ascii="Times New Roman" w:hAnsi="Times New Roman" w:cs="Times New Roman"/>
              </w:rPr>
            </w:pPr>
            <w:r w:rsidRPr="00D31DFB">
              <w:rPr>
                <w:rFonts w:ascii="Times New Roman" w:hAnsi="Times New Roman" w:cs="Times New Roman"/>
                <w:spacing w:val="6"/>
              </w:rPr>
              <w:t>2.26e+11</w:t>
            </w:r>
          </w:p>
        </w:tc>
        <w:tc>
          <w:tcPr>
            <w:tcW w:w="1200" w:type="dxa"/>
            <w:tcBorders>
              <w:top w:val="single" w:sz="4" w:space="0" w:color="auto"/>
              <w:bottom w:val="nil"/>
            </w:tcBorders>
          </w:tcPr>
          <w:p w:rsidR="00A84AA6" w:rsidRPr="00D31DFB" w:rsidRDefault="00A84AA6" w:rsidP="00A84AA6">
            <w:pPr>
              <w:pStyle w:val="TableParagraph"/>
              <w:adjustRightInd w:val="0"/>
              <w:snapToGrid w:val="0"/>
              <w:ind w:left="168"/>
              <w:rPr>
                <w:rFonts w:ascii="Times New Roman" w:hAnsi="Times New Roman" w:cs="Times New Roman"/>
              </w:rPr>
            </w:pPr>
            <w:r w:rsidRPr="00D31DFB">
              <w:rPr>
                <w:rFonts w:ascii="Times New Roman" w:hAnsi="Times New Roman" w:cs="Times New Roman"/>
                <w:spacing w:val="6"/>
              </w:rPr>
              <w:t>5.06e+11</w:t>
            </w:r>
          </w:p>
          <w:p w:rsidR="00A84AA6" w:rsidRPr="00D31DFB" w:rsidRDefault="00A84AA6" w:rsidP="00A84AA6">
            <w:pPr>
              <w:pStyle w:val="TableParagraph"/>
              <w:adjustRightInd w:val="0"/>
              <w:snapToGrid w:val="0"/>
              <w:ind w:left="168"/>
              <w:rPr>
                <w:rFonts w:ascii="Times New Roman" w:hAnsi="Times New Roman" w:cs="Times New Roman"/>
              </w:rPr>
            </w:pPr>
            <w:r w:rsidRPr="00D31DFB">
              <w:rPr>
                <w:rFonts w:ascii="Times New Roman" w:hAnsi="Times New Roman" w:cs="Times New Roman"/>
                <w:spacing w:val="6"/>
              </w:rPr>
              <w:t>6.49e+11</w:t>
            </w:r>
          </w:p>
          <w:p w:rsidR="00A84AA6" w:rsidRPr="00D31DFB" w:rsidRDefault="00A84AA6" w:rsidP="00A84AA6">
            <w:pPr>
              <w:pStyle w:val="TableParagraph"/>
              <w:adjustRightInd w:val="0"/>
              <w:snapToGrid w:val="0"/>
              <w:ind w:left="168"/>
              <w:rPr>
                <w:rFonts w:ascii="Times New Roman" w:hAnsi="Times New Roman" w:cs="Times New Roman"/>
              </w:rPr>
            </w:pPr>
            <w:r w:rsidRPr="00D31DFB">
              <w:rPr>
                <w:rFonts w:ascii="Times New Roman" w:hAnsi="Times New Roman" w:cs="Times New Roman"/>
                <w:spacing w:val="6"/>
              </w:rPr>
              <w:t>6.87e+11</w:t>
            </w:r>
          </w:p>
        </w:tc>
        <w:tc>
          <w:tcPr>
            <w:tcW w:w="1235" w:type="dxa"/>
            <w:tcBorders>
              <w:top w:val="single" w:sz="4" w:space="0" w:color="auto"/>
              <w:bottom w:val="nil"/>
            </w:tcBorders>
          </w:tcPr>
          <w:p w:rsidR="00A84AA6" w:rsidRPr="00D31DFB" w:rsidRDefault="00A84AA6" w:rsidP="00A84AA6">
            <w:pPr>
              <w:pStyle w:val="TableParagraph"/>
              <w:adjustRightInd w:val="0"/>
              <w:snapToGrid w:val="0"/>
              <w:ind w:left="169"/>
              <w:rPr>
                <w:rFonts w:ascii="Times New Roman" w:hAnsi="Times New Roman" w:cs="Times New Roman"/>
              </w:rPr>
            </w:pPr>
            <w:r w:rsidRPr="00D31DFB">
              <w:rPr>
                <w:rFonts w:ascii="Times New Roman" w:hAnsi="Times New Roman" w:cs="Times New Roman"/>
                <w:spacing w:val="6"/>
              </w:rPr>
              <w:t>2.12e+12</w:t>
            </w:r>
          </w:p>
          <w:p w:rsidR="00A84AA6" w:rsidRPr="00D31DFB" w:rsidRDefault="00A84AA6" w:rsidP="00A84AA6">
            <w:pPr>
              <w:pStyle w:val="TableParagraph"/>
              <w:adjustRightInd w:val="0"/>
              <w:snapToGrid w:val="0"/>
              <w:ind w:left="169"/>
              <w:rPr>
                <w:rFonts w:ascii="Times New Roman" w:hAnsi="Times New Roman" w:cs="Times New Roman"/>
              </w:rPr>
            </w:pPr>
            <w:r w:rsidRPr="00D31DFB">
              <w:rPr>
                <w:rFonts w:ascii="Times New Roman" w:hAnsi="Times New Roman" w:cs="Times New Roman"/>
                <w:spacing w:val="6"/>
              </w:rPr>
              <w:t>1.82e+12</w:t>
            </w:r>
          </w:p>
          <w:p w:rsidR="00A84AA6" w:rsidRPr="00D31DFB" w:rsidRDefault="00A84AA6" w:rsidP="00A84AA6">
            <w:pPr>
              <w:pStyle w:val="TableParagraph"/>
              <w:adjustRightInd w:val="0"/>
              <w:snapToGrid w:val="0"/>
              <w:ind w:left="169"/>
              <w:rPr>
                <w:rFonts w:ascii="Times New Roman" w:hAnsi="Times New Roman" w:cs="Times New Roman"/>
              </w:rPr>
            </w:pPr>
            <w:r w:rsidRPr="00D31DFB">
              <w:rPr>
                <w:rFonts w:ascii="Times New Roman" w:hAnsi="Times New Roman" w:cs="Times New Roman"/>
                <w:spacing w:val="6"/>
              </w:rPr>
              <w:t>1.66e+12</w:t>
            </w:r>
          </w:p>
        </w:tc>
        <w:tc>
          <w:tcPr>
            <w:tcW w:w="1418" w:type="dxa"/>
            <w:tcBorders>
              <w:top w:val="single" w:sz="4" w:space="0" w:color="auto"/>
              <w:bottom w:val="nil"/>
            </w:tcBorders>
          </w:tcPr>
          <w:p w:rsidR="00A84AA6" w:rsidRPr="00D31DFB" w:rsidRDefault="00A84AA6" w:rsidP="00A84AA6">
            <w:pPr>
              <w:pStyle w:val="TableParagraph"/>
              <w:tabs>
                <w:tab w:val="right" w:pos="1809"/>
              </w:tabs>
              <w:adjustRightInd w:val="0"/>
              <w:snapToGrid w:val="0"/>
              <w:ind w:left="601"/>
              <w:rPr>
                <w:rFonts w:ascii="Times New Roman" w:hAnsi="Times New Roman" w:cs="Times New Roman"/>
              </w:rPr>
            </w:pPr>
            <w:r w:rsidRPr="00D31DFB">
              <w:rPr>
                <w:rFonts w:ascii="Times New Roman" w:hAnsi="Times New Roman" w:cs="Times New Roman"/>
              </w:rPr>
              <w:t>N</w:t>
            </w:r>
            <w:r w:rsidRPr="00D31DFB">
              <w:rPr>
                <w:rFonts w:ascii="Times New Roman" w:hAnsi="Times New Roman" w:cs="Times New Roman"/>
                <w:spacing w:val="16"/>
              </w:rPr>
              <w:t xml:space="preserve"> </w:t>
            </w:r>
            <w:r w:rsidRPr="00D31DFB">
              <w:rPr>
                <w:rFonts w:ascii="Times New Roman" w:hAnsi="Times New Roman" w:cs="Times New Roman"/>
              </w:rPr>
              <w:t>=</w:t>
            </w:r>
            <w:r w:rsidRPr="00D31DFB">
              <w:rPr>
                <w:rFonts w:ascii="Times New Roman" w:hAnsi="Times New Roman" w:cs="Times New Roman"/>
              </w:rPr>
              <w:tab/>
            </w:r>
            <w:r w:rsidRPr="00D31DFB">
              <w:rPr>
                <w:rFonts w:ascii="Times New Roman" w:hAnsi="Times New Roman" w:cs="Times New Roman"/>
                <w:spacing w:val="4"/>
              </w:rPr>
              <w:t>84</w:t>
            </w:r>
          </w:p>
          <w:p w:rsidR="00A84AA6" w:rsidRPr="00D31DFB" w:rsidRDefault="00A84AA6" w:rsidP="00A84AA6">
            <w:pPr>
              <w:pStyle w:val="TableParagraph"/>
              <w:tabs>
                <w:tab w:val="right" w:pos="1809"/>
              </w:tabs>
              <w:adjustRightInd w:val="0"/>
              <w:snapToGrid w:val="0"/>
              <w:ind w:left="601"/>
              <w:rPr>
                <w:rFonts w:ascii="Times New Roman" w:hAnsi="Times New Roman" w:cs="Times New Roman"/>
              </w:rPr>
            </w:pPr>
            <w:r w:rsidRPr="00D31DFB">
              <w:rPr>
                <w:rFonts w:ascii="Times New Roman" w:hAnsi="Times New Roman" w:cs="Times New Roman"/>
              </w:rPr>
              <w:t>n</w:t>
            </w:r>
            <w:r w:rsidRPr="00D31DFB">
              <w:rPr>
                <w:rFonts w:ascii="Times New Roman" w:hAnsi="Times New Roman" w:cs="Times New Roman"/>
                <w:spacing w:val="16"/>
              </w:rPr>
              <w:t xml:space="preserve"> </w:t>
            </w:r>
            <w:r w:rsidRPr="00D31DFB">
              <w:rPr>
                <w:rFonts w:ascii="Times New Roman" w:hAnsi="Times New Roman" w:cs="Times New Roman"/>
              </w:rPr>
              <w:t>=</w:t>
            </w:r>
            <w:r w:rsidRPr="00D31DFB">
              <w:rPr>
                <w:rFonts w:ascii="Times New Roman" w:hAnsi="Times New Roman" w:cs="Times New Roman"/>
              </w:rPr>
              <w:tab/>
            </w:r>
            <w:r w:rsidRPr="00D31DFB">
              <w:rPr>
                <w:rFonts w:ascii="Times New Roman" w:hAnsi="Times New Roman" w:cs="Times New Roman"/>
                <w:spacing w:val="4"/>
              </w:rPr>
              <w:t>14</w:t>
            </w:r>
          </w:p>
          <w:p w:rsidR="00A84AA6" w:rsidRPr="00D31DFB" w:rsidRDefault="00A84AA6" w:rsidP="00A84AA6">
            <w:pPr>
              <w:pStyle w:val="TableParagraph"/>
              <w:tabs>
                <w:tab w:val="right" w:pos="1809"/>
              </w:tabs>
              <w:adjustRightInd w:val="0"/>
              <w:snapToGrid w:val="0"/>
              <w:ind w:left="601"/>
              <w:rPr>
                <w:rFonts w:ascii="Times New Roman" w:hAnsi="Times New Roman" w:cs="Times New Roman"/>
              </w:rPr>
            </w:pPr>
            <w:r w:rsidRPr="00D31DFB">
              <w:rPr>
                <w:rFonts w:ascii="Times New Roman" w:hAnsi="Times New Roman" w:cs="Times New Roman"/>
              </w:rPr>
              <w:t>T</w:t>
            </w:r>
            <w:r w:rsidRPr="00D31DFB">
              <w:rPr>
                <w:rFonts w:ascii="Times New Roman" w:hAnsi="Times New Roman" w:cs="Times New Roman"/>
                <w:spacing w:val="16"/>
              </w:rPr>
              <w:t xml:space="preserve"> </w:t>
            </w:r>
            <w:r w:rsidRPr="00D31DFB">
              <w:rPr>
                <w:rFonts w:ascii="Times New Roman" w:hAnsi="Times New Roman" w:cs="Times New Roman"/>
              </w:rPr>
              <w:t>=</w:t>
            </w:r>
            <w:r w:rsidRPr="00D31DFB">
              <w:rPr>
                <w:rFonts w:ascii="Times New Roman" w:hAnsi="Times New Roman" w:cs="Times New Roman"/>
              </w:rPr>
              <w:tab/>
              <w:t>6</w:t>
            </w:r>
          </w:p>
        </w:tc>
      </w:tr>
      <w:tr w:rsidR="00A84AA6" w:rsidRPr="00D31DFB" w:rsidTr="00A84AA6">
        <w:trPr>
          <w:trHeight w:val="583"/>
          <w:jc w:val="center"/>
        </w:trPr>
        <w:tc>
          <w:tcPr>
            <w:tcW w:w="2410" w:type="dxa"/>
            <w:tcBorders>
              <w:top w:val="nil"/>
              <w:bottom w:val="nil"/>
            </w:tcBorders>
          </w:tcPr>
          <w:p w:rsidR="00A84AA6" w:rsidRPr="00D31DFB" w:rsidRDefault="00A84AA6" w:rsidP="00A84AA6">
            <w:pPr>
              <w:pStyle w:val="TableParagraph"/>
              <w:adjustRightInd w:val="0"/>
              <w:snapToGrid w:val="0"/>
              <w:ind w:left="1374" w:right="170" w:hanging="994"/>
              <w:jc w:val="both"/>
              <w:rPr>
                <w:rFonts w:ascii="Times New Roman" w:hAnsi="Times New Roman" w:cs="Times New Roman"/>
              </w:rPr>
            </w:pPr>
            <w:r w:rsidRPr="00D31DFB">
              <w:rPr>
                <w:rFonts w:ascii="Times New Roman" w:hAnsi="Times New Roman" w:cs="Times New Roman"/>
              </w:rPr>
              <w:t>DAU overall between within</w:t>
            </w:r>
          </w:p>
        </w:tc>
        <w:tc>
          <w:tcPr>
            <w:tcW w:w="1305" w:type="dxa"/>
            <w:tcBorders>
              <w:top w:val="nil"/>
              <w:bottom w:val="nil"/>
            </w:tcBorders>
          </w:tcPr>
          <w:p w:rsidR="00A84AA6" w:rsidRPr="00D31DFB" w:rsidRDefault="00A84AA6" w:rsidP="00A84AA6">
            <w:pPr>
              <w:pStyle w:val="TableParagraph"/>
              <w:adjustRightInd w:val="0"/>
              <w:snapToGrid w:val="0"/>
              <w:ind w:right="167"/>
              <w:jc w:val="right"/>
              <w:rPr>
                <w:rFonts w:ascii="Times New Roman" w:hAnsi="Times New Roman" w:cs="Times New Roman"/>
              </w:rPr>
            </w:pPr>
            <w:r w:rsidRPr="00D31DFB">
              <w:rPr>
                <w:rFonts w:ascii="Times New Roman" w:hAnsi="Times New Roman" w:cs="Times New Roman"/>
              </w:rPr>
              <w:t>6.78e+11</w:t>
            </w:r>
          </w:p>
        </w:tc>
        <w:tc>
          <w:tcPr>
            <w:tcW w:w="20" w:type="dxa"/>
            <w:tcBorders>
              <w:top w:val="nil"/>
              <w:bottom w:val="nil"/>
            </w:tcBorders>
          </w:tcPr>
          <w:p w:rsidR="00A84AA6" w:rsidRPr="00D31DFB" w:rsidRDefault="00A84AA6" w:rsidP="00A84AA6">
            <w:pPr>
              <w:pStyle w:val="TableParagraph"/>
              <w:adjustRightInd w:val="0"/>
              <w:snapToGrid w:val="0"/>
              <w:ind w:left="169"/>
              <w:rPr>
                <w:rFonts w:ascii="Times New Roman" w:hAnsi="Times New Roman" w:cs="Times New Roman"/>
                <w:spacing w:val="6"/>
              </w:rPr>
            </w:pPr>
          </w:p>
        </w:tc>
        <w:tc>
          <w:tcPr>
            <w:tcW w:w="1201" w:type="dxa"/>
            <w:tcBorders>
              <w:top w:val="nil"/>
              <w:bottom w:val="nil"/>
            </w:tcBorders>
          </w:tcPr>
          <w:p w:rsidR="00A84AA6" w:rsidRPr="00D31DFB" w:rsidRDefault="00A84AA6" w:rsidP="00A84AA6">
            <w:pPr>
              <w:pStyle w:val="TableParagraph"/>
              <w:adjustRightInd w:val="0"/>
              <w:snapToGrid w:val="0"/>
              <w:ind w:left="169"/>
              <w:rPr>
                <w:rFonts w:ascii="Times New Roman" w:hAnsi="Times New Roman" w:cs="Times New Roman"/>
              </w:rPr>
            </w:pPr>
            <w:r w:rsidRPr="00D31DFB">
              <w:rPr>
                <w:rFonts w:ascii="Times New Roman" w:hAnsi="Times New Roman" w:cs="Times New Roman"/>
                <w:spacing w:val="6"/>
              </w:rPr>
              <w:t>1.93e+11</w:t>
            </w:r>
          </w:p>
          <w:p w:rsidR="00A84AA6" w:rsidRPr="00D31DFB" w:rsidRDefault="00A84AA6" w:rsidP="00A84AA6">
            <w:pPr>
              <w:pStyle w:val="TableParagraph"/>
              <w:adjustRightInd w:val="0"/>
              <w:snapToGrid w:val="0"/>
              <w:ind w:left="169"/>
              <w:rPr>
                <w:rFonts w:ascii="Times New Roman" w:hAnsi="Times New Roman" w:cs="Times New Roman"/>
              </w:rPr>
            </w:pPr>
            <w:r w:rsidRPr="00D31DFB">
              <w:rPr>
                <w:rFonts w:ascii="Times New Roman" w:hAnsi="Times New Roman" w:cs="Times New Roman"/>
                <w:spacing w:val="6"/>
              </w:rPr>
              <w:t>1.90e+11</w:t>
            </w:r>
          </w:p>
          <w:p w:rsidR="00A84AA6" w:rsidRPr="00D31DFB" w:rsidRDefault="00A84AA6" w:rsidP="00A84AA6">
            <w:pPr>
              <w:pStyle w:val="TableParagraph"/>
              <w:adjustRightInd w:val="0"/>
              <w:snapToGrid w:val="0"/>
              <w:ind w:left="169"/>
              <w:rPr>
                <w:rFonts w:ascii="Times New Roman" w:hAnsi="Times New Roman" w:cs="Times New Roman"/>
              </w:rPr>
            </w:pPr>
            <w:r w:rsidRPr="00D31DFB">
              <w:rPr>
                <w:rFonts w:ascii="Times New Roman" w:hAnsi="Times New Roman" w:cs="Times New Roman"/>
                <w:spacing w:val="6"/>
              </w:rPr>
              <w:t>5.52e+10</w:t>
            </w:r>
          </w:p>
        </w:tc>
        <w:tc>
          <w:tcPr>
            <w:tcW w:w="1200" w:type="dxa"/>
            <w:tcBorders>
              <w:top w:val="nil"/>
              <w:bottom w:val="nil"/>
            </w:tcBorders>
          </w:tcPr>
          <w:p w:rsidR="00A84AA6" w:rsidRPr="00D31DFB" w:rsidRDefault="00A84AA6" w:rsidP="00A84AA6">
            <w:pPr>
              <w:pStyle w:val="TableParagraph"/>
              <w:adjustRightInd w:val="0"/>
              <w:snapToGrid w:val="0"/>
              <w:ind w:left="168"/>
              <w:rPr>
                <w:rFonts w:ascii="Times New Roman" w:hAnsi="Times New Roman" w:cs="Times New Roman"/>
              </w:rPr>
            </w:pPr>
            <w:r w:rsidRPr="00D31DFB">
              <w:rPr>
                <w:rFonts w:ascii="Times New Roman" w:hAnsi="Times New Roman" w:cs="Times New Roman"/>
                <w:spacing w:val="6"/>
              </w:rPr>
              <w:t>3.71e+11</w:t>
            </w:r>
          </w:p>
          <w:p w:rsidR="00A84AA6" w:rsidRPr="00D31DFB" w:rsidRDefault="00A84AA6" w:rsidP="00A84AA6">
            <w:pPr>
              <w:pStyle w:val="TableParagraph"/>
              <w:adjustRightInd w:val="0"/>
              <w:snapToGrid w:val="0"/>
              <w:ind w:left="168"/>
              <w:rPr>
                <w:rFonts w:ascii="Times New Roman" w:hAnsi="Times New Roman" w:cs="Times New Roman"/>
              </w:rPr>
            </w:pPr>
            <w:r w:rsidRPr="00D31DFB">
              <w:rPr>
                <w:rFonts w:ascii="Times New Roman" w:hAnsi="Times New Roman" w:cs="Times New Roman"/>
                <w:spacing w:val="6"/>
              </w:rPr>
              <w:t>4.28e+11</w:t>
            </w:r>
          </w:p>
          <w:p w:rsidR="00A84AA6" w:rsidRPr="00D31DFB" w:rsidRDefault="00A84AA6" w:rsidP="00A84AA6">
            <w:pPr>
              <w:pStyle w:val="TableParagraph"/>
              <w:adjustRightInd w:val="0"/>
              <w:snapToGrid w:val="0"/>
              <w:ind w:left="168"/>
              <w:rPr>
                <w:rFonts w:ascii="Times New Roman" w:hAnsi="Times New Roman" w:cs="Times New Roman"/>
              </w:rPr>
            </w:pPr>
            <w:r w:rsidRPr="00D31DFB">
              <w:rPr>
                <w:rFonts w:ascii="Times New Roman" w:hAnsi="Times New Roman" w:cs="Times New Roman"/>
                <w:spacing w:val="6"/>
              </w:rPr>
              <w:t>5.15e+11</w:t>
            </w:r>
          </w:p>
        </w:tc>
        <w:tc>
          <w:tcPr>
            <w:tcW w:w="1235" w:type="dxa"/>
            <w:tcBorders>
              <w:top w:val="nil"/>
              <w:bottom w:val="nil"/>
            </w:tcBorders>
          </w:tcPr>
          <w:p w:rsidR="00A84AA6" w:rsidRPr="00D31DFB" w:rsidRDefault="00A84AA6" w:rsidP="00A84AA6">
            <w:pPr>
              <w:pStyle w:val="TableParagraph"/>
              <w:adjustRightInd w:val="0"/>
              <w:snapToGrid w:val="0"/>
              <w:ind w:left="169"/>
              <w:rPr>
                <w:rFonts w:ascii="Times New Roman" w:hAnsi="Times New Roman" w:cs="Times New Roman"/>
              </w:rPr>
            </w:pPr>
            <w:r w:rsidRPr="00D31DFB">
              <w:rPr>
                <w:rFonts w:ascii="Times New Roman" w:hAnsi="Times New Roman" w:cs="Times New Roman"/>
                <w:spacing w:val="6"/>
              </w:rPr>
              <w:t>1.13e+12</w:t>
            </w:r>
          </w:p>
          <w:p w:rsidR="00A84AA6" w:rsidRPr="00D31DFB" w:rsidRDefault="00A84AA6" w:rsidP="00A84AA6">
            <w:pPr>
              <w:pStyle w:val="TableParagraph"/>
              <w:adjustRightInd w:val="0"/>
              <w:snapToGrid w:val="0"/>
              <w:ind w:left="169"/>
              <w:rPr>
                <w:rFonts w:ascii="Times New Roman" w:hAnsi="Times New Roman" w:cs="Times New Roman"/>
              </w:rPr>
            </w:pPr>
            <w:r w:rsidRPr="00D31DFB">
              <w:rPr>
                <w:rFonts w:ascii="Times New Roman" w:hAnsi="Times New Roman" w:cs="Times New Roman"/>
                <w:spacing w:val="6"/>
              </w:rPr>
              <w:t>1.06e+12</w:t>
            </w:r>
          </w:p>
          <w:p w:rsidR="00A84AA6" w:rsidRPr="00D31DFB" w:rsidRDefault="00A84AA6" w:rsidP="00A84AA6">
            <w:pPr>
              <w:pStyle w:val="TableParagraph"/>
              <w:adjustRightInd w:val="0"/>
              <w:snapToGrid w:val="0"/>
              <w:ind w:left="169"/>
              <w:rPr>
                <w:rFonts w:ascii="Times New Roman" w:hAnsi="Times New Roman" w:cs="Times New Roman"/>
              </w:rPr>
            </w:pPr>
            <w:r w:rsidRPr="00D31DFB">
              <w:rPr>
                <w:rFonts w:ascii="Times New Roman" w:hAnsi="Times New Roman" w:cs="Times New Roman"/>
                <w:spacing w:val="6"/>
              </w:rPr>
              <w:t>7.50e+11</w:t>
            </w:r>
          </w:p>
        </w:tc>
        <w:tc>
          <w:tcPr>
            <w:tcW w:w="1418" w:type="dxa"/>
            <w:tcBorders>
              <w:top w:val="nil"/>
              <w:bottom w:val="nil"/>
            </w:tcBorders>
          </w:tcPr>
          <w:p w:rsidR="00A84AA6" w:rsidRPr="00D31DFB" w:rsidRDefault="00A84AA6" w:rsidP="00A84AA6">
            <w:pPr>
              <w:pStyle w:val="TableParagraph"/>
              <w:tabs>
                <w:tab w:val="right" w:pos="1809"/>
              </w:tabs>
              <w:adjustRightInd w:val="0"/>
              <w:snapToGrid w:val="0"/>
              <w:ind w:left="601"/>
              <w:rPr>
                <w:rFonts w:ascii="Times New Roman" w:hAnsi="Times New Roman" w:cs="Times New Roman"/>
              </w:rPr>
            </w:pPr>
            <w:r w:rsidRPr="00D31DFB">
              <w:rPr>
                <w:rFonts w:ascii="Times New Roman" w:hAnsi="Times New Roman" w:cs="Times New Roman"/>
              </w:rPr>
              <w:t>N</w:t>
            </w:r>
            <w:r w:rsidRPr="00D31DFB">
              <w:rPr>
                <w:rFonts w:ascii="Times New Roman" w:hAnsi="Times New Roman" w:cs="Times New Roman"/>
                <w:spacing w:val="16"/>
              </w:rPr>
              <w:t xml:space="preserve"> </w:t>
            </w:r>
            <w:r w:rsidRPr="00D31DFB">
              <w:rPr>
                <w:rFonts w:ascii="Times New Roman" w:hAnsi="Times New Roman" w:cs="Times New Roman"/>
              </w:rPr>
              <w:t>=</w:t>
            </w:r>
            <w:r w:rsidRPr="00D31DFB">
              <w:rPr>
                <w:rFonts w:ascii="Times New Roman" w:hAnsi="Times New Roman" w:cs="Times New Roman"/>
              </w:rPr>
              <w:tab/>
            </w:r>
            <w:r w:rsidRPr="00D31DFB">
              <w:rPr>
                <w:rFonts w:ascii="Times New Roman" w:hAnsi="Times New Roman" w:cs="Times New Roman"/>
                <w:spacing w:val="4"/>
              </w:rPr>
              <w:t>84</w:t>
            </w:r>
          </w:p>
          <w:p w:rsidR="00A84AA6" w:rsidRPr="00D31DFB" w:rsidRDefault="00A84AA6" w:rsidP="00A84AA6">
            <w:pPr>
              <w:pStyle w:val="TableParagraph"/>
              <w:tabs>
                <w:tab w:val="right" w:pos="1809"/>
              </w:tabs>
              <w:adjustRightInd w:val="0"/>
              <w:snapToGrid w:val="0"/>
              <w:ind w:left="601"/>
              <w:rPr>
                <w:rFonts w:ascii="Times New Roman" w:hAnsi="Times New Roman" w:cs="Times New Roman"/>
              </w:rPr>
            </w:pPr>
            <w:r w:rsidRPr="00D31DFB">
              <w:rPr>
                <w:rFonts w:ascii="Times New Roman" w:hAnsi="Times New Roman" w:cs="Times New Roman"/>
              </w:rPr>
              <w:t>n</w:t>
            </w:r>
            <w:r w:rsidRPr="00D31DFB">
              <w:rPr>
                <w:rFonts w:ascii="Times New Roman" w:hAnsi="Times New Roman" w:cs="Times New Roman"/>
                <w:spacing w:val="16"/>
              </w:rPr>
              <w:t xml:space="preserve"> </w:t>
            </w:r>
            <w:r w:rsidRPr="00D31DFB">
              <w:rPr>
                <w:rFonts w:ascii="Times New Roman" w:hAnsi="Times New Roman" w:cs="Times New Roman"/>
              </w:rPr>
              <w:t>=</w:t>
            </w:r>
            <w:r w:rsidRPr="00D31DFB">
              <w:rPr>
                <w:rFonts w:ascii="Times New Roman" w:hAnsi="Times New Roman" w:cs="Times New Roman"/>
              </w:rPr>
              <w:tab/>
            </w:r>
            <w:r w:rsidRPr="00D31DFB">
              <w:rPr>
                <w:rFonts w:ascii="Times New Roman" w:hAnsi="Times New Roman" w:cs="Times New Roman"/>
                <w:spacing w:val="4"/>
              </w:rPr>
              <w:t>14</w:t>
            </w:r>
          </w:p>
          <w:p w:rsidR="00A84AA6" w:rsidRPr="00D31DFB" w:rsidRDefault="00A84AA6" w:rsidP="00A84AA6">
            <w:pPr>
              <w:pStyle w:val="TableParagraph"/>
              <w:tabs>
                <w:tab w:val="right" w:pos="1809"/>
              </w:tabs>
              <w:adjustRightInd w:val="0"/>
              <w:snapToGrid w:val="0"/>
              <w:ind w:left="601"/>
              <w:rPr>
                <w:rFonts w:ascii="Times New Roman" w:hAnsi="Times New Roman" w:cs="Times New Roman"/>
              </w:rPr>
            </w:pPr>
            <w:r w:rsidRPr="00D31DFB">
              <w:rPr>
                <w:rFonts w:ascii="Times New Roman" w:hAnsi="Times New Roman" w:cs="Times New Roman"/>
              </w:rPr>
              <w:t>T</w:t>
            </w:r>
            <w:r w:rsidRPr="00D31DFB">
              <w:rPr>
                <w:rFonts w:ascii="Times New Roman" w:hAnsi="Times New Roman" w:cs="Times New Roman"/>
                <w:spacing w:val="16"/>
              </w:rPr>
              <w:t xml:space="preserve"> </w:t>
            </w:r>
            <w:r w:rsidRPr="00D31DFB">
              <w:rPr>
                <w:rFonts w:ascii="Times New Roman" w:hAnsi="Times New Roman" w:cs="Times New Roman"/>
              </w:rPr>
              <w:t>=</w:t>
            </w:r>
            <w:r w:rsidRPr="00D31DFB">
              <w:rPr>
                <w:rFonts w:ascii="Times New Roman" w:hAnsi="Times New Roman" w:cs="Times New Roman"/>
              </w:rPr>
              <w:tab/>
              <w:t>6</w:t>
            </w:r>
          </w:p>
        </w:tc>
      </w:tr>
      <w:tr w:rsidR="00A84AA6" w:rsidRPr="00D31DFB" w:rsidTr="00A84AA6">
        <w:trPr>
          <w:trHeight w:val="583"/>
          <w:jc w:val="center"/>
        </w:trPr>
        <w:tc>
          <w:tcPr>
            <w:tcW w:w="2410" w:type="dxa"/>
            <w:tcBorders>
              <w:top w:val="nil"/>
              <w:bottom w:val="nil"/>
            </w:tcBorders>
          </w:tcPr>
          <w:p w:rsidR="00A84AA6" w:rsidRPr="00D31DFB" w:rsidRDefault="00A84AA6" w:rsidP="00A84AA6">
            <w:pPr>
              <w:pStyle w:val="TableParagraph"/>
              <w:adjustRightInd w:val="0"/>
              <w:snapToGrid w:val="0"/>
              <w:ind w:left="1374" w:right="170" w:hanging="994"/>
              <w:jc w:val="both"/>
              <w:rPr>
                <w:rFonts w:ascii="Times New Roman" w:hAnsi="Times New Roman" w:cs="Times New Roman"/>
              </w:rPr>
            </w:pPr>
            <w:r w:rsidRPr="00D31DFB">
              <w:rPr>
                <w:rFonts w:ascii="Times New Roman" w:hAnsi="Times New Roman" w:cs="Times New Roman"/>
              </w:rPr>
              <w:t>DBH overall between within</w:t>
            </w:r>
          </w:p>
        </w:tc>
        <w:tc>
          <w:tcPr>
            <w:tcW w:w="1305" w:type="dxa"/>
            <w:tcBorders>
              <w:top w:val="nil"/>
              <w:bottom w:val="nil"/>
            </w:tcBorders>
          </w:tcPr>
          <w:p w:rsidR="00A84AA6" w:rsidRPr="00D31DFB" w:rsidRDefault="00A84AA6" w:rsidP="00A84AA6">
            <w:pPr>
              <w:pStyle w:val="TableParagraph"/>
              <w:adjustRightInd w:val="0"/>
              <w:snapToGrid w:val="0"/>
              <w:ind w:right="167"/>
              <w:jc w:val="right"/>
              <w:rPr>
                <w:rFonts w:ascii="Times New Roman" w:hAnsi="Times New Roman" w:cs="Times New Roman"/>
              </w:rPr>
            </w:pPr>
            <w:r w:rsidRPr="00D31DFB">
              <w:rPr>
                <w:rFonts w:ascii="Times New Roman" w:hAnsi="Times New Roman" w:cs="Times New Roman"/>
              </w:rPr>
              <w:t>4.58e+10</w:t>
            </w:r>
          </w:p>
        </w:tc>
        <w:tc>
          <w:tcPr>
            <w:tcW w:w="20" w:type="dxa"/>
            <w:tcBorders>
              <w:top w:val="nil"/>
              <w:bottom w:val="nil"/>
            </w:tcBorders>
          </w:tcPr>
          <w:p w:rsidR="00A84AA6" w:rsidRPr="00D31DFB" w:rsidRDefault="00A84AA6" w:rsidP="00A84AA6">
            <w:pPr>
              <w:pStyle w:val="TableParagraph"/>
              <w:adjustRightInd w:val="0"/>
              <w:snapToGrid w:val="0"/>
              <w:ind w:left="169"/>
              <w:rPr>
                <w:rFonts w:ascii="Times New Roman" w:hAnsi="Times New Roman" w:cs="Times New Roman"/>
                <w:spacing w:val="6"/>
              </w:rPr>
            </w:pPr>
          </w:p>
        </w:tc>
        <w:tc>
          <w:tcPr>
            <w:tcW w:w="1201" w:type="dxa"/>
            <w:tcBorders>
              <w:top w:val="nil"/>
              <w:bottom w:val="nil"/>
            </w:tcBorders>
          </w:tcPr>
          <w:p w:rsidR="00A84AA6" w:rsidRPr="00D31DFB" w:rsidRDefault="00A84AA6" w:rsidP="00A84AA6">
            <w:pPr>
              <w:pStyle w:val="TableParagraph"/>
              <w:adjustRightInd w:val="0"/>
              <w:snapToGrid w:val="0"/>
              <w:ind w:left="169"/>
              <w:rPr>
                <w:rFonts w:ascii="Times New Roman" w:hAnsi="Times New Roman" w:cs="Times New Roman"/>
              </w:rPr>
            </w:pPr>
            <w:r w:rsidRPr="00D31DFB">
              <w:rPr>
                <w:rFonts w:ascii="Times New Roman" w:hAnsi="Times New Roman" w:cs="Times New Roman"/>
                <w:spacing w:val="6"/>
              </w:rPr>
              <w:t>4.16e+10</w:t>
            </w:r>
          </w:p>
          <w:p w:rsidR="00A84AA6" w:rsidRPr="00D31DFB" w:rsidRDefault="00A84AA6" w:rsidP="00A84AA6">
            <w:pPr>
              <w:pStyle w:val="TableParagraph"/>
              <w:adjustRightInd w:val="0"/>
              <w:snapToGrid w:val="0"/>
              <w:ind w:left="169"/>
              <w:rPr>
                <w:rFonts w:ascii="Times New Roman" w:hAnsi="Times New Roman" w:cs="Times New Roman"/>
              </w:rPr>
            </w:pPr>
            <w:r w:rsidRPr="00D31DFB">
              <w:rPr>
                <w:rFonts w:ascii="Times New Roman" w:hAnsi="Times New Roman" w:cs="Times New Roman"/>
                <w:spacing w:val="6"/>
              </w:rPr>
              <w:t>3.21e+10</w:t>
            </w:r>
          </w:p>
          <w:p w:rsidR="00A84AA6" w:rsidRPr="00D31DFB" w:rsidRDefault="00A84AA6" w:rsidP="00A84AA6">
            <w:pPr>
              <w:pStyle w:val="TableParagraph"/>
              <w:adjustRightInd w:val="0"/>
              <w:snapToGrid w:val="0"/>
              <w:ind w:left="169"/>
              <w:rPr>
                <w:rFonts w:ascii="Times New Roman" w:hAnsi="Times New Roman" w:cs="Times New Roman"/>
              </w:rPr>
            </w:pPr>
            <w:r w:rsidRPr="00D31DFB">
              <w:rPr>
                <w:rFonts w:ascii="Times New Roman" w:hAnsi="Times New Roman" w:cs="Times New Roman"/>
                <w:spacing w:val="6"/>
              </w:rPr>
              <w:t>2.76e+10</w:t>
            </w:r>
          </w:p>
        </w:tc>
        <w:tc>
          <w:tcPr>
            <w:tcW w:w="1200" w:type="dxa"/>
            <w:tcBorders>
              <w:top w:val="nil"/>
              <w:bottom w:val="nil"/>
            </w:tcBorders>
          </w:tcPr>
          <w:p w:rsidR="00A84AA6" w:rsidRPr="00D31DFB" w:rsidRDefault="00A84AA6" w:rsidP="00A84AA6">
            <w:pPr>
              <w:pStyle w:val="TableParagraph"/>
              <w:adjustRightInd w:val="0"/>
              <w:snapToGrid w:val="0"/>
              <w:ind w:right="167"/>
              <w:jc w:val="right"/>
              <w:rPr>
                <w:rFonts w:ascii="Times New Roman" w:hAnsi="Times New Roman" w:cs="Times New Roman"/>
              </w:rPr>
            </w:pPr>
            <w:r w:rsidRPr="00D31DFB">
              <w:rPr>
                <w:rFonts w:ascii="Times New Roman" w:hAnsi="Times New Roman" w:cs="Times New Roman"/>
                <w:spacing w:val="6"/>
              </w:rPr>
              <w:t>1.54e+10</w:t>
            </w:r>
          </w:p>
          <w:p w:rsidR="00A84AA6" w:rsidRPr="00D31DFB" w:rsidRDefault="00A84AA6" w:rsidP="00A84AA6">
            <w:pPr>
              <w:pStyle w:val="TableParagraph"/>
              <w:adjustRightInd w:val="0"/>
              <w:snapToGrid w:val="0"/>
              <w:ind w:right="167"/>
              <w:jc w:val="right"/>
              <w:rPr>
                <w:rFonts w:ascii="Times New Roman" w:hAnsi="Times New Roman" w:cs="Times New Roman"/>
              </w:rPr>
            </w:pPr>
            <w:r w:rsidRPr="00D31DFB">
              <w:rPr>
                <w:rFonts w:ascii="Times New Roman" w:hAnsi="Times New Roman" w:cs="Times New Roman"/>
                <w:spacing w:val="6"/>
              </w:rPr>
              <w:t>1.89e+10</w:t>
            </w:r>
          </w:p>
          <w:p w:rsidR="00A84AA6" w:rsidRPr="00D31DFB" w:rsidRDefault="00A84AA6" w:rsidP="00A84AA6">
            <w:pPr>
              <w:pStyle w:val="TableParagraph"/>
              <w:adjustRightInd w:val="0"/>
              <w:snapToGrid w:val="0"/>
              <w:ind w:right="116"/>
              <w:jc w:val="right"/>
              <w:rPr>
                <w:rFonts w:ascii="Times New Roman" w:hAnsi="Times New Roman" w:cs="Times New Roman"/>
              </w:rPr>
            </w:pPr>
            <w:r w:rsidRPr="00D31DFB">
              <w:rPr>
                <w:rFonts w:ascii="Times New Roman" w:hAnsi="Times New Roman" w:cs="Times New Roman"/>
                <w:spacing w:val="6"/>
              </w:rPr>
              <w:t>-5.59e+09</w:t>
            </w:r>
          </w:p>
        </w:tc>
        <w:tc>
          <w:tcPr>
            <w:tcW w:w="1235" w:type="dxa"/>
            <w:tcBorders>
              <w:top w:val="nil"/>
              <w:bottom w:val="nil"/>
            </w:tcBorders>
          </w:tcPr>
          <w:p w:rsidR="00A84AA6" w:rsidRPr="00D31DFB" w:rsidRDefault="00A84AA6" w:rsidP="00A84AA6">
            <w:pPr>
              <w:pStyle w:val="TableParagraph"/>
              <w:adjustRightInd w:val="0"/>
              <w:snapToGrid w:val="0"/>
              <w:ind w:left="169"/>
              <w:rPr>
                <w:rFonts w:ascii="Times New Roman" w:hAnsi="Times New Roman" w:cs="Times New Roman"/>
              </w:rPr>
            </w:pPr>
            <w:r w:rsidRPr="00D31DFB">
              <w:rPr>
                <w:rFonts w:ascii="Times New Roman" w:hAnsi="Times New Roman" w:cs="Times New Roman"/>
                <w:spacing w:val="6"/>
              </w:rPr>
              <w:t>3.09e+11</w:t>
            </w:r>
          </w:p>
          <w:p w:rsidR="00A84AA6" w:rsidRPr="00D31DFB" w:rsidRDefault="00A84AA6" w:rsidP="00A84AA6">
            <w:pPr>
              <w:pStyle w:val="TableParagraph"/>
              <w:adjustRightInd w:val="0"/>
              <w:snapToGrid w:val="0"/>
              <w:ind w:left="169"/>
              <w:rPr>
                <w:rFonts w:ascii="Times New Roman" w:hAnsi="Times New Roman" w:cs="Times New Roman"/>
              </w:rPr>
            </w:pPr>
            <w:r w:rsidRPr="00D31DFB">
              <w:rPr>
                <w:rFonts w:ascii="Times New Roman" w:hAnsi="Times New Roman" w:cs="Times New Roman"/>
                <w:spacing w:val="6"/>
              </w:rPr>
              <w:t>1.32e+11</w:t>
            </w:r>
          </w:p>
          <w:p w:rsidR="00A84AA6" w:rsidRPr="00D31DFB" w:rsidRDefault="00A84AA6" w:rsidP="00A84AA6">
            <w:pPr>
              <w:pStyle w:val="TableParagraph"/>
              <w:adjustRightInd w:val="0"/>
              <w:snapToGrid w:val="0"/>
              <w:ind w:left="169"/>
              <w:rPr>
                <w:rFonts w:ascii="Times New Roman" w:hAnsi="Times New Roman" w:cs="Times New Roman"/>
              </w:rPr>
            </w:pPr>
            <w:r w:rsidRPr="00D31DFB">
              <w:rPr>
                <w:rFonts w:ascii="Times New Roman" w:hAnsi="Times New Roman" w:cs="Times New Roman"/>
                <w:spacing w:val="6"/>
              </w:rPr>
              <w:t>2.62e+11</w:t>
            </w:r>
          </w:p>
        </w:tc>
        <w:tc>
          <w:tcPr>
            <w:tcW w:w="1418" w:type="dxa"/>
            <w:tcBorders>
              <w:top w:val="nil"/>
              <w:bottom w:val="nil"/>
            </w:tcBorders>
          </w:tcPr>
          <w:p w:rsidR="00A84AA6" w:rsidRPr="00D31DFB" w:rsidRDefault="00A84AA6" w:rsidP="00A84AA6">
            <w:pPr>
              <w:pStyle w:val="TableParagraph"/>
              <w:tabs>
                <w:tab w:val="right" w:pos="1809"/>
              </w:tabs>
              <w:adjustRightInd w:val="0"/>
              <w:snapToGrid w:val="0"/>
              <w:ind w:left="601"/>
              <w:rPr>
                <w:rFonts w:ascii="Times New Roman" w:hAnsi="Times New Roman" w:cs="Times New Roman"/>
              </w:rPr>
            </w:pPr>
            <w:r w:rsidRPr="00D31DFB">
              <w:rPr>
                <w:rFonts w:ascii="Times New Roman" w:hAnsi="Times New Roman" w:cs="Times New Roman"/>
              </w:rPr>
              <w:t>N</w:t>
            </w:r>
            <w:r w:rsidRPr="00D31DFB">
              <w:rPr>
                <w:rFonts w:ascii="Times New Roman" w:hAnsi="Times New Roman" w:cs="Times New Roman"/>
                <w:spacing w:val="16"/>
              </w:rPr>
              <w:t xml:space="preserve"> </w:t>
            </w:r>
            <w:r w:rsidRPr="00D31DFB">
              <w:rPr>
                <w:rFonts w:ascii="Times New Roman" w:hAnsi="Times New Roman" w:cs="Times New Roman"/>
              </w:rPr>
              <w:t>=</w:t>
            </w:r>
            <w:r w:rsidRPr="00D31DFB">
              <w:rPr>
                <w:rFonts w:ascii="Times New Roman" w:hAnsi="Times New Roman" w:cs="Times New Roman"/>
              </w:rPr>
              <w:tab/>
            </w:r>
            <w:r w:rsidRPr="00D31DFB">
              <w:rPr>
                <w:rFonts w:ascii="Times New Roman" w:hAnsi="Times New Roman" w:cs="Times New Roman"/>
                <w:spacing w:val="4"/>
              </w:rPr>
              <w:t>84</w:t>
            </w:r>
          </w:p>
          <w:p w:rsidR="00A84AA6" w:rsidRPr="00D31DFB" w:rsidRDefault="00A84AA6" w:rsidP="00A84AA6">
            <w:pPr>
              <w:pStyle w:val="TableParagraph"/>
              <w:tabs>
                <w:tab w:val="right" w:pos="1809"/>
              </w:tabs>
              <w:adjustRightInd w:val="0"/>
              <w:snapToGrid w:val="0"/>
              <w:ind w:left="601"/>
              <w:rPr>
                <w:rFonts w:ascii="Times New Roman" w:hAnsi="Times New Roman" w:cs="Times New Roman"/>
              </w:rPr>
            </w:pPr>
            <w:r w:rsidRPr="00D31DFB">
              <w:rPr>
                <w:rFonts w:ascii="Times New Roman" w:hAnsi="Times New Roman" w:cs="Times New Roman"/>
              </w:rPr>
              <w:t>n</w:t>
            </w:r>
            <w:r w:rsidRPr="00D31DFB">
              <w:rPr>
                <w:rFonts w:ascii="Times New Roman" w:hAnsi="Times New Roman" w:cs="Times New Roman"/>
                <w:spacing w:val="16"/>
              </w:rPr>
              <w:t xml:space="preserve"> </w:t>
            </w:r>
            <w:r w:rsidRPr="00D31DFB">
              <w:rPr>
                <w:rFonts w:ascii="Times New Roman" w:hAnsi="Times New Roman" w:cs="Times New Roman"/>
              </w:rPr>
              <w:t>=</w:t>
            </w:r>
            <w:r w:rsidRPr="00D31DFB">
              <w:rPr>
                <w:rFonts w:ascii="Times New Roman" w:hAnsi="Times New Roman" w:cs="Times New Roman"/>
              </w:rPr>
              <w:tab/>
            </w:r>
            <w:r w:rsidRPr="00D31DFB">
              <w:rPr>
                <w:rFonts w:ascii="Times New Roman" w:hAnsi="Times New Roman" w:cs="Times New Roman"/>
                <w:spacing w:val="4"/>
              </w:rPr>
              <w:t>14</w:t>
            </w:r>
          </w:p>
          <w:p w:rsidR="00A84AA6" w:rsidRPr="00D31DFB" w:rsidRDefault="00A84AA6" w:rsidP="00A84AA6">
            <w:pPr>
              <w:pStyle w:val="TableParagraph"/>
              <w:tabs>
                <w:tab w:val="right" w:pos="1809"/>
              </w:tabs>
              <w:adjustRightInd w:val="0"/>
              <w:snapToGrid w:val="0"/>
              <w:ind w:left="601"/>
              <w:rPr>
                <w:rFonts w:ascii="Times New Roman" w:hAnsi="Times New Roman" w:cs="Times New Roman"/>
              </w:rPr>
            </w:pPr>
            <w:r w:rsidRPr="00D31DFB">
              <w:rPr>
                <w:rFonts w:ascii="Times New Roman" w:hAnsi="Times New Roman" w:cs="Times New Roman"/>
              </w:rPr>
              <w:t>T</w:t>
            </w:r>
            <w:r w:rsidRPr="00D31DFB">
              <w:rPr>
                <w:rFonts w:ascii="Times New Roman" w:hAnsi="Times New Roman" w:cs="Times New Roman"/>
                <w:spacing w:val="16"/>
              </w:rPr>
              <w:t xml:space="preserve"> </w:t>
            </w:r>
            <w:r w:rsidRPr="00D31DFB">
              <w:rPr>
                <w:rFonts w:ascii="Times New Roman" w:hAnsi="Times New Roman" w:cs="Times New Roman"/>
              </w:rPr>
              <w:t>=</w:t>
            </w:r>
            <w:r w:rsidRPr="00D31DFB">
              <w:rPr>
                <w:rFonts w:ascii="Times New Roman" w:hAnsi="Times New Roman" w:cs="Times New Roman"/>
              </w:rPr>
              <w:tab/>
              <w:t>6</w:t>
            </w:r>
          </w:p>
        </w:tc>
      </w:tr>
      <w:tr w:rsidR="00A84AA6" w:rsidRPr="00D31DFB" w:rsidTr="00A84AA6">
        <w:trPr>
          <w:trHeight w:val="583"/>
          <w:jc w:val="center"/>
        </w:trPr>
        <w:tc>
          <w:tcPr>
            <w:tcW w:w="2410" w:type="dxa"/>
            <w:tcBorders>
              <w:top w:val="nil"/>
              <w:bottom w:val="nil"/>
            </w:tcBorders>
          </w:tcPr>
          <w:p w:rsidR="00A84AA6" w:rsidRPr="00D31DFB" w:rsidRDefault="00A84AA6" w:rsidP="00A84AA6">
            <w:pPr>
              <w:pStyle w:val="TableParagraph"/>
              <w:adjustRightInd w:val="0"/>
              <w:snapToGrid w:val="0"/>
              <w:ind w:left="1374" w:right="170" w:hanging="994"/>
              <w:jc w:val="both"/>
              <w:rPr>
                <w:rFonts w:ascii="Times New Roman" w:hAnsi="Times New Roman" w:cs="Times New Roman"/>
              </w:rPr>
            </w:pPr>
            <w:r w:rsidRPr="00D31DFB">
              <w:rPr>
                <w:rFonts w:ascii="Times New Roman" w:hAnsi="Times New Roman" w:cs="Times New Roman"/>
              </w:rPr>
              <w:t>DAK overall between within</w:t>
            </w:r>
          </w:p>
        </w:tc>
        <w:tc>
          <w:tcPr>
            <w:tcW w:w="1305" w:type="dxa"/>
            <w:tcBorders>
              <w:top w:val="nil"/>
              <w:bottom w:val="nil"/>
            </w:tcBorders>
          </w:tcPr>
          <w:p w:rsidR="00A84AA6" w:rsidRPr="00D31DFB" w:rsidRDefault="00A84AA6" w:rsidP="00A84AA6">
            <w:pPr>
              <w:pStyle w:val="TableParagraph"/>
              <w:adjustRightInd w:val="0"/>
              <w:snapToGrid w:val="0"/>
              <w:ind w:right="167"/>
              <w:jc w:val="right"/>
              <w:rPr>
                <w:rFonts w:ascii="Times New Roman" w:hAnsi="Times New Roman" w:cs="Times New Roman"/>
              </w:rPr>
            </w:pPr>
            <w:r w:rsidRPr="00D31DFB">
              <w:rPr>
                <w:rFonts w:ascii="Times New Roman" w:hAnsi="Times New Roman" w:cs="Times New Roman"/>
              </w:rPr>
              <w:t>1.67e+11</w:t>
            </w:r>
          </w:p>
        </w:tc>
        <w:tc>
          <w:tcPr>
            <w:tcW w:w="20" w:type="dxa"/>
            <w:tcBorders>
              <w:top w:val="nil"/>
              <w:bottom w:val="nil"/>
            </w:tcBorders>
          </w:tcPr>
          <w:p w:rsidR="00A84AA6" w:rsidRPr="00D31DFB" w:rsidRDefault="00A84AA6" w:rsidP="00A84AA6">
            <w:pPr>
              <w:pStyle w:val="TableParagraph"/>
              <w:adjustRightInd w:val="0"/>
              <w:snapToGrid w:val="0"/>
              <w:ind w:left="169"/>
              <w:rPr>
                <w:rFonts w:ascii="Times New Roman" w:hAnsi="Times New Roman" w:cs="Times New Roman"/>
                <w:spacing w:val="6"/>
              </w:rPr>
            </w:pPr>
          </w:p>
        </w:tc>
        <w:tc>
          <w:tcPr>
            <w:tcW w:w="1201" w:type="dxa"/>
            <w:tcBorders>
              <w:top w:val="nil"/>
              <w:bottom w:val="nil"/>
            </w:tcBorders>
          </w:tcPr>
          <w:p w:rsidR="00A84AA6" w:rsidRPr="00D31DFB" w:rsidRDefault="00A84AA6" w:rsidP="00A84AA6">
            <w:pPr>
              <w:pStyle w:val="TableParagraph"/>
              <w:adjustRightInd w:val="0"/>
              <w:snapToGrid w:val="0"/>
              <w:ind w:left="169"/>
              <w:rPr>
                <w:rFonts w:ascii="Times New Roman" w:hAnsi="Times New Roman" w:cs="Times New Roman"/>
              </w:rPr>
            </w:pPr>
            <w:r w:rsidRPr="00D31DFB">
              <w:rPr>
                <w:rFonts w:ascii="Times New Roman" w:hAnsi="Times New Roman" w:cs="Times New Roman"/>
                <w:spacing w:val="6"/>
              </w:rPr>
              <w:t>9.78e+10</w:t>
            </w:r>
          </w:p>
          <w:p w:rsidR="00A84AA6" w:rsidRPr="00D31DFB" w:rsidRDefault="00A84AA6" w:rsidP="00A84AA6">
            <w:pPr>
              <w:pStyle w:val="TableParagraph"/>
              <w:adjustRightInd w:val="0"/>
              <w:snapToGrid w:val="0"/>
              <w:ind w:left="169"/>
              <w:rPr>
                <w:rFonts w:ascii="Times New Roman" w:hAnsi="Times New Roman" w:cs="Times New Roman"/>
              </w:rPr>
            </w:pPr>
            <w:r w:rsidRPr="00D31DFB">
              <w:rPr>
                <w:rFonts w:ascii="Times New Roman" w:hAnsi="Times New Roman" w:cs="Times New Roman"/>
                <w:spacing w:val="6"/>
              </w:rPr>
              <w:t>5.65e+10</w:t>
            </w:r>
          </w:p>
          <w:p w:rsidR="00A84AA6" w:rsidRPr="00D31DFB" w:rsidRDefault="00A84AA6" w:rsidP="00A84AA6">
            <w:pPr>
              <w:pStyle w:val="TableParagraph"/>
              <w:adjustRightInd w:val="0"/>
              <w:snapToGrid w:val="0"/>
              <w:ind w:left="169"/>
              <w:rPr>
                <w:rFonts w:ascii="Times New Roman" w:hAnsi="Times New Roman" w:cs="Times New Roman"/>
              </w:rPr>
            </w:pPr>
            <w:r w:rsidRPr="00D31DFB">
              <w:rPr>
                <w:rFonts w:ascii="Times New Roman" w:hAnsi="Times New Roman" w:cs="Times New Roman"/>
                <w:spacing w:val="6"/>
              </w:rPr>
              <w:t>8.10e+10</w:t>
            </w:r>
          </w:p>
        </w:tc>
        <w:tc>
          <w:tcPr>
            <w:tcW w:w="1200" w:type="dxa"/>
            <w:tcBorders>
              <w:top w:val="nil"/>
              <w:bottom w:val="nil"/>
            </w:tcBorders>
          </w:tcPr>
          <w:p w:rsidR="00A84AA6" w:rsidRPr="00D31DFB" w:rsidRDefault="00A84AA6" w:rsidP="00A84AA6">
            <w:pPr>
              <w:pStyle w:val="TableParagraph"/>
              <w:adjustRightInd w:val="0"/>
              <w:snapToGrid w:val="0"/>
              <w:ind w:left="168"/>
              <w:rPr>
                <w:rFonts w:ascii="Times New Roman" w:hAnsi="Times New Roman" w:cs="Times New Roman"/>
              </w:rPr>
            </w:pPr>
            <w:r w:rsidRPr="00D31DFB">
              <w:rPr>
                <w:rFonts w:ascii="Times New Roman" w:hAnsi="Times New Roman" w:cs="Times New Roman"/>
                <w:spacing w:val="6"/>
              </w:rPr>
              <w:t>7.89e+09</w:t>
            </w:r>
          </w:p>
          <w:p w:rsidR="00A84AA6" w:rsidRPr="00D31DFB" w:rsidRDefault="00A84AA6" w:rsidP="00A84AA6">
            <w:pPr>
              <w:pStyle w:val="TableParagraph"/>
              <w:adjustRightInd w:val="0"/>
              <w:snapToGrid w:val="0"/>
              <w:ind w:left="168"/>
              <w:rPr>
                <w:rFonts w:ascii="Times New Roman" w:hAnsi="Times New Roman" w:cs="Times New Roman"/>
              </w:rPr>
            </w:pPr>
            <w:r w:rsidRPr="00D31DFB">
              <w:rPr>
                <w:rFonts w:ascii="Times New Roman" w:hAnsi="Times New Roman" w:cs="Times New Roman"/>
                <w:spacing w:val="6"/>
              </w:rPr>
              <w:t>8.30e+10</w:t>
            </w:r>
          </w:p>
          <w:p w:rsidR="00A84AA6" w:rsidRPr="00D31DFB" w:rsidRDefault="00A84AA6" w:rsidP="00A84AA6">
            <w:pPr>
              <w:pStyle w:val="TableParagraph"/>
              <w:adjustRightInd w:val="0"/>
              <w:snapToGrid w:val="0"/>
              <w:ind w:left="168"/>
              <w:rPr>
                <w:rFonts w:ascii="Times New Roman" w:hAnsi="Times New Roman" w:cs="Times New Roman"/>
              </w:rPr>
            </w:pPr>
            <w:r w:rsidRPr="00D31DFB">
              <w:rPr>
                <w:rFonts w:ascii="Times New Roman" w:hAnsi="Times New Roman" w:cs="Times New Roman"/>
                <w:spacing w:val="6"/>
              </w:rPr>
              <w:t>2.92e+10</w:t>
            </w:r>
          </w:p>
        </w:tc>
        <w:tc>
          <w:tcPr>
            <w:tcW w:w="1235" w:type="dxa"/>
            <w:tcBorders>
              <w:top w:val="nil"/>
              <w:bottom w:val="nil"/>
            </w:tcBorders>
          </w:tcPr>
          <w:p w:rsidR="00A84AA6" w:rsidRPr="00D31DFB" w:rsidRDefault="00A84AA6" w:rsidP="00A84AA6">
            <w:pPr>
              <w:pStyle w:val="TableParagraph"/>
              <w:adjustRightInd w:val="0"/>
              <w:snapToGrid w:val="0"/>
              <w:ind w:left="169"/>
              <w:rPr>
                <w:rFonts w:ascii="Times New Roman" w:hAnsi="Times New Roman" w:cs="Times New Roman"/>
              </w:rPr>
            </w:pPr>
            <w:r w:rsidRPr="00D31DFB">
              <w:rPr>
                <w:rFonts w:ascii="Times New Roman" w:hAnsi="Times New Roman" w:cs="Times New Roman"/>
                <w:spacing w:val="6"/>
              </w:rPr>
              <w:t>4.53e+11</w:t>
            </w:r>
          </w:p>
          <w:p w:rsidR="00A84AA6" w:rsidRPr="00D31DFB" w:rsidRDefault="00A84AA6" w:rsidP="00A84AA6">
            <w:pPr>
              <w:pStyle w:val="TableParagraph"/>
              <w:adjustRightInd w:val="0"/>
              <w:snapToGrid w:val="0"/>
              <w:ind w:left="169"/>
              <w:rPr>
                <w:rFonts w:ascii="Times New Roman" w:hAnsi="Times New Roman" w:cs="Times New Roman"/>
              </w:rPr>
            </w:pPr>
            <w:r w:rsidRPr="00D31DFB">
              <w:rPr>
                <w:rFonts w:ascii="Times New Roman" w:hAnsi="Times New Roman" w:cs="Times New Roman"/>
                <w:spacing w:val="6"/>
              </w:rPr>
              <w:t>2.68e+11</w:t>
            </w:r>
          </w:p>
          <w:p w:rsidR="00A84AA6" w:rsidRPr="00D31DFB" w:rsidRDefault="00A84AA6" w:rsidP="00A84AA6">
            <w:pPr>
              <w:pStyle w:val="TableParagraph"/>
              <w:adjustRightInd w:val="0"/>
              <w:snapToGrid w:val="0"/>
              <w:ind w:left="169"/>
              <w:rPr>
                <w:rFonts w:ascii="Times New Roman" w:hAnsi="Times New Roman" w:cs="Times New Roman"/>
              </w:rPr>
            </w:pPr>
            <w:r w:rsidRPr="00D31DFB">
              <w:rPr>
                <w:rFonts w:ascii="Times New Roman" w:hAnsi="Times New Roman" w:cs="Times New Roman"/>
                <w:spacing w:val="6"/>
              </w:rPr>
              <w:t>3.52e+11</w:t>
            </w:r>
          </w:p>
        </w:tc>
        <w:tc>
          <w:tcPr>
            <w:tcW w:w="1418" w:type="dxa"/>
            <w:tcBorders>
              <w:top w:val="nil"/>
              <w:bottom w:val="nil"/>
            </w:tcBorders>
          </w:tcPr>
          <w:p w:rsidR="00A84AA6" w:rsidRPr="00D31DFB" w:rsidRDefault="00A84AA6" w:rsidP="00A84AA6">
            <w:pPr>
              <w:pStyle w:val="TableParagraph"/>
              <w:tabs>
                <w:tab w:val="right" w:pos="1809"/>
              </w:tabs>
              <w:adjustRightInd w:val="0"/>
              <w:snapToGrid w:val="0"/>
              <w:ind w:left="601"/>
              <w:rPr>
                <w:rFonts w:ascii="Times New Roman" w:hAnsi="Times New Roman" w:cs="Times New Roman"/>
              </w:rPr>
            </w:pPr>
            <w:r w:rsidRPr="00D31DFB">
              <w:rPr>
                <w:rFonts w:ascii="Times New Roman" w:hAnsi="Times New Roman" w:cs="Times New Roman"/>
              </w:rPr>
              <w:t>N</w:t>
            </w:r>
            <w:r w:rsidRPr="00D31DFB">
              <w:rPr>
                <w:rFonts w:ascii="Times New Roman" w:hAnsi="Times New Roman" w:cs="Times New Roman"/>
                <w:spacing w:val="16"/>
              </w:rPr>
              <w:t xml:space="preserve"> </w:t>
            </w:r>
            <w:r w:rsidRPr="00D31DFB">
              <w:rPr>
                <w:rFonts w:ascii="Times New Roman" w:hAnsi="Times New Roman" w:cs="Times New Roman"/>
              </w:rPr>
              <w:t>=</w:t>
            </w:r>
            <w:r w:rsidRPr="00D31DFB">
              <w:rPr>
                <w:rFonts w:ascii="Times New Roman" w:hAnsi="Times New Roman" w:cs="Times New Roman"/>
              </w:rPr>
              <w:tab/>
            </w:r>
            <w:r w:rsidRPr="00D31DFB">
              <w:rPr>
                <w:rFonts w:ascii="Times New Roman" w:hAnsi="Times New Roman" w:cs="Times New Roman"/>
                <w:spacing w:val="4"/>
              </w:rPr>
              <w:t>84</w:t>
            </w:r>
          </w:p>
          <w:p w:rsidR="00A84AA6" w:rsidRPr="00D31DFB" w:rsidRDefault="00A84AA6" w:rsidP="00A84AA6">
            <w:pPr>
              <w:pStyle w:val="TableParagraph"/>
              <w:tabs>
                <w:tab w:val="right" w:pos="1809"/>
              </w:tabs>
              <w:adjustRightInd w:val="0"/>
              <w:snapToGrid w:val="0"/>
              <w:ind w:left="601"/>
              <w:rPr>
                <w:rFonts w:ascii="Times New Roman" w:hAnsi="Times New Roman" w:cs="Times New Roman"/>
              </w:rPr>
            </w:pPr>
            <w:r w:rsidRPr="00D31DFB">
              <w:rPr>
                <w:rFonts w:ascii="Times New Roman" w:hAnsi="Times New Roman" w:cs="Times New Roman"/>
              </w:rPr>
              <w:t>n</w:t>
            </w:r>
            <w:r w:rsidRPr="00D31DFB">
              <w:rPr>
                <w:rFonts w:ascii="Times New Roman" w:hAnsi="Times New Roman" w:cs="Times New Roman"/>
                <w:spacing w:val="16"/>
              </w:rPr>
              <w:t xml:space="preserve"> </w:t>
            </w:r>
            <w:r w:rsidRPr="00D31DFB">
              <w:rPr>
                <w:rFonts w:ascii="Times New Roman" w:hAnsi="Times New Roman" w:cs="Times New Roman"/>
              </w:rPr>
              <w:t>=</w:t>
            </w:r>
            <w:r w:rsidRPr="00D31DFB">
              <w:rPr>
                <w:rFonts w:ascii="Times New Roman" w:hAnsi="Times New Roman" w:cs="Times New Roman"/>
              </w:rPr>
              <w:tab/>
            </w:r>
            <w:r w:rsidRPr="00D31DFB">
              <w:rPr>
                <w:rFonts w:ascii="Times New Roman" w:hAnsi="Times New Roman" w:cs="Times New Roman"/>
                <w:spacing w:val="4"/>
              </w:rPr>
              <w:t>14</w:t>
            </w:r>
          </w:p>
          <w:p w:rsidR="00A84AA6" w:rsidRPr="00D31DFB" w:rsidRDefault="00A84AA6" w:rsidP="00A84AA6">
            <w:pPr>
              <w:pStyle w:val="TableParagraph"/>
              <w:tabs>
                <w:tab w:val="right" w:pos="1809"/>
              </w:tabs>
              <w:adjustRightInd w:val="0"/>
              <w:snapToGrid w:val="0"/>
              <w:ind w:left="601"/>
              <w:rPr>
                <w:rFonts w:ascii="Times New Roman" w:hAnsi="Times New Roman" w:cs="Times New Roman"/>
              </w:rPr>
            </w:pPr>
            <w:r w:rsidRPr="00D31DFB">
              <w:rPr>
                <w:rFonts w:ascii="Times New Roman" w:hAnsi="Times New Roman" w:cs="Times New Roman"/>
              </w:rPr>
              <w:t>T</w:t>
            </w:r>
            <w:r w:rsidRPr="00D31DFB">
              <w:rPr>
                <w:rFonts w:ascii="Times New Roman" w:hAnsi="Times New Roman" w:cs="Times New Roman"/>
                <w:spacing w:val="16"/>
              </w:rPr>
              <w:t xml:space="preserve"> </w:t>
            </w:r>
            <w:r w:rsidRPr="00D31DFB">
              <w:rPr>
                <w:rFonts w:ascii="Times New Roman" w:hAnsi="Times New Roman" w:cs="Times New Roman"/>
              </w:rPr>
              <w:t>=</w:t>
            </w:r>
            <w:r w:rsidRPr="00D31DFB">
              <w:rPr>
                <w:rFonts w:ascii="Times New Roman" w:hAnsi="Times New Roman" w:cs="Times New Roman"/>
              </w:rPr>
              <w:tab/>
              <w:t>6</w:t>
            </w:r>
          </w:p>
        </w:tc>
      </w:tr>
      <w:tr w:rsidR="00A84AA6" w:rsidRPr="00D31DFB" w:rsidTr="00A84AA6">
        <w:trPr>
          <w:trHeight w:val="583"/>
          <w:jc w:val="center"/>
        </w:trPr>
        <w:tc>
          <w:tcPr>
            <w:tcW w:w="2410" w:type="dxa"/>
            <w:tcBorders>
              <w:top w:val="nil"/>
              <w:bottom w:val="single" w:sz="4" w:space="0" w:color="auto"/>
            </w:tcBorders>
          </w:tcPr>
          <w:p w:rsidR="00A84AA6" w:rsidRPr="00D31DFB" w:rsidRDefault="00A84AA6" w:rsidP="00A84AA6">
            <w:pPr>
              <w:pStyle w:val="TableParagraph"/>
              <w:adjustRightInd w:val="0"/>
              <w:snapToGrid w:val="0"/>
              <w:ind w:left="1374" w:right="170" w:hanging="994"/>
              <w:jc w:val="both"/>
              <w:rPr>
                <w:rFonts w:ascii="Times New Roman" w:hAnsi="Times New Roman" w:cs="Times New Roman"/>
              </w:rPr>
            </w:pPr>
            <w:r w:rsidRPr="00D31DFB">
              <w:rPr>
                <w:rFonts w:ascii="Times New Roman" w:hAnsi="Times New Roman" w:cs="Times New Roman"/>
              </w:rPr>
              <w:t>PAD overall between within</w:t>
            </w:r>
          </w:p>
        </w:tc>
        <w:tc>
          <w:tcPr>
            <w:tcW w:w="1305" w:type="dxa"/>
            <w:tcBorders>
              <w:top w:val="nil"/>
              <w:bottom w:val="single" w:sz="4" w:space="0" w:color="auto"/>
            </w:tcBorders>
          </w:tcPr>
          <w:p w:rsidR="00A84AA6" w:rsidRPr="00D31DFB" w:rsidRDefault="00A84AA6" w:rsidP="00A84AA6">
            <w:pPr>
              <w:pStyle w:val="TableParagraph"/>
              <w:adjustRightInd w:val="0"/>
              <w:snapToGrid w:val="0"/>
              <w:ind w:right="167"/>
              <w:jc w:val="right"/>
              <w:rPr>
                <w:rFonts w:ascii="Times New Roman" w:hAnsi="Times New Roman" w:cs="Times New Roman"/>
              </w:rPr>
            </w:pPr>
            <w:r w:rsidRPr="00D31DFB">
              <w:rPr>
                <w:rFonts w:ascii="Times New Roman" w:hAnsi="Times New Roman" w:cs="Times New Roman"/>
              </w:rPr>
              <w:t>1.00e+11</w:t>
            </w:r>
          </w:p>
        </w:tc>
        <w:tc>
          <w:tcPr>
            <w:tcW w:w="20" w:type="dxa"/>
            <w:tcBorders>
              <w:top w:val="nil"/>
              <w:bottom w:val="single" w:sz="4" w:space="0" w:color="auto"/>
            </w:tcBorders>
          </w:tcPr>
          <w:p w:rsidR="00A84AA6" w:rsidRPr="00D31DFB" w:rsidRDefault="00A84AA6" w:rsidP="00A84AA6">
            <w:pPr>
              <w:pStyle w:val="TableParagraph"/>
              <w:adjustRightInd w:val="0"/>
              <w:snapToGrid w:val="0"/>
              <w:ind w:left="169"/>
              <w:rPr>
                <w:rFonts w:ascii="Times New Roman" w:hAnsi="Times New Roman" w:cs="Times New Roman"/>
                <w:spacing w:val="6"/>
              </w:rPr>
            </w:pPr>
          </w:p>
        </w:tc>
        <w:tc>
          <w:tcPr>
            <w:tcW w:w="1201" w:type="dxa"/>
            <w:tcBorders>
              <w:top w:val="nil"/>
              <w:bottom w:val="single" w:sz="4" w:space="0" w:color="auto"/>
            </w:tcBorders>
          </w:tcPr>
          <w:p w:rsidR="00A84AA6" w:rsidRPr="00D31DFB" w:rsidRDefault="00A84AA6" w:rsidP="00A84AA6">
            <w:pPr>
              <w:pStyle w:val="TableParagraph"/>
              <w:adjustRightInd w:val="0"/>
              <w:snapToGrid w:val="0"/>
              <w:ind w:left="169"/>
              <w:rPr>
                <w:rFonts w:ascii="Times New Roman" w:hAnsi="Times New Roman" w:cs="Times New Roman"/>
              </w:rPr>
            </w:pPr>
            <w:r w:rsidRPr="00D31DFB">
              <w:rPr>
                <w:rFonts w:ascii="Times New Roman" w:hAnsi="Times New Roman" w:cs="Times New Roman"/>
                <w:spacing w:val="6"/>
              </w:rPr>
              <w:t>9.09e+10</w:t>
            </w:r>
          </w:p>
          <w:p w:rsidR="00A84AA6" w:rsidRPr="00D31DFB" w:rsidRDefault="00A84AA6" w:rsidP="00A84AA6">
            <w:pPr>
              <w:pStyle w:val="TableParagraph"/>
              <w:adjustRightInd w:val="0"/>
              <w:snapToGrid w:val="0"/>
              <w:ind w:left="169"/>
              <w:rPr>
                <w:rFonts w:ascii="Times New Roman" w:hAnsi="Times New Roman" w:cs="Times New Roman"/>
              </w:rPr>
            </w:pPr>
            <w:r w:rsidRPr="00D31DFB">
              <w:rPr>
                <w:rFonts w:ascii="Times New Roman" w:hAnsi="Times New Roman" w:cs="Times New Roman"/>
                <w:spacing w:val="6"/>
              </w:rPr>
              <w:t>8.57e+10</w:t>
            </w:r>
          </w:p>
          <w:p w:rsidR="00A84AA6" w:rsidRPr="00D31DFB" w:rsidRDefault="00A84AA6" w:rsidP="00A84AA6">
            <w:pPr>
              <w:pStyle w:val="TableParagraph"/>
              <w:adjustRightInd w:val="0"/>
              <w:snapToGrid w:val="0"/>
              <w:ind w:left="169"/>
              <w:rPr>
                <w:rFonts w:ascii="Times New Roman" w:hAnsi="Times New Roman" w:cs="Times New Roman"/>
              </w:rPr>
            </w:pPr>
            <w:r w:rsidRPr="00D31DFB">
              <w:rPr>
                <w:rFonts w:ascii="Times New Roman" w:hAnsi="Times New Roman" w:cs="Times New Roman"/>
                <w:spacing w:val="6"/>
              </w:rPr>
              <w:t>3.69e+10</w:t>
            </w:r>
          </w:p>
        </w:tc>
        <w:tc>
          <w:tcPr>
            <w:tcW w:w="1200" w:type="dxa"/>
            <w:tcBorders>
              <w:top w:val="nil"/>
              <w:bottom w:val="single" w:sz="4" w:space="0" w:color="auto"/>
            </w:tcBorders>
          </w:tcPr>
          <w:p w:rsidR="00A84AA6" w:rsidRPr="00D31DFB" w:rsidRDefault="00A84AA6" w:rsidP="00A84AA6">
            <w:pPr>
              <w:pStyle w:val="TableParagraph"/>
              <w:adjustRightInd w:val="0"/>
              <w:snapToGrid w:val="0"/>
              <w:ind w:right="167"/>
              <w:jc w:val="right"/>
              <w:rPr>
                <w:rFonts w:ascii="Times New Roman" w:hAnsi="Times New Roman" w:cs="Times New Roman"/>
              </w:rPr>
            </w:pPr>
            <w:r w:rsidRPr="00D31DFB">
              <w:rPr>
                <w:rFonts w:ascii="Times New Roman" w:hAnsi="Times New Roman" w:cs="Times New Roman"/>
                <w:spacing w:val="6"/>
              </w:rPr>
              <w:t>1.07e+10</w:t>
            </w:r>
          </w:p>
          <w:p w:rsidR="00A84AA6" w:rsidRPr="00D31DFB" w:rsidRDefault="00A84AA6" w:rsidP="00A84AA6">
            <w:pPr>
              <w:pStyle w:val="TableParagraph"/>
              <w:adjustRightInd w:val="0"/>
              <w:snapToGrid w:val="0"/>
              <w:ind w:right="167"/>
              <w:jc w:val="right"/>
              <w:rPr>
                <w:rFonts w:ascii="Times New Roman" w:hAnsi="Times New Roman" w:cs="Times New Roman"/>
              </w:rPr>
            </w:pPr>
            <w:r w:rsidRPr="00D31DFB">
              <w:rPr>
                <w:rFonts w:ascii="Times New Roman" w:hAnsi="Times New Roman" w:cs="Times New Roman"/>
                <w:spacing w:val="6"/>
              </w:rPr>
              <w:t>1.63e+10</w:t>
            </w:r>
          </w:p>
          <w:p w:rsidR="00A84AA6" w:rsidRPr="00D31DFB" w:rsidRDefault="00A84AA6" w:rsidP="00A84AA6">
            <w:pPr>
              <w:pStyle w:val="TableParagraph"/>
              <w:adjustRightInd w:val="0"/>
              <w:snapToGrid w:val="0"/>
              <w:ind w:right="116"/>
              <w:jc w:val="right"/>
              <w:rPr>
                <w:rFonts w:ascii="Times New Roman" w:hAnsi="Times New Roman" w:cs="Times New Roman"/>
              </w:rPr>
            </w:pPr>
            <w:r w:rsidRPr="00D31DFB">
              <w:rPr>
                <w:rFonts w:ascii="Times New Roman" w:hAnsi="Times New Roman" w:cs="Times New Roman"/>
                <w:spacing w:val="6"/>
              </w:rPr>
              <w:t>-1.66e+09</w:t>
            </w:r>
          </w:p>
        </w:tc>
        <w:tc>
          <w:tcPr>
            <w:tcW w:w="1235" w:type="dxa"/>
            <w:tcBorders>
              <w:top w:val="nil"/>
              <w:bottom w:val="single" w:sz="4" w:space="0" w:color="auto"/>
            </w:tcBorders>
          </w:tcPr>
          <w:p w:rsidR="00A84AA6" w:rsidRPr="00D31DFB" w:rsidRDefault="00A84AA6" w:rsidP="00A84AA6">
            <w:pPr>
              <w:pStyle w:val="TableParagraph"/>
              <w:adjustRightInd w:val="0"/>
              <w:snapToGrid w:val="0"/>
              <w:ind w:left="169"/>
              <w:rPr>
                <w:rFonts w:ascii="Times New Roman" w:hAnsi="Times New Roman" w:cs="Times New Roman"/>
              </w:rPr>
            </w:pPr>
            <w:r w:rsidRPr="00D31DFB">
              <w:rPr>
                <w:rFonts w:ascii="Times New Roman" w:hAnsi="Times New Roman" w:cs="Times New Roman"/>
                <w:spacing w:val="6"/>
              </w:rPr>
              <w:t>4.76e+11</w:t>
            </w:r>
          </w:p>
          <w:p w:rsidR="00A84AA6" w:rsidRPr="00D31DFB" w:rsidRDefault="00A84AA6" w:rsidP="00A84AA6">
            <w:pPr>
              <w:pStyle w:val="TableParagraph"/>
              <w:adjustRightInd w:val="0"/>
              <w:snapToGrid w:val="0"/>
              <w:ind w:left="169"/>
              <w:rPr>
                <w:rFonts w:ascii="Times New Roman" w:hAnsi="Times New Roman" w:cs="Times New Roman"/>
              </w:rPr>
            </w:pPr>
            <w:r w:rsidRPr="00D31DFB">
              <w:rPr>
                <w:rFonts w:ascii="Times New Roman" w:hAnsi="Times New Roman" w:cs="Times New Roman"/>
                <w:spacing w:val="6"/>
              </w:rPr>
              <w:t>3.67e+11</w:t>
            </w:r>
          </w:p>
          <w:p w:rsidR="00A84AA6" w:rsidRPr="00D31DFB" w:rsidRDefault="00A84AA6" w:rsidP="00A84AA6">
            <w:pPr>
              <w:pStyle w:val="TableParagraph"/>
              <w:adjustRightInd w:val="0"/>
              <w:snapToGrid w:val="0"/>
              <w:ind w:left="169"/>
              <w:rPr>
                <w:rFonts w:ascii="Times New Roman" w:hAnsi="Times New Roman" w:cs="Times New Roman"/>
              </w:rPr>
            </w:pPr>
            <w:r w:rsidRPr="00D31DFB">
              <w:rPr>
                <w:rFonts w:ascii="Times New Roman" w:hAnsi="Times New Roman" w:cs="Times New Roman"/>
                <w:spacing w:val="6"/>
              </w:rPr>
              <w:t>2.19e+11</w:t>
            </w:r>
          </w:p>
        </w:tc>
        <w:tc>
          <w:tcPr>
            <w:tcW w:w="1418" w:type="dxa"/>
            <w:tcBorders>
              <w:top w:val="nil"/>
              <w:bottom w:val="single" w:sz="4" w:space="0" w:color="auto"/>
            </w:tcBorders>
          </w:tcPr>
          <w:p w:rsidR="00A84AA6" w:rsidRPr="00D31DFB" w:rsidRDefault="00A84AA6" w:rsidP="00A84AA6">
            <w:pPr>
              <w:pStyle w:val="TableParagraph"/>
              <w:tabs>
                <w:tab w:val="right" w:pos="1809"/>
              </w:tabs>
              <w:adjustRightInd w:val="0"/>
              <w:snapToGrid w:val="0"/>
              <w:ind w:left="601"/>
              <w:rPr>
                <w:rFonts w:ascii="Times New Roman" w:hAnsi="Times New Roman" w:cs="Times New Roman"/>
              </w:rPr>
            </w:pPr>
            <w:r w:rsidRPr="00D31DFB">
              <w:rPr>
                <w:rFonts w:ascii="Times New Roman" w:hAnsi="Times New Roman" w:cs="Times New Roman"/>
              </w:rPr>
              <w:t>N</w:t>
            </w:r>
            <w:r w:rsidRPr="00D31DFB">
              <w:rPr>
                <w:rFonts w:ascii="Times New Roman" w:hAnsi="Times New Roman" w:cs="Times New Roman"/>
                <w:spacing w:val="16"/>
              </w:rPr>
              <w:t xml:space="preserve"> </w:t>
            </w:r>
            <w:r w:rsidRPr="00D31DFB">
              <w:rPr>
                <w:rFonts w:ascii="Times New Roman" w:hAnsi="Times New Roman" w:cs="Times New Roman"/>
              </w:rPr>
              <w:t>=</w:t>
            </w:r>
            <w:r w:rsidRPr="00D31DFB">
              <w:rPr>
                <w:rFonts w:ascii="Times New Roman" w:hAnsi="Times New Roman" w:cs="Times New Roman"/>
              </w:rPr>
              <w:tab/>
            </w:r>
            <w:r w:rsidRPr="00D31DFB">
              <w:rPr>
                <w:rFonts w:ascii="Times New Roman" w:hAnsi="Times New Roman" w:cs="Times New Roman"/>
                <w:spacing w:val="4"/>
              </w:rPr>
              <w:t>84</w:t>
            </w:r>
          </w:p>
          <w:p w:rsidR="00A84AA6" w:rsidRPr="00D31DFB" w:rsidRDefault="00A84AA6" w:rsidP="00A84AA6">
            <w:pPr>
              <w:pStyle w:val="TableParagraph"/>
              <w:tabs>
                <w:tab w:val="right" w:pos="1809"/>
              </w:tabs>
              <w:adjustRightInd w:val="0"/>
              <w:snapToGrid w:val="0"/>
              <w:ind w:left="601"/>
              <w:rPr>
                <w:rFonts w:ascii="Times New Roman" w:hAnsi="Times New Roman" w:cs="Times New Roman"/>
              </w:rPr>
            </w:pPr>
            <w:r w:rsidRPr="00D31DFB">
              <w:rPr>
                <w:rFonts w:ascii="Times New Roman" w:hAnsi="Times New Roman" w:cs="Times New Roman"/>
              </w:rPr>
              <w:t>n</w:t>
            </w:r>
            <w:r w:rsidRPr="00D31DFB">
              <w:rPr>
                <w:rFonts w:ascii="Times New Roman" w:hAnsi="Times New Roman" w:cs="Times New Roman"/>
                <w:spacing w:val="16"/>
              </w:rPr>
              <w:t xml:space="preserve"> </w:t>
            </w:r>
            <w:r w:rsidRPr="00D31DFB">
              <w:rPr>
                <w:rFonts w:ascii="Times New Roman" w:hAnsi="Times New Roman" w:cs="Times New Roman"/>
              </w:rPr>
              <w:t>=</w:t>
            </w:r>
            <w:r w:rsidRPr="00D31DFB">
              <w:rPr>
                <w:rFonts w:ascii="Times New Roman" w:hAnsi="Times New Roman" w:cs="Times New Roman"/>
              </w:rPr>
              <w:tab/>
            </w:r>
            <w:r w:rsidRPr="00D31DFB">
              <w:rPr>
                <w:rFonts w:ascii="Times New Roman" w:hAnsi="Times New Roman" w:cs="Times New Roman"/>
                <w:spacing w:val="4"/>
              </w:rPr>
              <w:t>14</w:t>
            </w:r>
          </w:p>
          <w:p w:rsidR="00A84AA6" w:rsidRPr="00D31DFB" w:rsidRDefault="00A84AA6" w:rsidP="00A84AA6">
            <w:pPr>
              <w:pStyle w:val="TableParagraph"/>
              <w:tabs>
                <w:tab w:val="right" w:pos="1809"/>
              </w:tabs>
              <w:adjustRightInd w:val="0"/>
              <w:snapToGrid w:val="0"/>
              <w:ind w:left="601"/>
              <w:rPr>
                <w:rFonts w:ascii="Times New Roman" w:hAnsi="Times New Roman" w:cs="Times New Roman"/>
              </w:rPr>
            </w:pPr>
            <w:r w:rsidRPr="00D31DFB">
              <w:rPr>
                <w:rFonts w:ascii="Times New Roman" w:hAnsi="Times New Roman" w:cs="Times New Roman"/>
              </w:rPr>
              <w:t>T</w:t>
            </w:r>
            <w:r w:rsidRPr="00D31DFB">
              <w:rPr>
                <w:rFonts w:ascii="Times New Roman" w:hAnsi="Times New Roman" w:cs="Times New Roman"/>
                <w:spacing w:val="16"/>
              </w:rPr>
              <w:t xml:space="preserve"> </w:t>
            </w:r>
            <w:r w:rsidRPr="00D31DFB">
              <w:rPr>
                <w:rFonts w:ascii="Times New Roman" w:hAnsi="Times New Roman" w:cs="Times New Roman"/>
              </w:rPr>
              <w:t>=</w:t>
            </w:r>
            <w:r w:rsidRPr="00D31DFB">
              <w:rPr>
                <w:rFonts w:ascii="Times New Roman" w:hAnsi="Times New Roman" w:cs="Times New Roman"/>
              </w:rPr>
              <w:tab/>
              <w:t>6</w:t>
            </w:r>
          </w:p>
        </w:tc>
      </w:tr>
    </w:tbl>
    <w:p w:rsidR="00A84AA6" w:rsidRPr="00D31DFB" w:rsidRDefault="00D31DFB" w:rsidP="00A84AA6">
      <w:pPr>
        <w:widowControl w:val="0"/>
        <w:autoSpaceDE w:val="0"/>
        <w:autoSpaceDN w:val="0"/>
        <w:adjustRightInd w:val="0"/>
        <w:snapToGrid w:val="0"/>
      </w:pPr>
      <w:r w:rsidRPr="00D31DFB">
        <w:t>Source : Processed Research (2020)</w:t>
      </w:r>
    </w:p>
    <w:p w:rsidR="00A84AA6" w:rsidRPr="00D31DFB" w:rsidRDefault="00A84AA6" w:rsidP="00A84AA6">
      <w:pPr>
        <w:widowControl w:val="0"/>
        <w:autoSpaceDE w:val="0"/>
        <w:autoSpaceDN w:val="0"/>
        <w:adjustRightInd w:val="0"/>
        <w:snapToGrid w:val="0"/>
        <w:ind w:firstLine="720"/>
        <w:jc w:val="both"/>
        <w:rPr>
          <w:color w:val="000000"/>
          <w:lang w:val="en-ID" w:eastAsia="en-ID"/>
        </w:rPr>
      </w:pPr>
      <w:r w:rsidRPr="00D31DFB">
        <w:t xml:space="preserve">Average </w:t>
      </w:r>
      <w:r w:rsidRPr="00D31DFB">
        <w:rPr>
          <w:color w:val="222222"/>
          <w:lang w:val="en"/>
        </w:rPr>
        <w:t xml:space="preserve">local government expenditure </w:t>
      </w:r>
      <w:r w:rsidRPr="00D31DFB">
        <w:t>in 14 regions in West Kalimantan Province from 2013-2018 has amounted to Rp</w:t>
      </w:r>
      <w:r w:rsidRPr="00D31DFB">
        <w:rPr>
          <w:color w:val="000000"/>
          <w:lang w:val="en-ID" w:eastAsia="en-ID"/>
        </w:rPr>
        <w:t xml:space="preserve">1,190,515,735,919. The maximum spending is about </w:t>
      </w:r>
      <w:r w:rsidRPr="00D31DFB">
        <w:rPr>
          <w:color w:val="000000"/>
          <w:lang w:val="en-ID" w:eastAsia="en-ID"/>
        </w:rPr>
        <w:lastRenderedPageBreak/>
        <w:t xml:space="preserve">Rp2,118,372,562,530 while the minimum spending is about Rp583,077,949,230. The average DBH received by West Kalimantan Province is the lowest among four other explanatory variables, amounted to Rp45,756,184,090. On the contrary, the government's highest average of transfer is the DAU amounted to Rp677,869,702,845. PAD ranges from Rp10.735.591.000 to Rp476.050.410.000 with an average of Rp100.290.552.827. It shows that there is inequality in generating their own income. Some regencies find difficulty in optimizing their </w:t>
      </w:r>
      <w:r w:rsidRPr="00D31DFB">
        <w:t xml:space="preserve">original local government revenue </w:t>
      </w:r>
      <w:r w:rsidRPr="00D31DFB">
        <w:rPr>
          <w:color w:val="000000"/>
          <w:lang w:val="en-ID" w:eastAsia="en-ID"/>
        </w:rPr>
        <w:t xml:space="preserve">while others not. </w:t>
      </w:r>
    </w:p>
    <w:p w:rsidR="00A84AA6" w:rsidRPr="00D31DFB" w:rsidRDefault="00A84AA6" w:rsidP="00A84AA6">
      <w:pPr>
        <w:widowControl w:val="0"/>
        <w:autoSpaceDE w:val="0"/>
        <w:autoSpaceDN w:val="0"/>
        <w:adjustRightInd w:val="0"/>
        <w:snapToGrid w:val="0"/>
        <w:ind w:firstLine="720"/>
        <w:jc w:val="both"/>
      </w:pPr>
      <w:r w:rsidRPr="00D31DFB">
        <w:rPr>
          <w:color w:val="000000"/>
          <w:lang w:val="en-ID" w:eastAsia="en-ID"/>
        </w:rPr>
        <w:t xml:space="preserve">After that, the Hausman test is used to determine whether the fixed effect or the random effect is the most appropriate in this research </w:t>
      </w:r>
      <w:r w:rsidRPr="00D31DFB">
        <w:rPr>
          <w:color w:val="000000"/>
          <w:lang w:val="en-ID" w:eastAsia="en-ID"/>
        </w:rPr>
        <w:fldChar w:fldCharType="begin" w:fldLock="1"/>
      </w:r>
      <w:r w:rsidRPr="00D31DFB">
        <w:rPr>
          <w:color w:val="000000"/>
          <w:lang w:val="en-ID" w:eastAsia="en-ID"/>
        </w:rPr>
        <w:instrText>ADDIN CSL_CITATION {"citationItems":[{"id":"ITEM-1","itemData":{"DOI":"10.5771/9783845289892-15","ISBN":"1566396581","ISSN":"1098-6596","PMID":"25246403","abstract":"Predicting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approach.","author":[{"dropping-particle":"","family":"Hsiao","given":"Cheng","non-dropping-particle":"","parse-names":false,"suffix":""}],"container-title":"Cambridge University Press","id":"ITEM-1","issued":{"date-parts":[["2003"]]},"title":"Analysis of Panel Data Second Edition","type":"book"},"uris":["http://www.mendeley.com/documents/?uuid=cdc7d8d1-38d5-4548-80ff-c1afffcf29e5"]}],"mendeley":{"formattedCitation":"(Hsiao, 2003)","plainTextFormattedCitation":"(Hsiao, 2003)","previouslyFormattedCitation":"(Hsiao, 2003)"},"properties":{"noteIndex":0},"schema":"https://github.com/citation-style-language/schema/raw/master/csl-citation.json"}</w:instrText>
      </w:r>
      <w:r w:rsidRPr="00D31DFB">
        <w:rPr>
          <w:color w:val="000000"/>
          <w:lang w:val="en-ID" w:eastAsia="en-ID"/>
        </w:rPr>
        <w:fldChar w:fldCharType="separate"/>
      </w:r>
      <w:r w:rsidRPr="00D31DFB">
        <w:rPr>
          <w:noProof/>
          <w:color w:val="000000"/>
          <w:lang w:val="en-ID" w:eastAsia="en-ID"/>
        </w:rPr>
        <w:t>(Hsiao, 2003)</w:t>
      </w:r>
      <w:r w:rsidRPr="00D31DFB">
        <w:rPr>
          <w:color w:val="000000"/>
          <w:lang w:val="en-ID" w:eastAsia="en-ID"/>
        </w:rPr>
        <w:fldChar w:fldCharType="end"/>
      </w:r>
      <w:r w:rsidRPr="00D31DFB">
        <w:rPr>
          <w:color w:val="000000"/>
          <w:lang w:val="en-ID" w:eastAsia="en-ID"/>
        </w:rPr>
        <w:t xml:space="preserve">. </w:t>
      </w:r>
      <w:r w:rsidRPr="00D31DFB">
        <w:rPr>
          <w:color w:val="000000"/>
          <w:lang w:val="en-ID" w:eastAsia="en-ID"/>
        </w:rPr>
        <w:fldChar w:fldCharType="begin" w:fldLock="1"/>
      </w:r>
      <w:r w:rsidRPr="00D31DFB">
        <w:rPr>
          <w:color w:val="000000"/>
          <w:lang w:val="en-ID" w:eastAsia="en-ID"/>
        </w:rPr>
        <w:instrText>ADDIN CSL_CITATION {"citationItems":[{"id":"ITEM-1","itemData":{"ISBN":"9780470014561","author":[{"dropping-particle":"","family":"Baltagi","given":"Badi H","non-dropping-particle":"","parse-names":false,"suffix":""}],"edition":"Third Edit","id":"ITEM-1","issued":{"date-parts":[["2005"]]},"publisher":"John wiley &amp; Sons, Ltd","publisher-place":"england","title":"Econometric Analysis of Panel Data","type":"book"},"uris":["http://www.mendeley.com/documents/?uuid=c69e4336-0bf7-40f0-891a-4053312552e8"]},{"id":"ITEM-2","itemData":{"author":[{"dropping-particle":"","family":"Kunst","given":"Robert M","non-dropping-particle":"","parse-names":false,"suffix":""}],"id":"ITEM-2","issued":{"date-parts":[["2013"]]},"page":"1-20","title":"Econometric Methods for Panel Data Based on the books by Baltagi : Econometric Analysis of Panel Data and by Hsiao : Analysis of Panel Data Outline Introduction Tests in panel models Poolability tests Testing for the presence of random effects The Hausman","type":"article-journal"},"uris":["http://www.mendeley.com/documents/?uuid=c2f5dcd3-1929-4e2b-b318-81a5e7d683f2"]}],"mendeley":{"formattedCitation":"(Baltagi, 2005; Kunst, 2013)","plainTextFormattedCitation":"(Baltagi, 2005; Kunst, 2013)","previouslyFormattedCitation":"(Baltagi, 2005; Kunst, 2013)"},"properties":{"noteIndex":0},"schema":"https://github.com/citation-style-language/schema/raw/master/csl-citation.json"}</w:instrText>
      </w:r>
      <w:r w:rsidRPr="00D31DFB">
        <w:rPr>
          <w:color w:val="000000"/>
          <w:lang w:val="en-ID" w:eastAsia="en-ID"/>
        </w:rPr>
        <w:fldChar w:fldCharType="separate"/>
      </w:r>
      <w:r w:rsidRPr="00D31DFB">
        <w:rPr>
          <w:noProof/>
          <w:color w:val="000000"/>
          <w:lang w:val="en-ID" w:eastAsia="en-ID"/>
        </w:rPr>
        <w:t>Baltagi (2005), Kunst (2013)</w:t>
      </w:r>
      <w:r w:rsidRPr="00D31DFB">
        <w:rPr>
          <w:color w:val="000000"/>
          <w:lang w:val="en-ID" w:eastAsia="en-ID"/>
        </w:rPr>
        <w:fldChar w:fldCharType="end"/>
      </w:r>
      <w:r w:rsidRPr="00D31DFB">
        <w:rPr>
          <w:color w:val="000000"/>
          <w:lang w:val="en-ID" w:eastAsia="en-ID"/>
        </w:rPr>
        <w:t xml:space="preserve"> explain that Hausman (1980) suggested comparing </w:t>
      </w:r>
      <w:r w:rsidRPr="00D31DFB">
        <w:rPr>
          <w:color w:val="000000"/>
          <w:lang w:eastAsia="en-ID"/>
        </w:rPr>
        <w:t xml:space="preserve">βWithin and βGLS.  The </w:t>
      </w:r>
      <w:proofErr w:type="spellStart"/>
      <w:r w:rsidRPr="00D31DFB">
        <w:rPr>
          <w:color w:val="000000"/>
          <w:lang w:eastAsia="en-ID"/>
        </w:rPr>
        <w:t>null</w:t>
      </w:r>
      <w:proofErr w:type="spellEnd"/>
      <w:r w:rsidRPr="00D31DFB">
        <w:rPr>
          <w:color w:val="000000"/>
          <w:lang w:eastAsia="en-ID"/>
        </w:rPr>
        <w:t xml:space="preserve"> </w:t>
      </w:r>
      <w:proofErr w:type="spellStart"/>
      <w:r w:rsidRPr="00D31DFB">
        <w:rPr>
          <w:color w:val="000000"/>
          <w:lang w:eastAsia="en-ID"/>
        </w:rPr>
        <w:t>hypothesis</w:t>
      </w:r>
      <w:proofErr w:type="spellEnd"/>
      <w:r w:rsidRPr="00D31DFB">
        <w:rPr>
          <w:color w:val="000000"/>
          <w:lang w:eastAsia="en-ID"/>
        </w:rPr>
        <w:t xml:space="preserve"> </w:t>
      </w:r>
      <w:r w:rsidRPr="00D31DFB">
        <w:t>H</w:t>
      </w:r>
      <w:r w:rsidRPr="00D31DFB">
        <w:rPr>
          <w:vertAlign w:val="subscript"/>
        </w:rPr>
        <w:t>0</w:t>
      </w:r>
      <w:r w:rsidRPr="00D31DFB">
        <w:t>: E(u</w:t>
      </w:r>
      <w:r w:rsidRPr="00D31DFB">
        <w:rPr>
          <w:vertAlign w:val="subscript"/>
        </w:rPr>
        <w:t>it</w:t>
      </w:r>
      <w:r w:rsidRPr="00D31DFB">
        <w:t xml:space="preserve">| </w:t>
      </w:r>
      <w:proofErr w:type="spellStart"/>
      <w:r w:rsidRPr="00D31DFB">
        <w:t>X</w:t>
      </w:r>
      <w:r w:rsidRPr="00D31DFB">
        <w:rPr>
          <w:vertAlign w:val="subscript"/>
        </w:rPr>
        <w:t>it</w:t>
      </w:r>
      <w:proofErr w:type="spellEnd"/>
      <w:r w:rsidRPr="00D31DFB">
        <w:t xml:space="preserve">) = 0 </w:t>
      </w:r>
      <w:proofErr w:type="spellStart"/>
      <w:r w:rsidRPr="00D31DFB">
        <w:t>while</w:t>
      </w:r>
      <w:proofErr w:type="spellEnd"/>
      <w:r w:rsidRPr="00D31DFB">
        <w:t xml:space="preserve"> </w:t>
      </w:r>
      <w:proofErr w:type="spellStart"/>
      <w:r w:rsidRPr="00D31DFB">
        <w:t>the</w:t>
      </w:r>
      <w:proofErr w:type="spellEnd"/>
      <w:r w:rsidRPr="00D31DFB">
        <w:t xml:space="preserve"> </w:t>
      </w:r>
      <w:proofErr w:type="spellStart"/>
      <w:r w:rsidRPr="00D31DFB">
        <w:t>alternative</w:t>
      </w:r>
      <w:proofErr w:type="spellEnd"/>
      <w:r w:rsidRPr="00D31DFB">
        <w:t xml:space="preserve"> </w:t>
      </w:r>
      <w:proofErr w:type="spellStart"/>
      <w:r w:rsidRPr="00D31DFB">
        <w:t>hypothesis</w:t>
      </w:r>
      <w:proofErr w:type="spellEnd"/>
      <w:r w:rsidRPr="00D31DFB">
        <w:t xml:space="preserve"> Ha: E(u</w:t>
      </w:r>
      <w:r w:rsidRPr="00D31DFB">
        <w:rPr>
          <w:vertAlign w:val="subscript"/>
        </w:rPr>
        <w:t>it</w:t>
      </w:r>
      <w:r w:rsidRPr="00D31DFB">
        <w:t xml:space="preserve">| </w:t>
      </w:r>
      <w:proofErr w:type="spellStart"/>
      <w:r w:rsidRPr="00D31DFB">
        <w:t>X</w:t>
      </w:r>
      <w:r w:rsidRPr="00D31DFB">
        <w:rPr>
          <w:vertAlign w:val="subscript"/>
        </w:rPr>
        <w:t>it</w:t>
      </w:r>
      <w:proofErr w:type="spellEnd"/>
      <w:r w:rsidRPr="00D31DFB">
        <w:t>) ≠ 0</w:t>
      </w:r>
      <w:r w:rsidRPr="00D31DFB">
        <w:rPr>
          <w:color w:val="000000"/>
          <w:lang w:eastAsia="en-ID"/>
        </w:rPr>
        <w:t xml:space="preserve">, </w:t>
      </w:r>
      <w:proofErr w:type="spellStart"/>
      <w:r w:rsidRPr="00D31DFB">
        <w:rPr>
          <w:color w:val="000000"/>
          <w:lang w:eastAsia="en-ID"/>
        </w:rPr>
        <w:t>which</w:t>
      </w:r>
      <w:proofErr w:type="spellEnd"/>
      <w:r w:rsidRPr="00D31DFB">
        <w:rPr>
          <w:color w:val="000000"/>
          <w:lang w:eastAsia="en-ID"/>
        </w:rPr>
        <w:t xml:space="preserve"> means the null hypothesis implies that the estimators of FE and RE </w:t>
      </w:r>
      <w:r w:rsidRPr="00D31DFB">
        <w:t>do not differ and vice versa.</w:t>
      </w:r>
    </w:p>
    <w:p w:rsidR="00A84AA6" w:rsidRPr="00D31DFB" w:rsidRDefault="00A84AA6" w:rsidP="00A84AA6">
      <w:pPr>
        <w:widowControl w:val="0"/>
        <w:autoSpaceDE w:val="0"/>
        <w:autoSpaceDN w:val="0"/>
        <w:adjustRightInd w:val="0"/>
        <w:snapToGrid w:val="0"/>
        <w:ind w:firstLine="720"/>
        <w:jc w:val="both"/>
      </w:pPr>
    </w:p>
    <w:p w:rsidR="00A84AA6" w:rsidRPr="00D31DFB" w:rsidRDefault="00A84AA6" w:rsidP="00A84AA6">
      <w:pPr>
        <w:pStyle w:val="TeksIsi"/>
        <w:tabs>
          <w:tab w:val="left" w:pos="1755"/>
          <w:tab w:val="center" w:pos="4135"/>
        </w:tabs>
        <w:adjustRightInd w:val="0"/>
        <w:snapToGrid w:val="0"/>
        <w:spacing w:after="0" w:line="240" w:lineRule="auto"/>
        <w:rPr>
          <w:rFonts w:ascii="Times New Roman" w:hAnsi="Times New Roman" w:cs="Times New Roman"/>
          <w:b/>
          <w:i w:val="0"/>
          <w:iCs w:val="0"/>
          <w:sz w:val="24"/>
          <w:szCs w:val="24"/>
        </w:rPr>
      </w:pPr>
      <w:r w:rsidRPr="00D31DFB">
        <w:rPr>
          <w:rFonts w:ascii="Times New Roman" w:hAnsi="Times New Roman" w:cs="Times New Roman"/>
          <w:b/>
          <w:i w:val="0"/>
          <w:iCs w:val="0"/>
          <w:sz w:val="24"/>
          <w:szCs w:val="24"/>
        </w:rPr>
        <w:tab/>
      </w:r>
      <w:r w:rsidRPr="00D31DFB">
        <w:rPr>
          <w:rFonts w:ascii="Times New Roman" w:hAnsi="Times New Roman" w:cs="Times New Roman"/>
          <w:b/>
          <w:i w:val="0"/>
          <w:iCs w:val="0"/>
          <w:sz w:val="24"/>
          <w:szCs w:val="24"/>
        </w:rPr>
        <w:tab/>
        <w:t>Table 3. Hausman test</w:t>
      </w:r>
    </w:p>
    <w:p w:rsidR="00804BA7" w:rsidRPr="00D31DFB" w:rsidRDefault="00804BA7" w:rsidP="00A84AA6">
      <w:pPr>
        <w:pStyle w:val="TeksIsi"/>
        <w:tabs>
          <w:tab w:val="left" w:pos="1755"/>
          <w:tab w:val="center" w:pos="4135"/>
        </w:tabs>
        <w:adjustRightInd w:val="0"/>
        <w:snapToGrid w:val="0"/>
        <w:spacing w:after="0" w:line="240" w:lineRule="auto"/>
        <w:rPr>
          <w:rFonts w:ascii="Times New Roman" w:hAnsi="Times New Roman" w:cs="Times New Roman"/>
          <w:b/>
          <w:i w:val="0"/>
          <w:iCs w:val="0"/>
          <w:sz w:val="24"/>
          <w:szCs w:val="24"/>
        </w:rPr>
      </w:pPr>
    </w:p>
    <w:tbl>
      <w:tblPr>
        <w:tblW w:w="8609" w:type="dxa"/>
        <w:jc w:val="center"/>
        <w:tblBorders>
          <w:top w:val="single" w:sz="4" w:space="0" w:color="000000"/>
          <w:bottom w:val="single" w:sz="4" w:space="0" w:color="000000"/>
          <w:insideH w:val="single" w:sz="4" w:space="0" w:color="000000"/>
        </w:tblBorders>
        <w:tblLayout w:type="fixed"/>
        <w:tblCellMar>
          <w:left w:w="0" w:type="dxa"/>
          <w:right w:w="0" w:type="dxa"/>
        </w:tblCellMar>
        <w:tblLook w:val="01E0" w:firstRow="1" w:lastRow="1" w:firstColumn="1" w:lastColumn="1" w:noHBand="0" w:noVBand="0"/>
      </w:tblPr>
      <w:tblGrid>
        <w:gridCol w:w="1490"/>
        <w:gridCol w:w="1652"/>
        <w:gridCol w:w="1545"/>
        <w:gridCol w:w="1821"/>
        <w:gridCol w:w="2101"/>
      </w:tblGrid>
      <w:tr w:rsidR="00A84AA6" w:rsidRPr="00D31DFB" w:rsidTr="00A84AA6">
        <w:trPr>
          <w:trHeight w:val="287"/>
          <w:jc w:val="center"/>
        </w:trPr>
        <w:tc>
          <w:tcPr>
            <w:tcW w:w="1490" w:type="dxa"/>
            <w:tcBorders>
              <w:bottom w:val="single" w:sz="4" w:space="0" w:color="auto"/>
            </w:tcBorders>
          </w:tcPr>
          <w:p w:rsidR="00A84AA6" w:rsidRPr="00D31DFB" w:rsidRDefault="00A84AA6" w:rsidP="00A84AA6">
            <w:pPr>
              <w:pStyle w:val="TableParagraph"/>
              <w:adjustRightInd w:val="0"/>
              <w:snapToGrid w:val="0"/>
              <w:ind w:right="162"/>
              <w:jc w:val="right"/>
              <w:rPr>
                <w:rFonts w:ascii="Times New Roman" w:hAnsi="Times New Roman" w:cs="Times New Roman"/>
                <w:b/>
              </w:rPr>
            </w:pPr>
            <w:r w:rsidRPr="00D31DFB">
              <w:rPr>
                <w:rFonts w:ascii="Times New Roman" w:hAnsi="Times New Roman" w:cs="Times New Roman"/>
                <w:b/>
              </w:rPr>
              <w:t>Variables</w:t>
            </w:r>
          </w:p>
        </w:tc>
        <w:tc>
          <w:tcPr>
            <w:tcW w:w="1652" w:type="dxa"/>
            <w:tcBorders>
              <w:bottom w:val="single" w:sz="4" w:space="0" w:color="auto"/>
            </w:tcBorders>
          </w:tcPr>
          <w:p w:rsidR="00A84AA6" w:rsidRPr="00D31DFB" w:rsidRDefault="00A84AA6" w:rsidP="00A84AA6">
            <w:pPr>
              <w:pStyle w:val="TableParagraph"/>
              <w:adjustRightInd w:val="0"/>
              <w:snapToGrid w:val="0"/>
              <w:ind w:right="273"/>
              <w:jc w:val="right"/>
              <w:rPr>
                <w:rFonts w:ascii="Times New Roman" w:hAnsi="Times New Roman" w:cs="Times New Roman"/>
                <w:b/>
              </w:rPr>
            </w:pPr>
            <w:r w:rsidRPr="00D31DFB">
              <w:rPr>
                <w:rFonts w:ascii="Times New Roman" w:hAnsi="Times New Roman" w:cs="Times New Roman"/>
                <w:b/>
              </w:rPr>
              <w:t>Fixed</w:t>
            </w:r>
          </w:p>
        </w:tc>
        <w:tc>
          <w:tcPr>
            <w:tcW w:w="1545" w:type="dxa"/>
            <w:tcBorders>
              <w:bottom w:val="single" w:sz="4" w:space="0" w:color="auto"/>
            </w:tcBorders>
          </w:tcPr>
          <w:p w:rsidR="00A84AA6" w:rsidRPr="00D31DFB" w:rsidRDefault="00A84AA6" w:rsidP="00A84AA6">
            <w:pPr>
              <w:pStyle w:val="TableParagraph"/>
              <w:adjustRightInd w:val="0"/>
              <w:snapToGrid w:val="0"/>
              <w:ind w:left="284"/>
              <w:rPr>
                <w:rFonts w:ascii="Times New Roman" w:hAnsi="Times New Roman" w:cs="Times New Roman"/>
                <w:b/>
              </w:rPr>
            </w:pPr>
            <w:r w:rsidRPr="00D31DFB">
              <w:rPr>
                <w:rFonts w:ascii="Times New Roman" w:hAnsi="Times New Roman" w:cs="Times New Roman"/>
                <w:b/>
              </w:rPr>
              <w:t>Random</w:t>
            </w:r>
          </w:p>
        </w:tc>
        <w:tc>
          <w:tcPr>
            <w:tcW w:w="1821" w:type="dxa"/>
            <w:tcBorders>
              <w:bottom w:val="single" w:sz="4" w:space="0" w:color="auto"/>
            </w:tcBorders>
          </w:tcPr>
          <w:p w:rsidR="00A84AA6" w:rsidRPr="00D31DFB" w:rsidRDefault="00A84AA6" w:rsidP="00A84AA6">
            <w:pPr>
              <w:pStyle w:val="TableParagraph"/>
              <w:adjustRightInd w:val="0"/>
              <w:snapToGrid w:val="0"/>
              <w:ind w:right="437"/>
              <w:jc w:val="right"/>
              <w:rPr>
                <w:rFonts w:ascii="Times New Roman" w:hAnsi="Times New Roman" w:cs="Times New Roman"/>
                <w:b/>
              </w:rPr>
            </w:pPr>
            <w:r w:rsidRPr="00D31DFB">
              <w:rPr>
                <w:rFonts w:ascii="Times New Roman" w:hAnsi="Times New Roman" w:cs="Times New Roman"/>
                <w:b/>
              </w:rPr>
              <w:t>Random</w:t>
            </w:r>
          </w:p>
        </w:tc>
        <w:tc>
          <w:tcPr>
            <w:tcW w:w="2101" w:type="dxa"/>
            <w:tcBorders>
              <w:bottom w:val="single" w:sz="4" w:space="0" w:color="auto"/>
            </w:tcBorders>
          </w:tcPr>
          <w:p w:rsidR="00A84AA6" w:rsidRPr="00D31DFB" w:rsidRDefault="00A84AA6" w:rsidP="00A84AA6">
            <w:pPr>
              <w:pStyle w:val="TableParagraph"/>
              <w:adjustRightInd w:val="0"/>
              <w:snapToGrid w:val="0"/>
              <w:ind w:right="279"/>
              <w:jc w:val="right"/>
              <w:rPr>
                <w:rFonts w:ascii="Times New Roman" w:hAnsi="Times New Roman" w:cs="Times New Roman"/>
                <w:b/>
              </w:rPr>
            </w:pPr>
            <w:proofErr w:type="spellStart"/>
            <w:r w:rsidRPr="00D31DFB">
              <w:rPr>
                <w:rFonts w:ascii="Times New Roman" w:hAnsi="Times New Roman" w:cs="Times New Roman"/>
                <w:b/>
              </w:rPr>
              <w:t>StandardError</w:t>
            </w:r>
            <w:proofErr w:type="spellEnd"/>
          </w:p>
        </w:tc>
      </w:tr>
      <w:tr w:rsidR="00A84AA6" w:rsidRPr="00D31DFB" w:rsidTr="00A84AA6">
        <w:trPr>
          <w:trHeight w:val="403"/>
          <w:jc w:val="center"/>
        </w:trPr>
        <w:tc>
          <w:tcPr>
            <w:tcW w:w="1490" w:type="dxa"/>
            <w:tcBorders>
              <w:top w:val="single" w:sz="4" w:space="0" w:color="auto"/>
              <w:bottom w:val="nil"/>
            </w:tcBorders>
          </w:tcPr>
          <w:p w:rsidR="00A84AA6" w:rsidRPr="00D31DFB" w:rsidRDefault="00A84AA6" w:rsidP="00A84AA6">
            <w:pPr>
              <w:pStyle w:val="TableParagraph"/>
              <w:adjustRightInd w:val="0"/>
              <w:snapToGrid w:val="0"/>
              <w:ind w:right="162"/>
              <w:jc w:val="right"/>
              <w:rPr>
                <w:rFonts w:ascii="Times New Roman" w:hAnsi="Times New Roman" w:cs="Times New Roman"/>
                <w:bCs/>
              </w:rPr>
            </w:pPr>
            <w:r w:rsidRPr="00D31DFB">
              <w:rPr>
                <w:rFonts w:ascii="Times New Roman" w:hAnsi="Times New Roman" w:cs="Times New Roman"/>
                <w:bCs/>
              </w:rPr>
              <w:t>DAU</w:t>
            </w:r>
          </w:p>
        </w:tc>
        <w:tc>
          <w:tcPr>
            <w:tcW w:w="1652" w:type="dxa"/>
            <w:tcBorders>
              <w:top w:val="single" w:sz="4" w:space="0" w:color="auto"/>
              <w:bottom w:val="nil"/>
            </w:tcBorders>
          </w:tcPr>
          <w:p w:rsidR="00A84AA6" w:rsidRPr="00D31DFB" w:rsidRDefault="00A84AA6" w:rsidP="00A84AA6">
            <w:pPr>
              <w:pStyle w:val="TableParagraph"/>
              <w:adjustRightInd w:val="0"/>
              <w:snapToGrid w:val="0"/>
              <w:ind w:right="273"/>
              <w:jc w:val="right"/>
              <w:rPr>
                <w:rFonts w:ascii="Times New Roman" w:hAnsi="Times New Roman" w:cs="Times New Roman"/>
                <w:bCs/>
              </w:rPr>
            </w:pPr>
            <w:r w:rsidRPr="00D31DFB">
              <w:rPr>
                <w:rFonts w:ascii="Times New Roman" w:hAnsi="Times New Roman" w:cs="Times New Roman"/>
                <w:bCs/>
              </w:rPr>
              <w:t>2.187608</w:t>
            </w:r>
          </w:p>
        </w:tc>
        <w:tc>
          <w:tcPr>
            <w:tcW w:w="1545" w:type="dxa"/>
            <w:tcBorders>
              <w:top w:val="single" w:sz="4" w:space="0" w:color="auto"/>
              <w:bottom w:val="nil"/>
            </w:tcBorders>
          </w:tcPr>
          <w:p w:rsidR="00A84AA6" w:rsidRPr="00D31DFB" w:rsidRDefault="00A84AA6" w:rsidP="00A84AA6">
            <w:pPr>
              <w:pStyle w:val="TableParagraph"/>
              <w:adjustRightInd w:val="0"/>
              <w:snapToGrid w:val="0"/>
              <w:ind w:left="284"/>
              <w:rPr>
                <w:rFonts w:ascii="Times New Roman" w:hAnsi="Times New Roman" w:cs="Times New Roman"/>
                <w:bCs/>
              </w:rPr>
            </w:pPr>
            <w:r w:rsidRPr="00D31DFB">
              <w:rPr>
                <w:rFonts w:ascii="Times New Roman" w:hAnsi="Times New Roman" w:cs="Times New Roman"/>
                <w:bCs/>
              </w:rPr>
              <w:t>1.347275</w:t>
            </w:r>
          </w:p>
        </w:tc>
        <w:tc>
          <w:tcPr>
            <w:tcW w:w="1821" w:type="dxa"/>
            <w:tcBorders>
              <w:top w:val="single" w:sz="4" w:space="0" w:color="auto"/>
              <w:bottom w:val="nil"/>
            </w:tcBorders>
          </w:tcPr>
          <w:p w:rsidR="00A84AA6" w:rsidRPr="00D31DFB" w:rsidRDefault="00A84AA6" w:rsidP="00A84AA6">
            <w:pPr>
              <w:pStyle w:val="TableParagraph"/>
              <w:adjustRightInd w:val="0"/>
              <w:snapToGrid w:val="0"/>
              <w:ind w:right="437"/>
              <w:jc w:val="right"/>
              <w:rPr>
                <w:rFonts w:ascii="Times New Roman" w:hAnsi="Times New Roman" w:cs="Times New Roman"/>
                <w:bCs/>
              </w:rPr>
            </w:pPr>
            <w:r w:rsidRPr="00D31DFB">
              <w:rPr>
                <w:rFonts w:ascii="Times New Roman" w:hAnsi="Times New Roman" w:cs="Times New Roman"/>
                <w:bCs/>
              </w:rPr>
              <w:t>.8403328</w:t>
            </w:r>
          </w:p>
        </w:tc>
        <w:tc>
          <w:tcPr>
            <w:tcW w:w="2101" w:type="dxa"/>
            <w:tcBorders>
              <w:top w:val="single" w:sz="4" w:space="0" w:color="auto"/>
              <w:bottom w:val="nil"/>
            </w:tcBorders>
          </w:tcPr>
          <w:p w:rsidR="00A84AA6" w:rsidRPr="00D31DFB" w:rsidRDefault="00A84AA6" w:rsidP="00A84AA6">
            <w:pPr>
              <w:pStyle w:val="TableParagraph"/>
              <w:adjustRightInd w:val="0"/>
              <w:snapToGrid w:val="0"/>
              <w:ind w:right="772"/>
              <w:jc w:val="right"/>
              <w:rPr>
                <w:rFonts w:ascii="Times New Roman" w:hAnsi="Times New Roman" w:cs="Times New Roman"/>
                <w:bCs/>
              </w:rPr>
            </w:pPr>
            <w:r w:rsidRPr="00D31DFB">
              <w:rPr>
                <w:rFonts w:ascii="Times New Roman" w:hAnsi="Times New Roman" w:cs="Times New Roman"/>
                <w:bCs/>
              </w:rPr>
              <w:t>.2928312</w:t>
            </w:r>
          </w:p>
        </w:tc>
      </w:tr>
      <w:tr w:rsidR="00A84AA6" w:rsidRPr="00D31DFB" w:rsidTr="00A84AA6">
        <w:trPr>
          <w:trHeight w:val="407"/>
          <w:jc w:val="center"/>
        </w:trPr>
        <w:tc>
          <w:tcPr>
            <w:tcW w:w="1490" w:type="dxa"/>
            <w:tcBorders>
              <w:top w:val="nil"/>
              <w:bottom w:val="nil"/>
            </w:tcBorders>
          </w:tcPr>
          <w:p w:rsidR="00A84AA6" w:rsidRPr="00D31DFB" w:rsidRDefault="00A84AA6" w:rsidP="00A84AA6">
            <w:pPr>
              <w:pStyle w:val="TableParagraph"/>
              <w:adjustRightInd w:val="0"/>
              <w:snapToGrid w:val="0"/>
              <w:ind w:right="162"/>
              <w:jc w:val="right"/>
              <w:rPr>
                <w:rFonts w:ascii="Times New Roman" w:hAnsi="Times New Roman" w:cs="Times New Roman"/>
                <w:bCs/>
              </w:rPr>
            </w:pPr>
            <w:r w:rsidRPr="00D31DFB">
              <w:rPr>
                <w:rFonts w:ascii="Times New Roman" w:hAnsi="Times New Roman" w:cs="Times New Roman"/>
                <w:bCs/>
              </w:rPr>
              <w:t>DBH</w:t>
            </w:r>
          </w:p>
        </w:tc>
        <w:tc>
          <w:tcPr>
            <w:tcW w:w="1652" w:type="dxa"/>
            <w:tcBorders>
              <w:top w:val="nil"/>
              <w:bottom w:val="nil"/>
            </w:tcBorders>
          </w:tcPr>
          <w:p w:rsidR="00A84AA6" w:rsidRPr="00D31DFB" w:rsidRDefault="00A84AA6" w:rsidP="00A84AA6">
            <w:pPr>
              <w:pStyle w:val="TableParagraph"/>
              <w:adjustRightInd w:val="0"/>
              <w:snapToGrid w:val="0"/>
              <w:ind w:right="273"/>
              <w:jc w:val="right"/>
              <w:rPr>
                <w:rFonts w:ascii="Times New Roman" w:hAnsi="Times New Roman" w:cs="Times New Roman"/>
                <w:bCs/>
              </w:rPr>
            </w:pPr>
            <w:r w:rsidRPr="00D31DFB">
              <w:rPr>
                <w:rFonts w:ascii="Times New Roman" w:hAnsi="Times New Roman" w:cs="Times New Roman"/>
                <w:bCs/>
              </w:rPr>
              <w:t>.2747257</w:t>
            </w:r>
          </w:p>
        </w:tc>
        <w:tc>
          <w:tcPr>
            <w:tcW w:w="1545" w:type="dxa"/>
            <w:tcBorders>
              <w:top w:val="nil"/>
              <w:bottom w:val="nil"/>
            </w:tcBorders>
          </w:tcPr>
          <w:p w:rsidR="00A84AA6" w:rsidRPr="00D31DFB" w:rsidRDefault="00A84AA6" w:rsidP="00A84AA6">
            <w:pPr>
              <w:pStyle w:val="TableParagraph"/>
              <w:adjustRightInd w:val="0"/>
              <w:snapToGrid w:val="0"/>
              <w:ind w:left="284"/>
              <w:rPr>
                <w:rFonts w:ascii="Times New Roman" w:hAnsi="Times New Roman" w:cs="Times New Roman"/>
                <w:bCs/>
              </w:rPr>
            </w:pPr>
            <w:r w:rsidRPr="00D31DFB">
              <w:rPr>
                <w:rFonts w:ascii="Times New Roman" w:hAnsi="Times New Roman" w:cs="Times New Roman"/>
                <w:bCs/>
              </w:rPr>
              <w:t>.4170534</w:t>
            </w:r>
          </w:p>
        </w:tc>
        <w:tc>
          <w:tcPr>
            <w:tcW w:w="1821" w:type="dxa"/>
            <w:tcBorders>
              <w:top w:val="nil"/>
              <w:bottom w:val="nil"/>
            </w:tcBorders>
          </w:tcPr>
          <w:p w:rsidR="00A84AA6" w:rsidRPr="00D31DFB" w:rsidRDefault="00A84AA6" w:rsidP="00A84AA6">
            <w:pPr>
              <w:pStyle w:val="TableParagraph"/>
              <w:adjustRightInd w:val="0"/>
              <w:snapToGrid w:val="0"/>
              <w:ind w:right="437"/>
              <w:jc w:val="right"/>
              <w:rPr>
                <w:rFonts w:ascii="Times New Roman" w:hAnsi="Times New Roman" w:cs="Times New Roman"/>
                <w:bCs/>
              </w:rPr>
            </w:pPr>
            <w:r w:rsidRPr="00D31DFB">
              <w:rPr>
                <w:rFonts w:ascii="Times New Roman" w:hAnsi="Times New Roman" w:cs="Times New Roman"/>
                <w:bCs/>
              </w:rPr>
              <w:t>-.1423277</w:t>
            </w:r>
          </w:p>
        </w:tc>
        <w:tc>
          <w:tcPr>
            <w:tcW w:w="2101" w:type="dxa"/>
            <w:tcBorders>
              <w:top w:val="nil"/>
              <w:bottom w:val="nil"/>
            </w:tcBorders>
          </w:tcPr>
          <w:p w:rsidR="00A84AA6" w:rsidRPr="00D31DFB" w:rsidRDefault="00A84AA6" w:rsidP="00A84AA6">
            <w:pPr>
              <w:pStyle w:val="TableParagraph"/>
              <w:adjustRightInd w:val="0"/>
              <w:snapToGrid w:val="0"/>
              <w:ind w:right="772"/>
              <w:jc w:val="right"/>
              <w:rPr>
                <w:rFonts w:ascii="Times New Roman" w:hAnsi="Times New Roman" w:cs="Times New Roman"/>
                <w:bCs/>
              </w:rPr>
            </w:pPr>
            <w:r w:rsidRPr="00D31DFB">
              <w:rPr>
                <w:rFonts w:ascii="Times New Roman" w:hAnsi="Times New Roman" w:cs="Times New Roman"/>
                <w:bCs/>
              </w:rPr>
              <w:t>.</w:t>
            </w:r>
          </w:p>
        </w:tc>
      </w:tr>
      <w:tr w:rsidR="00A84AA6" w:rsidRPr="00D31DFB" w:rsidTr="00A84AA6">
        <w:trPr>
          <w:trHeight w:val="272"/>
          <w:jc w:val="center"/>
        </w:trPr>
        <w:tc>
          <w:tcPr>
            <w:tcW w:w="1490" w:type="dxa"/>
            <w:tcBorders>
              <w:top w:val="nil"/>
              <w:bottom w:val="single" w:sz="4" w:space="0" w:color="auto"/>
            </w:tcBorders>
          </w:tcPr>
          <w:p w:rsidR="00A84AA6" w:rsidRPr="00D31DFB" w:rsidRDefault="00A84AA6" w:rsidP="00A84AA6">
            <w:pPr>
              <w:pStyle w:val="TableParagraph"/>
              <w:adjustRightInd w:val="0"/>
              <w:snapToGrid w:val="0"/>
              <w:ind w:right="162"/>
              <w:jc w:val="right"/>
              <w:rPr>
                <w:rFonts w:ascii="Times New Roman" w:hAnsi="Times New Roman" w:cs="Times New Roman"/>
                <w:bCs/>
              </w:rPr>
            </w:pPr>
            <w:r w:rsidRPr="00D31DFB">
              <w:rPr>
                <w:rFonts w:ascii="Times New Roman" w:hAnsi="Times New Roman" w:cs="Times New Roman"/>
                <w:bCs/>
              </w:rPr>
              <w:t>DAK</w:t>
            </w:r>
          </w:p>
        </w:tc>
        <w:tc>
          <w:tcPr>
            <w:tcW w:w="1652" w:type="dxa"/>
            <w:tcBorders>
              <w:top w:val="nil"/>
              <w:bottom w:val="single" w:sz="4" w:space="0" w:color="auto"/>
            </w:tcBorders>
          </w:tcPr>
          <w:p w:rsidR="00A84AA6" w:rsidRPr="00D31DFB" w:rsidRDefault="00A84AA6" w:rsidP="00A84AA6">
            <w:pPr>
              <w:pStyle w:val="TableParagraph"/>
              <w:adjustRightInd w:val="0"/>
              <w:snapToGrid w:val="0"/>
              <w:ind w:right="273"/>
              <w:jc w:val="right"/>
              <w:rPr>
                <w:rFonts w:ascii="Times New Roman" w:hAnsi="Times New Roman" w:cs="Times New Roman"/>
                <w:bCs/>
              </w:rPr>
            </w:pPr>
            <w:r w:rsidRPr="00D31DFB">
              <w:rPr>
                <w:rFonts w:ascii="Times New Roman" w:hAnsi="Times New Roman" w:cs="Times New Roman"/>
                <w:bCs/>
              </w:rPr>
              <w:t>1.338198</w:t>
            </w:r>
          </w:p>
        </w:tc>
        <w:tc>
          <w:tcPr>
            <w:tcW w:w="1545" w:type="dxa"/>
            <w:tcBorders>
              <w:top w:val="nil"/>
              <w:bottom w:val="single" w:sz="4" w:space="0" w:color="auto"/>
            </w:tcBorders>
          </w:tcPr>
          <w:p w:rsidR="00A84AA6" w:rsidRPr="00D31DFB" w:rsidRDefault="00A84AA6" w:rsidP="00A84AA6">
            <w:pPr>
              <w:pStyle w:val="TableParagraph"/>
              <w:adjustRightInd w:val="0"/>
              <w:snapToGrid w:val="0"/>
              <w:ind w:left="284"/>
              <w:rPr>
                <w:rFonts w:ascii="Times New Roman" w:hAnsi="Times New Roman" w:cs="Times New Roman"/>
                <w:bCs/>
              </w:rPr>
            </w:pPr>
            <w:r w:rsidRPr="00D31DFB">
              <w:rPr>
                <w:rFonts w:ascii="Times New Roman" w:hAnsi="Times New Roman" w:cs="Times New Roman"/>
                <w:bCs/>
              </w:rPr>
              <w:t>1.308083</w:t>
            </w:r>
          </w:p>
        </w:tc>
        <w:tc>
          <w:tcPr>
            <w:tcW w:w="1821" w:type="dxa"/>
            <w:tcBorders>
              <w:top w:val="nil"/>
              <w:bottom w:val="single" w:sz="4" w:space="0" w:color="auto"/>
            </w:tcBorders>
          </w:tcPr>
          <w:p w:rsidR="00A84AA6" w:rsidRPr="00D31DFB" w:rsidRDefault="00A84AA6" w:rsidP="00A84AA6">
            <w:pPr>
              <w:pStyle w:val="TableParagraph"/>
              <w:adjustRightInd w:val="0"/>
              <w:snapToGrid w:val="0"/>
              <w:ind w:right="437"/>
              <w:jc w:val="right"/>
              <w:rPr>
                <w:rFonts w:ascii="Times New Roman" w:hAnsi="Times New Roman" w:cs="Times New Roman"/>
                <w:bCs/>
              </w:rPr>
            </w:pPr>
            <w:r w:rsidRPr="00D31DFB">
              <w:rPr>
                <w:rFonts w:ascii="Times New Roman" w:hAnsi="Times New Roman" w:cs="Times New Roman"/>
                <w:bCs/>
              </w:rPr>
              <w:t>.0301151</w:t>
            </w:r>
          </w:p>
        </w:tc>
        <w:tc>
          <w:tcPr>
            <w:tcW w:w="2101" w:type="dxa"/>
            <w:tcBorders>
              <w:top w:val="nil"/>
              <w:bottom w:val="single" w:sz="4" w:space="0" w:color="auto"/>
            </w:tcBorders>
          </w:tcPr>
          <w:p w:rsidR="00A84AA6" w:rsidRPr="00D31DFB" w:rsidRDefault="00A84AA6" w:rsidP="00A84AA6">
            <w:pPr>
              <w:pStyle w:val="TableParagraph"/>
              <w:adjustRightInd w:val="0"/>
              <w:snapToGrid w:val="0"/>
              <w:ind w:right="772"/>
              <w:jc w:val="right"/>
              <w:rPr>
                <w:rFonts w:ascii="Times New Roman" w:hAnsi="Times New Roman" w:cs="Times New Roman"/>
                <w:bCs/>
              </w:rPr>
            </w:pPr>
            <w:r w:rsidRPr="00D31DFB">
              <w:rPr>
                <w:rFonts w:ascii="Times New Roman" w:hAnsi="Times New Roman" w:cs="Times New Roman"/>
                <w:bCs/>
              </w:rPr>
              <w:t>.1719664</w:t>
            </w:r>
          </w:p>
        </w:tc>
      </w:tr>
      <w:tr w:rsidR="00A84AA6" w:rsidRPr="00D31DFB" w:rsidTr="00A84AA6">
        <w:trPr>
          <w:trHeight w:val="285"/>
          <w:jc w:val="center"/>
        </w:trPr>
        <w:tc>
          <w:tcPr>
            <w:tcW w:w="1490" w:type="dxa"/>
            <w:tcBorders>
              <w:top w:val="single" w:sz="4" w:space="0" w:color="auto"/>
              <w:left w:val="nil"/>
              <w:bottom w:val="single" w:sz="4" w:space="0" w:color="auto"/>
              <w:right w:val="nil"/>
            </w:tcBorders>
          </w:tcPr>
          <w:p w:rsidR="00A84AA6" w:rsidRPr="00D31DFB" w:rsidRDefault="00A84AA6" w:rsidP="00A84AA6">
            <w:pPr>
              <w:pStyle w:val="TableParagraph"/>
              <w:adjustRightInd w:val="0"/>
              <w:snapToGrid w:val="0"/>
              <w:ind w:right="162"/>
              <w:jc w:val="right"/>
              <w:rPr>
                <w:rFonts w:ascii="Times New Roman" w:hAnsi="Times New Roman" w:cs="Times New Roman"/>
                <w:bCs/>
              </w:rPr>
            </w:pPr>
            <w:r w:rsidRPr="00D31DFB">
              <w:rPr>
                <w:rFonts w:ascii="Times New Roman" w:hAnsi="Times New Roman" w:cs="Times New Roman"/>
                <w:bCs/>
              </w:rPr>
              <w:t>PAD</w:t>
            </w:r>
          </w:p>
        </w:tc>
        <w:tc>
          <w:tcPr>
            <w:tcW w:w="1652" w:type="dxa"/>
            <w:tcBorders>
              <w:top w:val="single" w:sz="4" w:space="0" w:color="auto"/>
              <w:left w:val="nil"/>
              <w:bottom w:val="single" w:sz="4" w:space="0" w:color="auto"/>
              <w:right w:val="nil"/>
            </w:tcBorders>
          </w:tcPr>
          <w:p w:rsidR="00A84AA6" w:rsidRPr="00D31DFB" w:rsidRDefault="00A84AA6" w:rsidP="00A84AA6">
            <w:pPr>
              <w:pStyle w:val="TableParagraph"/>
              <w:adjustRightInd w:val="0"/>
              <w:snapToGrid w:val="0"/>
              <w:ind w:right="273"/>
              <w:jc w:val="right"/>
              <w:rPr>
                <w:rFonts w:ascii="Times New Roman" w:hAnsi="Times New Roman" w:cs="Times New Roman"/>
                <w:bCs/>
              </w:rPr>
            </w:pPr>
            <w:r w:rsidRPr="00D31DFB">
              <w:rPr>
                <w:rFonts w:ascii="Times New Roman" w:hAnsi="Times New Roman" w:cs="Times New Roman"/>
                <w:bCs/>
              </w:rPr>
              <w:t>-.3104811</w:t>
            </w:r>
          </w:p>
        </w:tc>
        <w:tc>
          <w:tcPr>
            <w:tcW w:w="1545" w:type="dxa"/>
            <w:tcBorders>
              <w:top w:val="single" w:sz="4" w:space="0" w:color="auto"/>
              <w:left w:val="nil"/>
              <w:bottom w:val="single" w:sz="4" w:space="0" w:color="auto"/>
              <w:right w:val="nil"/>
            </w:tcBorders>
          </w:tcPr>
          <w:p w:rsidR="00A84AA6" w:rsidRPr="00D31DFB" w:rsidRDefault="00A84AA6" w:rsidP="00A84AA6">
            <w:pPr>
              <w:pStyle w:val="TableParagraph"/>
              <w:adjustRightInd w:val="0"/>
              <w:snapToGrid w:val="0"/>
              <w:ind w:left="284"/>
              <w:rPr>
                <w:rFonts w:ascii="Times New Roman" w:hAnsi="Times New Roman" w:cs="Times New Roman"/>
                <w:bCs/>
              </w:rPr>
            </w:pPr>
            <w:r w:rsidRPr="00D31DFB">
              <w:rPr>
                <w:rFonts w:ascii="Times New Roman" w:hAnsi="Times New Roman" w:cs="Times New Roman"/>
                <w:bCs/>
              </w:rPr>
              <w:t>1.065718</w:t>
            </w:r>
          </w:p>
        </w:tc>
        <w:tc>
          <w:tcPr>
            <w:tcW w:w="1821" w:type="dxa"/>
            <w:tcBorders>
              <w:top w:val="single" w:sz="4" w:space="0" w:color="auto"/>
              <w:left w:val="nil"/>
              <w:bottom w:val="single" w:sz="4" w:space="0" w:color="auto"/>
              <w:right w:val="nil"/>
            </w:tcBorders>
          </w:tcPr>
          <w:p w:rsidR="00A84AA6" w:rsidRPr="00D31DFB" w:rsidRDefault="00A84AA6" w:rsidP="00A84AA6">
            <w:pPr>
              <w:pStyle w:val="TableParagraph"/>
              <w:adjustRightInd w:val="0"/>
              <w:snapToGrid w:val="0"/>
              <w:ind w:right="437"/>
              <w:jc w:val="right"/>
              <w:rPr>
                <w:rFonts w:ascii="Times New Roman" w:hAnsi="Times New Roman" w:cs="Times New Roman"/>
                <w:bCs/>
              </w:rPr>
            </w:pPr>
            <w:r w:rsidRPr="00D31DFB">
              <w:rPr>
                <w:rFonts w:ascii="Times New Roman" w:hAnsi="Times New Roman" w:cs="Times New Roman"/>
                <w:bCs/>
              </w:rPr>
              <w:t>-1.376199</w:t>
            </w:r>
          </w:p>
        </w:tc>
        <w:tc>
          <w:tcPr>
            <w:tcW w:w="2101" w:type="dxa"/>
            <w:tcBorders>
              <w:top w:val="single" w:sz="4" w:space="0" w:color="auto"/>
              <w:left w:val="nil"/>
              <w:bottom w:val="single" w:sz="4" w:space="0" w:color="auto"/>
              <w:right w:val="nil"/>
            </w:tcBorders>
          </w:tcPr>
          <w:p w:rsidR="00A84AA6" w:rsidRPr="00D31DFB" w:rsidRDefault="00A84AA6" w:rsidP="00A84AA6">
            <w:pPr>
              <w:pStyle w:val="TableParagraph"/>
              <w:adjustRightInd w:val="0"/>
              <w:snapToGrid w:val="0"/>
              <w:ind w:right="772"/>
              <w:jc w:val="right"/>
              <w:rPr>
                <w:rFonts w:ascii="Times New Roman" w:hAnsi="Times New Roman" w:cs="Times New Roman"/>
                <w:bCs/>
              </w:rPr>
            </w:pPr>
            <w:r w:rsidRPr="00D31DFB">
              <w:rPr>
                <w:rFonts w:ascii="Times New Roman" w:hAnsi="Times New Roman" w:cs="Times New Roman"/>
                <w:bCs/>
              </w:rPr>
              <w:t>.3106768</w:t>
            </w:r>
          </w:p>
        </w:tc>
      </w:tr>
      <w:tr w:rsidR="00A84AA6" w:rsidRPr="00D31DFB" w:rsidTr="00A84AA6">
        <w:trPr>
          <w:trHeight w:val="285"/>
          <w:jc w:val="center"/>
        </w:trPr>
        <w:tc>
          <w:tcPr>
            <w:tcW w:w="8609" w:type="dxa"/>
            <w:gridSpan w:val="5"/>
            <w:tcBorders>
              <w:top w:val="single" w:sz="4" w:space="0" w:color="auto"/>
              <w:left w:val="nil"/>
              <w:bottom w:val="single" w:sz="4" w:space="0" w:color="auto"/>
              <w:right w:val="nil"/>
            </w:tcBorders>
          </w:tcPr>
          <w:p w:rsidR="00A84AA6" w:rsidRPr="00D31DFB" w:rsidRDefault="00A84AA6" w:rsidP="00A84AA6">
            <w:pPr>
              <w:pStyle w:val="TeksIsi"/>
              <w:pBdr>
                <w:between w:val="single" w:sz="4" w:space="1" w:color="auto"/>
                <w:bar w:val="single" w:sz="4" w:color="auto"/>
              </w:pBdr>
              <w:adjustRightInd w:val="0"/>
              <w:snapToGrid w:val="0"/>
              <w:spacing w:after="0" w:line="240" w:lineRule="auto"/>
              <w:ind w:right="128"/>
              <w:rPr>
                <w:rFonts w:ascii="Times New Roman" w:hAnsi="Times New Roman" w:cs="Times New Roman"/>
                <w:i w:val="0"/>
                <w:iCs w:val="0"/>
                <w:sz w:val="22"/>
                <w:szCs w:val="22"/>
              </w:rPr>
            </w:pPr>
            <w:proofErr w:type="spellStart"/>
            <w:proofErr w:type="gramStart"/>
            <w:r w:rsidRPr="00D31DFB">
              <w:rPr>
                <w:rFonts w:ascii="Times New Roman" w:hAnsi="Times New Roman" w:cs="Times New Roman"/>
                <w:i w:val="0"/>
                <w:iCs w:val="0"/>
                <w:spacing w:val="5"/>
                <w:sz w:val="22"/>
                <w:szCs w:val="22"/>
              </w:rPr>
              <w:t>Test:</w:t>
            </w:r>
            <w:r w:rsidRPr="00D31DFB">
              <w:rPr>
                <w:rFonts w:ascii="Times New Roman" w:hAnsi="Times New Roman" w:cs="Times New Roman"/>
                <w:i w:val="0"/>
                <w:iCs w:val="0"/>
                <w:spacing w:val="4"/>
                <w:sz w:val="22"/>
                <w:szCs w:val="22"/>
              </w:rPr>
              <w:t>Ho</w:t>
            </w:r>
            <w:proofErr w:type="spellEnd"/>
            <w:proofErr w:type="gramEnd"/>
            <w:r w:rsidRPr="00D31DFB">
              <w:rPr>
                <w:rFonts w:ascii="Times New Roman" w:hAnsi="Times New Roman" w:cs="Times New Roman"/>
                <w:i w:val="0"/>
                <w:iCs w:val="0"/>
                <w:spacing w:val="4"/>
                <w:sz w:val="22"/>
                <w:szCs w:val="22"/>
              </w:rPr>
              <w:t xml:space="preserve">: </w:t>
            </w:r>
            <w:r w:rsidRPr="00D31DFB">
              <w:rPr>
                <w:rFonts w:ascii="Times New Roman" w:hAnsi="Times New Roman" w:cs="Times New Roman"/>
                <w:i w:val="0"/>
                <w:iCs w:val="0"/>
                <w:spacing w:val="6"/>
                <w:sz w:val="22"/>
                <w:szCs w:val="22"/>
              </w:rPr>
              <w:t xml:space="preserve">difference </w:t>
            </w:r>
            <w:r w:rsidRPr="00D31DFB">
              <w:rPr>
                <w:rFonts w:ascii="Times New Roman" w:hAnsi="Times New Roman" w:cs="Times New Roman"/>
                <w:i w:val="0"/>
                <w:iCs w:val="0"/>
                <w:spacing w:val="4"/>
                <w:sz w:val="22"/>
                <w:szCs w:val="22"/>
              </w:rPr>
              <w:t xml:space="preserve">in </w:t>
            </w:r>
            <w:r w:rsidRPr="00D31DFB">
              <w:rPr>
                <w:rFonts w:ascii="Times New Roman" w:hAnsi="Times New Roman" w:cs="Times New Roman"/>
                <w:i w:val="0"/>
                <w:iCs w:val="0"/>
                <w:spacing w:val="6"/>
                <w:sz w:val="22"/>
                <w:szCs w:val="22"/>
              </w:rPr>
              <w:t xml:space="preserve">coefficients </w:t>
            </w:r>
            <w:r w:rsidRPr="00D31DFB">
              <w:rPr>
                <w:rFonts w:ascii="Times New Roman" w:hAnsi="Times New Roman" w:cs="Times New Roman"/>
                <w:i w:val="0"/>
                <w:iCs w:val="0"/>
                <w:spacing w:val="4"/>
                <w:sz w:val="22"/>
                <w:szCs w:val="22"/>
              </w:rPr>
              <w:t xml:space="preserve">not </w:t>
            </w:r>
            <w:r w:rsidRPr="00D31DFB">
              <w:rPr>
                <w:rFonts w:ascii="Times New Roman" w:hAnsi="Times New Roman" w:cs="Times New Roman"/>
                <w:i w:val="0"/>
                <w:iCs w:val="0"/>
                <w:spacing w:val="6"/>
                <w:sz w:val="22"/>
                <w:szCs w:val="22"/>
              </w:rPr>
              <w:t>systematic chi2(</w:t>
            </w:r>
            <w:r w:rsidRPr="00D31DFB">
              <w:rPr>
                <w:rFonts w:ascii="Times New Roman" w:hAnsi="Times New Roman" w:cs="Times New Roman"/>
                <w:b/>
                <w:i w:val="0"/>
                <w:iCs w:val="0"/>
                <w:spacing w:val="6"/>
                <w:sz w:val="22"/>
                <w:szCs w:val="22"/>
              </w:rPr>
              <w:t>4</w:t>
            </w:r>
            <w:r w:rsidRPr="00D31DFB">
              <w:rPr>
                <w:rFonts w:ascii="Times New Roman" w:hAnsi="Times New Roman" w:cs="Times New Roman"/>
                <w:i w:val="0"/>
                <w:iCs w:val="0"/>
                <w:spacing w:val="6"/>
                <w:sz w:val="22"/>
                <w:szCs w:val="22"/>
              </w:rPr>
              <w:t xml:space="preserve">) </w:t>
            </w:r>
            <w:r w:rsidRPr="00D31DFB">
              <w:rPr>
                <w:rFonts w:ascii="Times New Roman" w:hAnsi="Times New Roman" w:cs="Times New Roman"/>
                <w:i w:val="0"/>
                <w:iCs w:val="0"/>
                <w:sz w:val="22"/>
                <w:szCs w:val="22"/>
              </w:rPr>
              <w:t>=</w:t>
            </w:r>
            <w:r w:rsidRPr="00D31DFB">
              <w:rPr>
                <w:rFonts w:ascii="Times New Roman" w:hAnsi="Times New Roman" w:cs="Times New Roman"/>
                <w:i w:val="0"/>
                <w:iCs w:val="0"/>
                <w:spacing w:val="48"/>
                <w:sz w:val="22"/>
                <w:szCs w:val="22"/>
              </w:rPr>
              <w:t xml:space="preserve"> </w:t>
            </w:r>
            <w:r w:rsidRPr="00D31DFB">
              <w:rPr>
                <w:rFonts w:ascii="Times New Roman" w:hAnsi="Times New Roman" w:cs="Times New Roman"/>
                <w:i w:val="0"/>
                <w:iCs w:val="0"/>
                <w:spacing w:val="6"/>
                <w:sz w:val="22"/>
                <w:szCs w:val="22"/>
              </w:rPr>
              <w:t>(b-B)'[(</w:t>
            </w:r>
            <w:proofErr w:type="spellStart"/>
            <w:r w:rsidRPr="00D31DFB">
              <w:rPr>
                <w:rFonts w:ascii="Times New Roman" w:hAnsi="Times New Roman" w:cs="Times New Roman"/>
                <w:i w:val="0"/>
                <w:iCs w:val="0"/>
                <w:spacing w:val="6"/>
                <w:sz w:val="22"/>
                <w:szCs w:val="22"/>
              </w:rPr>
              <w:t>V_b</w:t>
            </w:r>
            <w:proofErr w:type="spellEnd"/>
            <w:r w:rsidRPr="00D31DFB">
              <w:rPr>
                <w:rFonts w:ascii="Times New Roman" w:hAnsi="Times New Roman" w:cs="Times New Roman"/>
                <w:i w:val="0"/>
                <w:iCs w:val="0"/>
                <w:spacing w:val="6"/>
                <w:sz w:val="22"/>
                <w:szCs w:val="22"/>
              </w:rPr>
              <w:t xml:space="preserve">-V_B)^(-1)](b-B) = </w:t>
            </w:r>
            <w:r w:rsidRPr="00D31DFB">
              <w:rPr>
                <w:rFonts w:ascii="Times New Roman" w:hAnsi="Times New Roman" w:cs="Times New Roman"/>
                <w:b/>
                <w:i w:val="0"/>
                <w:iCs w:val="0"/>
                <w:spacing w:val="5"/>
                <w:sz w:val="22"/>
                <w:szCs w:val="22"/>
              </w:rPr>
              <w:t>26.80</w:t>
            </w:r>
          </w:p>
        </w:tc>
      </w:tr>
      <w:tr w:rsidR="00A84AA6" w:rsidRPr="00D31DFB" w:rsidTr="00A84AA6">
        <w:trPr>
          <w:trHeight w:val="285"/>
          <w:jc w:val="center"/>
        </w:trPr>
        <w:tc>
          <w:tcPr>
            <w:tcW w:w="8609" w:type="dxa"/>
            <w:gridSpan w:val="5"/>
            <w:tcBorders>
              <w:top w:val="single" w:sz="4" w:space="0" w:color="auto"/>
              <w:left w:val="nil"/>
              <w:bottom w:val="single" w:sz="4" w:space="0" w:color="auto"/>
              <w:right w:val="nil"/>
            </w:tcBorders>
          </w:tcPr>
          <w:p w:rsidR="00A84AA6" w:rsidRPr="00D31DFB" w:rsidRDefault="00A84AA6" w:rsidP="00A84AA6">
            <w:pPr>
              <w:pBdr>
                <w:between w:val="single" w:sz="4" w:space="1" w:color="auto"/>
                <w:bar w:val="single" w:sz="4" w:color="auto"/>
              </w:pBdr>
              <w:tabs>
                <w:tab w:val="left" w:pos="4238"/>
              </w:tabs>
              <w:adjustRightInd w:val="0"/>
              <w:snapToGrid w:val="0"/>
              <w:rPr>
                <w:sz w:val="22"/>
                <w:szCs w:val="22"/>
              </w:rPr>
            </w:pPr>
            <w:r w:rsidRPr="00D31DFB">
              <w:rPr>
                <w:b/>
                <w:bCs/>
                <w:spacing w:val="6"/>
                <w:sz w:val="22"/>
                <w:szCs w:val="22"/>
              </w:rPr>
              <w:t>Prob&gt;chi2</w:t>
            </w:r>
            <w:r w:rsidRPr="00D31DFB">
              <w:rPr>
                <w:b/>
                <w:bCs/>
                <w:spacing w:val="20"/>
                <w:sz w:val="22"/>
                <w:szCs w:val="22"/>
              </w:rPr>
              <w:t xml:space="preserve"> </w:t>
            </w:r>
            <w:r w:rsidRPr="00D31DFB">
              <w:rPr>
                <w:b/>
                <w:bCs/>
                <w:sz w:val="22"/>
                <w:szCs w:val="22"/>
              </w:rPr>
              <w:t xml:space="preserve">= </w:t>
            </w:r>
            <w:r w:rsidRPr="00D31DFB">
              <w:rPr>
                <w:b/>
                <w:bCs/>
                <w:spacing w:val="5"/>
                <w:sz w:val="22"/>
                <w:szCs w:val="22"/>
              </w:rPr>
              <w:t>0.0000</w:t>
            </w:r>
          </w:p>
        </w:tc>
      </w:tr>
    </w:tbl>
    <w:p w:rsidR="00A84AA6" w:rsidRPr="00D31DFB" w:rsidRDefault="00D31DFB" w:rsidP="00D31DFB">
      <w:pPr>
        <w:widowControl w:val="0"/>
        <w:autoSpaceDE w:val="0"/>
        <w:autoSpaceDN w:val="0"/>
        <w:adjustRightInd w:val="0"/>
        <w:snapToGrid w:val="0"/>
      </w:pPr>
      <w:r w:rsidRPr="00D31DFB">
        <w:t>Source : Processed Research (2020)</w:t>
      </w:r>
    </w:p>
    <w:p w:rsidR="00D31DFB" w:rsidRPr="00D31DFB" w:rsidRDefault="00D31DFB" w:rsidP="00A84AA6">
      <w:pPr>
        <w:widowControl w:val="0"/>
        <w:autoSpaceDE w:val="0"/>
        <w:autoSpaceDN w:val="0"/>
        <w:adjustRightInd w:val="0"/>
        <w:snapToGrid w:val="0"/>
        <w:jc w:val="both"/>
      </w:pPr>
    </w:p>
    <w:p w:rsidR="00A84AA6" w:rsidRPr="00D31DFB" w:rsidRDefault="00A84AA6" w:rsidP="00A84AA6">
      <w:pPr>
        <w:widowControl w:val="0"/>
        <w:autoSpaceDE w:val="0"/>
        <w:autoSpaceDN w:val="0"/>
        <w:adjustRightInd w:val="0"/>
        <w:snapToGrid w:val="0"/>
        <w:ind w:firstLine="720"/>
        <w:jc w:val="both"/>
      </w:pPr>
      <w:r w:rsidRPr="00D31DFB">
        <w:t xml:space="preserve">The results in table 3 imply that as the p-value prob&gt;chi2 of 0.0000 is less than 0.05 (5% significant). It rejects the null hypothesis and confirms that random-effect would be inconsistent, and the fixed effect is most suitable for this model.  </w:t>
      </w:r>
      <w:proofErr w:type="spellStart"/>
      <w:r w:rsidRPr="00D31DFB">
        <w:t>Borenstein</w:t>
      </w:r>
      <w:proofErr w:type="spellEnd"/>
      <w:r w:rsidRPr="00D31DFB">
        <w:t xml:space="preserve">, </w:t>
      </w:r>
      <w:proofErr w:type="spellStart"/>
      <w:r w:rsidRPr="00D31DFB">
        <w:t>Hedges</w:t>
      </w:r>
      <w:proofErr w:type="spellEnd"/>
      <w:r w:rsidRPr="00D31DFB">
        <w:t xml:space="preserve">, </w:t>
      </w:r>
      <w:proofErr w:type="spellStart"/>
      <w:r w:rsidRPr="00D31DFB">
        <w:t>Higgins</w:t>
      </w:r>
      <w:proofErr w:type="spellEnd"/>
      <w:r w:rsidRPr="00D31DFB">
        <w:t xml:space="preserve"> &amp; Rothstein (2010) stated that one proper effect size underlies all the studies in the analysis using the fixed-effect model. All observed effects are due to sampling error. Table 4 shows the fixed effect regression in this research. </w:t>
      </w:r>
    </w:p>
    <w:p w:rsidR="00ED330C" w:rsidRPr="00D31DFB" w:rsidRDefault="00ED330C" w:rsidP="00ED330C">
      <w:pPr>
        <w:widowControl w:val="0"/>
        <w:autoSpaceDE w:val="0"/>
        <w:autoSpaceDN w:val="0"/>
        <w:adjustRightInd w:val="0"/>
        <w:snapToGrid w:val="0"/>
        <w:ind w:firstLine="720"/>
        <w:jc w:val="both"/>
        <w:rPr>
          <w:shd w:val="clear" w:color="auto" w:fill="FFFFFF"/>
        </w:rPr>
      </w:pPr>
      <w:proofErr w:type="spellStart"/>
      <w:r w:rsidRPr="00D31DFB">
        <w:rPr>
          <w:shd w:val="clear" w:color="auto" w:fill="FFFFFF"/>
        </w:rPr>
        <w:t>From</w:t>
      </w:r>
      <w:proofErr w:type="spellEnd"/>
      <w:r w:rsidRPr="00D31DFB">
        <w:rPr>
          <w:shd w:val="clear" w:color="auto" w:fill="FFFFFF"/>
        </w:rPr>
        <w:t xml:space="preserve"> </w:t>
      </w:r>
      <w:proofErr w:type="spellStart"/>
      <w:r w:rsidRPr="00D31DFB">
        <w:rPr>
          <w:shd w:val="clear" w:color="auto" w:fill="FFFFFF"/>
        </w:rPr>
        <w:t>the</w:t>
      </w:r>
      <w:proofErr w:type="spellEnd"/>
      <w:r w:rsidRPr="00D31DFB">
        <w:rPr>
          <w:shd w:val="clear" w:color="auto" w:fill="FFFFFF"/>
        </w:rPr>
        <w:t xml:space="preserve"> </w:t>
      </w:r>
      <w:proofErr w:type="spellStart"/>
      <w:r w:rsidRPr="00D31DFB">
        <w:rPr>
          <w:shd w:val="clear" w:color="auto" w:fill="FFFFFF"/>
        </w:rPr>
        <w:t>fixed</w:t>
      </w:r>
      <w:proofErr w:type="spellEnd"/>
      <w:r w:rsidRPr="00D31DFB">
        <w:rPr>
          <w:shd w:val="clear" w:color="auto" w:fill="FFFFFF"/>
        </w:rPr>
        <w:t xml:space="preserve"> </w:t>
      </w:r>
      <w:proofErr w:type="spellStart"/>
      <w:r w:rsidRPr="00D31DFB">
        <w:rPr>
          <w:shd w:val="clear" w:color="auto" w:fill="FFFFFF"/>
        </w:rPr>
        <w:t>test</w:t>
      </w:r>
      <w:proofErr w:type="spellEnd"/>
      <w:r w:rsidRPr="00D31DFB">
        <w:rPr>
          <w:shd w:val="clear" w:color="auto" w:fill="FFFFFF"/>
        </w:rPr>
        <w:t xml:space="preserve"> </w:t>
      </w:r>
      <w:proofErr w:type="spellStart"/>
      <w:r w:rsidRPr="00D31DFB">
        <w:rPr>
          <w:shd w:val="clear" w:color="auto" w:fill="FFFFFF"/>
        </w:rPr>
        <w:t>regression</w:t>
      </w:r>
      <w:proofErr w:type="spellEnd"/>
      <w:r w:rsidRPr="00D31DFB">
        <w:rPr>
          <w:shd w:val="clear" w:color="auto" w:fill="FFFFFF"/>
        </w:rPr>
        <w:t xml:space="preserve"> </w:t>
      </w:r>
      <w:proofErr w:type="spellStart"/>
      <w:r w:rsidRPr="00D31DFB">
        <w:rPr>
          <w:shd w:val="clear" w:color="auto" w:fill="FFFFFF"/>
        </w:rPr>
        <w:t>results</w:t>
      </w:r>
      <w:proofErr w:type="spellEnd"/>
      <w:r w:rsidRPr="00D31DFB">
        <w:rPr>
          <w:shd w:val="clear" w:color="auto" w:fill="FFFFFF"/>
        </w:rPr>
        <w:t xml:space="preserve">, </w:t>
      </w:r>
      <w:proofErr w:type="spellStart"/>
      <w:r w:rsidRPr="00D31DFB">
        <w:rPr>
          <w:shd w:val="clear" w:color="auto" w:fill="FFFFFF"/>
        </w:rPr>
        <w:t>both</w:t>
      </w:r>
      <w:proofErr w:type="spellEnd"/>
      <w:r w:rsidRPr="00D31DFB">
        <w:rPr>
          <w:shd w:val="clear" w:color="auto" w:fill="FFFFFF"/>
        </w:rPr>
        <w:t xml:space="preserve"> </w:t>
      </w:r>
      <w:proofErr w:type="spellStart"/>
      <w:r w:rsidRPr="00D31DFB">
        <w:rPr>
          <w:shd w:val="clear" w:color="auto" w:fill="FFFFFF"/>
        </w:rPr>
        <w:t>general</w:t>
      </w:r>
      <w:proofErr w:type="spellEnd"/>
      <w:r w:rsidRPr="00D31DFB">
        <w:rPr>
          <w:shd w:val="clear" w:color="auto" w:fill="FFFFFF"/>
        </w:rPr>
        <w:t xml:space="preserve"> </w:t>
      </w:r>
      <w:proofErr w:type="spellStart"/>
      <w:r w:rsidRPr="00D31DFB">
        <w:rPr>
          <w:shd w:val="clear" w:color="auto" w:fill="FFFFFF"/>
        </w:rPr>
        <w:t>allocation</w:t>
      </w:r>
      <w:proofErr w:type="spellEnd"/>
      <w:r w:rsidRPr="00D31DFB">
        <w:rPr>
          <w:shd w:val="clear" w:color="auto" w:fill="FFFFFF"/>
        </w:rPr>
        <w:t xml:space="preserve"> </w:t>
      </w:r>
      <w:proofErr w:type="spellStart"/>
      <w:r w:rsidRPr="00D31DFB">
        <w:rPr>
          <w:shd w:val="clear" w:color="auto" w:fill="FFFFFF"/>
        </w:rPr>
        <w:t>funds</w:t>
      </w:r>
      <w:proofErr w:type="spellEnd"/>
      <w:r w:rsidRPr="00D31DFB">
        <w:rPr>
          <w:shd w:val="clear" w:color="auto" w:fill="FFFFFF"/>
        </w:rPr>
        <w:t xml:space="preserve"> </w:t>
      </w:r>
      <w:proofErr w:type="spellStart"/>
      <w:r w:rsidRPr="00D31DFB">
        <w:rPr>
          <w:shd w:val="clear" w:color="auto" w:fill="FFFFFF"/>
        </w:rPr>
        <w:t>and</w:t>
      </w:r>
      <w:proofErr w:type="spellEnd"/>
      <w:r w:rsidRPr="00D31DFB">
        <w:rPr>
          <w:shd w:val="clear" w:color="auto" w:fill="FFFFFF"/>
        </w:rPr>
        <w:t xml:space="preserve"> </w:t>
      </w:r>
      <w:proofErr w:type="spellStart"/>
      <w:r w:rsidRPr="00D31DFB">
        <w:rPr>
          <w:shd w:val="clear" w:color="auto" w:fill="FFFFFF"/>
        </w:rPr>
        <w:t>special</w:t>
      </w:r>
      <w:proofErr w:type="spellEnd"/>
      <w:r w:rsidRPr="00D31DFB">
        <w:rPr>
          <w:shd w:val="clear" w:color="auto" w:fill="FFFFFF"/>
        </w:rPr>
        <w:t xml:space="preserve"> </w:t>
      </w:r>
      <w:proofErr w:type="spellStart"/>
      <w:r w:rsidRPr="00D31DFB">
        <w:rPr>
          <w:shd w:val="clear" w:color="auto" w:fill="FFFFFF"/>
        </w:rPr>
        <w:t>allocation</w:t>
      </w:r>
      <w:proofErr w:type="spellEnd"/>
      <w:r w:rsidRPr="00D31DFB">
        <w:rPr>
          <w:shd w:val="clear" w:color="auto" w:fill="FFFFFF"/>
        </w:rPr>
        <w:t xml:space="preserve"> </w:t>
      </w:r>
      <w:proofErr w:type="spellStart"/>
      <w:r w:rsidRPr="00D31DFB">
        <w:rPr>
          <w:shd w:val="clear" w:color="auto" w:fill="FFFFFF"/>
        </w:rPr>
        <w:t>funds</w:t>
      </w:r>
      <w:proofErr w:type="spellEnd"/>
      <w:r w:rsidRPr="00D31DFB">
        <w:rPr>
          <w:shd w:val="clear" w:color="auto" w:fill="FFFFFF"/>
        </w:rPr>
        <w:t xml:space="preserve"> are </w:t>
      </w:r>
      <w:proofErr w:type="spellStart"/>
      <w:r w:rsidRPr="00D31DFB">
        <w:rPr>
          <w:shd w:val="clear" w:color="auto" w:fill="FFFFFF"/>
        </w:rPr>
        <w:t>positively</w:t>
      </w:r>
      <w:proofErr w:type="spellEnd"/>
      <w:r w:rsidRPr="00D31DFB">
        <w:rPr>
          <w:shd w:val="clear" w:color="auto" w:fill="FFFFFF"/>
        </w:rPr>
        <w:t xml:space="preserve"> </w:t>
      </w:r>
      <w:proofErr w:type="spellStart"/>
      <w:r w:rsidRPr="00D31DFB">
        <w:rPr>
          <w:shd w:val="clear" w:color="auto" w:fill="FFFFFF"/>
        </w:rPr>
        <w:t>significant</w:t>
      </w:r>
      <w:proofErr w:type="spellEnd"/>
      <w:r w:rsidRPr="00D31DFB">
        <w:rPr>
          <w:shd w:val="clear" w:color="auto" w:fill="FFFFFF"/>
        </w:rPr>
        <w:t xml:space="preserve"> </w:t>
      </w:r>
      <w:proofErr w:type="spellStart"/>
      <w:r w:rsidRPr="00D31DFB">
        <w:rPr>
          <w:shd w:val="clear" w:color="auto" w:fill="FFFFFF"/>
        </w:rPr>
        <w:t>on</w:t>
      </w:r>
      <w:proofErr w:type="spellEnd"/>
      <w:r w:rsidRPr="00D31DFB">
        <w:rPr>
          <w:shd w:val="clear" w:color="auto" w:fill="FFFFFF"/>
        </w:rPr>
        <w:t xml:space="preserve"> </w:t>
      </w:r>
      <w:proofErr w:type="spellStart"/>
      <w:r w:rsidRPr="00D31DFB">
        <w:t>local</w:t>
      </w:r>
      <w:proofErr w:type="spellEnd"/>
      <w:r w:rsidRPr="00D31DFB">
        <w:t xml:space="preserve"> </w:t>
      </w:r>
      <w:proofErr w:type="spellStart"/>
      <w:r w:rsidRPr="00D31DFB">
        <w:t>government</w:t>
      </w:r>
      <w:proofErr w:type="spellEnd"/>
      <w:r w:rsidRPr="00D31DFB">
        <w:t xml:space="preserve"> </w:t>
      </w:r>
      <w:proofErr w:type="spellStart"/>
      <w:r w:rsidRPr="00D31DFB">
        <w:t>expenditure</w:t>
      </w:r>
      <w:proofErr w:type="spellEnd"/>
      <w:r w:rsidRPr="00D31DFB">
        <w:t xml:space="preserve"> </w:t>
      </w:r>
      <w:proofErr w:type="spellStart"/>
      <w:r w:rsidRPr="00D31DFB">
        <w:rPr>
          <w:shd w:val="clear" w:color="auto" w:fill="FFFFFF"/>
        </w:rPr>
        <w:t>with</w:t>
      </w:r>
      <w:proofErr w:type="spellEnd"/>
      <w:r w:rsidRPr="00D31DFB">
        <w:rPr>
          <w:shd w:val="clear" w:color="auto" w:fill="FFFFFF"/>
        </w:rPr>
        <w:t xml:space="preserve"> p-</w:t>
      </w:r>
      <w:proofErr w:type="spellStart"/>
      <w:r w:rsidRPr="00D31DFB">
        <w:rPr>
          <w:shd w:val="clear" w:color="auto" w:fill="FFFFFF"/>
        </w:rPr>
        <w:t>value</w:t>
      </w:r>
      <w:proofErr w:type="spellEnd"/>
      <w:r w:rsidRPr="00D31DFB">
        <w:rPr>
          <w:shd w:val="clear" w:color="auto" w:fill="FFFFFF"/>
        </w:rPr>
        <w:t xml:space="preserve"> (0.000) </w:t>
      </w:r>
      <w:proofErr w:type="spellStart"/>
      <w:r w:rsidRPr="00D31DFB">
        <w:rPr>
          <w:shd w:val="clear" w:color="auto" w:fill="FFFFFF"/>
        </w:rPr>
        <w:t>less</w:t>
      </w:r>
      <w:proofErr w:type="spellEnd"/>
      <w:r w:rsidRPr="00D31DFB">
        <w:rPr>
          <w:shd w:val="clear" w:color="auto" w:fill="FFFFFF"/>
        </w:rPr>
        <w:t xml:space="preserve"> </w:t>
      </w:r>
      <w:proofErr w:type="spellStart"/>
      <w:r w:rsidRPr="00D31DFB">
        <w:rPr>
          <w:shd w:val="clear" w:color="auto" w:fill="FFFFFF"/>
        </w:rPr>
        <w:t>than</w:t>
      </w:r>
      <w:proofErr w:type="spellEnd"/>
      <w:r w:rsidRPr="00D31DFB">
        <w:rPr>
          <w:shd w:val="clear" w:color="auto" w:fill="FFFFFF"/>
        </w:rPr>
        <w:t xml:space="preserve"> (0.05). </w:t>
      </w:r>
      <w:proofErr w:type="spellStart"/>
      <w:r w:rsidRPr="00D31DFB">
        <w:rPr>
          <w:shd w:val="clear" w:color="auto" w:fill="FFFFFF"/>
        </w:rPr>
        <w:t>Likewise</w:t>
      </w:r>
      <w:proofErr w:type="spellEnd"/>
      <w:r w:rsidRPr="00D31DFB">
        <w:rPr>
          <w:shd w:val="clear" w:color="auto" w:fill="FFFFFF"/>
        </w:rPr>
        <w:t xml:space="preserve">, </w:t>
      </w:r>
      <w:proofErr w:type="spellStart"/>
      <w:r w:rsidRPr="00D31DFB">
        <w:rPr>
          <w:shd w:val="clear" w:color="auto" w:fill="FFFFFF"/>
        </w:rPr>
        <w:t>both</w:t>
      </w:r>
      <w:proofErr w:type="spellEnd"/>
      <w:r w:rsidRPr="00D31DFB">
        <w:rPr>
          <w:shd w:val="clear" w:color="auto" w:fill="FFFFFF"/>
        </w:rPr>
        <w:t xml:space="preserve"> DAU </w:t>
      </w:r>
      <w:proofErr w:type="spellStart"/>
      <w:r w:rsidRPr="00D31DFB">
        <w:rPr>
          <w:shd w:val="clear" w:color="auto" w:fill="FFFFFF"/>
        </w:rPr>
        <w:t>and</w:t>
      </w:r>
      <w:proofErr w:type="spellEnd"/>
      <w:r w:rsidRPr="00D31DFB">
        <w:rPr>
          <w:shd w:val="clear" w:color="auto" w:fill="FFFFFF"/>
        </w:rPr>
        <w:t xml:space="preserve"> </w:t>
      </w:r>
      <w:proofErr w:type="spellStart"/>
      <w:r w:rsidRPr="00D31DFB">
        <w:rPr>
          <w:shd w:val="clear" w:color="auto" w:fill="FFFFFF"/>
        </w:rPr>
        <w:t>DAK's</w:t>
      </w:r>
      <w:proofErr w:type="spellEnd"/>
      <w:r w:rsidRPr="00D31DFB">
        <w:rPr>
          <w:shd w:val="clear" w:color="auto" w:fill="FFFFFF"/>
        </w:rPr>
        <w:t xml:space="preserve"> </w:t>
      </w:r>
      <w:proofErr w:type="spellStart"/>
      <w:r w:rsidRPr="00D31DFB">
        <w:rPr>
          <w:shd w:val="clear" w:color="auto" w:fill="FFFFFF"/>
        </w:rPr>
        <w:t>coefficients</w:t>
      </w:r>
      <w:proofErr w:type="spellEnd"/>
      <w:r w:rsidRPr="00D31DFB">
        <w:rPr>
          <w:shd w:val="clear" w:color="auto" w:fill="FFFFFF"/>
        </w:rPr>
        <w:t xml:space="preserve"> are 2.19 </w:t>
      </w:r>
      <w:proofErr w:type="spellStart"/>
      <w:r w:rsidRPr="00D31DFB">
        <w:rPr>
          <w:shd w:val="clear" w:color="auto" w:fill="FFFFFF"/>
        </w:rPr>
        <w:t>and</w:t>
      </w:r>
      <w:proofErr w:type="spellEnd"/>
      <w:r w:rsidRPr="00D31DFB">
        <w:rPr>
          <w:shd w:val="clear" w:color="auto" w:fill="FFFFFF"/>
        </w:rPr>
        <w:t xml:space="preserve"> 1.34, </w:t>
      </w:r>
      <w:proofErr w:type="spellStart"/>
      <w:r w:rsidRPr="00D31DFB">
        <w:rPr>
          <w:shd w:val="clear" w:color="auto" w:fill="FFFFFF"/>
        </w:rPr>
        <w:t>respectively</w:t>
      </w:r>
      <w:proofErr w:type="spellEnd"/>
      <w:r w:rsidRPr="00D31DFB">
        <w:rPr>
          <w:shd w:val="clear" w:color="auto" w:fill="FFFFFF"/>
        </w:rPr>
        <w:t xml:space="preserve">, </w:t>
      </w:r>
      <w:proofErr w:type="spellStart"/>
      <w:r w:rsidRPr="00D31DFB">
        <w:rPr>
          <w:shd w:val="clear" w:color="auto" w:fill="FFFFFF"/>
        </w:rPr>
        <w:t>which</w:t>
      </w:r>
      <w:proofErr w:type="spellEnd"/>
      <w:r w:rsidRPr="00D31DFB">
        <w:rPr>
          <w:shd w:val="clear" w:color="auto" w:fill="FFFFFF"/>
        </w:rPr>
        <w:t xml:space="preserve"> </w:t>
      </w:r>
      <w:proofErr w:type="spellStart"/>
      <w:r w:rsidRPr="00D31DFB">
        <w:rPr>
          <w:shd w:val="clear" w:color="auto" w:fill="FFFFFF"/>
        </w:rPr>
        <w:t>means</w:t>
      </w:r>
      <w:proofErr w:type="spellEnd"/>
      <w:r w:rsidRPr="00D31DFB">
        <w:rPr>
          <w:shd w:val="clear" w:color="auto" w:fill="FFFFFF"/>
        </w:rPr>
        <w:t xml:space="preserve"> </w:t>
      </w:r>
      <w:proofErr w:type="spellStart"/>
      <w:r w:rsidRPr="00D31DFB">
        <w:rPr>
          <w:shd w:val="clear" w:color="auto" w:fill="FFFFFF"/>
        </w:rPr>
        <w:t>that</w:t>
      </w:r>
      <w:proofErr w:type="spellEnd"/>
      <w:r w:rsidRPr="00D31DFB">
        <w:rPr>
          <w:shd w:val="clear" w:color="auto" w:fill="FFFFFF"/>
        </w:rPr>
        <w:t xml:space="preserve"> 1 unit </w:t>
      </w:r>
      <w:proofErr w:type="spellStart"/>
      <w:r w:rsidRPr="00D31DFB">
        <w:rPr>
          <w:shd w:val="clear" w:color="auto" w:fill="FFFFFF"/>
        </w:rPr>
        <w:t>increase</w:t>
      </w:r>
      <w:proofErr w:type="spellEnd"/>
      <w:r w:rsidRPr="00D31DFB">
        <w:rPr>
          <w:shd w:val="clear" w:color="auto" w:fill="FFFFFF"/>
        </w:rPr>
        <w:t xml:space="preserve"> </w:t>
      </w:r>
      <w:proofErr w:type="spellStart"/>
      <w:r w:rsidRPr="00D31DFB">
        <w:rPr>
          <w:shd w:val="clear" w:color="auto" w:fill="FFFFFF"/>
        </w:rPr>
        <w:t>of</w:t>
      </w:r>
      <w:proofErr w:type="spellEnd"/>
      <w:r w:rsidRPr="00D31DFB">
        <w:rPr>
          <w:shd w:val="clear" w:color="auto" w:fill="FFFFFF"/>
        </w:rPr>
        <w:t xml:space="preserve"> DAU </w:t>
      </w:r>
      <w:proofErr w:type="spellStart"/>
      <w:r w:rsidRPr="00D31DFB">
        <w:rPr>
          <w:shd w:val="clear" w:color="auto" w:fill="FFFFFF"/>
        </w:rPr>
        <w:t>and</w:t>
      </w:r>
      <w:proofErr w:type="spellEnd"/>
      <w:r w:rsidRPr="00D31DFB">
        <w:rPr>
          <w:shd w:val="clear" w:color="auto" w:fill="FFFFFF"/>
        </w:rPr>
        <w:t xml:space="preserve"> DAK </w:t>
      </w:r>
      <w:proofErr w:type="spellStart"/>
      <w:r w:rsidRPr="00D31DFB">
        <w:rPr>
          <w:shd w:val="clear" w:color="auto" w:fill="FFFFFF"/>
        </w:rPr>
        <w:t>will</w:t>
      </w:r>
      <w:proofErr w:type="spellEnd"/>
      <w:r w:rsidRPr="00D31DFB">
        <w:rPr>
          <w:shd w:val="clear" w:color="auto" w:fill="FFFFFF"/>
        </w:rPr>
        <w:t xml:space="preserve"> </w:t>
      </w:r>
      <w:proofErr w:type="spellStart"/>
      <w:r w:rsidRPr="00D31DFB">
        <w:rPr>
          <w:shd w:val="clear" w:color="auto" w:fill="FFFFFF"/>
        </w:rPr>
        <w:t>increase</w:t>
      </w:r>
      <w:proofErr w:type="spellEnd"/>
      <w:r w:rsidRPr="00D31DFB">
        <w:rPr>
          <w:shd w:val="clear" w:color="auto" w:fill="FFFFFF"/>
        </w:rPr>
        <w:t xml:space="preserve"> </w:t>
      </w:r>
      <w:proofErr w:type="spellStart"/>
      <w:r w:rsidRPr="00D31DFB">
        <w:rPr>
          <w:shd w:val="clear" w:color="auto" w:fill="FFFFFF"/>
        </w:rPr>
        <w:t>government</w:t>
      </w:r>
      <w:proofErr w:type="spellEnd"/>
      <w:r w:rsidRPr="00D31DFB">
        <w:rPr>
          <w:shd w:val="clear" w:color="auto" w:fill="FFFFFF"/>
        </w:rPr>
        <w:t xml:space="preserve"> </w:t>
      </w:r>
      <w:proofErr w:type="spellStart"/>
      <w:r w:rsidRPr="00D31DFB">
        <w:rPr>
          <w:shd w:val="clear" w:color="auto" w:fill="FFFFFF"/>
        </w:rPr>
        <w:t>spending</w:t>
      </w:r>
      <w:proofErr w:type="spellEnd"/>
      <w:r w:rsidRPr="00D31DFB">
        <w:rPr>
          <w:shd w:val="clear" w:color="auto" w:fill="FFFFFF"/>
        </w:rPr>
        <w:t xml:space="preserve"> </w:t>
      </w:r>
      <w:proofErr w:type="spellStart"/>
      <w:r w:rsidRPr="00D31DFB">
        <w:rPr>
          <w:shd w:val="clear" w:color="auto" w:fill="FFFFFF"/>
        </w:rPr>
        <w:t>about</w:t>
      </w:r>
      <w:proofErr w:type="spellEnd"/>
      <w:r w:rsidRPr="00D31DFB">
        <w:rPr>
          <w:shd w:val="clear" w:color="auto" w:fill="FFFFFF"/>
        </w:rPr>
        <w:t xml:space="preserve"> 2.19 </w:t>
      </w:r>
      <w:proofErr w:type="spellStart"/>
      <w:r w:rsidRPr="00D31DFB">
        <w:rPr>
          <w:shd w:val="clear" w:color="auto" w:fill="FFFFFF"/>
        </w:rPr>
        <w:t>and</w:t>
      </w:r>
      <w:proofErr w:type="spellEnd"/>
      <w:r w:rsidRPr="00D31DFB">
        <w:rPr>
          <w:shd w:val="clear" w:color="auto" w:fill="FFFFFF"/>
        </w:rPr>
        <w:t xml:space="preserve"> 1.34 </w:t>
      </w:r>
      <w:proofErr w:type="spellStart"/>
      <w:r w:rsidRPr="00D31DFB">
        <w:rPr>
          <w:shd w:val="clear" w:color="auto" w:fill="FFFFFF"/>
        </w:rPr>
        <w:t>units</w:t>
      </w:r>
      <w:proofErr w:type="spellEnd"/>
      <w:r w:rsidRPr="00D31DFB">
        <w:rPr>
          <w:shd w:val="clear" w:color="auto" w:fill="FFFFFF"/>
        </w:rPr>
        <w:t xml:space="preserve">. </w:t>
      </w:r>
      <w:proofErr w:type="spellStart"/>
      <w:r w:rsidRPr="00D31DFB">
        <w:rPr>
          <w:shd w:val="clear" w:color="auto" w:fill="FFFFFF"/>
        </w:rPr>
        <w:t>This</w:t>
      </w:r>
      <w:proofErr w:type="spellEnd"/>
      <w:r w:rsidRPr="00D31DFB">
        <w:rPr>
          <w:shd w:val="clear" w:color="auto" w:fill="FFFFFF"/>
        </w:rPr>
        <w:t xml:space="preserve"> study </w:t>
      </w:r>
      <w:proofErr w:type="spellStart"/>
      <w:r w:rsidRPr="00D31DFB">
        <w:rPr>
          <w:shd w:val="clear" w:color="auto" w:fill="FFFFFF"/>
        </w:rPr>
        <w:t>is</w:t>
      </w:r>
      <w:proofErr w:type="spellEnd"/>
      <w:r w:rsidRPr="00D31DFB">
        <w:rPr>
          <w:shd w:val="clear" w:color="auto" w:fill="FFFFFF"/>
        </w:rPr>
        <w:t xml:space="preserve"> in </w:t>
      </w:r>
      <w:proofErr w:type="spellStart"/>
      <w:r w:rsidRPr="00D31DFB">
        <w:rPr>
          <w:shd w:val="clear" w:color="auto" w:fill="FFFFFF"/>
        </w:rPr>
        <w:t>line</w:t>
      </w:r>
      <w:proofErr w:type="spellEnd"/>
      <w:r w:rsidRPr="00D31DFB">
        <w:rPr>
          <w:shd w:val="clear" w:color="auto" w:fill="FFFFFF"/>
        </w:rPr>
        <w:t xml:space="preserve"> </w:t>
      </w:r>
      <w:proofErr w:type="spellStart"/>
      <w:r w:rsidRPr="00D31DFB">
        <w:rPr>
          <w:shd w:val="clear" w:color="auto" w:fill="FFFFFF"/>
        </w:rPr>
        <w:t>with</w:t>
      </w:r>
      <w:proofErr w:type="spellEnd"/>
      <w:r w:rsidRPr="00D31DFB">
        <w:rPr>
          <w:shd w:val="clear" w:color="auto" w:fill="FFFFFF"/>
        </w:rPr>
        <w:t xml:space="preserve"> </w:t>
      </w:r>
      <w:proofErr w:type="spellStart"/>
      <w:r w:rsidRPr="00D31DFB">
        <w:rPr>
          <w:shd w:val="clear" w:color="auto" w:fill="FFFFFF"/>
        </w:rPr>
        <w:t>previous</w:t>
      </w:r>
      <w:proofErr w:type="spellEnd"/>
      <w:r w:rsidRPr="00D31DFB">
        <w:rPr>
          <w:shd w:val="clear" w:color="auto" w:fill="FFFFFF"/>
        </w:rPr>
        <w:t xml:space="preserve"> </w:t>
      </w:r>
      <w:proofErr w:type="spellStart"/>
      <w:r w:rsidRPr="00D31DFB">
        <w:rPr>
          <w:shd w:val="clear" w:color="auto" w:fill="FFFFFF"/>
        </w:rPr>
        <w:t>research</w:t>
      </w:r>
      <w:proofErr w:type="spellEnd"/>
      <w:r w:rsidRPr="00D31DFB">
        <w:rPr>
          <w:shd w:val="clear" w:color="auto" w:fill="FFFFFF"/>
        </w:rPr>
        <w:t xml:space="preserve">  </w:t>
      </w:r>
      <w:r w:rsidRPr="00D31DFB">
        <w:rPr>
          <w:shd w:val="clear" w:color="auto" w:fill="FFFFFF"/>
        </w:rPr>
        <w:fldChar w:fldCharType="begin" w:fldLock="1"/>
      </w:r>
      <w:r w:rsidRPr="00D31DFB">
        <w:rPr>
          <w:shd w:val="clear" w:color="auto" w:fill="FFFFFF"/>
        </w:rPr>
        <w:instrText>ADDIN CSL_CITATION {"citationItems":[{"id":"ITEM-1","itemData":{"DOI":"10.20961/jab.v16i1.187","ISSN":"1412-0852","abstract":"Penelitian ini bertujuan untuk mengetahui pengaruh PAD, DAU, dan SiLPA terhadap belanja pemerintah daerah serta untuk mengetahui terjadi atau tidak terjadi flypa- per effect dalam pengelolaan keuangan pemerintah daerah di Indonesia selama periode tahun 2012 sampai 2014. Penelitian ini juga akan membuktikan apakah pemerintah daerah bergantung pada transfer pemerintah pusat untuk membiayai seluruh pengeluarannya. Objek penelitian ini mencakup seluruh pemerintah daerah yang ada di Indonesia yang mempublikasikan laporan realisasi APBD tahunan (annual) di situs Direktorat Jenderal Perimbangan Keuangan Pemerintah Daerah tahun 2012 hingga 2013 dan Laporan Keuangan Pemerintah Daerah (LKPD) kabupat- en atau kota di Indonesia tahun 2014 yang telah diaudit Badan Pemeriksa Keuangan (BPK). Hasil penelitian menunjukkan bahwa PAD berpengaruh signifikan dan mempunyai hubungan yang positif terhadap belanja daerah, DAU berpengaruh sig- nifikan dan mempunyai hubungan yang positif terhadap belanja daerah, serta SiLPA juga berpengaruh signifikan dan mempunyai hubungan yang positif terhadap bel- anja daerah. Nilai koefisien DAU lebih besar dari PAD dan keduanya signifikan. Hal ini menunjukkan terjadinya flypaper effect pada pengelolaan keuangan pemerintah daerah di Indonesia selama periode tahun 2012 sampai 2014. Kata","author":[{"dropping-particle":"","family":"Solikin","given":"Ahmad","non-dropping-particle":"","parse-names":false,"suffix":""}],"container-title":"Jurnal Akuntansi dan Bisnis","id":"ITEM-1","issue":"1","issued":{"date-parts":[["2016"]]},"page":"11","title":"Analisis Flypaper Effect Pada Pengujian Pengaruh Dana Alokasi Umum (DAU), Pendapatan Asli Daerah (PAD), Dan Sisa Lebih Penghitungan Anggaran (SiLPA) Terhadap Belanja Pemerintah Daerah Di Indonesia (Studi Tahun 2012-2014)","type":"article-journal","volume":"16"},"uris":["http://www.mendeley.com/documents/?uuid=e9526fa9-48e0-48e1-bec2-a9dd7416372f"]},{"id":"ITEM-2","itemData":{"DOI":"10.22219/jrak.v5i2.5152","ISSN":"2088-0685","abstract":"This research was quantitative research that aims to determine the effect of financial such asthe ratio of decentralization degree, the dependency ratio, the independent ratio, effectivenessratio, the ratio of the contribution degree of Regional Owned Enterpise (BUMD) , efficiency ratio,and the ratio of expenditure harmony as well as capital expenditure to economic growth. Thepopulation of the study was the regencies/cities in Central Java. The sample of study wereselected using census method and obtained 175 observation sample. The analysis techniqueapplied in this reseach was multiple linear regretion analysis. This analysis proved that theratio of variable degree of decentralization positively and significantly affected on economicgrowth with significant score of 0,009 &lt; 0,05. Dependency ratio variable significantly and negatively affected on economic growth with significant score of 0,004 &lt; 0,05. Independent ratiovariable significantly and negatively affected on economic growth with significant score of 0,000&lt; 0,05. Effectiveness ratio variable did not affect the economic growth with significant score of0,240 &gt; 0,05. The degree of regional owned enterpise contribution variable did not affect theeconomic growth with significant score of 0,454 &gt; 0,05. Efficiency ratio variable did not affect theeconomic growth with significant score of 0,419 &gt; 0,05. Ratio variable of compatible expendituredid not affect the economic growth with significant score of 0,341 &gt; 0,05. However, the capitalexpenditure variable did not affect the economic growth with significant score of 0,098 &gt; 0,05.Keyword: financial performance, capital expenditure, and economic growth","author":[{"dropping-particle":"","family":"Pradiatmi","given":"Istia Nur","non-dropping-particle":"","parse-names":false,"suffix":""},{"dropping-particle":"","family":"Wibowo","given":"Hardiyanto","non-dropping-particle":"","parse-names":false,"suffix":""}],"container-title":"Jurnal Reviu Akuntansi dan Keuangan","id":"ITEM-2","issue":"2","issued":{"date-parts":[["2017"]]},"page":"759-768","title":"Pengaruh  Kinerja  Keuangan Dan  Belanja  Modal  Terhadap Pertumbuhan  Ekonomi  Pada Kabupaten/Kota  Di  Jawa  Tengah","type":"article-journal","volume":"5"},"uris":["http://www.mendeley.com/documents/?uuid=222b642b-1350-4f00-8df8-3fa227717716"]},{"id":"ITEM-3","itemData":{"author":[{"dropping-particle":"","family":"Iskandar","given":"Irham","non-dropping-particle":"","parse-names":false,"suffix":""}],"id":"ITEM-3","issue":"2005","issued":{"date-parts":[["2012"]]},"page":"113-131","title":"FLYPAPER EFFECT PADA UNCONDITIONAL GRANT","type":"article-journal","volume":"13"},"uris":["http://www.mendeley.com/documents/?uuid=fb2fdbeb-5761-4001-924a-1f8bd9f7da11"]},{"id":"ITEM-4","itemData":{"DOI":"10.15408/sjie.v6i1.3293","ISSN":"2087-2046","abstract":"The primary objective of decentralization is expected to narrow down the regional gap among regions in Indonesia, which is considered as the result of a centralized development. The objective of this research is to identify the flypaper effect of regional expenditures of regency and city governments in Indonesia from 2008 until 2013. Another aim of this study is to provide an empirical evidence that the influence of regional expenditures of regencies and cities in Indonesia from 2009 until 2013 over the regional gap in Eastern and Western provinces of Indonesia. As such, it is necessary to use multiple regression analysis to examine the data. The findings of this study explicate that own-source revenue and general allocation fund significantly affect regional expenditures and a regional gap in the Eastern and Western provinces of Indonesia. Thus, it can be concluded that the dependency level of the regions upon a number of funds transferred from central government is still relatively high. In other words, the flypaper effect occurs in those regions.DOI: 10.15408/sjie.v6i1.3293","author":[{"dropping-particle":"","family":"Amalia","given":"Fitri","non-dropping-particle":"","parse-names":false,"suffix":""}],"container-title":"Signifikan: Jurnal Ilmu Ekonomi","id":"ITEM-4","issue":"1","issued":{"date-parts":[["2017"]]},"page":"125-138","title":"Flypaper Effect of Regional Expenditure and It's Impact to Regional Inequality in Indonesia","type":"article-journal","volume":"6"},"uris":["http://www.mendeley.com/documents/?uuid=924b4f2b-1e8e-4b6c-801e-db8d395f3d73"]},{"id":"ITEM-5","itemData":{"author":[{"dropping-particle":"","family":"Prakosa","given":"Kesit Bambang","non-dropping-particle":"","parse-names":false,"suffix":""}],"id":"ITEM-5","issue":"2","issued":{"date-parts":[["2004"]]},"page":"101-118","title":"ANALISIS PENGARUH DANA ALOKASI UMUM ( DAU ) TERHADAP PREDIKSI BELANJA DAERAH ( Studi Empirik di Wilayah Propinsi Jawa Tengah dan DIY )","type":"article-journal","volume":"8"},"uris":["http://www.mendeley.com/documents/?uuid=53e83630-dad3-4ee9-9852-bfbde5973962"]},{"id":"ITEM-6","itemData":{"author":[{"dropping-particle":"","family":"Putri","given":"Rumanintya Lisaria","non-dropping-particle":"","parse-names":false,"suffix":""},{"dropping-particle":"","family":"Nirwanto","given":"Nazief","non-dropping-particle":"","parse-names":false,"suffix":""},{"dropping-particle":"","family":"Assih","given":"Prihat","non-dropping-particle":"","parse-names":false,"suffix":""},{"dropping-particle":"","family":"Darmawan","given":"Wayan","non-dropping-particle":"","parse-names":false,"suffix":""}],"id":"ITEM-6","issue":"2","issued":{"date-parts":[["2020"]]},"page":"33-45","title":"The Importance of Regional Original Income , Balance Fund and Demography on Flypaper Effect through the Regional Government Expenditure","type":"article-journal","volume":"7"},"uris":["http://www.mendeley.com/documents/?uuid=9e6b4e16-4b2f-4041-81a1-f584737284ea"]}],"mendeley":{"formattedCitation":"(Amalia, 2017; Iskandar, 2012; Pradiatmi &amp; Wibowo, 2017; Prakosa, 2004; R. L. Putri et al., 2020; Solikin, 2016)","plainTextFormattedCitation":"(Amalia, 2017; Iskandar, 2012; Pradiatmi &amp; Wibowo, 2017; Prakosa, 2004; R. L. Putri et al., 2020; Solikin, 2016)","previouslyFormattedCitation":"(Amalia, 2017; Iskandar, 2012; Pradiatmi &amp; Wibowo, 2017; Prakosa, 2004; R. L. Putri et al., 2020; Solikin, 2016)"},"properties":{"noteIndex":0},"schema":"https://github.com/citation-style-language/schema/raw/master/csl-citation.json"}</w:instrText>
      </w:r>
      <w:r w:rsidRPr="00D31DFB">
        <w:rPr>
          <w:shd w:val="clear" w:color="auto" w:fill="FFFFFF"/>
        </w:rPr>
        <w:fldChar w:fldCharType="separate"/>
      </w:r>
      <w:r w:rsidRPr="00D31DFB">
        <w:rPr>
          <w:noProof/>
          <w:shd w:val="clear" w:color="auto" w:fill="FFFFFF"/>
        </w:rPr>
        <w:t>(Prakosa, 2004; Iskandar, 2012; Solikin, 2016; Amalia, 2017; Pradiatmi &amp; Wibowo, 2017; Putri, Nirwanto, Assih, &amp; Darmawan, 2020)</w:t>
      </w:r>
      <w:r w:rsidRPr="00D31DFB">
        <w:rPr>
          <w:shd w:val="clear" w:color="auto" w:fill="FFFFFF"/>
        </w:rPr>
        <w:fldChar w:fldCharType="end"/>
      </w:r>
      <w:r w:rsidRPr="00D31DFB">
        <w:rPr>
          <w:shd w:val="clear" w:color="auto" w:fill="FFFFFF"/>
        </w:rPr>
        <w:t xml:space="preserve">. </w:t>
      </w:r>
      <w:proofErr w:type="spellStart"/>
      <w:r w:rsidRPr="00D31DFB">
        <w:rPr>
          <w:shd w:val="clear" w:color="auto" w:fill="FFFFFF"/>
        </w:rPr>
        <w:t>This</w:t>
      </w:r>
      <w:proofErr w:type="spellEnd"/>
      <w:r w:rsidRPr="00D31DFB">
        <w:rPr>
          <w:shd w:val="clear" w:color="auto" w:fill="FFFFFF"/>
        </w:rPr>
        <w:t xml:space="preserve"> </w:t>
      </w:r>
      <w:proofErr w:type="spellStart"/>
      <w:r w:rsidRPr="00D31DFB">
        <w:rPr>
          <w:shd w:val="clear" w:color="auto" w:fill="FFFFFF"/>
        </w:rPr>
        <w:t>show</w:t>
      </w:r>
      <w:proofErr w:type="spellEnd"/>
      <w:r w:rsidRPr="00D31DFB">
        <w:rPr>
          <w:shd w:val="clear" w:color="auto" w:fill="FFFFFF"/>
        </w:rPr>
        <w:t xml:space="preserve"> </w:t>
      </w:r>
      <w:proofErr w:type="spellStart"/>
      <w:r w:rsidRPr="00D31DFB">
        <w:rPr>
          <w:shd w:val="clear" w:color="auto" w:fill="FFFFFF"/>
        </w:rPr>
        <w:t>how</w:t>
      </w:r>
      <w:proofErr w:type="spellEnd"/>
      <w:r w:rsidRPr="00D31DFB">
        <w:rPr>
          <w:shd w:val="clear" w:color="auto" w:fill="FFFFFF"/>
        </w:rPr>
        <w:t xml:space="preserve"> </w:t>
      </w:r>
      <w:proofErr w:type="spellStart"/>
      <w:r w:rsidRPr="00D31DFB">
        <w:rPr>
          <w:shd w:val="clear" w:color="auto" w:fill="FFFFFF"/>
        </w:rPr>
        <w:t>dependent</w:t>
      </w:r>
      <w:proofErr w:type="spellEnd"/>
      <w:r w:rsidRPr="00D31DFB">
        <w:rPr>
          <w:shd w:val="clear" w:color="auto" w:fill="FFFFFF"/>
        </w:rPr>
        <w:t xml:space="preserve"> </w:t>
      </w:r>
      <w:proofErr w:type="spellStart"/>
      <w:r w:rsidRPr="00D31DFB">
        <w:rPr>
          <w:shd w:val="clear" w:color="auto" w:fill="FFFFFF"/>
        </w:rPr>
        <w:t>the</w:t>
      </w:r>
      <w:proofErr w:type="spellEnd"/>
      <w:r w:rsidRPr="00D31DFB">
        <w:rPr>
          <w:shd w:val="clear" w:color="auto" w:fill="FFFFFF"/>
        </w:rPr>
        <w:t xml:space="preserve"> regional </w:t>
      </w:r>
      <w:proofErr w:type="spellStart"/>
      <w:r w:rsidRPr="00D31DFB">
        <w:rPr>
          <w:shd w:val="clear" w:color="auto" w:fill="FFFFFF"/>
        </w:rPr>
        <w:t>government</w:t>
      </w:r>
      <w:proofErr w:type="spellEnd"/>
      <w:r w:rsidRPr="00D31DFB">
        <w:rPr>
          <w:shd w:val="clear" w:color="auto" w:fill="FFFFFF"/>
        </w:rPr>
        <w:t xml:space="preserve"> </w:t>
      </w:r>
      <w:proofErr w:type="spellStart"/>
      <w:r w:rsidRPr="00D31DFB">
        <w:rPr>
          <w:shd w:val="clear" w:color="auto" w:fill="FFFFFF"/>
        </w:rPr>
        <w:t>on</w:t>
      </w:r>
      <w:proofErr w:type="spellEnd"/>
      <w:r w:rsidRPr="00D31DFB">
        <w:rPr>
          <w:shd w:val="clear" w:color="auto" w:fill="FFFFFF"/>
        </w:rPr>
        <w:t xml:space="preserve"> </w:t>
      </w:r>
      <w:proofErr w:type="spellStart"/>
      <w:r w:rsidRPr="00D31DFB">
        <w:rPr>
          <w:shd w:val="clear" w:color="auto" w:fill="FFFFFF"/>
        </w:rPr>
        <w:t>balanced</w:t>
      </w:r>
      <w:proofErr w:type="spellEnd"/>
      <w:r w:rsidRPr="00D31DFB">
        <w:rPr>
          <w:shd w:val="clear" w:color="auto" w:fill="FFFFFF"/>
        </w:rPr>
        <w:t xml:space="preserve"> </w:t>
      </w:r>
      <w:proofErr w:type="spellStart"/>
      <w:r w:rsidRPr="00D31DFB">
        <w:rPr>
          <w:shd w:val="clear" w:color="auto" w:fill="FFFFFF"/>
        </w:rPr>
        <w:t>budget</w:t>
      </w:r>
      <w:proofErr w:type="spellEnd"/>
      <w:r w:rsidRPr="00D31DFB">
        <w:rPr>
          <w:shd w:val="clear" w:color="auto" w:fill="FFFFFF"/>
        </w:rPr>
        <w:t xml:space="preserve"> </w:t>
      </w:r>
      <w:proofErr w:type="spellStart"/>
      <w:r w:rsidRPr="00D31DFB">
        <w:rPr>
          <w:shd w:val="clear" w:color="auto" w:fill="FFFFFF"/>
        </w:rPr>
        <w:t>from</w:t>
      </w:r>
      <w:proofErr w:type="spellEnd"/>
      <w:r w:rsidRPr="00D31DFB">
        <w:rPr>
          <w:shd w:val="clear" w:color="auto" w:fill="FFFFFF"/>
        </w:rPr>
        <w:t xml:space="preserve"> </w:t>
      </w:r>
      <w:proofErr w:type="spellStart"/>
      <w:r w:rsidRPr="00D31DFB">
        <w:rPr>
          <w:shd w:val="clear" w:color="auto" w:fill="FFFFFF"/>
        </w:rPr>
        <w:t>the</w:t>
      </w:r>
      <w:proofErr w:type="spellEnd"/>
      <w:r w:rsidRPr="00D31DFB">
        <w:rPr>
          <w:shd w:val="clear" w:color="auto" w:fill="FFFFFF"/>
        </w:rPr>
        <w:t xml:space="preserve"> </w:t>
      </w:r>
      <w:proofErr w:type="spellStart"/>
      <w:r w:rsidRPr="00D31DFB">
        <w:rPr>
          <w:shd w:val="clear" w:color="auto" w:fill="FFFFFF"/>
        </w:rPr>
        <w:t>central</w:t>
      </w:r>
      <w:proofErr w:type="spellEnd"/>
      <w:r w:rsidRPr="00D31DFB">
        <w:rPr>
          <w:shd w:val="clear" w:color="auto" w:fill="FFFFFF"/>
        </w:rPr>
        <w:t xml:space="preserve"> </w:t>
      </w:r>
      <w:proofErr w:type="spellStart"/>
      <w:r w:rsidRPr="00D31DFB">
        <w:rPr>
          <w:shd w:val="clear" w:color="auto" w:fill="FFFFFF"/>
        </w:rPr>
        <w:t>government</w:t>
      </w:r>
      <w:proofErr w:type="spellEnd"/>
      <w:r w:rsidRPr="00D31DFB">
        <w:rPr>
          <w:shd w:val="clear" w:color="auto" w:fill="FFFFFF"/>
        </w:rPr>
        <w:t xml:space="preserve">. </w:t>
      </w:r>
    </w:p>
    <w:p w:rsidR="004F308E" w:rsidRPr="00D31DFB" w:rsidRDefault="004F308E" w:rsidP="004F308E">
      <w:pPr>
        <w:widowControl w:val="0"/>
        <w:autoSpaceDE w:val="0"/>
        <w:autoSpaceDN w:val="0"/>
        <w:adjustRightInd w:val="0"/>
        <w:snapToGrid w:val="0"/>
        <w:ind w:firstLine="720"/>
        <w:jc w:val="both"/>
        <w:rPr>
          <w:shd w:val="clear" w:color="auto" w:fill="FFFFFF"/>
        </w:rPr>
      </w:pPr>
      <w:r w:rsidRPr="00D31DFB">
        <w:rPr>
          <w:shd w:val="clear" w:color="auto" w:fill="FFFFFF"/>
        </w:rPr>
        <w:t xml:space="preserve">On </w:t>
      </w:r>
      <w:proofErr w:type="spellStart"/>
      <w:r w:rsidRPr="00D31DFB">
        <w:rPr>
          <w:shd w:val="clear" w:color="auto" w:fill="FFFFFF"/>
        </w:rPr>
        <w:t>the</w:t>
      </w:r>
      <w:proofErr w:type="spellEnd"/>
      <w:r w:rsidRPr="00D31DFB">
        <w:rPr>
          <w:shd w:val="clear" w:color="auto" w:fill="FFFFFF"/>
        </w:rPr>
        <w:t xml:space="preserve"> </w:t>
      </w:r>
      <w:proofErr w:type="spellStart"/>
      <w:r w:rsidRPr="00D31DFB">
        <w:rPr>
          <w:shd w:val="clear" w:color="auto" w:fill="FFFFFF"/>
        </w:rPr>
        <w:t>contrary</w:t>
      </w:r>
      <w:proofErr w:type="spellEnd"/>
      <w:r w:rsidRPr="00D31DFB">
        <w:rPr>
          <w:shd w:val="clear" w:color="auto" w:fill="FFFFFF"/>
        </w:rPr>
        <w:t xml:space="preserve">, </w:t>
      </w:r>
      <w:proofErr w:type="spellStart"/>
      <w:r w:rsidRPr="00D31DFB">
        <w:rPr>
          <w:shd w:val="clear" w:color="auto" w:fill="FFFFFF"/>
        </w:rPr>
        <w:t>sharing</w:t>
      </w:r>
      <w:proofErr w:type="spellEnd"/>
      <w:r w:rsidRPr="00D31DFB">
        <w:rPr>
          <w:shd w:val="clear" w:color="auto" w:fill="FFFFFF"/>
        </w:rPr>
        <w:t xml:space="preserve"> </w:t>
      </w:r>
      <w:proofErr w:type="spellStart"/>
      <w:r w:rsidRPr="00D31DFB">
        <w:rPr>
          <w:shd w:val="clear" w:color="auto" w:fill="FFFFFF"/>
        </w:rPr>
        <w:t>funds</w:t>
      </w:r>
      <w:proofErr w:type="spellEnd"/>
      <w:r w:rsidRPr="00D31DFB">
        <w:rPr>
          <w:shd w:val="clear" w:color="auto" w:fill="FFFFFF"/>
        </w:rPr>
        <w:t xml:space="preserve"> </w:t>
      </w:r>
      <w:proofErr w:type="spellStart"/>
      <w:r w:rsidRPr="00D31DFB">
        <w:rPr>
          <w:shd w:val="clear" w:color="auto" w:fill="FFFFFF"/>
        </w:rPr>
        <w:t>is</w:t>
      </w:r>
      <w:proofErr w:type="spellEnd"/>
      <w:r w:rsidRPr="00D31DFB">
        <w:rPr>
          <w:shd w:val="clear" w:color="auto" w:fill="FFFFFF"/>
        </w:rPr>
        <w:t xml:space="preserve"> </w:t>
      </w:r>
      <w:proofErr w:type="spellStart"/>
      <w:r w:rsidRPr="00D31DFB">
        <w:rPr>
          <w:shd w:val="clear" w:color="auto" w:fill="FFFFFF"/>
        </w:rPr>
        <w:t>positive</w:t>
      </w:r>
      <w:proofErr w:type="spellEnd"/>
      <w:r w:rsidRPr="00D31DFB">
        <w:rPr>
          <w:shd w:val="clear" w:color="auto" w:fill="FFFFFF"/>
        </w:rPr>
        <w:t xml:space="preserve"> </w:t>
      </w:r>
      <w:proofErr w:type="spellStart"/>
      <w:r w:rsidRPr="00D31DFB">
        <w:rPr>
          <w:shd w:val="clear" w:color="auto" w:fill="FFFFFF"/>
        </w:rPr>
        <w:t>but</w:t>
      </w:r>
      <w:proofErr w:type="spellEnd"/>
      <w:r w:rsidRPr="00D31DFB">
        <w:rPr>
          <w:shd w:val="clear" w:color="auto" w:fill="FFFFFF"/>
        </w:rPr>
        <w:t xml:space="preserve"> not </w:t>
      </w:r>
      <w:proofErr w:type="spellStart"/>
      <w:r w:rsidRPr="00D31DFB">
        <w:rPr>
          <w:shd w:val="clear" w:color="auto" w:fill="FFFFFF"/>
        </w:rPr>
        <w:t>significant</w:t>
      </w:r>
      <w:proofErr w:type="spellEnd"/>
      <w:r w:rsidRPr="00D31DFB">
        <w:rPr>
          <w:shd w:val="clear" w:color="auto" w:fill="FFFFFF"/>
        </w:rPr>
        <w:t xml:space="preserve"> in </w:t>
      </w:r>
      <w:proofErr w:type="spellStart"/>
      <w:r w:rsidRPr="00D31DFB">
        <w:rPr>
          <w:shd w:val="clear" w:color="auto" w:fill="FFFFFF"/>
        </w:rPr>
        <w:t>influencing</w:t>
      </w:r>
      <w:proofErr w:type="spellEnd"/>
      <w:r w:rsidRPr="00D31DFB">
        <w:rPr>
          <w:shd w:val="clear" w:color="auto" w:fill="FFFFFF"/>
        </w:rPr>
        <w:t xml:space="preserve"> </w:t>
      </w:r>
      <w:proofErr w:type="spellStart"/>
      <w:r w:rsidRPr="00D31DFB">
        <w:rPr>
          <w:shd w:val="clear" w:color="auto" w:fill="FFFFFF"/>
        </w:rPr>
        <w:t>the</w:t>
      </w:r>
      <w:proofErr w:type="spellEnd"/>
      <w:r w:rsidRPr="00D31DFB">
        <w:rPr>
          <w:shd w:val="clear" w:color="auto" w:fill="FFFFFF"/>
        </w:rPr>
        <w:t xml:space="preserve"> </w:t>
      </w:r>
      <w:proofErr w:type="spellStart"/>
      <w:r w:rsidRPr="00D31DFB">
        <w:rPr>
          <w:shd w:val="clear" w:color="auto" w:fill="FFFFFF"/>
        </w:rPr>
        <w:t>government</w:t>
      </w:r>
      <w:proofErr w:type="spellEnd"/>
      <w:r w:rsidRPr="00D31DFB">
        <w:rPr>
          <w:shd w:val="clear" w:color="auto" w:fill="FFFFFF"/>
        </w:rPr>
        <w:t xml:space="preserve"> </w:t>
      </w:r>
      <w:proofErr w:type="spellStart"/>
      <w:r w:rsidRPr="00D31DFB">
        <w:rPr>
          <w:shd w:val="clear" w:color="auto" w:fill="FFFFFF"/>
        </w:rPr>
        <w:t>spending</w:t>
      </w:r>
      <w:proofErr w:type="spellEnd"/>
      <w:r w:rsidRPr="00D31DFB">
        <w:rPr>
          <w:shd w:val="clear" w:color="auto" w:fill="FFFFFF"/>
        </w:rPr>
        <w:t xml:space="preserve"> </w:t>
      </w:r>
      <w:proofErr w:type="spellStart"/>
      <w:r w:rsidRPr="00D31DFB">
        <w:rPr>
          <w:shd w:val="clear" w:color="auto" w:fill="FFFFFF"/>
        </w:rPr>
        <w:t>where</w:t>
      </w:r>
      <w:proofErr w:type="spellEnd"/>
      <w:r w:rsidRPr="00D31DFB">
        <w:rPr>
          <w:shd w:val="clear" w:color="auto" w:fill="FFFFFF"/>
        </w:rPr>
        <w:t xml:space="preserve"> </w:t>
      </w:r>
      <w:proofErr w:type="spellStart"/>
      <w:r w:rsidRPr="00D31DFB">
        <w:rPr>
          <w:shd w:val="clear" w:color="auto" w:fill="FFFFFF"/>
        </w:rPr>
        <w:t>the</w:t>
      </w:r>
      <w:proofErr w:type="spellEnd"/>
      <w:r w:rsidRPr="00D31DFB">
        <w:rPr>
          <w:shd w:val="clear" w:color="auto" w:fill="FFFFFF"/>
        </w:rPr>
        <w:t xml:space="preserve"> p-</w:t>
      </w:r>
      <w:proofErr w:type="spellStart"/>
      <w:r w:rsidRPr="00D31DFB">
        <w:rPr>
          <w:shd w:val="clear" w:color="auto" w:fill="FFFFFF"/>
        </w:rPr>
        <w:t>value</w:t>
      </w:r>
      <w:proofErr w:type="spellEnd"/>
      <w:r w:rsidRPr="00D31DFB">
        <w:rPr>
          <w:shd w:val="clear" w:color="auto" w:fill="FFFFFF"/>
        </w:rPr>
        <w:t xml:space="preserve"> (0.457) </w:t>
      </w:r>
      <w:proofErr w:type="spellStart"/>
      <w:r w:rsidRPr="00D31DFB">
        <w:rPr>
          <w:shd w:val="clear" w:color="auto" w:fill="FFFFFF"/>
        </w:rPr>
        <w:t>is</w:t>
      </w:r>
      <w:proofErr w:type="spellEnd"/>
      <w:r w:rsidRPr="00D31DFB">
        <w:rPr>
          <w:shd w:val="clear" w:color="auto" w:fill="FFFFFF"/>
        </w:rPr>
        <w:t xml:space="preserve"> </w:t>
      </w:r>
      <w:proofErr w:type="spellStart"/>
      <w:r w:rsidRPr="00D31DFB">
        <w:rPr>
          <w:shd w:val="clear" w:color="auto" w:fill="FFFFFF"/>
        </w:rPr>
        <w:t>more</w:t>
      </w:r>
      <w:proofErr w:type="spellEnd"/>
      <w:r w:rsidRPr="00D31DFB">
        <w:rPr>
          <w:shd w:val="clear" w:color="auto" w:fill="FFFFFF"/>
        </w:rPr>
        <w:t xml:space="preserve"> </w:t>
      </w:r>
      <w:proofErr w:type="spellStart"/>
      <w:r w:rsidRPr="00D31DFB">
        <w:rPr>
          <w:shd w:val="clear" w:color="auto" w:fill="FFFFFF"/>
        </w:rPr>
        <w:t>significant</w:t>
      </w:r>
      <w:proofErr w:type="spellEnd"/>
      <w:r w:rsidRPr="00D31DFB">
        <w:rPr>
          <w:shd w:val="clear" w:color="auto" w:fill="FFFFFF"/>
        </w:rPr>
        <w:t xml:space="preserve"> </w:t>
      </w:r>
      <w:proofErr w:type="spellStart"/>
      <w:r w:rsidRPr="00D31DFB">
        <w:rPr>
          <w:shd w:val="clear" w:color="auto" w:fill="FFFFFF"/>
        </w:rPr>
        <w:t>than</w:t>
      </w:r>
      <w:proofErr w:type="spellEnd"/>
      <w:r w:rsidRPr="00D31DFB">
        <w:rPr>
          <w:shd w:val="clear" w:color="auto" w:fill="FFFFFF"/>
        </w:rPr>
        <w:t xml:space="preserve"> 0.05. </w:t>
      </w:r>
      <w:proofErr w:type="spellStart"/>
      <w:r w:rsidRPr="00D31DFB">
        <w:rPr>
          <w:shd w:val="clear" w:color="auto" w:fill="FFFFFF"/>
        </w:rPr>
        <w:t>It</w:t>
      </w:r>
      <w:proofErr w:type="spellEnd"/>
      <w:r w:rsidRPr="00D31DFB">
        <w:rPr>
          <w:shd w:val="clear" w:color="auto" w:fill="FFFFFF"/>
        </w:rPr>
        <w:t xml:space="preserve"> </w:t>
      </w:r>
      <w:proofErr w:type="spellStart"/>
      <w:r w:rsidRPr="00D31DFB">
        <w:rPr>
          <w:shd w:val="clear" w:color="auto" w:fill="FFFFFF"/>
        </w:rPr>
        <w:t>shows</w:t>
      </w:r>
      <w:proofErr w:type="spellEnd"/>
      <w:r w:rsidRPr="00D31DFB">
        <w:rPr>
          <w:shd w:val="clear" w:color="auto" w:fill="FFFFFF"/>
        </w:rPr>
        <w:t xml:space="preserve"> </w:t>
      </w:r>
      <w:proofErr w:type="spellStart"/>
      <w:r w:rsidRPr="00D31DFB">
        <w:rPr>
          <w:shd w:val="clear" w:color="auto" w:fill="FFFFFF"/>
        </w:rPr>
        <w:t>that</w:t>
      </w:r>
      <w:proofErr w:type="spellEnd"/>
      <w:r w:rsidRPr="00D31DFB">
        <w:rPr>
          <w:shd w:val="clear" w:color="auto" w:fill="FFFFFF"/>
        </w:rPr>
        <w:t xml:space="preserve"> a 1 unit </w:t>
      </w:r>
      <w:proofErr w:type="spellStart"/>
      <w:r w:rsidRPr="00D31DFB">
        <w:rPr>
          <w:shd w:val="clear" w:color="auto" w:fill="FFFFFF"/>
        </w:rPr>
        <w:t>increase</w:t>
      </w:r>
      <w:proofErr w:type="spellEnd"/>
      <w:r w:rsidRPr="00D31DFB">
        <w:rPr>
          <w:shd w:val="clear" w:color="auto" w:fill="FFFFFF"/>
        </w:rPr>
        <w:t xml:space="preserve"> </w:t>
      </w:r>
      <w:proofErr w:type="spellStart"/>
      <w:r w:rsidRPr="00D31DFB">
        <w:rPr>
          <w:shd w:val="clear" w:color="auto" w:fill="FFFFFF"/>
        </w:rPr>
        <w:t>of</w:t>
      </w:r>
      <w:proofErr w:type="spellEnd"/>
      <w:r w:rsidRPr="00D31DFB">
        <w:rPr>
          <w:shd w:val="clear" w:color="auto" w:fill="FFFFFF"/>
        </w:rPr>
        <w:t xml:space="preserve"> DBH </w:t>
      </w:r>
      <w:proofErr w:type="spellStart"/>
      <w:r w:rsidRPr="00D31DFB">
        <w:rPr>
          <w:shd w:val="clear" w:color="auto" w:fill="FFFFFF"/>
        </w:rPr>
        <w:t>is</w:t>
      </w:r>
      <w:proofErr w:type="spellEnd"/>
      <w:r w:rsidRPr="00D31DFB">
        <w:rPr>
          <w:shd w:val="clear" w:color="auto" w:fill="FFFFFF"/>
        </w:rPr>
        <w:t xml:space="preserve"> not </w:t>
      </w:r>
      <w:proofErr w:type="spellStart"/>
      <w:r w:rsidRPr="00D31DFB">
        <w:rPr>
          <w:shd w:val="clear" w:color="auto" w:fill="FFFFFF"/>
        </w:rPr>
        <w:t>significant</w:t>
      </w:r>
      <w:proofErr w:type="spellEnd"/>
      <w:r w:rsidRPr="00D31DFB">
        <w:rPr>
          <w:shd w:val="clear" w:color="auto" w:fill="FFFFFF"/>
        </w:rPr>
        <w:t xml:space="preserve"> in </w:t>
      </w:r>
      <w:proofErr w:type="spellStart"/>
      <w:r w:rsidRPr="00D31DFB">
        <w:rPr>
          <w:shd w:val="clear" w:color="auto" w:fill="FFFFFF"/>
        </w:rPr>
        <w:t>increasing</w:t>
      </w:r>
      <w:proofErr w:type="spellEnd"/>
      <w:r w:rsidRPr="00D31DFB">
        <w:rPr>
          <w:shd w:val="clear" w:color="auto" w:fill="FFFFFF"/>
        </w:rPr>
        <w:t xml:space="preserve"> </w:t>
      </w:r>
      <w:proofErr w:type="spellStart"/>
      <w:r w:rsidRPr="00D31DFB">
        <w:rPr>
          <w:shd w:val="clear" w:color="auto" w:fill="FFFFFF"/>
        </w:rPr>
        <w:t>the</w:t>
      </w:r>
      <w:proofErr w:type="spellEnd"/>
      <w:r w:rsidRPr="00D31DFB">
        <w:rPr>
          <w:shd w:val="clear" w:color="auto" w:fill="FFFFFF"/>
        </w:rPr>
        <w:t xml:space="preserve"> </w:t>
      </w:r>
      <w:proofErr w:type="spellStart"/>
      <w:r w:rsidRPr="00D31DFB">
        <w:rPr>
          <w:shd w:val="clear" w:color="auto" w:fill="FFFFFF"/>
        </w:rPr>
        <w:t>government</w:t>
      </w:r>
      <w:proofErr w:type="spellEnd"/>
      <w:r w:rsidRPr="00D31DFB">
        <w:rPr>
          <w:shd w:val="clear" w:color="auto" w:fill="FFFFFF"/>
        </w:rPr>
        <w:t xml:space="preserve"> </w:t>
      </w:r>
      <w:proofErr w:type="spellStart"/>
      <w:r w:rsidRPr="00D31DFB">
        <w:rPr>
          <w:shd w:val="clear" w:color="auto" w:fill="FFFFFF"/>
        </w:rPr>
        <w:t>budget</w:t>
      </w:r>
      <w:proofErr w:type="spellEnd"/>
      <w:r w:rsidRPr="00D31DFB">
        <w:rPr>
          <w:shd w:val="clear" w:color="auto" w:fill="FFFFFF"/>
        </w:rPr>
        <w:t xml:space="preserve"> </w:t>
      </w:r>
      <w:proofErr w:type="spellStart"/>
      <w:r w:rsidRPr="00D31DFB">
        <w:rPr>
          <w:shd w:val="clear" w:color="auto" w:fill="FFFFFF"/>
        </w:rPr>
        <w:t>by</w:t>
      </w:r>
      <w:proofErr w:type="spellEnd"/>
      <w:r w:rsidRPr="00D31DFB">
        <w:rPr>
          <w:shd w:val="clear" w:color="auto" w:fill="FFFFFF"/>
        </w:rPr>
        <w:t xml:space="preserve"> 0.27 </w:t>
      </w:r>
      <w:proofErr w:type="spellStart"/>
      <w:r w:rsidRPr="00D31DFB">
        <w:rPr>
          <w:shd w:val="clear" w:color="auto" w:fill="FFFFFF"/>
        </w:rPr>
        <w:t>units</w:t>
      </w:r>
      <w:proofErr w:type="spellEnd"/>
      <w:r w:rsidRPr="00D31DFB">
        <w:rPr>
          <w:shd w:val="clear" w:color="auto" w:fill="FFFFFF"/>
        </w:rPr>
        <w:t xml:space="preserve">. </w:t>
      </w:r>
      <w:proofErr w:type="spellStart"/>
      <w:r w:rsidRPr="00D31DFB">
        <w:rPr>
          <w:shd w:val="clear" w:color="auto" w:fill="FFFFFF"/>
        </w:rPr>
        <w:t>This</w:t>
      </w:r>
      <w:proofErr w:type="spellEnd"/>
      <w:r w:rsidRPr="00D31DFB">
        <w:rPr>
          <w:shd w:val="clear" w:color="auto" w:fill="FFFFFF"/>
        </w:rPr>
        <w:t xml:space="preserve"> </w:t>
      </w:r>
      <w:proofErr w:type="spellStart"/>
      <w:r w:rsidRPr="00D31DFB">
        <w:rPr>
          <w:shd w:val="clear" w:color="auto" w:fill="FFFFFF"/>
        </w:rPr>
        <w:t>result</w:t>
      </w:r>
      <w:proofErr w:type="spellEnd"/>
      <w:r w:rsidRPr="00D31DFB">
        <w:rPr>
          <w:shd w:val="clear" w:color="auto" w:fill="FFFFFF"/>
        </w:rPr>
        <w:t xml:space="preserve"> </w:t>
      </w:r>
      <w:proofErr w:type="spellStart"/>
      <w:r w:rsidRPr="00D31DFB">
        <w:rPr>
          <w:shd w:val="clear" w:color="auto" w:fill="FFFFFF"/>
        </w:rPr>
        <w:t>is</w:t>
      </w:r>
      <w:proofErr w:type="spellEnd"/>
      <w:r w:rsidRPr="00D31DFB">
        <w:rPr>
          <w:shd w:val="clear" w:color="auto" w:fill="FFFFFF"/>
        </w:rPr>
        <w:t xml:space="preserve"> </w:t>
      </w:r>
      <w:proofErr w:type="spellStart"/>
      <w:r w:rsidRPr="00D31DFB">
        <w:rPr>
          <w:shd w:val="clear" w:color="auto" w:fill="FFFFFF"/>
        </w:rPr>
        <w:t>consistent</w:t>
      </w:r>
      <w:proofErr w:type="spellEnd"/>
      <w:r w:rsidRPr="00D31DFB">
        <w:rPr>
          <w:shd w:val="clear" w:color="auto" w:fill="FFFFFF"/>
        </w:rPr>
        <w:t xml:space="preserve"> </w:t>
      </w:r>
      <w:proofErr w:type="spellStart"/>
      <w:r w:rsidRPr="00D31DFB">
        <w:rPr>
          <w:shd w:val="clear" w:color="auto" w:fill="FFFFFF"/>
        </w:rPr>
        <w:t>with</w:t>
      </w:r>
      <w:proofErr w:type="spellEnd"/>
      <w:r w:rsidRPr="00D31DFB">
        <w:rPr>
          <w:shd w:val="clear" w:color="auto" w:fill="FFFFFF"/>
        </w:rPr>
        <w:t xml:space="preserve"> </w:t>
      </w:r>
      <w:proofErr w:type="spellStart"/>
      <w:r w:rsidRPr="00D31DFB">
        <w:rPr>
          <w:shd w:val="clear" w:color="auto" w:fill="FFFFFF"/>
        </w:rPr>
        <w:t>research</w:t>
      </w:r>
      <w:proofErr w:type="spellEnd"/>
      <w:r w:rsidRPr="00D31DFB">
        <w:rPr>
          <w:shd w:val="clear" w:color="auto" w:fill="FFFFFF"/>
        </w:rPr>
        <w:t xml:space="preserve"> </w:t>
      </w:r>
      <w:proofErr w:type="spellStart"/>
      <w:r w:rsidRPr="00D31DFB">
        <w:rPr>
          <w:shd w:val="clear" w:color="auto" w:fill="FFFFFF"/>
        </w:rPr>
        <w:t>from</w:t>
      </w:r>
      <w:proofErr w:type="spellEnd"/>
      <w:r w:rsidRPr="00D31DFB">
        <w:rPr>
          <w:shd w:val="clear" w:color="auto" w:fill="FFFFFF"/>
        </w:rPr>
        <w:t xml:space="preserve"> </w:t>
      </w:r>
      <w:r w:rsidRPr="00D31DFB">
        <w:rPr>
          <w:shd w:val="clear" w:color="auto" w:fill="FFFFFF"/>
        </w:rPr>
        <w:fldChar w:fldCharType="begin" w:fldLock="1"/>
      </w:r>
      <w:r w:rsidRPr="00D31DFB">
        <w:rPr>
          <w:shd w:val="clear" w:color="auto" w:fill="FFFFFF"/>
        </w:rPr>
        <w:instrText>ADDIN CSL_CITATION {"citationItems":[{"id":"ITEM-1","itemData":{"abstract":"Penelitian ini bertujuan untuk mengetahui pengaruh Pendapatan Asli Daerah, Dana Perimbangan yang terdiri dari Dana Alokasi Umum, Dana Alokasi Khusus dan Dana Bagi Hasil serta Belanja Pegawai terhadap Belanja Modal pada Pemerintah Kota Surakarta. Penelitian ini diharapkan dqpat digunakan sebagai bahan masukan dan kontribusi pengembangan ilmu pengetahuan akuntansi sektor publik dan juga sebagai bahan pertimbangan Pemkot Surakarta dalam mengalokasikan belanja modal. Teknik pengumpulan data adalah dokumentasi, yang dilakukan dengan mengumpulkan data sekunder, mencatat, dan mengolah data yang berkaitan dengan penelitian. Analisis data dalam penelitian ini menggunakan Statistik Deskriptif, Uji Asumsi Klasik, regresi linear berganda dengan uji F, uji t, dan koefisien determinasi. Hasil Penelitian menunjukan bahwa belanja pegawai berpengaruh negatif terhadap belanja modal, Pendapatan Asli Daerah dan Dana Alokasi Umum berpengaruh terhadap belanja modal. Sedangkan Dana Alokasi Khusus dan Dana Bagi Hasil tidak berpengaruh terhadap belanja modal.","author":[{"dropping-particle":"","family":"Prastiwi, Ayu, Nurlaela","given":"Siti","non-dropping-particle":"","parse-names":false,"suffix":""},{"dropping-particle":"","family":"dan Chomsatu","given":"Yuli","non-dropping-particle":"","parse-names":false,"suffix":""}],"container-title":"Seminar Nasional IENACO-2016","id":"ITEM-1","issued":{"date-parts":[["2016"]]},"page":"872-879","title":"Pengaruh Pendapatan Asli Daerah, Dana Perimbangan Dan Belanja Pengawai Terhadap Belanja Modal Pemerintah Kota Surakarta","type":"article-journal"},"uris":["http://www.mendeley.com/documents/?uuid=6ff3d278-66e7-4563-a11f-0318298fbfcc"]},{"id":"ITEM-2","itemData":{"DOI":"10.32493/jabi.v2i1.y2019.p104-122","ISSN":"2614-8447","abstract":" ABSTRAKPenulis mempunyai tujuan untuk dapat menganalisis, menguji dan kemudian membuktikan apakah Belanja Modal pada Pemda Kabupaten/Kota di Jawa Timur tahun 2011-2014 dipengaruhi oleh variabel Pertumbuhan Ekonomi Daerah serta variabel-variabel penerimaan seperti PAD, DAU dan DBH.Dasar pengambilan sample adalah sample yang memenuhi kriteria atau syarat tertentu dengan metode Purposive sampling, dimana populasinya adalah data realisasi APBD Pemda Kabupaten/Kota di Jawa Timur. Alat uji yang digunakan untuk menguji data yang ada adalah uji asumsi klasik dan analisis regresi linier berganda menggunakan SPSS versi 24 untuk windows.Dari serangkain pengujian yang dilakukan menghasilkan data yang dapat membuktikan bahwa secara parsial baik variabel bebas Pertumbuhan Ekonomi Daerah maupun DBH tidak berpengaruh signifikan terhadap Belanja Modal, sementara itu variabel bebas PAD dan DAU mempunyai pengaruh siginifikan terhadap Belanja Modal. Namun demikian secara bersama-bersama keempat variabel bebas tersebut berpengaruh signifikan terhadap variabel terikat yaitu Belanja Modal. Pengujian tersebut berdasarkan pada tingkat keyakinan sebesar 95% dan tingkat error sebesar 5%.","author":[{"dropping-particle":"","family":"Mundiroh","given":"Siti","non-dropping-particle":"","parse-names":false,"suffix":""}],"container-title":"Jurnal Akuntansi Berkelanjutan Indonesia","id":"ITEM-2","issue":"1","issued":{"date-parts":[["2019"]]},"page":"104","title":"Pengaruh Pertumbuhan Ekonomi Daerah, Pendapatan Asli Daerah (Pad), Dana Alokasi Umum (Dau) Dan Dana Bagi Hasil (Dbh) Terhadap Alokasi Belanja Modal Daerah","type":"article-journal","volume":"2"},"uris":["http://www.mendeley.com/documents/?uuid=f56ee665-ce8c-4500-b4f4-c0f7eabe6e96"]}],"mendeley":{"formattedCitation":"(Mundiroh, 2019; Prastiwi, Ayu, Nurlaela &amp; dan Chomsatu, 2016)","plainTextFormattedCitation":"(Mundiroh, 2019; Prastiwi, Ayu, Nurlaela &amp; dan Chomsatu, 2016)","previouslyFormattedCitation":"(Mundiroh, 2019; Prastiwi, Ayu, Nurlaela &amp; dan Chomsatu, 2016)"},"properties":{"noteIndex":0},"schema":"https://github.com/citation-style-language/schema/raw/master/csl-citation.json"}</w:instrText>
      </w:r>
      <w:r w:rsidRPr="00D31DFB">
        <w:rPr>
          <w:shd w:val="clear" w:color="auto" w:fill="FFFFFF"/>
        </w:rPr>
        <w:fldChar w:fldCharType="separate"/>
      </w:r>
      <w:r w:rsidRPr="00D31DFB">
        <w:rPr>
          <w:noProof/>
          <w:shd w:val="clear" w:color="auto" w:fill="FFFFFF"/>
        </w:rPr>
        <w:t>Prastiwi, Ayu, Nurlaela &amp; Chomsatu (2016), Mundiroh (2019).</w:t>
      </w:r>
      <w:r w:rsidRPr="00D31DFB">
        <w:rPr>
          <w:shd w:val="clear" w:color="auto" w:fill="FFFFFF"/>
        </w:rPr>
        <w:fldChar w:fldCharType="end"/>
      </w:r>
    </w:p>
    <w:p w:rsidR="00A84AA6" w:rsidRDefault="00A84AA6" w:rsidP="00A84AA6">
      <w:pPr>
        <w:widowControl w:val="0"/>
        <w:autoSpaceDE w:val="0"/>
        <w:autoSpaceDN w:val="0"/>
        <w:adjustRightInd w:val="0"/>
        <w:snapToGrid w:val="0"/>
        <w:jc w:val="both"/>
      </w:pPr>
    </w:p>
    <w:p w:rsidR="00ED330C" w:rsidRDefault="00ED330C" w:rsidP="00A84AA6">
      <w:pPr>
        <w:widowControl w:val="0"/>
        <w:autoSpaceDE w:val="0"/>
        <w:autoSpaceDN w:val="0"/>
        <w:adjustRightInd w:val="0"/>
        <w:snapToGrid w:val="0"/>
        <w:jc w:val="both"/>
      </w:pPr>
    </w:p>
    <w:p w:rsidR="004F308E" w:rsidRDefault="004F308E" w:rsidP="00A84AA6">
      <w:pPr>
        <w:widowControl w:val="0"/>
        <w:autoSpaceDE w:val="0"/>
        <w:autoSpaceDN w:val="0"/>
        <w:adjustRightInd w:val="0"/>
        <w:snapToGrid w:val="0"/>
        <w:jc w:val="both"/>
      </w:pPr>
    </w:p>
    <w:p w:rsidR="009044BB" w:rsidRDefault="009044BB" w:rsidP="00A84AA6">
      <w:pPr>
        <w:widowControl w:val="0"/>
        <w:autoSpaceDE w:val="0"/>
        <w:autoSpaceDN w:val="0"/>
        <w:adjustRightInd w:val="0"/>
        <w:snapToGrid w:val="0"/>
        <w:jc w:val="both"/>
      </w:pPr>
    </w:p>
    <w:p w:rsidR="009044BB" w:rsidRDefault="009044BB" w:rsidP="00A84AA6">
      <w:pPr>
        <w:widowControl w:val="0"/>
        <w:autoSpaceDE w:val="0"/>
        <w:autoSpaceDN w:val="0"/>
        <w:adjustRightInd w:val="0"/>
        <w:snapToGrid w:val="0"/>
        <w:jc w:val="both"/>
      </w:pPr>
    </w:p>
    <w:p w:rsidR="009044BB" w:rsidRDefault="009044BB" w:rsidP="00A84AA6">
      <w:pPr>
        <w:widowControl w:val="0"/>
        <w:autoSpaceDE w:val="0"/>
        <w:autoSpaceDN w:val="0"/>
        <w:adjustRightInd w:val="0"/>
        <w:snapToGrid w:val="0"/>
        <w:jc w:val="both"/>
      </w:pPr>
    </w:p>
    <w:p w:rsidR="009044BB" w:rsidRPr="00D31DFB" w:rsidRDefault="009044BB" w:rsidP="00A84AA6">
      <w:pPr>
        <w:widowControl w:val="0"/>
        <w:autoSpaceDE w:val="0"/>
        <w:autoSpaceDN w:val="0"/>
        <w:adjustRightInd w:val="0"/>
        <w:snapToGrid w:val="0"/>
        <w:jc w:val="both"/>
      </w:pPr>
    </w:p>
    <w:p w:rsidR="00A84AA6" w:rsidRPr="00D31DFB" w:rsidRDefault="00A84AA6" w:rsidP="00A84AA6">
      <w:pPr>
        <w:widowControl w:val="0"/>
        <w:autoSpaceDE w:val="0"/>
        <w:autoSpaceDN w:val="0"/>
        <w:adjustRightInd w:val="0"/>
        <w:snapToGrid w:val="0"/>
        <w:jc w:val="center"/>
        <w:rPr>
          <w:b/>
          <w:bCs/>
        </w:rPr>
      </w:pPr>
      <w:r w:rsidRPr="00D31DFB">
        <w:rPr>
          <w:b/>
          <w:bCs/>
        </w:rPr>
        <w:t>Table 4. Fixed Effect Regression Results</w:t>
      </w:r>
    </w:p>
    <w:p w:rsidR="00804BA7" w:rsidRPr="00D31DFB" w:rsidRDefault="00804BA7" w:rsidP="00A84AA6">
      <w:pPr>
        <w:widowControl w:val="0"/>
        <w:autoSpaceDE w:val="0"/>
        <w:autoSpaceDN w:val="0"/>
        <w:adjustRightInd w:val="0"/>
        <w:snapToGrid w:val="0"/>
        <w:jc w:val="center"/>
        <w:rPr>
          <w:b/>
          <w:bCs/>
        </w:rPr>
      </w:pPr>
    </w:p>
    <w:tbl>
      <w:tblPr>
        <w:tblW w:w="8757" w:type="dxa"/>
        <w:jc w:val="center"/>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4062"/>
        <w:gridCol w:w="551"/>
        <w:gridCol w:w="659"/>
        <w:gridCol w:w="2311"/>
        <w:gridCol w:w="441"/>
        <w:gridCol w:w="733"/>
      </w:tblGrid>
      <w:tr w:rsidR="00A84AA6" w:rsidRPr="00D31DFB" w:rsidTr="00A84AA6">
        <w:trPr>
          <w:trHeight w:val="298"/>
          <w:jc w:val="center"/>
        </w:trPr>
        <w:tc>
          <w:tcPr>
            <w:tcW w:w="4062" w:type="dxa"/>
          </w:tcPr>
          <w:p w:rsidR="00A84AA6" w:rsidRPr="00D31DFB" w:rsidRDefault="00A84AA6" w:rsidP="00A84AA6">
            <w:pPr>
              <w:pStyle w:val="TableParagraph"/>
              <w:adjustRightInd w:val="0"/>
              <w:snapToGrid w:val="0"/>
              <w:ind w:left="381"/>
              <w:rPr>
                <w:rFonts w:ascii="Times New Roman" w:hAnsi="Times New Roman" w:cs="Times New Roman"/>
              </w:rPr>
            </w:pPr>
            <w:r w:rsidRPr="00D31DFB">
              <w:rPr>
                <w:rFonts w:ascii="Times New Roman" w:hAnsi="Times New Roman" w:cs="Times New Roman"/>
              </w:rPr>
              <w:t xml:space="preserve"> bb</w:t>
            </w:r>
          </w:p>
        </w:tc>
        <w:tc>
          <w:tcPr>
            <w:tcW w:w="551" w:type="dxa"/>
          </w:tcPr>
          <w:p w:rsidR="00A84AA6" w:rsidRPr="00D31DFB" w:rsidRDefault="00A84AA6" w:rsidP="00A84AA6">
            <w:pPr>
              <w:pStyle w:val="TableParagraph"/>
              <w:adjustRightInd w:val="0"/>
              <w:snapToGrid w:val="0"/>
              <w:rPr>
                <w:rFonts w:ascii="Times New Roman" w:hAnsi="Times New Roman" w:cs="Times New Roman"/>
              </w:rPr>
            </w:pPr>
          </w:p>
        </w:tc>
        <w:tc>
          <w:tcPr>
            <w:tcW w:w="659" w:type="dxa"/>
          </w:tcPr>
          <w:p w:rsidR="00A84AA6" w:rsidRPr="00D31DFB" w:rsidRDefault="00A84AA6" w:rsidP="00A84AA6">
            <w:pPr>
              <w:pStyle w:val="TableParagraph"/>
              <w:adjustRightInd w:val="0"/>
              <w:snapToGrid w:val="0"/>
              <w:rPr>
                <w:rFonts w:ascii="Times New Roman" w:hAnsi="Times New Roman" w:cs="Times New Roman"/>
              </w:rPr>
            </w:pPr>
          </w:p>
        </w:tc>
        <w:tc>
          <w:tcPr>
            <w:tcW w:w="2311" w:type="dxa"/>
          </w:tcPr>
          <w:p w:rsidR="00A84AA6" w:rsidRPr="00D31DFB" w:rsidRDefault="00A84AA6" w:rsidP="00A84AA6">
            <w:pPr>
              <w:pStyle w:val="TableParagraph"/>
              <w:adjustRightInd w:val="0"/>
              <w:snapToGrid w:val="0"/>
              <w:ind w:left="92"/>
              <w:rPr>
                <w:rFonts w:ascii="Times New Roman" w:hAnsi="Times New Roman" w:cs="Times New Roman"/>
              </w:rPr>
            </w:pPr>
            <w:r w:rsidRPr="00D31DFB">
              <w:rPr>
                <w:rFonts w:ascii="Times New Roman" w:hAnsi="Times New Roman" w:cs="Times New Roman"/>
              </w:rPr>
              <w:t xml:space="preserve">Number of </w:t>
            </w:r>
            <w:proofErr w:type="spellStart"/>
            <w:r w:rsidRPr="00D31DFB">
              <w:rPr>
                <w:rFonts w:ascii="Times New Roman" w:hAnsi="Times New Roman" w:cs="Times New Roman"/>
              </w:rPr>
              <w:t>obs</w:t>
            </w:r>
            <w:proofErr w:type="spellEnd"/>
          </w:p>
        </w:tc>
        <w:tc>
          <w:tcPr>
            <w:tcW w:w="441" w:type="dxa"/>
          </w:tcPr>
          <w:p w:rsidR="00A84AA6" w:rsidRPr="00D31DFB" w:rsidRDefault="00A84AA6" w:rsidP="00A84AA6">
            <w:pPr>
              <w:pStyle w:val="TableParagraph"/>
              <w:adjustRightInd w:val="0"/>
              <w:snapToGrid w:val="0"/>
              <w:ind w:left="-370" w:right="-370" w:firstLine="370"/>
              <w:rPr>
                <w:rFonts w:ascii="Times New Roman" w:hAnsi="Times New Roman" w:cs="Times New Roman"/>
              </w:rPr>
            </w:pPr>
            <w:r w:rsidRPr="00D31DFB">
              <w:rPr>
                <w:rFonts w:ascii="Times New Roman" w:hAnsi="Times New Roman" w:cs="Times New Roman"/>
              </w:rPr>
              <w:t>=</w:t>
            </w:r>
          </w:p>
        </w:tc>
        <w:tc>
          <w:tcPr>
            <w:tcW w:w="733" w:type="dxa"/>
          </w:tcPr>
          <w:p w:rsidR="00A84AA6" w:rsidRPr="00D31DFB" w:rsidRDefault="00A84AA6" w:rsidP="00A84AA6">
            <w:pPr>
              <w:pStyle w:val="TableParagraph"/>
              <w:adjustRightInd w:val="0"/>
              <w:snapToGrid w:val="0"/>
              <w:ind w:right="51"/>
              <w:rPr>
                <w:rFonts w:ascii="Times New Roman" w:hAnsi="Times New Roman" w:cs="Times New Roman"/>
              </w:rPr>
            </w:pPr>
            <w:r w:rsidRPr="00D31DFB">
              <w:rPr>
                <w:rFonts w:ascii="Times New Roman" w:hAnsi="Times New Roman" w:cs="Times New Roman"/>
              </w:rPr>
              <w:t>84</w:t>
            </w:r>
          </w:p>
        </w:tc>
      </w:tr>
      <w:tr w:rsidR="00A84AA6" w:rsidRPr="00D31DFB" w:rsidTr="00A84AA6">
        <w:trPr>
          <w:trHeight w:val="299"/>
          <w:jc w:val="center"/>
        </w:trPr>
        <w:tc>
          <w:tcPr>
            <w:tcW w:w="4062" w:type="dxa"/>
          </w:tcPr>
          <w:p w:rsidR="00A84AA6" w:rsidRPr="00D31DFB" w:rsidRDefault="00A84AA6" w:rsidP="00A84AA6">
            <w:pPr>
              <w:pStyle w:val="TableParagraph"/>
              <w:adjustRightInd w:val="0"/>
              <w:snapToGrid w:val="0"/>
              <w:ind w:left="381"/>
              <w:rPr>
                <w:rFonts w:ascii="Times New Roman" w:hAnsi="Times New Roman" w:cs="Times New Roman"/>
              </w:rPr>
            </w:pPr>
            <w:r w:rsidRPr="00D31DFB">
              <w:rPr>
                <w:rFonts w:ascii="Times New Roman" w:hAnsi="Times New Roman" w:cs="Times New Roman"/>
              </w:rPr>
              <w:t xml:space="preserve">Group variable: </w:t>
            </w:r>
            <w:proofErr w:type="spellStart"/>
            <w:r w:rsidRPr="00D31DFB">
              <w:rPr>
                <w:rFonts w:ascii="Times New Roman" w:hAnsi="Times New Roman" w:cs="Times New Roman"/>
              </w:rPr>
              <w:t>panelid</w:t>
            </w:r>
            <w:proofErr w:type="spellEnd"/>
          </w:p>
        </w:tc>
        <w:tc>
          <w:tcPr>
            <w:tcW w:w="551" w:type="dxa"/>
          </w:tcPr>
          <w:p w:rsidR="00A84AA6" w:rsidRPr="00D31DFB" w:rsidRDefault="00A84AA6" w:rsidP="00A84AA6">
            <w:pPr>
              <w:pStyle w:val="TableParagraph"/>
              <w:adjustRightInd w:val="0"/>
              <w:snapToGrid w:val="0"/>
              <w:rPr>
                <w:rFonts w:ascii="Times New Roman" w:hAnsi="Times New Roman" w:cs="Times New Roman"/>
              </w:rPr>
            </w:pPr>
          </w:p>
        </w:tc>
        <w:tc>
          <w:tcPr>
            <w:tcW w:w="659" w:type="dxa"/>
          </w:tcPr>
          <w:p w:rsidR="00A84AA6" w:rsidRPr="00D31DFB" w:rsidRDefault="00A84AA6" w:rsidP="00A84AA6">
            <w:pPr>
              <w:pStyle w:val="TableParagraph"/>
              <w:adjustRightInd w:val="0"/>
              <w:snapToGrid w:val="0"/>
              <w:rPr>
                <w:rFonts w:ascii="Times New Roman" w:hAnsi="Times New Roman" w:cs="Times New Roman"/>
              </w:rPr>
            </w:pPr>
          </w:p>
        </w:tc>
        <w:tc>
          <w:tcPr>
            <w:tcW w:w="2311" w:type="dxa"/>
          </w:tcPr>
          <w:p w:rsidR="00A84AA6" w:rsidRPr="00D31DFB" w:rsidRDefault="00A84AA6" w:rsidP="00A84AA6">
            <w:pPr>
              <w:pStyle w:val="TableParagraph"/>
              <w:adjustRightInd w:val="0"/>
              <w:snapToGrid w:val="0"/>
              <w:rPr>
                <w:rFonts w:ascii="Times New Roman" w:hAnsi="Times New Roman" w:cs="Times New Roman"/>
              </w:rPr>
            </w:pPr>
            <w:r w:rsidRPr="00D31DFB">
              <w:rPr>
                <w:rFonts w:ascii="Times New Roman" w:hAnsi="Times New Roman" w:cs="Times New Roman"/>
              </w:rPr>
              <w:t xml:space="preserve">  Number of groups</w:t>
            </w:r>
          </w:p>
        </w:tc>
        <w:tc>
          <w:tcPr>
            <w:tcW w:w="441" w:type="dxa"/>
          </w:tcPr>
          <w:p w:rsidR="00A84AA6" w:rsidRPr="00D31DFB" w:rsidRDefault="00A84AA6" w:rsidP="00A84AA6">
            <w:pPr>
              <w:pStyle w:val="TableParagraph"/>
              <w:adjustRightInd w:val="0"/>
              <w:snapToGrid w:val="0"/>
              <w:rPr>
                <w:rFonts w:ascii="Times New Roman" w:hAnsi="Times New Roman" w:cs="Times New Roman"/>
              </w:rPr>
            </w:pPr>
            <w:r w:rsidRPr="00D31DFB">
              <w:rPr>
                <w:rFonts w:ascii="Times New Roman" w:hAnsi="Times New Roman" w:cs="Times New Roman"/>
              </w:rPr>
              <w:t>=</w:t>
            </w:r>
          </w:p>
        </w:tc>
        <w:tc>
          <w:tcPr>
            <w:tcW w:w="733" w:type="dxa"/>
          </w:tcPr>
          <w:p w:rsidR="00A84AA6" w:rsidRPr="00D31DFB" w:rsidRDefault="00A84AA6" w:rsidP="00A84AA6">
            <w:pPr>
              <w:pStyle w:val="TableParagraph"/>
              <w:adjustRightInd w:val="0"/>
              <w:snapToGrid w:val="0"/>
              <w:ind w:right="51"/>
              <w:rPr>
                <w:rFonts w:ascii="Times New Roman" w:hAnsi="Times New Roman" w:cs="Times New Roman"/>
              </w:rPr>
            </w:pPr>
            <w:r w:rsidRPr="00D31DFB">
              <w:rPr>
                <w:rFonts w:ascii="Times New Roman" w:hAnsi="Times New Roman" w:cs="Times New Roman"/>
              </w:rPr>
              <w:t>14</w:t>
            </w:r>
          </w:p>
        </w:tc>
      </w:tr>
      <w:tr w:rsidR="00A84AA6" w:rsidRPr="00D31DFB" w:rsidTr="00A84AA6">
        <w:trPr>
          <w:trHeight w:val="297"/>
          <w:jc w:val="center"/>
        </w:trPr>
        <w:tc>
          <w:tcPr>
            <w:tcW w:w="4062" w:type="dxa"/>
          </w:tcPr>
          <w:p w:rsidR="00A84AA6" w:rsidRPr="00D31DFB" w:rsidRDefault="00A84AA6" w:rsidP="00A84AA6">
            <w:pPr>
              <w:pStyle w:val="TableParagraph"/>
              <w:adjustRightInd w:val="0"/>
              <w:snapToGrid w:val="0"/>
              <w:ind w:left="381"/>
              <w:rPr>
                <w:rFonts w:ascii="Times New Roman" w:hAnsi="Times New Roman" w:cs="Times New Roman"/>
              </w:rPr>
            </w:pPr>
            <w:r w:rsidRPr="00D31DFB">
              <w:rPr>
                <w:rFonts w:ascii="Times New Roman" w:hAnsi="Times New Roman" w:cs="Times New Roman"/>
              </w:rPr>
              <w:t>R-sq:</w:t>
            </w:r>
          </w:p>
        </w:tc>
        <w:tc>
          <w:tcPr>
            <w:tcW w:w="551" w:type="dxa"/>
          </w:tcPr>
          <w:p w:rsidR="00A84AA6" w:rsidRPr="00D31DFB" w:rsidRDefault="00A84AA6" w:rsidP="00A84AA6">
            <w:pPr>
              <w:pStyle w:val="TableParagraph"/>
              <w:adjustRightInd w:val="0"/>
              <w:snapToGrid w:val="0"/>
              <w:rPr>
                <w:rFonts w:ascii="Times New Roman" w:hAnsi="Times New Roman" w:cs="Times New Roman"/>
              </w:rPr>
            </w:pPr>
          </w:p>
        </w:tc>
        <w:tc>
          <w:tcPr>
            <w:tcW w:w="659" w:type="dxa"/>
          </w:tcPr>
          <w:p w:rsidR="00A84AA6" w:rsidRPr="00D31DFB" w:rsidRDefault="00A84AA6" w:rsidP="00A84AA6">
            <w:pPr>
              <w:pStyle w:val="TableParagraph"/>
              <w:adjustRightInd w:val="0"/>
              <w:snapToGrid w:val="0"/>
              <w:rPr>
                <w:rFonts w:ascii="Times New Roman" w:hAnsi="Times New Roman" w:cs="Times New Roman"/>
              </w:rPr>
            </w:pPr>
          </w:p>
        </w:tc>
        <w:tc>
          <w:tcPr>
            <w:tcW w:w="2311" w:type="dxa"/>
          </w:tcPr>
          <w:p w:rsidR="00A84AA6" w:rsidRPr="00D31DFB" w:rsidRDefault="00A84AA6" w:rsidP="00A84AA6">
            <w:pPr>
              <w:pStyle w:val="TableParagraph"/>
              <w:adjustRightInd w:val="0"/>
              <w:snapToGrid w:val="0"/>
              <w:rPr>
                <w:rFonts w:ascii="Times New Roman" w:hAnsi="Times New Roman" w:cs="Times New Roman"/>
              </w:rPr>
            </w:pPr>
            <w:r w:rsidRPr="00D31DFB">
              <w:rPr>
                <w:rFonts w:ascii="Times New Roman" w:hAnsi="Times New Roman" w:cs="Times New Roman"/>
              </w:rPr>
              <w:t xml:space="preserve">  </w:t>
            </w:r>
            <w:proofErr w:type="spellStart"/>
            <w:r w:rsidRPr="00D31DFB">
              <w:rPr>
                <w:rFonts w:ascii="Times New Roman" w:hAnsi="Times New Roman" w:cs="Times New Roman"/>
              </w:rPr>
              <w:t>Obs</w:t>
            </w:r>
            <w:proofErr w:type="spellEnd"/>
            <w:r w:rsidRPr="00D31DFB">
              <w:rPr>
                <w:rFonts w:ascii="Times New Roman" w:hAnsi="Times New Roman" w:cs="Times New Roman"/>
              </w:rPr>
              <w:t xml:space="preserve"> per group:</w:t>
            </w:r>
          </w:p>
        </w:tc>
        <w:tc>
          <w:tcPr>
            <w:tcW w:w="441" w:type="dxa"/>
          </w:tcPr>
          <w:p w:rsidR="00A84AA6" w:rsidRPr="00D31DFB" w:rsidRDefault="00A84AA6" w:rsidP="00A84AA6">
            <w:pPr>
              <w:pStyle w:val="TableParagraph"/>
              <w:adjustRightInd w:val="0"/>
              <w:snapToGrid w:val="0"/>
              <w:rPr>
                <w:rFonts w:ascii="Times New Roman" w:hAnsi="Times New Roman" w:cs="Times New Roman"/>
              </w:rPr>
            </w:pPr>
          </w:p>
        </w:tc>
        <w:tc>
          <w:tcPr>
            <w:tcW w:w="733" w:type="dxa"/>
          </w:tcPr>
          <w:p w:rsidR="00A84AA6" w:rsidRPr="00D31DFB" w:rsidRDefault="00A84AA6" w:rsidP="00A84AA6">
            <w:pPr>
              <w:pStyle w:val="TableParagraph"/>
              <w:adjustRightInd w:val="0"/>
              <w:snapToGrid w:val="0"/>
              <w:rPr>
                <w:rFonts w:ascii="Times New Roman" w:hAnsi="Times New Roman" w:cs="Times New Roman"/>
              </w:rPr>
            </w:pPr>
          </w:p>
        </w:tc>
      </w:tr>
      <w:tr w:rsidR="00A84AA6" w:rsidRPr="00D31DFB" w:rsidTr="00A84AA6">
        <w:trPr>
          <w:trHeight w:val="199"/>
          <w:jc w:val="center"/>
        </w:trPr>
        <w:tc>
          <w:tcPr>
            <w:tcW w:w="4062" w:type="dxa"/>
          </w:tcPr>
          <w:p w:rsidR="00A84AA6" w:rsidRPr="00D31DFB" w:rsidRDefault="00A84AA6" w:rsidP="00A84AA6">
            <w:pPr>
              <w:pStyle w:val="TableParagraph"/>
              <w:tabs>
                <w:tab w:val="left" w:pos="1816"/>
              </w:tabs>
              <w:adjustRightInd w:val="0"/>
              <w:snapToGrid w:val="0"/>
              <w:ind w:left="932"/>
              <w:rPr>
                <w:rFonts w:ascii="Times New Roman" w:hAnsi="Times New Roman" w:cs="Times New Roman"/>
              </w:rPr>
            </w:pPr>
            <w:r w:rsidRPr="00D31DFB">
              <w:rPr>
                <w:rFonts w:ascii="Times New Roman" w:hAnsi="Times New Roman" w:cs="Times New Roman"/>
                <w:spacing w:val="6"/>
              </w:rPr>
              <w:t>within</w:t>
            </w:r>
            <w:r w:rsidRPr="00D31DFB">
              <w:rPr>
                <w:rFonts w:ascii="Times New Roman" w:hAnsi="Times New Roman" w:cs="Times New Roman"/>
                <w:spacing w:val="6"/>
              </w:rPr>
              <w:tab/>
            </w:r>
            <w:r w:rsidRPr="00D31DFB">
              <w:rPr>
                <w:rFonts w:ascii="Times New Roman" w:hAnsi="Times New Roman" w:cs="Times New Roman"/>
              </w:rPr>
              <w:t>=</w:t>
            </w:r>
            <w:r w:rsidRPr="00D31DFB">
              <w:rPr>
                <w:rFonts w:ascii="Times New Roman" w:hAnsi="Times New Roman" w:cs="Times New Roman"/>
                <w:spacing w:val="15"/>
              </w:rPr>
              <w:t xml:space="preserve"> </w:t>
            </w:r>
            <w:r w:rsidRPr="00D31DFB">
              <w:rPr>
                <w:rFonts w:ascii="Times New Roman" w:hAnsi="Times New Roman" w:cs="Times New Roman"/>
                <w:spacing w:val="5"/>
              </w:rPr>
              <w:t>0.8747</w:t>
            </w:r>
          </w:p>
        </w:tc>
        <w:tc>
          <w:tcPr>
            <w:tcW w:w="551" w:type="dxa"/>
          </w:tcPr>
          <w:p w:rsidR="00A84AA6" w:rsidRPr="00D31DFB" w:rsidRDefault="00A84AA6" w:rsidP="00A84AA6">
            <w:pPr>
              <w:pStyle w:val="TableParagraph"/>
              <w:adjustRightInd w:val="0"/>
              <w:snapToGrid w:val="0"/>
              <w:rPr>
                <w:rFonts w:ascii="Times New Roman" w:hAnsi="Times New Roman" w:cs="Times New Roman"/>
              </w:rPr>
            </w:pPr>
          </w:p>
        </w:tc>
        <w:tc>
          <w:tcPr>
            <w:tcW w:w="659" w:type="dxa"/>
          </w:tcPr>
          <w:p w:rsidR="00A84AA6" w:rsidRPr="00D31DFB" w:rsidRDefault="00A84AA6" w:rsidP="00A84AA6">
            <w:pPr>
              <w:pStyle w:val="TableParagraph"/>
              <w:adjustRightInd w:val="0"/>
              <w:snapToGrid w:val="0"/>
              <w:rPr>
                <w:rFonts w:ascii="Times New Roman" w:hAnsi="Times New Roman" w:cs="Times New Roman"/>
              </w:rPr>
            </w:pPr>
          </w:p>
        </w:tc>
        <w:tc>
          <w:tcPr>
            <w:tcW w:w="2311" w:type="dxa"/>
          </w:tcPr>
          <w:p w:rsidR="00A84AA6" w:rsidRPr="00D31DFB" w:rsidRDefault="00A84AA6" w:rsidP="00A84AA6">
            <w:pPr>
              <w:pStyle w:val="TableParagraph"/>
              <w:adjustRightInd w:val="0"/>
              <w:snapToGrid w:val="0"/>
              <w:ind w:right="58"/>
              <w:jc w:val="center"/>
              <w:rPr>
                <w:rFonts w:ascii="Times New Roman" w:hAnsi="Times New Roman" w:cs="Times New Roman"/>
              </w:rPr>
            </w:pPr>
            <w:r w:rsidRPr="00D31DFB">
              <w:rPr>
                <w:rFonts w:ascii="Times New Roman" w:hAnsi="Times New Roman" w:cs="Times New Roman"/>
              </w:rPr>
              <w:t xml:space="preserve">          min</w:t>
            </w:r>
          </w:p>
        </w:tc>
        <w:tc>
          <w:tcPr>
            <w:tcW w:w="441" w:type="dxa"/>
          </w:tcPr>
          <w:p w:rsidR="00A84AA6" w:rsidRPr="00D31DFB" w:rsidRDefault="00A84AA6" w:rsidP="00A84AA6">
            <w:pPr>
              <w:pStyle w:val="TableParagraph"/>
              <w:adjustRightInd w:val="0"/>
              <w:snapToGrid w:val="0"/>
              <w:rPr>
                <w:rFonts w:ascii="Times New Roman" w:hAnsi="Times New Roman" w:cs="Times New Roman"/>
              </w:rPr>
            </w:pPr>
            <w:r w:rsidRPr="00D31DFB">
              <w:rPr>
                <w:rFonts w:ascii="Times New Roman" w:hAnsi="Times New Roman" w:cs="Times New Roman"/>
              </w:rPr>
              <w:t>=</w:t>
            </w:r>
          </w:p>
        </w:tc>
        <w:tc>
          <w:tcPr>
            <w:tcW w:w="733" w:type="dxa"/>
          </w:tcPr>
          <w:p w:rsidR="00A84AA6" w:rsidRPr="00D31DFB" w:rsidRDefault="00A84AA6" w:rsidP="00A84AA6">
            <w:pPr>
              <w:pStyle w:val="TableParagraph"/>
              <w:adjustRightInd w:val="0"/>
              <w:snapToGrid w:val="0"/>
              <w:ind w:right="51"/>
              <w:rPr>
                <w:rFonts w:ascii="Times New Roman" w:hAnsi="Times New Roman" w:cs="Times New Roman"/>
              </w:rPr>
            </w:pPr>
            <w:r w:rsidRPr="00D31DFB">
              <w:rPr>
                <w:rFonts w:ascii="Times New Roman" w:hAnsi="Times New Roman" w:cs="Times New Roman"/>
              </w:rPr>
              <w:t>6</w:t>
            </w:r>
          </w:p>
        </w:tc>
      </w:tr>
      <w:tr w:rsidR="00A84AA6" w:rsidRPr="00D31DFB" w:rsidTr="00A84AA6">
        <w:trPr>
          <w:trHeight w:val="199"/>
          <w:jc w:val="center"/>
        </w:trPr>
        <w:tc>
          <w:tcPr>
            <w:tcW w:w="4062" w:type="dxa"/>
          </w:tcPr>
          <w:p w:rsidR="00A84AA6" w:rsidRPr="00D31DFB" w:rsidRDefault="00A84AA6" w:rsidP="00A84AA6">
            <w:pPr>
              <w:pStyle w:val="TableParagraph"/>
              <w:adjustRightInd w:val="0"/>
              <w:snapToGrid w:val="0"/>
              <w:ind w:left="932"/>
              <w:rPr>
                <w:rFonts w:ascii="Times New Roman" w:hAnsi="Times New Roman" w:cs="Times New Roman"/>
              </w:rPr>
            </w:pPr>
            <w:r w:rsidRPr="00D31DFB">
              <w:rPr>
                <w:rFonts w:ascii="Times New Roman" w:hAnsi="Times New Roman" w:cs="Times New Roman"/>
              </w:rPr>
              <w:t>between = 0.8773</w:t>
            </w:r>
          </w:p>
        </w:tc>
        <w:tc>
          <w:tcPr>
            <w:tcW w:w="551" w:type="dxa"/>
          </w:tcPr>
          <w:p w:rsidR="00A84AA6" w:rsidRPr="00D31DFB" w:rsidRDefault="00A84AA6" w:rsidP="00A84AA6">
            <w:pPr>
              <w:pStyle w:val="TableParagraph"/>
              <w:adjustRightInd w:val="0"/>
              <w:snapToGrid w:val="0"/>
              <w:rPr>
                <w:rFonts w:ascii="Times New Roman" w:hAnsi="Times New Roman" w:cs="Times New Roman"/>
              </w:rPr>
            </w:pPr>
          </w:p>
        </w:tc>
        <w:tc>
          <w:tcPr>
            <w:tcW w:w="659" w:type="dxa"/>
          </w:tcPr>
          <w:p w:rsidR="00A84AA6" w:rsidRPr="00D31DFB" w:rsidRDefault="00A84AA6" w:rsidP="00A84AA6">
            <w:pPr>
              <w:pStyle w:val="TableParagraph"/>
              <w:adjustRightInd w:val="0"/>
              <w:snapToGrid w:val="0"/>
              <w:rPr>
                <w:rFonts w:ascii="Times New Roman" w:hAnsi="Times New Roman" w:cs="Times New Roman"/>
              </w:rPr>
            </w:pPr>
          </w:p>
        </w:tc>
        <w:tc>
          <w:tcPr>
            <w:tcW w:w="2311" w:type="dxa"/>
          </w:tcPr>
          <w:p w:rsidR="00A84AA6" w:rsidRPr="00D31DFB" w:rsidRDefault="00A84AA6" w:rsidP="00A84AA6">
            <w:pPr>
              <w:pStyle w:val="TableParagraph"/>
              <w:adjustRightInd w:val="0"/>
              <w:snapToGrid w:val="0"/>
              <w:ind w:right="58"/>
              <w:jc w:val="center"/>
              <w:rPr>
                <w:rFonts w:ascii="Times New Roman" w:hAnsi="Times New Roman" w:cs="Times New Roman"/>
              </w:rPr>
            </w:pPr>
            <w:r w:rsidRPr="00D31DFB">
              <w:rPr>
                <w:rFonts w:ascii="Times New Roman" w:hAnsi="Times New Roman" w:cs="Times New Roman"/>
              </w:rPr>
              <w:t xml:space="preserve">         avg</w:t>
            </w:r>
          </w:p>
        </w:tc>
        <w:tc>
          <w:tcPr>
            <w:tcW w:w="441" w:type="dxa"/>
          </w:tcPr>
          <w:p w:rsidR="00A84AA6" w:rsidRPr="00D31DFB" w:rsidRDefault="00A84AA6" w:rsidP="00A84AA6">
            <w:pPr>
              <w:pStyle w:val="TableParagraph"/>
              <w:adjustRightInd w:val="0"/>
              <w:snapToGrid w:val="0"/>
              <w:rPr>
                <w:rFonts w:ascii="Times New Roman" w:hAnsi="Times New Roman" w:cs="Times New Roman"/>
              </w:rPr>
            </w:pPr>
            <w:r w:rsidRPr="00D31DFB">
              <w:rPr>
                <w:rFonts w:ascii="Times New Roman" w:hAnsi="Times New Roman" w:cs="Times New Roman"/>
              </w:rPr>
              <w:t>=</w:t>
            </w:r>
          </w:p>
        </w:tc>
        <w:tc>
          <w:tcPr>
            <w:tcW w:w="733" w:type="dxa"/>
          </w:tcPr>
          <w:p w:rsidR="00A84AA6" w:rsidRPr="00D31DFB" w:rsidRDefault="00A84AA6" w:rsidP="00A84AA6">
            <w:pPr>
              <w:pStyle w:val="TableParagraph"/>
              <w:adjustRightInd w:val="0"/>
              <w:snapToGrid w:val="0"/>
              <w:ind w:right="51"/>
              <w:rPr>
                <w:rFonts w:ascii="Times New Roman" w:hAnsi="Times New Roman" w:cs="Times New Roman"/>
              </w:rPr>
            </w:pPr>
            <w:r w:rsidRPr="00D31DFB">
              <w:rPr>
                <w:rFonts w:ascii="Times New Roman" w:hAnsi="Times New Roman" w:cs="Times New Roman"/>
              </w:rPr>
              <w:t>6.0</w:t>
            </w:r>
          </w:p>
        </w:tc>
      </w:tr>
      <w:tr w:rsidR="00A84AA6" w:rsidRPr="00D31DFB" w:rsidTr="00A84AA6">
        <w:trPr>
          <w:trHeight w:val="298"/>
          <w:jc w:val="center"/>
        </w:trPr>
        <w:tc>
          <w:tcPr>
            <w:tcW w:w="4062" w:type="dxa"/>
          </w:tcPr>
          <w:p w:rsidR="00A84AA6" w:rsidRPr="00D31DFB" w:rsidRDefault="00A84AA6" w:rsidP="00A84AA6">
            <w:pPr>
              <w:pStyle w:val="TableParagraph"/>
              <w:adjustRightInd w:val="0"/>
              <w:snapToGrid w:val="0"/>
              <w:ind w:left="932"/>
              <w:rPr>
                <w:rFonts w:ascii="Times New Roman" w:hAnsi="Times New Roman" w:cs="Times New Roman"/>
              </w:rPr>
            </w:pPr>
            <w:r w:rsidRPr="00D31DFB">
              <w:rPr>
                <w:rFonts w:ascii="Times New Roman" w:hAnsi="Times New Roman" w:cs="Times New Roman"/>
              </w:rPr>
              <w:t>overall = 0.8571</w:t>
            </w:r>
          </w:p>
        </w:tc>
        <w:tc>
          <w:tcPr>
            <w:tcW w:w="551" w:type="dxa"/>
          </w:tcPr>
          <w:p w:rsidR="00A84AA6" w:rsidRPr="00D31DFB" w:rsidRDefault="00A84AA6" w:rsidP="00A84AA6">
            <w:pPr>
              <w:pStyle w:val="TableParagraph"/>
              <w:adjustRightInd w:val="0"/>
              <w:snapToGrid w:val="0"/>
              <w:rPr>
                <w:rFonts w:ascii="Times New Roman" w:hAnsi="Times New Roman" w:cs="Times New Roman"/>
              </w:rPr>
            </w:pPr>
          </w:p>
        </w:tc>
        <w:tc>
          <w:tcPr>
            <w:tcW w:w="659" w:type="dxa"/>
          </w:tcPr>
          <w:p w:rsidR="00A84AA6" w:rsidRPr="00D31DFB" w:rsidRDefault="00A84AA6" w:rsidP="00A84AA6">
            <w:pPr>
              <w:pStyle w:val="TableParagraph"/>
              <w:adjustRightInd w:val="0"/>
              <w:snapToGrid w:val="0"/>
              <w:rPr>
                <w:rFonts w:ascii="Times New Roman" w:hAnsi="Times New Roman" w:cs="Times New Roman"/>
              </w:rPr>
            </w:pPr>
          </w:p>
        </w:tc>
        <w:tc>
          <w:tcPr>
            <w:tcW w:w="2311" w:type="dxa"/>
          </w:tcPr>
          <w:p w:rsidR="00A84AA6" w:rsidRPr="00D31DFB" w:rsidRDefault="00A84AA6" w:rsidP="00A84AA6">
            <w:pPr>
              <w:pStyle w:val="TableParagraph"/>
              <w:adjustRightInd w:val="0"/>
              <w:snapToGrid w:val="0"/>
              <w:ind w:right="58"/>
              <w:jc w:val="center"/>
              <w:rPr>
                <w:rFonts w:ascii="Times New Roman" w:hAnsi="Times New Roman" w:cs="Times New Roman"/>
              </w:rPr>
            </w:pPr>
            <w:r w:rsidRPr="00D31DFB">
              <w:rPr>
                <w:rFonts w:ascii="Times New Roman" w:hAnsi="Times New Roman" w:cs="Times New Roman"/>
              </w:rPr>
              <w:t xml:space="preserve">          max</w:t>
            </w:r>
          </w:p>
        </w:tc>
        <w:tc>
          <w:tcPr>
            <w:tcW w:w="441" w:type="dxa"/>
          </w:tcPr>
          <w:p w:rsidR="00A84AA6" w:rsidRPr="00D31DFB" w:rsidRDefault="00A84AA6" w:rsidP="00A84AA6">
            <w:pPr>
              <w:pStyle w:val="TableParagraph"/>
              <w:adjustRightInd w:val="0"/>
              <w:snapToGrid w:val="0"/>
              <w:rPr>
                <w:rFonts w:ascii="Times New Roman" w:hAnsi="Times New Roman" w:cs="Times New Roman"/>
              </w:rPr>
            </w:pPr>
            <w:r w:rsidRPr="00D31DFB">
              <w:rPr>
                <w:rFonts w:ascii="Times New Roman" w:hAnsi="Times New Roman" w:cs="Times New Roman"/>
              </w:rPr>
              <w:t>=</w:t>
            </w:r>
          </w:p>
        </w:tc>
        <w:tc>
          <w:tcPr>
            <w:tcW w:w="733" w:type="dxa"/>
          </w:tcPr>
          <w:p w:rsidR="00A84AA6" w:rsidRPr="00D31DFB" w:rsidRDefault="00A84AA6" w:rsidP="00A84AA6">
            <w:pPr>
              <w:pStyle w:val="TableParagraph"/>
              <w:adjustRightInd w:val="0"/>
              <w:snapToGrid w:val="0"/>
              <w:ind w:right="51"/>
              <w:rPr>
                <w:rFonts w:ascii="Times New Roman" w:hAnsi="Times New Roman" w:cs="Times New Roman"/>
              </w:rPr>
            </w:pPr>
            <w:r w:rsidRPr="00D31DFB">
              <w:rPr>
                <w:rFonts w:ascii="Times New Roman" w:hAnsi="Times New Roman" w:cs="Times New Roman"/>
              </w:rPr>
              <w:t>6</w:t>
            </w:r>
          </w:p>
        </w:tc>
      </w:tr>
      <w:tr w:rsidR="00A84AA6" w:rsidRPr="00D31DFB" w:rsidTr="00A84AA6">
        <w:trPr>
          <w:trHeight w:val="298"/>
          <w:jc w:val="center"/>
        </w:trPr>
        <w:tc>
          <w:tcPr>
            <w:tcW w:w="4062" w:type="dxa"/>
          </w:tcPr>
          <w:p w:rsidR="00A84AA6" w:rsidRPr="00D31DFB" w:rsidRDefault="00A84AA6" w:rsidP="00A84AA6">
            <w:pPr>
              <w:pStyle w:val="TableParagraph"/>
              <w:adjustRightInd w:val="0"/>
              <w:snapToGrid w:val="0"/>
              <w:rPr>
                <w:rFonts w:ascii="Times New Roman" w:hAnsi="Times New Roman" w:cs="Times New Roman"/>
              </w:rPr>
            </w:pPr>
          </w:p>
        </w:tc>
        <w:tc>
          <w:tcPr>
            <w:tcW w:w="551" w:type="dxa"/>
          </w:tcPr>
          <w:p w:rsidR="00A84AA6" w:rsidRPr="00D31DFB" w:rsidRDefault="00A84AA6" w:rsidP="00A84AA6">
            <w:pPr>
              <w:pStyle w:val="TableParagraph"/>
              <w:adjustRightInd w:val="0"/>
              <w:snapToGrid w:val="0"/>
              <w:rPr>
                <w:rFonts w:ascii="Times New Roman" w:hAnsi="Times New Roman" w:cs="Times New Roman"/>
              </w:rPr>
            </w:pPr>
          </w:p>
        </w:tc>
        <w:tc>
          <w:tcPr>
            <w:tcW w:w="659" w:type="dxa"/>
          </w:tcPr>
          <w:p w:rsidR="00A84AA6" w:rsidRPr="00D31DFB" w:rsidRDefault="00A84AA6" w:rsidP="00A84AA6">
            <w:pPr>
              <w:pStyle w:val="TableParagraph"/>
              <w:adjustRightInd w:val="0"/>
              <w:snapToGrid w:val="0"/>
              <w:rPr>
                <w:rFonts w:ascii="Times New Roman" w:hAnsi="Times New Roman" w:cs="Times New Roman"/>
              </w:rPr>
            </w:pPr>
          </w:p>
        </w:tc>
        <w:tc>
          <w:tcPr>
            <w:tcW w:w="2311" w:type="dxa"/>
          </w:tcPr>
          <w:p w:rsidR="00A84AA6" w:rsidRPr="00D31DFB" w:rsidRDefault="00A84AA6" w:rsidP="00A84AA6">
            <w:pPr>
              <w:pStyle w:val="TableParagraph"/>
              <w:adjustRightInd w:val="0"/>
              <w:snapToGrid w:val="0"/>
              <w:rPr>
                <w:rFonts w:ascii="Times New Roman" w:hAnsi="Times New Roman" w:cs="Times New Roman"/>
              </w:rPr>
            </w:pPr>
            <w:r w:rsidRPr="00D31DFB">
              <w:rPr>
                <w:rFonts w:ascii="Times New Roman" w:hAnsi="Times New Roman" w:cs="Times New Roman"/>
              </w:rPr>
              <w:t xml:space="preserve">  </w:t>
            </w:r>
            <w:proofErr w:type="gramStart"/>
            <w:r w:rsidRPr="00D31DFB">
              <w:rPr>
                <w:rFonts w:ascii="Times New Roman" w:hAnsi="Times New Roman" w:cs="Times New Roman"/>
              </w:rPr>
              <w:t>F(</w:t>
            </w:r>
            <w:proofErr w:type="gramEnd"/>
            <w:r w:rsidRPr="00D31DFB">
              <w:rPr>
                <w:rFonts w:ascii="Times New Roman" w:hAnsi="Times New Roman" w:cs="Times New Roman"/>
              </w:rPr>
              <w:t>4,66)</w:t>
            </w:r>
          </w:p>
        </w:tc>
        <w:tc>
          <w:tcPr>
            <w:tcW w:w="441" w:type="dxa"/>
          </w:tcPr>
          <w:p w:rsidR="00A84AA6" w:rsidRPr="00D31DFB" w:rsidRDefault="00A84AA6" w:rsidP="00A84AA6">
            <w:pPr>
              <w:pStyle w:val="TableParagraph"/>
              <w:adjustRightInd w:val="0"/>
              <w:snapToGrid w:val="0"/>
              <w:rPr>
                <w:rFonts w:ascii="Times New Roman" w:hAnsi="Times New Roman" w:cs="Times New Roman"/>
              </w:rPr>
            </w:pPr>
            <w:r w:rsidRPr="00D31DFB">
              <w:rPr>
                <w:rFonts w:ascii="Times New Roman" w:hAnsi="Times New Roman" w:cs="Times New Roman"/>
              </w:rPr>
              <w:t>=</w:t>
            </w:r>
          </w:p>
        </w:tc>
        <w:tc>
          <w:tcPr>
            <w:tcW w:w="733" w:type="dxa"/>
          </w:tcPr>
          <w:p w:rsidR="00A84AA6" w:rsidRPr="00D31DFB" w:rsidRDefault="00A84AA6" w:rsidP="00A84AA6">
            <w:pPr>
              <w:pStyle w:val="TableParagraph"/>
              <w:adjustRightInd w:val="0"/>
              <w:snapToGrid w:val="0"/>
              <w:ind w:right="51"/>
              <w:rPr>
                <w:rFonts w:ascii="Times New Roman" w:hAnsi="Times New Roman" w:cs="Times New Roman"/>
              </w:rPr>
            </w:pPr>
            <w:r w:rsidRPr="00D31DFB">
              <w:rPr>
                <w:rFonts w:ascii="Times New Roman" w:hAnsi="Times New Roman" w:cs="Times New Roman"/>
              </w:rPr>
              <w:t>115.14</w:t>
            </w:r>
          </w:p>
        </w:tc>
      </w:tr>
      <w:tr w:rsidR="00A84AA6" w:rsidRPr="00D31DFB" w:rsidTr="00A84AA6">
        <w:trPr>
          <w:trHeight w:val="315"/>
          <w:jc w:val="center"/>
        </w:trPr>
        <w:tc>
          <w:tcPr>
            <w:tcW w:w="4062" w:type="dxa"/>
          </w:tcPr>
          <w:p w:rsidR="00A84AA6" w:rsidRPr="00D31DFB" w:rsidRDefault="00A84AA6" w:rsidP="00A84AA6">
            <w:pPr>
              <w:pStyle w:val="TableParagraph"/>
              <w:tabs>
                <w:tab w:val="left" w:pos="2037"/>
              </w:tabs>
              <w:adjustRightInd w:val="0"/>
              <w:snapToGrid w:val="0"/>
              <w:ind w:left="381"/>
              <w:rPr>
                <w:rFonts w:ascii="Times New Roman" w:hAnsi="Times New Roman" w:cs="Times New Roman"/>
              </w:rPr>
            </w:pPr>
            <w:proofErr w:type="spellStart"/>
            <w:proofErr w:type="gramStart"/>
            <w:r w:rsidRPr="00D31DFB">
              <w:rPr>
                <w:rFonts w:ascii="Times New Roman" w:hAnsi="Times New Roman" w:cs="Times New Roman"/>
                <w:spacing w:val="6"/>
              </w:rPr>
              <w:t>corr</w:t>
            </w:r>
            <w:proofErr w:type="spellEnd"/>
            <w:r w:rsidRPr="00D31DFB">
              <w:rPr>
                <w:rFonts w:ascii="Times New Roman" w:hAnsi="Times New Roman" w:cs="Times New Roman"/>
                <w:spacing w:val="6"/>
              </w:rPr>
              <w:t>(</w:t>
            </w:r>
            <w:proofErr w:type="spellStart"/>
            <w:proofErr w:type="gramEnd"/>
            <w:r w:rsidRPr="00D31DFB">
              <w:rPr>
                <w:rFonts w:ascii="Times New Roman" w:hAnsi="Times New Roman" w:cs="Times New Roman"/>
                <w:spacing w:val="6"/>
              </w:rPr>
              <w:t>u_i</w:t>
            </w:r>
            <w:proofErr w:type="spellEnd"/>
            <w:r w:rsidRPr="00D31DFB">
              <w:rPr>
                <w:rFonts w:ascii="Times New Roman" w:hAnsi="Times New Roman" w:cs="Times New Roman"/>
                <w:spacing w:val="6"/>
              </w:rPr>
              <w:t>,</w:t>
            </w:r>
            <w:r w:rsidRPr="00D31DFB">
              <w:rPr>
                <w:rFonts w:ascii="Times New Roman" w:hAnsi="Times New Roman" w:cs="Times New Roman"/>
                <w:spacing w:val="22"/>
              </w:rPr>
              <w:t xml:space="preserve"> </w:t>
            </w:r>
            <w:proofErr w:type="spellStart"/>
            <w:r w:rsidRPr="00D31DFB">
              <w:rPr>
                <w:rFonts w:ascii="Times New Roman" w:hAnsi="Times New Roman" w:cs="Times New Roman"/>
                <w:spacing w:val="4"/>
              </w:rPr>
              <w:t>Xb</w:t>
            </w:r>
            <w:proofErr w:type="spellEnd"/>
            <w:r w:rsidRPr="00D31DFB">
              <w:rPr>
                <w:rFonts w:ascii="Times New Roman" w:hAnsi="Times New Roman" w:cs="Times New Roman"/>
                <w:spacing w:val="4"/>
              </w:rPr>
              <w:t>)</w:t>
            </w:r>
            <w:r w:rsidRPr="00D31DFB">
              <w:rPr>
                <w:rFonts w:ascii="Times New Roman" w:hAnsi="Times New Roman" w:cs="Times New Roman"/>
                <w:spacing w:val="4"/>
              </w:rPr>
              <w:tab/>
            </w:r>
            <w:r w:rsidRPr="00D31DFB">
              <w:rPr>
                <w:rFonts w:ascii="Times New Roman" w:hAnsi="Times New Roman" w:cs="Times New Roman"/>
              </w:rPr>
              <w:t>=</w:t>
            </w:r>
            <w:r w:rsidRPr="00D31DFB">
              <w:rPr>
                <w:rFonts w:ascii="Times New Roman" w:hAnsi="Times New Roman" w:cs="Times New Roman"/>
                <w:spacing w:val="15"/>
              </w:rPr>
              <w:t xml:space="preserve"> </w:t>
            </w:r>
            <w:r w:rsidRPr="00D31DFB">
              <w:rPr>
                <w:rFonts w:ascii="Times New Roman" w:hAnsi="Times New Roman" w:cs="Times New Roman"/>
                <w:spacing w:val="6"/>
              </w:rPr>
              <w:t>-0.6849</w:t>
            </w:r>
          </w:p>
        </w:tc>
        <w:tc>
          <w:tcPr>
            <w:tcW w:w="551" w:type="dxa"/>
          </w:tcPr>
          <w:p w:rsidR="00A84AA6" w:rsidRPr="00D31DFB" w:rsidRDefault="00A84AA6" w:rsidP="00A84AA6">
            <w:pPr>
              <w:pStyle w:val="TableParagraph"/>
              <w:adjustRightInd w:val="0"/>
              <w:snapToGrid w:val="0"/>
              <w:rPr>
                <w:rFonts w:ascii="Times New Roman" w:hAnsi="Times New Roman" w:cs="Times New Roman"/>
              </w:rPr>
            </w:pPr>
          </w:p>
        </w:tc>
        <w:tc>
          <w:tcPr>
            <w:tcW w:w="659" w:type="dxa"/>
          </w:tcPr>
          <w:p w:rsidR="00A84AA6" w:rsidRPr="00D31DFB" w:rsidRDefault="00A84AA6" w:rsidP="00A84AA6">
            <w:pPr>
              <w:pStyle w:val="TableParagraph"/>
              <w:adjustRightInd w:val="0"/>
              <w:snapToGrid w:val="0"/>
              <w:rPr>
                <w:rFonts w:ascii="Times New Roman" w:hAnsi="Times New Roman" w:cs="Times New Roman"/>
              </w:rPr>
            </w:pPr>
          </w:p>
        </w:tc>
        <w:tc>
          <w:tcPr>
            <w:tcW w:w="2311" w:type="dxa"/>
          </w:tcPr>
          <w:p w:rsidR="00A84AA6" w:rsidRPr="00D31DFB" w:rsidRDefault="00A84AA6" w:rsidP="00A84AA6">
            <w:pPr>
              <w:pStyle w:val="TableParagraph"/>
              <w:adjustRightInd w:val="0"/>
              <w:snapToGrid w:val="0"/>
              <w:rPr>
                <w:rFonts w:ascii="Times New Roman" w:hAnsi="Times New Roman" w:cs="Times New Roman"/>
              </w:rPr>
            </w:pPr>
            <w:r w:rsidRPr="00D31DFB">
              <w:rPr>
                <w:rFonts w:ascii="Times New Roman" w:hAnsi="Times New Roman" w:cs="Times New Roman"/>
              </w:rPr>
              <w:t xml:space="preserve">  Prob &gt; F</w:t>
            </w:r>
          </w:p>
        </w:tc>
        <w:tc>
          <w:tcPr>
            <w:tcW w:w="441" w:type="dxa"/>
          </w:tcPr>
          <w:p w:rsidR="00A84AA6" w:rsidRPr="00D31DFB" w:rsidRDefault="00A84AA6" w:rsidP="00A84AA6">
            <w:pPr>
              <w:pStyle w:val="TableParagraph"/>
              <w:adjustRightInd w:val="0"/>
              <w:snapToGrid w:val="0"/>
              <w:rPr>
                <w:rFonts w:ascii="Times New Roman" w:hAnsi="Times New Roman" w:cs="Times New Roman"/>
              </w:rPr>
            </w:pPr>
            <w:r w:rsidRPr="00D31DFB">
              <w:rPr>
                <w:rFonts w:ascii="Times New Roman" w:hAnsi="Times New Roman" w:cs="Times New Roman"/>
              </w:rPr>
              <w:t>=</w:t>
            </w:r>
          </w:p>
        </w:tc>
        <w:tc>
          <w:tcPr>
            <w:tcW w:w="733" w:type="dxa"/>
          </w:tcPr>
          <w:p w:rsidR="00A84AA6" w:rsidRPr="00D31DFB" w:rsidRDefault="00A84AA6" w:rsidP="00A84AA6">
            <w:pPr>
              <w:pStyle w:val="TableParagraph"/>
              <w:adjustRightInd w:val="0"/>
              <w:snapToGrid w:val="0"/>
              <w:ind w:left="-117" w:right="51" w:firstLine="117"/>
              <w:rPr>
                <w:rFonts w:ascii="Times New Roman" w:hAnsi="Times New Roman" w:cs="Times New Roman"/>
              </w:rPr>
            </w:pPr>
            <w:r w:rsidRPr="00D31DFB">
              <w:rPr>
                <w:rFonts w:ascii="Times New Roman" w:hAnsi="Times New Roman" w:cs="Times New Roman"/>
              </w:rPr>
              <w:t>0.0000</w:t>
            </w:r>
          </w:p>
        </w:tc>
      </w:tr>
    </w:tbl>
    <w:tbl>
      <w:tblPr>
        <w:tblpPr w:leftFromText="180" w:rightFromText="180" w:vertAnchor="text" w:horzAnchor="margin" w:tblpXSpec="center" w:tblpY="20"/>
        <w:tblW w:w="8779" w:type="dxa"/>
        <w:tblLayout w:type="fixed"/>
        <w:tblCellMar>
          <w:left w:w="0" w:type="dxa"/>
          <w:right w:w="0" w:type="dxa"/>
        </w:tblCellMar>
        <w:tblLook w:val="01E0" w:firstRow="1" w:lastRow="1" w:firstColumn="1" w:lastColumn="1" w:noHBand="0" w:noVBand="0"/>
      </w:tblPr>
      <w:tblGrid>
        <w:gridCol w:w="172"/>
        <w:gridCol w:w="1490"/>
        <w:gridCol w:w="1431"/>
        <w:gridCol w:w="1214"/>
        <w:gridCol w:w="275"/>
        <w:gridCol w:w="1490"/>
        <w:gridCol w:w="331"/>
        <w:gridCol w:w="1324"/>
        <w:gridCol w:w="1052"/>
      </w:tblGrid>
      <w:tr w:rsidR="00A84AA6" w:rsidRPr="00D31DFB" w:rsidTr="00A84AA6">
        <w:trPr>
          <w:trHeight w:val="378"/>
        </w:trPr>
        <w:tc>
          <w:tcPr>
            <w:tcW w:w="1662" w:type="dxa"/>
            <w:gridSpan w:val="2"/>
            <w:tcBorders>
              <w:bottom w:val="single" w:sz="4" w:space="0" w:color="auto"/>
            </w:tcBorders>
          </w:tcPr>
          <w:p w:rsidR="00A84AA6" w:rsidRPr="00D31DFB" w:rsidRDefault="00A84AA6" w:rsidP="00A84AA6">
            <w:pPr>
              <w:pStyle w:val="TableParagraph"/>
              <w:adjustRightInd w:val="0"/>
              <w:snapToGrid w:val="0"/>
              <w:ind w:right="162" w:hanging="172"/>
              <w:jc w:val="center"/>
              <w:rPr>
                <w:rFonts w:ascii="Times New Roman" w:hAnsi="Times New Roman" w:cs="Times New Roman"/>
                <w:b/>
                <w:bCs/>
              </w:rPr>
            </w:pPr>
            <w:r w:rsidRPr="00D31DFB">
              <w:rPr>
                <w:rFonts w:ascii="Times New Roman" w:hAnsi="Times New Roman" w:cs="Times New Roman"/>
                <w:b/>
                <w:bCs/>
              </w:rPr>
              <w:t xml:space="preserve">  </w:t>
            </w:r>
            <w:proofErr w:type="spellStart"/>
            <w:r w:rsidRPr="00D31DFB">
              <w:rPr>
                <w:rFonts w:ascii="Times New Roman" w:hAnsi="Times New Roman" w:cs="Times New Roman"/>
                <w:b/>
                <w:bCs/>
              </w:rPr>
              <w:t>BelanjaDaerah</w:t>
            </w:r>
            <w:proofErr w:type="spellEnd"/>
          </w:p>
        </w:tc>
        <w:tc>
          <w:tcPr>
            <w:tcW w:w="1431" w:type="dxa"/>
            <w:tcBorders>
              <w:bottom w:val="single" w:sz="4" w:space="0" w:color="auto"/>
            </w:tcBorders>
          </w:tcPr>
          <w:p w:rsidR="00A84AA6" w:rsidRPr="00D31DFB" w:rsidRDefault="00A84AA6" w:rsidP="00A84AA6">
            <w:pPr>
              <w:pStyle w:val="TableParagraph"/>
              <w:adjustRightInd w:val="0"/>
              <w:snapToGrid w:val="0"/>
              <w:ind w:right="162"/>
              <w:jc w:val="center"/>
              <w:rPr>
                <w:rFonts w:ascii="Times New Roman" w:hAnsi="Times New Roman" w:cs="Times New Roman"/>
                <w:b/>
                <w:bCs/>
              </w:rPr>
            </w:pPr>
            <w:r w:rsidRPr="00D31DFB">
              <w:rPr>
                <w:rFonts w:ascii="Times New Roman" w:hAnsi="Times New Roman" w:cs="Times New Roman"/>
                <w:b/>
                <w:bCs/>
              </w:rPr>
              <w:t>Coef.</w:t>
            </w:r>
          </w:p>
        </w:tc>
        <w:tc>
          <w:tcPr>
            <w:tcW w:w="1214" w:type="dxa"/>
            <w:tcBorders>
              <w:bottom w:val="single" w:sz="4" w:space="0" w:color="auto"/>
            </w:tcBorders>
          </w:tcPr>
          <w:p w:rsidR="00A84AA6" w:rsidRPr="00D31DFB" w:rsidRDefault="00A84AA6" w:rsidP="00A84AA6">
            <w:pPr>
              <w:pStyle w:val="TableParagraph"/>
              <w:adjustRightInd w:val="0"/>
              <w:snapToGrid w:val="0"/>
              <w:ind w:left="173"/>
              <w:jc w:val="center"/>
              <w:rPr>
                <w:rFonts w:ascii="Times New Roman" w:hAnsi="Times New Roman" w:cs="Times New Roman"/>
                <w:b/>
                <w:bCs/>
              </w:rPr>
            </w:pPr>
            <w:r w:rsidRPr="00D31DFB">
              <w:rPr>
                <w:rFonts w:ascii="Times New Roman" w:hAnsi="Times New Roman" w:cs="Times New Roman"/>
                <w:b/>
                <w:bCs/>
              </w:rPr>
              <w:t>Std. Err.</w:t>
            </w:r>
          </w:p>
        </w:tc>
        <w:tc>
          <w:tcPr>
            <w:tcW w:w="275" w:type="dxa"/>
            <w:tcBorders>
              <w:bottom w:val="single" w:sz="4" w:space="0" w:color="auto"/>
            </w:tcBorders>
          </w:tcPr>
          <w:p w:rsidR="00A84AA6" w:rsidRPr="00D31DFB" w:rsidRDefault="00A84AA6" w:rsidP="00A84AA6">
            <w:pPr>
              <w:pStyle w:val="TableParagraph"/>
              <w:adjustRightInd w:val="0"/>
              <w:snapToGrid w:val="0"/>
              <w:jc w:val="center"/>
              <w:rPr>
                <w:rFonts w:ascii="Times New Roman" w:hAnsi="Times New Roman" w:cs="Times New Roman"/>
                <w:b/>
                <w:bCs/>
              </w:rPr>
            </w:pPr>
          </w:p>
        </w:tc>
        <w:tc>
          <w:tcPr>
            <w:tcW w:w="1490" w:type="dxa"/>
            <w:tcBorders>
              <w:bottom w:val="single" w:sz="4" w:space="0" w:color="auto"/>
            </w:tcBorders>
          </w:tcPr>
          <w:p w:rsidR="00A84AA6" w:rsidRPr="00D31DFB" w:rsidRDefault="00A84AA6" w:rsidP="00A84AA6">
            <w:pPr>
              <w:pStyle w:val="TableParagraph"/>
              <w:tabs>
                <w:tab w:val="left" w:pos="551"/>
              </w:tabs>
              <w:adjustRightInd w:val="0"/>
              <w:snapToGrid w:val="0"/>
              <w:ind w:right="51"/>
              <w:jc w:val="center"/>
              <w:rPr>
                <w:rFonts w:ascii="Times New Roman" w:hAnsi="Times New Roman" w:cs="Times New Roman"/>
                <w:b/>
                <w:bCs/>
              </w:rPr>
            </w:pPr>
            <w:r w:rsidRPr="00D31DFB">
              <w:rPr>
                <w:rFonts w:ascii="Times New Roman" w:hAnsi="Times New Roman" w:cs="Times New Roman"/>
                <w:b/>
                <w:bCs/>
              </w:rPr>
              <w:t>t</w:t>
            </w:r>
            <w:r w:rsidRPr="00D31DFB">
              <w:rPr>
                <w:rFonts w:ascii="Times New Roman" w:hAnsi="Times New Roman" w:cs="Times New Roman"/>
                <w:b/>
                <w:bCs/>
              </w:rPr>
              <w:tab/>
            </w:r>
            <w:r w:rsidRPr="00D31DFB">
              <w:rPr>
                <w:rFonts w:ascii="Times New Roman" w:hAnsi="Times New Roman" w:cs="Times New Roman"/>
                <w:b/>
                <w:bCs/>
                <w:spacing w:val="5"/>
              </w:rPr>
              <w:t>P&gt;|t|</w:t>
            </w:r>
          </w:p>
        </w:tc>
        <w:tc>
          <w:tcPr>
            <w:tcW w:w="331" w:type="dxa"/>
            <w:tcBorders>
              <w:bottom w:val="single" w:sz="4" w:space="0" w:color="auto"/>
            </w:tcBorders>
          </w:tcPr>
          <w:p w:rsidR="00A84AA6" w:rsidRPr="00D31DFB" w:rsidRDefault="00A84AA6" w:rsidP="00A84AA6">
            <w:pPr>
              <w:pStyle w:val="TableParagraph"/>
              <w:adjustRightInd w:val="0"/>
              <w:snapToGrid w:val="0"/>
              <w:jc w:val="center"/>
              <w:rPr>
                <w:rFonts w:ascii="Times New Roman" w:hAnsi="Times New Roman" w:cs="Times New Roman"/>
                <w:b/>
                <w:bCs/>
              </w:rPr>
            </w:pPr>
          </w:p>
        </w:tc>
        <w:tc>
          <w:tcPr>
            <w:tcW w:w="1324" w:type="dxa"/>
            <w:tcBorders>
              <w:bottom w:val="single" w:sz="4" w:space="0" w:color="auto"/>
            </w:tcBorders>
          </w:tcPr>
          <w:p w:rsidR="00A84AA6" w:rsidRPr="00D31DFB" w:rsidRDefault="00A84AA6" w:rsidP="00A84AA6">
            <w:pPr>
              <w:pStyle w:val="TableParagraph"/>
              <w:adjustRightInd w:val="0"/>
              <w:snapToGrid w:val="0"/>
              <w:ind w:left="175"/>
              <w:jc w:val="center"/>
              <w:rPr>
                <w:rFonts w:ascii="Times New Roman" w:hAnsi="Times New Roman" w:cs="Times New Roman"/>
                <w:b/>
                <w:bCs/>
              </w:rPr>
            </w:pPr>
            <w:r w:rsidRPr="00D31DFB">
              <w:rPr>
                <w:rFonts w:ascii="Times New Roman" w:hAnsi="Times New Roman" w:cs="Times New Roman"/>
                <w:b/>
                <w:bCs/>
              </w:rPr>
              <w:t>[95% Conf.</w:t>
            </w:r>
          </w:p>
        </w:tc>
        <w:tc>
          <w:tcPr>
            <w:tcW w:w="1052" w:type="dxa"/>
            <w:tcBorders>
              <w:bottom w:val="single" w:sz="4" w:space="0" w:color="auto"/>
            </w:tcBorders>
          </w:tcPr>
          <w:p w:rsidR="00A84AA6" w:rsidRPr="00D31DFB" w:rsidRDefault="00A84AA6" w:rsidP="00A84AA6">
            <w:pPr>
              <w:pStyle w:val="TableParagraph"/>
              <w:adjustRightInd w:val="0"/>
              <w:snapToGrid w:val="0"/>
              <w:ind w:right="-15"/>
              <w:jc w:val="center"/>
              <w:rPr>
                <w:rFonts w:ascii="Times New Roman" w:hAnsi="Times New Roman" w:cs="Times New Roman"/>
                <w:b/>
                <w:bCs/>
              </w:rPr>
            </w:pPr>
            <w:r w:rsidRPr="00D31DFB">
              <w:rPr>
                <w:rFonts w:ascii="Times New Roman" w:hAnsi="Times New Roman" w:cs="Times New Roman"/>
                <w:b/>
                <w:bCs/>
              </w:rPr>
              <w:t>Interval]</w:t>
            </w:r>
          </w:p>
        </w:tc>
      </w:tr>
      <w:tr w:rsidR="00A84AA6" w:rsidRPr="00D31DFB" w:rsidTr="00A84AA6">
        <w:trPr>
          <w:gridBefore w:val="1"/>
          <w:wBefore w:w="172" w:type="dxa"/>
          <w:trHeight w:val="287"/>
        </w:trPr>
        <w:tc>
          <w:tcPr>
            <w:tcW w:w="1490" w:type="dxa"/>
          </w:tcPr>
          <w:p w:rsidR="00A84AA6" w:rsidRPr="00D31DFB" w:rsidRDefault="00A84AA6" w:rsidP="00A84AA6">
            <w:pPr>
              <w:pStyle w:val="TableParagraph"/>
              <w:adjustRightInd w:val="0"/>
              <w:snapToGrid w:val="0"/>
              <w:ind w:right="162"/>
              <w:jc w:val="center"/>
              <w:rPr>
                <w:rFonts w:ascii="Times New Roman" w:hAnsi="Times New Roman" w:cs="Times New Roman"/>
              </w:rPr>
            </w:pPr>
            <w:r w:rsidRPr="00D31DFB">
              <w:rPr>
                <w:rFonts w:ascii="Times New Roman" w:hAnsi="Times New Roman" w:cs="Times New Roman"/>
              </w:rPr>
              <w:t>DAU</w:t>
            </w:r>
          </w:p>
        </w:tc>
        <w:tc>
          <w:tcPr>
            <w:tcW w:w="1431" w:type="dxa"/>
          </w:tcPr>
          <w:p w:rsidR="00A84AA6" w:rsidRPr="00D31DFB" w:rsidRDefault="00A84AA6" w:rsidP="00A84AA6">
            <w:pPr>
              <w:pStyle w:val="TableParagraph"/>
              <w:adjustRightInd w:val="0"/>
              <w:snapToGrid w:val="0"/>
              <w:ind w:right="162"/>
              <w:jc w:val="center"/>
              <w:rPr>
                <w:rFonts w:ascii="Times New Roman" w:hAnsi="Times New Roman" w:cs="Times New Roman"/>
              </w:rPr>
            </w:pPr>
            <w:r w:rsidRPr="00D31DFB">
              <w:rPr>
                <w:rFonts w:ascii="Times New Roman" w:hAnsi="Times New Roman" w:cs="Times New Roman"/>
              </w:rPr>
              <w:t>2.187608</w:t>
            </w:r>
          </w:p>
        </w:tc>
        <w:tc>
          <w:tcPr>
            <w:tcW w:w="1214" w:type="dxa"/>
          </w:tcPr>
          <w:p w:rsidR="00A84AA6" w:rsidRPr="00D31DFB" w:rsidRDefault="00A84AA6" w:rsidP="00A84AA6">
            <w:pPr>
              <w:pStyle w:val="TableParagraph"/>
              <w:adjustRightInd w:val="0"/>
              <w:snapToGrid w:val="0"/>
              <w:ind w:left="173"/>
              <w:jc w:val="center"/>
              <w:rPr>
                <w:rFonts w:ascii="Times New Roman" w:hAnsi="Times New Roman" w:cs="Times New Roman"/>
              </w:rPr>
            </w:pPr>
            <w:r w:rsidRPr="00D31DFB">
              <w:rPr>
                <w:rFonts w:ascii="Times New Roman" w:hAnsi="Times New Roman" w:cs="Times New Roman"/>
              </w:rPr>
              <w:t>.3143158</w:t>
            </w:r>
          </w:p>
        </w:tc>
        <w:tc>
          <w:tcPr>
            <w:tcW w:w="275" w:type="dxa"/>
          </w:tcPr>
          <w:p w:rsidR="00A84AA6" w:rsidRPr="00D31DFB" w:rsidRDefault="00A84AA6" w:rsidP="00A84AA6">
            <w:pPr>
              <w:pStyle w:val="TableParagraph"/>
              <w:adjustRightInd w:val="0"/>
              <w:snapToGrid w:val="0"/>
              <w:jc w:val="center"/>
              <w:rPr>
                <w:rFonts w:ascii="Times New Roman" w:hAnsi="Times New Roman" w:cs="Times New Roman"/>
              </w:rPr>
            </w:pPr>
          </w:p>
        </w:tc>
        <w:tc>
          <w:tcPr>
            <w:tcW w:w="1490" w:type="dxa"/>
          </w:tcPr>
          <w:p w:rsidR="00A84AA6" w:rsidRPr="00D31DFB" w:rsidRDefault="00A84AA6" w:rsidP="00A84AA6">
            <w:pPr>
              <w:pStyle w:val="TableParagraph"/>
              <w:tabs>
                <w:tab w:val="left" w:pos="772"/>
              </w:tabs>
              <w:adjustRightInd w:val="0"/>
              <w:snapToGrid w:val="0"/>
              <w:ind w:right="50"/>
              <w:jc w:val="center"/>
              <w:rPr>
                <w:rFonts w:ascii="Times New Roman" w:hAnsi="Times New Roman" w:cs="Times New Roman"/>
              </w:rPr>
            </w:pPr>
            <w:r w:rsidRPr="00D31DFB">
              <w:rPr>
                <w:rFonts w:ascii="Times New Roman" w:hAnsi="Times New Roman" w:cs="Times New Roman"/>
                <w:spacing w:val="5"/>
              </w:rPr>
              <w:t>6.96</w:t>
            </w:r>
            <w:r w:rsidRPr="00D31DFB">
              <w:rPr>
                <w:rFonts w:ascii="Times New Roman" w:hAnsi="Times New Roman" w:cs="Times New Roman"/>
                <w:spacing w:val="5"/>
              </w:rPr>
              <w:tab/>
              <w:t>0.000</w:t>
            </w:r>
          </w:p>
        </w:tc>
        <w:tc>
          <w:tcPr>
            <w:tcW w:w="331" w:type="dxa"/>
          </w:tcPr>
          <w:p w:rsidR="00A84AA6" w:rsidRPr="00D31DFB" w:rsidRDefault="00A84AA6" w:rsidP="00A84AA6">
            <w:pPr>
              <w:pStyle w:val="TableParagraph"/>
              <w:adjustRightInd w:val="0"/>
              <w:snapToGrid w:val="0"/>
              <w:jc w:val="center"/>
              <w:rPr>
                <w:rFonts w:ascii="Times New Roman" w:hAnsi="Times New Roman" w:cs="Times New Roman"/>
              </w:rPr>
            </w:pPr>
          </w:p>
        </w:tc>
        <w:tc>
          <w:tcPr>
            <w:tcW w:w="1324" w:type="dxa"/>
          </w:tcPr>
          <w:p w:rsidR="00A84AA6" w:rsidRPr="00D31DFB" w:rsidRDefault="00A84AA6" w:rsidP="00A84AA6">
            <w:pPr>
              <w:pStyle w:val="TableParagraph"/>
              <w:adjustRightInd w:val="0"/>
              <w:snapToGrid w:val="0"/>
              <w:ind w:left="175"/>
              <w:jc w:val="center"/>
              <w:rPr>
                <w:rFonts w:ascii="Times New Roman" w:hAnsi="Times New Roman" w:cs="Times New Roman"/>
              </w:rPr>
            </w:pPr>
            <w:r w:rsidRPr="00D31DFB">
              <w:rPr>
                <w:rFonts w:ascii="Times New Roman" w:hAnsi="Times New Roman" w:cs="Times New Roman"/>
              </w:rPr>
              <w:t>1.560056</w:t>
            </w:r>
          </w:p>
        </w:tc>
        <w:tc>
          <w:tcPr>
            <w:tcW w:w="1052" w:type="dxa"/>
          </w:tcPr>
          <w:p w:rsidR="00A84AA6" w:rsidRPr="00D31DFB" w:rsidRDefault="00A84AA6" w:rsidP="00A84AA6">
            <w:pPr>
              <w:pStyle w:val="TableParagraph"/>
              <w:adjustRightInd w:val="0"/>
              <w:snapToGrid w:val="0"/>
              <w:ind w:right="-15"/>
              <w:jc w:val="center"/>
              <w:rPr>
                <w:rFonts w:ascii="Times New Roman" w:hAnsi="Times New Roman" w:cs="Times New Roman"/>
              </w:rPr>
            </w:pPr>
            <w:r w:rsidRPr="00D31DFB">
              <w:rPr>
                <w:rFonts w:ascii="Times New Roman" w:hAnsi="Times New Roman" w:cs="Times New Roman"/>
              </w:rPr>
              <w:t>2.815159</w:t>
            </w:r>
          </w:p>
        </w:tc>
      </w:tr>
      <w:tr w:rsidR="00A84AA6" w:rsidRPr="00D31DFB" w:rsidTr="00A84AA6">
        <w:trPr>
          <w:gridBefore w:val="1"/>
          <w:wBefore w:w="172" w:type="dxa"/>
          <w:trHeight w:val="194"/>
        </w:trPr>
        <w:tc>
          <w:tcPr>
            <w:tcW w:w="1490" w:type="dxa"/>
          </w:tcPr>
          <w:p w:rsidR="00A84AA6" w:rsidRPr="00D31DFB" w:rsidRDefault="00A84AA6" w:rsidP="00A84AA6">
            <w:pPr>
              <w:pStyle w:val="TableParagraph"/>
              <w:adjustRightInd w:val="0"/>
              <w:snapToGrid w:val="0"/>
              <w:ind w:right="162"/>
              <w:jc w:val="center"/>
              <w:rPr>
                <w:rFonts w:ascii="Times New Roman" w:hAnsi="Times New Roman" w:cs="Times New Roman"/>
              </w:rPr>
            </w:pPr>
            <w:r w:rsidRPr="00D31DFB">
              <w:rPr>
                <w:rFonts w:ascii="Times New Roman" w:hAnsi="Times New Roman" w:cs="Times New Roman"/>
              </w:rPr>
              <w:t>DBH</w:t>
            </w:r>
          </w:p>
        </w:tc>
        <w:tc>
          <w:tcPr>
            <w:tcW w:w="1431" w:type="dxa"/>
          </w:tcPr>
          <w:p w:rsidR="00A84AA6" w:rsidRPr="00D31DFB" w:rsidRDefault="00A84AA6" w:rsidP="00A84AA6">
            <w:pPr>
              <w:pStyle w:val="TableParagraph"/>
              <w:adjustRightInd w:val="0"/>
              <w:snapToGrid w:val="0"/>
              <w:ind w:right="162"/>
              <w:jc w:val="center"/>
              <w:rPr>
                <w:rFonts w:ascii="Times New Roman" w:hAnsi="Times New Roman" w:cs="Times New Roman"/>
              </w:rPr>
            </w:pPr>
            <w:r w:rsidRPr="00D31DFB">
              <w:rPr>
                <w:rFonts w:ascii="Times New Roman" w:hAnsi="Times New Roman" w:cs="Times New Roman"/>
              </w:rPr>
              <w:t>.2747257</w:t>
            </w:r>
          </w:p>
        </w:tc>
        <w:tc>
          <w:tcPr>
            <w:tcW w:w="1214" w:type="dxa"/>
          </w:tcPr>
          <w:p w:rsidR="00A84AA6" w:rsidRPr="00D31DFB" w:rsidRDefault="00A84AA6" w:rsidP="00A84AA6">
            <w:pPr>
              <w:pStyle w:val="TableParagraph"/>
              <w:adjustRightInd w:val="0"/>
              <w:snapToGrid w:val="0"/>
              <w:ind w:left="173"/>
              <w:jc w:val="center"/>
              <w:rPr>
                <w:rFonts w:ascii="Times New Roman" w:hAnsi="Times New Roman" w:cs="Times New Roman"/>
              </w:rPr>
            </w:pPr>
            <w:r w:rsidRPr="00D31DFB">
              <w:rPr>
                <w:rFonts w:ascii="Times New Roman" w:hAnsi="Times New Roman" w:cs="Times New Roman"/>
              </w:rPr>
              <w:t>.3675122</w:t>
            </w:r>
          </w:p>
        </w:tc>
        <w:tc>
          <w:tcPr>
            <w:tcW w:w="275" w:type="dxa"/>
          </w:tcPr>
          <w:p w:rsidR="00A84AA6" w:rsidRPr="00D31DFB" w:rsidRDefault="00A84AA6" w:rsidP="00A84AA6">
            <w:pPr>
              <w:pStyle w:val="TableParagraph"/>
              <w:adjustRightInd w:val="0"/>
              <w:snapToGrid w:val="0"/>
              <w:jc w:val="center"/>
              <w:rPr>
                <w:rFonts w:ascii="Times New Roman" w:hAnsi="Times New Roman" w:cs="Times New Roman"/>
              </w:rPr>
            </w:pPr>
          </w:p>
        </w:tc>
        <w:tc>
          <w:tcPr>
            <w:tcW w:w="1490" w:type="dxa"/>
          </w:tcPr>
          <w:p w:rsidR="00A84AA6" w:rsidRPr="00D31DFB" w:rsidRDefault="00A84AA6" w:rsidP="00A84AA6">
            <w:pPr>
              <w:pStyle w:val="TableParagraph"/>
              <w:tabs>
                <w:tab w:val="left" w:pos="772"/>
              </w:tabs>
              <w:adjustRightInd w:val="0"/>
              <w:snapToGrid w:val="0"/>
              <w:ind w:right="50"/>
              <w:jc w:val="center"/>
              <w:rPr>
                <w:rFonts w:ascii="Times New Roman" w:hAnsi="Times New Roman" w:cs="Times New Roman"/>
              </w:rPr>
            </w:pPr>
            <w:r w:rsidRPr="00D31DFB">
              <w:rPr>
                <w:rFonts w:ascii="Times New Roman" w:hAnsi="Times New Roman" w:cs="Times New Roman"/>
                <w:spacing w:val="5"/>
              </w:rPr>
              <w:t>0.75</w:t>
            </w:r>
            <w:r w:rsidRPr="00D31DFB">
              <w:rPr>
                <w:rFonts w:ascii="Times New Roman" w:hAnsi="Times New Roman" w:cs="Times New Roman"/>
                <w:spacing w:val="5"/>
              </w:rPr>
              <w:tab/>
              <w:t>0.457</w:t>
            </w:r>
          </w:p>
        </w:tc>
        <w:tc>
          <w:tcPr>
            <w:tcW w:w="331" w:type="dxa"/>
          </w:tcPr>
          <w:p w:rsidR="00A84AA6" w:rsidRPr="00D31DFB" w:rsidRDefault="00A84AA6" w:rsidP="00A84AA6">
            <w:pPr>
              <w:pStyle w:val="TableParagraph"/>
              <w:adjustRightInd w:val="0"/>
              <w:snapToGrid w:val="0"/>
              <w:jc w:val="center"/>
              <w:rPr>
                <w:rFonts w:ascii="Times New Roman" w:hAnsi="Times New Roman" w:cs="Times New Roman"/>
              </w:rPr>
            </w:pPr>
          </w:p>
        </w:tc>
        <w:tc>
          <w:tcPr>
            <w:tcW w:w="1324" w:type="dxa"/>
          </w:tcPr>
          <w:p w:rsidR="00A84AA6" w:rsidRPr="00D31DFB" w:rsidRDefault="00A84AA6" w:rsidP="00A84AA6">
            <w:pPr>
              <w:pStyle w:val="TableParagraph"/>
              <w:adjustRightInd w:val="0"/>
              <w:snapToGrid w:val="0"/>
              <w:ind w:left="65"/>
              <w:jc w:val="center"/>
              <w:rPr>
                <w:rFonts w:ascii="Times New Roman" w:hAnsi="Times New Roman" w:cs="Times New Roman"/>
              </w:rPr>
            </w:pPr>
            <w:r w:rsidRPr="00D31DFB">
              <w:rPr>
                <w:rFonts w:ascii="Times New Roman" w:hAnsi="Times New Roman" w:cs="Times New Roman"/>
              </w:rPr>
              <w:t>-.4590361</w:t>
            </w:r>
          </w:p>
        </w:tc>
        <w:tc>
          <w:tcPr>
            <w:tcW w:w="1052" w:type="dxa"/>
          </w:tcPr>
          <w:p w:rsidR="00A84AA6" w:rsidRPr="00D31DFB" w:rsidRDefault="00A84AA6" w:rsidP="00A84AA6">
            <w:pPr>
              <w:pStyle w:val="TableParagraph"/>
              <w:adjustRightInd w:val="0"/>
              <w:snapToGrid w:val="0"/>
              <w:ind w:right="-15"/>
              <w:jc w:val="center"/>
              <w:rPr>
                <w:rFonts w:ascii="Times New Roman" w:hAnsi="Times New Roman" w:cs="Times New Roman"/>
              </w:rPr>
            </w:pPr>
            <w:r w:rsidRPr="00D31DFB">
              <w:rPr>
                <w:rFonts w:ascii="Times New Roman" w:hAnsi="Times New Roman" w:cs="Times New Roman"/>
              </w:rPr>
              <w:t>1.008488</w:t>
            </w:r>
          </w:p>
        </w:tc>
      </w:tr>
      <w:tr w:rsidR="00A84AA6" w:rsidRPr="00D31DFB" w:rsidTr="00A84AA6">
        <w:trPr>
          <w:gridBefore w:val="1"/>
          <w:wBefore w:w="172" w:type="dxa"/>
          <w:trHeight w:val="194"/>
        </w:trPr>
        <w:tc>
          <w:tcPr>
            <w:tcW w:w="1490" w:type="dxa"/>
          </w:tcPr>
          <w:p w:rsidR="00A84AA6" w:rsidRPr="00D31DFB" w:rsidRDefault="00A84AA6" w:rsidP="00A84AA6">
            <w:pPr>
              <w:pStyle w:val="TableParagraph"/>
              <w:adjustRightInd w:val="0"/>
              <w:snapToGrid w:val="0"/>
              <w:ind w:right="162"/>
              <w:jc w:val="center"/>
              <w:rPr>
                <w:rFonts w:ascii="Times New Roman" w:hAnsi="Times New Roman" w:cs="Times New Roman"/>
              </w:rPr>
            </w:pPr>
            <w:r w:rsidRPr="00D31DFB">
              <w:rPr>
                <w:rFonts w:ascii="Times New Roman" w:hAnsi="Times New Roman" w:cs="Times New Roman"/>
              </w:rPr>
              <w:t>DAK</w:t>
            </w:r>
          </w:p>
        </w:tc>
        <w:tc>
          <w:tcPr>
            <w:tcW w:w="1431" w:type="dxa"/>
          </w:tcPr>
          <w:p w:rsidR="00A84AA6" w:rsidRPr="00D31DFB" w:rsidRDefault="00A84AA6" w:rsidP="00A84AA6">
            <w:pPr>
              <w:pStyle w:val="TableParagraph"/>
              <w:adjustRightInd w:val="0"/>
              <w:snapToGrid w:val="0"/>
              <w:ind w:right="162"/>
              <w:jc w:val="center"/>
              <w:rPr>
                <w:rFonts w:ascii="Times New Roman" w:hAnsi="Times New Roman" w:cs="Times New Roman"/>
              </w:rPr>
            </w:pPr>
            <w:r w:rsidRPr="00D31DFB">
              <w:rPr>
                <w:rFonts w:ascii="Times New Roman" w:hAnsi="Times New Roman" w:cs="Times New Roman"/>
              </w:rPr>
              <w:t>1.338198</w:t>
            </w:r>
          </w:p>
        </w:tc>
        <w:tc>
          <w:tcPr>
            <w:tcW w:w="1214" w:type="dxa"/>
          </w:tcPr>
          <w:p w:rsidR="00A84AA6" w:rsidRPr="00D31DFB" w:rsidRDefault="00A84AA6" w:rsidP="00A84AA6">
            <w:pPr>
              <w:pStyle w:val="TableParagraph"/>
              <w:adjustRightInd w:val="0"/>
              <w:snapToGrid w:val="0"/>
              <w:ind w:left="173"/>
              <w:jc w:val="center"/>
              <w:rPr>
                <w:rFonts w:ascii="Times New Roman" w:hAnsi="Times New Roman" w:cs="Times New Roman"/>
              </w:rPr>
            </w:pPr>
            <w:r w:rsidRPr="00D31DFB">
              <w:rPr>
                <w:rFonts w:ascii="Times New Roman" w:hAnsi="Times New Roman" w:cs="Times New Roman"/>
              </w:rPr>
              <w:t>.2340943</w:t>
            </w:r>
          </w:p>
        </w:tc>
        <w:tc>
          <w:tcPr>
            <w:tcW w:w="275" w:type="dxa"/>
          </w:tcPr>
          <w:p w:rsidR="00A84AA6" w:rsidRPr="00D31DFB" w:rsidRDefault="00A84AA6" w:rsidP="00A84AA6">
            <w:pPr>
              <w:pStyle w:val="TableParagraph"/>
              <w:adjustRightInd w:val="0"/>
              <w:snapToGrid w:val="0"/>
              <w:jc w:val="center"/>
              <w:rPr>
                <w:rFonts w:ascii="Times New Roman" w:hAnsi="Times New Roman" w:cs="Times New Roman"/>
              </w:rPr>
            </w:pPr>
          </w:p>
        </w:tc>
        <w:tc>
          <w:tcPr>
            <w:tcW w:w="1490" w:type="dxa"/>
          </w:tcPr>
          <w:p w:rsidR="00A84AA6" w:rsidRPr="00D31DFB" w:rsidRDefault="00A84AA6" w:rsidP="00A84AA6">
            <w:pPr>
              <w:pStyle w:val="TableParagraph"/>
              <w:tabs>
                <w:tab w:val="left" w:pos="772"/>
              </w:tabs>
              <w:adjustRightInd w:val="0"/>
              <w:snapToGrid w:val="0"/>
              <w:ind w:right="50"/>
              <w:jc w:val="center"/>
              <w:rPr>
                <w:rFonts w:ascii="Times New Roman" w:hAnsi="Times New Roman" w:cs="Times New Roman"/>
              </w:rPr>
            </w:pPr>
            <w:r w:rsidRPr="00D31DFB">
              <w:rPr>
                <w:rFonts w:ascii="Times New Roman" w:hAnsi="Times New Roman" w:cs="Times New Roman"/>
                <w:spacing w:val="5"/>
              </w:rPr>
              <w:t>5.72</w:t>
            </w:r>
            <w:r w:rsidRPr="00D31DFB">
              <w:rPr>
                <w:rFonts w:ascii="Times New Roman" w:hAnsi="Times New Roman" w:cs="Times New Roman"/>
                <w:spacing w:val="5"/>
              </w:rPr>
              <w:tab/>
              <w:t>0.000</w:t>
            </w:r>
          </w:p>
        </w:tc>
        <w:tc>
          <w:tcPr>
            <w:tcW w:w="331" w:type="dxa"/>
          </w:tcPr>
          <w:p w:rsidR="00A84AA6" w:rsidRPr="00D31DFB" w:rsidRDefault="00A84AA6" w:rsidP="00A84AA6">
            <w:pPr>
              <w:pStyle w:val="TableParagraph"/>
              <w:adjustRightInd w:val="0"/>
              <w:snapToGrid w:val="0"/>
              <w:jc w:val="center"/>
              <w:rPr>
                <w:rFonts w:ascii="Times New Roman" w:hAnsi="Times New Roman" w:cs="Times New Roman"/>
              </w:rPr>
            </w:pPr>
          </w:p>
        </w:tc>
        <w:tc>
          <w:tcPr>
            <w:tcW w:w="1324" w:type="dxa"/>
          </w:tcPr>
          <w:p w:rsidR="00A84AA6" w:rsidRPr="00D31DFB" w:rsidRDefault="00A84AA6" w:rsidP="00A84AA6">
            <w:pPr>
              <w:pStyle w:val="TableParagraph"/>
              <w:adjustRightInd w:val="0"/>
              <w:snapToGrid w:val="0"/>
              <w:ind w:left="175"/>
              <w:jc w:val="center"/>
              <w:rPr>
                <w:rFonts w:ascii="Times New Roman" w:hAnsi="Times New Roman" w:cs="Times New Roman"/>
              </w:rPr>
            </w:pPr>
            <w:r w:rsidRPr="00D31DFB">
              <w:rPr>
                <w:rFonts w:ascii="Times New Roman" w:hAnsi="Times New Roman" w:cs="Times New Roman"/>
              </w:rPr>
              <w:t>.8708136</w:t>
            </w:r>
          </w:p>
        </w:tc>
        <w:tc>
          <w:tcPr>
            <w:tcW w:w="1052" w:type="dxa"/>
          </w:tcPr>
          <w:p w:rsidR="00A84AA6" w:rsidRPr="00D31DFB" w:rsidRDefault="00A84AA6" w:rsidP="00A84AA6">
            <w:pPr>
              <w:pStyle w:val="TableParagraph"/>
              <w:adjustRightInd w:val="0"/>
              <w:snapToGrid w:val="0"/>
              <w:ind w:right="-15"/>
              <w:jc w:val="center"/>
              <w:rPr>
                <w:rFonts w:ascii="Times New Roman" w:hAnsi="Times New Roman" w:cs="Times New Roman"/>
              </w:rPr>
            </w:pPr>
            <w:r w:rsidRPr="00D31DFB">
              <w:rPr>
                <w:rFonts w:ascii="Times New Roman" w:hAnsi="Times New Roman" w:cs="Times New Roman"/>
              </w:rPr>
              <w:t>1.805582</w:t>
            </w:r>
          </w:p>
        </w:tc>
      </w:tr>
      <w:tr w:rsidR="00A84AA6" w:rsidRPr="00D31DFB" w:rsidTr="00A84AA6">
        <w:trPr>
          <w:gridBefore w:val="1"/>
          <w:wBefore w:w="172" w:type="dxa"/>
          <w:trHeight w:val="194"/>
        </w:trPr>
        <w:tc>
          <w:tcPr>
            <w:tcW w:w="1490" w:type="dxa"/>
          </w:tcPr>
          <w:p w:rsidR="00A84AA6" w:rsidRPr="00D31DFB" w:rsidRDefault="00A84AA6" w:rsidP="00A84AA6">
            <w:pPr>
              <w:pStyle w:val="TableParagraph"/>
              <w:adjustRightInd w:val="0"/>
              <w:snapToGrid w:val="0"/>
              <w:ind w:right="162"/>
              <w:jc w:val="center"/>
              <w:rPr>
                <w:rFonts w:ascii="Times New Roman" w:hAnsi="Times New Roman" w:cs="Times New Roman"/>
              </w:rPr>
            </w:pPr>
            <w:r w:rsidRPr="00D31DFB">
              <w:rPr>
                <w:rFonts w:ascii="Times New Roman" w:hAnsi="Times New Roman" w:cs="Times New Roman"/>
              </w:rPr>
              <w:t>PAD</w:t>
            </w:r>
          </w:p>
        </w:tc>
        <w:tc>
          <w:tcPr>
            <w:tcW w:w="1431" w:type="dxa"/>
          </w:tcPr>
          <w:p w:rsidR="00A84AA6" w:rsidRPr="00D31DFB" w:rsidRDefault="00A84AA6" w:rsidP="00A84AA6">
            <w:pPr>
              <w:pStyle w:val="TableParagraph"/>
              <w:adjustRightInd w:val="0"/>
              <w:snapToGrid w:val="0"/>
              <w:ind w:right="162"/>
              <w:jc w:val="center"/>
              <w:rPr>
                <w:rFonts w:ascii="Times New Roman" w:hAnsi="Times New Roman" w:cs="Times New Roman"/>
              </w:rPr>
            </w:pPr>
            <w:r w:rsidRPr="00D31DFB">
              <w:rPr>
                <w:rFonts w:ascii="Times New Roman" w:hAnsi="Times New Roman" w:cs="Times New Roman"/>
              </w:rPr>
              <w:t>-.3104811</w:t>
            </w:r>
          </w:p>
        </w:tc>
        <w:tc>
          <w:tcPr>
            <w:tcW w:w="1214" w:type="dxa"/>
          </w:tcPr>
          <w:p w:rsidR="00A84AA6" w:rsidRPr="00D31DFB" w:rsidRDefault="00A84AA6" w:rsidP="00A84AA6">
            <w:pPr>
              <w:pStyle w:val="TableParagraph"/>
              <w:adjustRightInd w:val="0"/>
              <w:snapToGrid w:val="0"/>
              <w:ind w:left="173"/>
              <w:jc w:val="center"/>
              <w:rPr>
                <w:rFonts w:ascii="Times New Roman" w:hAnsi="Times New Roman" w:cs="Times New Roman"/>
              </w:rPr>
            </w:pPr>
            <w:r w:rsidRPr="00D31DFB">
              <w:rPr>
                <w:rFonts w:ascii="Times New Roman" w:hAnsi="Times New Roman" w:cs="Times New Roman"/>
              </w:rPr>
              <w:t>.3510685</w:t>
            </w:r>
          </w:p>
        </w:tc>
        <w:tc>
          <w:tcPr>
            <w:tcW w:w="275" w:type="dxa"/>
          </w:tcPr>
          <w:p w:rsidR="00A84AA6" w:rsidRPr="00D31DFB" w:rsidRDefault="00A84AA6" w:rsidP="00A84AA6">
            <w:pPr>
              <w:pStyle w:val="TableParagraph"/>
              <w:adjustRightInd w:val="0"/>
              <w:snapToGrid w:val="0"/>
              <w:jc w:val="center"/>
              <w:rPr>
                <w:rFonts w:ascii="Times New Roman" w:hAnsi="Times New Roman" w:cs="Times New Roman"/>
              </w:rPr>
            </w:pPr>
          </w:p>
        </w:tc>
        <w:tc>
          <w:tcPr>
            <w:tcW w:w="1490" w:type="dxa"/>
          </w:tcPr>
          <w:p w:rsidR="00A84AA6" w:rsidRPr="00D31DFB" w:rsidRDefault="00A84AA6" w:rsidP="00A84AA6">
            <w:pPr>
              <w:pStyle w:val="TableParagraph"/>
              <w:tabs>
                <w:tab w:val="left" w:pos="883"/>
              </w:tabs>
              <w:adjustRightInd w:val="0"/>
              <w:snapToGrid w:val="0"/>
              <w:ind w:right="50"/>
              <w:rPr>
                <w:rFonts w:ascii="Times New Roman" w:hAnsi="Times New Roman" w:cs="Times New Roman"/>
              </w:rPr>
            </w:pPr>
            <w:r w:rsidRPr="00D31DFB">
              <w:rPr>
                <w:rFonts w:ascii="Times New Roman" w:hAnsi="Times New Roman" w:cs="Times New Roman"/>
                <w:spacing w:val="5"/>
              </w:rPr>
              <w:t>-0.88    0.380</w:t>
            </w:r>
          </w:p>
        </w:tc>
        <w:tc>
          <w:tcPr>
            <w:tcW w:w="331" w:type="dxa"/>
          </w:tcPr>
          <w:p w:rsidR="00A84AA6" w:rsidRPr="00D31DFB" w:rsidRDefault="00A84AA6" w:rsidP="00A84AA6">
            <w:pPr>
              <w:pStyle w:val="TableParagraph"/>
              <w:adjustRightInd w:val="0"/>
              <w:snapToGrid w:val="0"/>
              <w:jc w:val="center"/>
              <w:rPr>
                <w:rFonts w:ascii="Times New Roman" w:hAnsi="Times New Roman" w:cs="Times New Roman"/>
              </w:rPr>
            </w:pPr>
          </w:p>
        </w:tc>
        <w:tc>
          <w:tcPr>
            <w:tcW w:w="1324" w:type="dxa"/>
          </w:tcPr>
          <w:p w:rsidR="00A84AA6" w:rsidRPr="00D31DFB" w:rsidRDefault="00A84AA6" w:rsidP="00A84AA6">
            <w:pPr>
              <w:pStyle w:val="TableParagraph"/>
              <w:adjustRightInd w:val="0"/>
              <w:snapToGrid w:val="0"/>
              <w:ind w:left="65"/>
              <w:jc w:val="center"/>
              <w:rPr>
                <w:rFonts w:ascii="Times New Roman" w:hAnsi="Times New Roman" w:cs="Times New Roman"/>
              </w:rPr>
            </w:pPr>
            <w:r w:rsidRPr="00D31DFB">
              <w:rPr>
                <w:rFonts w:ascii="Times New Roman" w:hAnsi="Times New Roman" w:cs="Times New Roman"/>
              </w:rPr>
              <w:t>-1.011412</w:t>
            </w:r>
          </w:p>
        </w:tc>
        <w:tc>
          <w:tcPr>
            <w:tcW w:w="1052" w:type="dxa"/>
          </w:tcPr>
          <w:p w:rsidR="00A84AA6" w:rsidRPr="00D31DFB" w:rsidRDefault="00A84AA6" w:rsidP="00A84AA6">
            <w:pPr>
              <w:pStyle w:val="TableParagraph"/>
              <w:adjustRightInd w:val="0"/>
              <w:snapToGrid w:val="0"/>
              <w:ind w:right="-15"/>
              <w:jc w:val="center"/>
              <w:rPr>
                <w:rFonts w:ascii="Times New Roman" w:hAnsi="Times New Roman" w:cs="Times New Roman"/>
              </w:rPr>
            </w:pPr>
            <w:r w:rsidRPr="00D31DFB">
              <w:rPr>
                <w:rFonts w:ascii="Times New Roman" w:hAnsi="Times New Roman" w:cs="Times New Roman"/>
              </w:rPr>
              <w:t>.3904499</w:t>
            </w:r>
          </w:p>
        </w:tc>
      </w:tr>
      <w:tr w:rsidR="00A84AA6" w:rsidRPr="00D31DFB" w:rsidTr="00A84AA6">
        <w:trPr>
          <w:gridBefore w:val="1"/>
          <w:wBefore w:w="172" w:type="dxa"/>
          <w:trHeight w:val="285"/>
        </w:trPr>
        <w:tc>
          <w:tcPr>
            <w:tcW w:w="1490" w:type="dxa"/>
          </w:tcPr>
          <w:p w:rsidR="00A84AA6" w:rsidRPr="00D31DFB" w:rsidRDefault="00A84AA6" w:rsidP="00A84AA6">
            <w:pPr>
              <w:pStyle w:val="TableParagraph"/>
              <w:adjustRightInd w:val="0"/>
              <w:snapToGrid w:val="0"/>
              <w:ind w:right="162"/>
              <w:jc w:val="center"/>
              <w:rPr>
                <w:rFonts w:ascii="Times New Roman" w:hAnsi="Times New Roman" w:cs="Times New Roman"/>
              </w:rPr>
            </w:pPr>
            <w:r w:rsidRPr="00D31DFB">
              <w:rPr>
                <w:rFonts w:ascii="Times New Roman" w:hAnsi="Times New Roman" w:cs="Times New Roman"/>
              </w:rPr>
              <w:t>_cons</w:t>
            </w:r>
          </w:p>
        </w:tc>
        <w:tc>
          <w:tcPr>
            <w:tcW w:w="1431" w:type="dxa"/>
          </w:tcPr>
          <w:p w:rsidR="00A84AA6" w:rsidRPr="00D31DFB" w:rsidRDefault="00A84AA6" w:rsidP="00A84AA6">
            <w:pPr>
              <w:pStyle w:val="TableParagraph"/>
              <w:adjustRightInd w:val="0"/>
              <w:snapToGrid w:val="0"/>
              <w:ind w:right="162"/>
              <w:jc w:val="center"/>
              <w:rPr>
                <w:rFonts w:ascii="Times New Roman" w:hAnsi="Times New Roman" w:cs="Times New Roman"/>
              </w:rPr>
            </w:pPr>
            <w:r w:rsidRPr="00D31DFB">
              <w:rPr>
                <w:rFonts w:ascii="Times New Roman" w:hAnsi="Times New Roman" w:cs="Times New Roman"/>
              </w:rPr>
              <w:t>-4.98e+11</w:t>
            </w:r>
          </w:p>
        </w:tc>
        <w:tc>
          <w:tcPr>
            <w:tcW w:w="1214" w:type="dxa"/>
          </w:tcPr>
          <w:p w:rsidR="00A84AA6" w:rsidRPr="00D31DFB" w:rsidRDefault="00A84AA6" w:rsidP="00A84AA6">
            <w:pPr>
              <w:pStyle w:val="TableParagraph"/>
              <w:adjustRightInd w:val="0"/>
              <w:snapToGrid w:val="0"/>
              <w:ind w:left="173"/>
              <w:jc w:val="center"/>
              <w:rPr>
                <w:rFonts w:ascii="Times New Roman" w:hAnsi="Times New Roman" w:cs="Times New Roman"/>
              </w:rPr>
            </w:pPr>
            <w:r w:rsidRPr="00D31DFB">
              <w:rPr>
                <w:rFonts w:ascii="Times New Roman" w:hAnsi="Times New Roman" w:cs="Times New Roman"/>
              </w:rPr>
              <w:t>1.84e+11</w:t>
            </w:r>
          </w:p>
        </w:tc>
        <w:tc>
          <w:tcPr>
            <w:tcW w:w="275" w:type="dxa"/>
          </w:tcPr>
          <w:p w:rsidR="00A84AA6" w:rsidRPr="00D31DFB" w:rsidRDefault="00A84AA6" w:rsidP="00A84AA6">
            <w:pPr>
              <w:pStyle w:val="TableParagraph"/>
              <w:adjustRightInd w:val="0"/>
              <w:snapToGrid w:val="0"/>
              <w:jc w:val="center"/>
              <w:rPr>
                <w:rFonts w:ascii="Times New Roman" w:hAnsi="Times New Roman" w:cs="Times New Roman"/>
              </w:rPr>
            </w:pPr>
          </w:p>
        </w:tc>
        <w:tc>
          <w:tcPr>
            <w:tcW w:w="1490" w:type="dxa"/>
          </w:tcPr>
          <w:p w:rsidR="00A84AA6" w:rsidRPr="00D31DFB" w:rsidRDefault="00A84AA6" w:rsidP="00A84AA6">
            <w:pPr>
              <w:pStyle w:val="TableParagraph"/>
              <w:tabs>
                <w:tab w:val="left" w:pos="883"/>
              </w:tabs>
              <w:adjustRightInd w:val="0"/>
              <w:snapToGrid w:val="0"/>
              <w:ind w:right="50"/>
              <w:rPr>
                <w:rFonts w:ascii="Times New Roman" w:hAnsi="Times New Roman" w:cs="Times New Roman"/>
              </w:rPr>
            </w:pPr>
            <w:r w:rsidRPr="00D31DFB">
              <w:rPr>
                <w:rFonts w:ascii="Times New Roman" w:hAnsi="Times New Roman" w:cs="Times New Roman"/>
                <w:spacing w:val="5"/>
              </w:rPr>
              <w:t>-2.71    0.009</w:t>
            </w:r>
          </w:p>
        </w:tc>
        <w:tc>
          <w:tcPr>
            <w:tcW w:w="331" w:type="dxa"/>
          </w:tcPr>
          <w:p w:rsidR="00A84AA6" w:rsidRPr="00D31DFB" w:rsidRDefault="00A84AA6" w:rsidP="00A84AA6">
            <w:pPr>
              <w:pStyle w:val="TableParagraph"/>
              <w:adjustRightInd w:val="0"/>
              <w:snapToGrid w:val="0"/>
              <w:jc w:val="center"/>
              <w:rPr>
                <w:rFonts w:ascii="Times New Roman" w:hAnsi="Times New Roman" w:cs="Times New Roman"/>
              </w:rPr>
            </w:pPr>
          </w:p>
        </w:tc>
        <w:tc>
          <w:tcPr>
            <w:tcW w:w="1324" w:type="dxa"/>
          </w:tcPr>
          <w:p w:rsidR="00A84AA6" w:rsidRPr="00D31DFB" w:rsidRDefault="00A84AA6" w:rsidP="00A84AA6">
            <w:pPr>
              <w:pStyle w:val="TableParagraph"/>
              <w:adjustRightInd w:val="0"/>
              <w:snapToGrid w:val="0"/>
              <w:ind w:left="65"/>
              <w:jc w:val="center"/>
              <w:rPr>
                <w:rFonts w:ascii="Times New Roman" w:hAnsi="Times New Roman" w:cs="Times New Roman"/>
              </w:rPr>
            </w:pPr>
            <w:r w:rsidRPr="00D31DFB">
              <w:rPr>
                <w:rFonts w:ascii="Times New Roman" w:hAnsi="Times New Roman" w:cs="Times New Roman"/>
              </w:rPr>
              <w:t>-8.65e+11</w:t>
            </w:r>
          </w:p>
        </w:tc>
        <w:tc>
          <w:tcPr>
            <w:tcW w:w="1052" w:type="dxa"/>
          </w:tcPr>
          <w:p w:rsidR="00A84AA6" w:rsidRPr="00D31DFB" w:rsidRDefault="00A84AA6" w:rsidP="00A84AA6">
            <w:pPr>
              <w:pStyle w:val="TableParagraph"/>
              <w:adjustRightInd w:val="0"/>
              <w:snapToGrid w:val="0"/>
              <w:ind w:right="-15"/>
              <w:jc w:val="center"/>
              <w:rPr>
                <w:rFonts w:ascii="Times New Roman" w:hAnsi="Times New Roman" w:cs="Times New Roman"/>
              </w:rPr>
            </w:pPr>
            <w:r w:rsidRPr="00D31DFB">
              <w:rPr>
                <w:rFonts w:ascii="Times New Roman" w:hAnsi="Times New Roman" w:cs="Times New Roman"/>
              </w:rPr>
              <w:t>-1.31e+11</w:t>
            </w:r>
          </w:p>
        </w:tc>
      </w:tr>
      <w:tr w:rsidR="00A84AA6" w:rsidRPr="00D31DFB" w:rsidTr="00A84AA6">
        <w:trPr>
          <w:gridBefore w:val="1"/>
          <w:wBefore w:w="172" w:type="dxa"/>
          <w:trHeight w:val="287"/>
        </w:trPr>
        <w:tc>
          <w:tcPr>
            <w:tcW w:w="1490" w:type="dxa"/>
          </w:tcPr>
          <w:p w:rsidR="00A84AA6" w:rsidRPr="00D31DFB" w:rsidRDefault="00A84AA6" w:rsidP="00A84AA6">
            <w:pPr>
              <w:pStyle w:val="TableParagraph"/>
              <w:adjustRightInd w:val="0"/>
              <w:snapToGrid w:val="0"/>
              <w:ind w:right="162"/>
              <w:jc w:val="center"/>
              <w:rPr>
                <w:rFonts w:ascii="Times New Roman" w:hAnsi="Times New Roman" w:cs="Times New Roman"/>
              </w:rPr>
            </w:pPr>
            <w:proofErr w:type="spellStart"/>
            <w:r w:rsidRPr="00D31DFB">
              <w:rPr>
                <w:rFonts w:ascii="Times New Roman" w:hAnsi="Times New Roman" w:cs="Times New Roman"/>
              </w:rPr>
              <w:t>sigma_u</w:t>
            </w:r>
            <w:proofErr w:type="spellEnd"/>
          </w:p>
        </w:tc>
        <w:tc>
          <w:tcPr>
            <w:tcW w:w="1431" w:type="dxa"/>
          </w:tcPr>
          <w:p w:rsidR="00A84AA6" w:rsidRPr="00D31DFB" w:rsidRDefault="00A84AA6" w:rsidP="00A84AA6">
            <w:pPr>
              <w:pStyle w:val="TableParagraph"/>
              <w:adjustRightInd w:val="0"/>
              <w:snapToGrid w:val="0"/>
              <w:ind w:right="162"/>
              <w:jc w:val="center"/>
              <w:rPr>
                <w:rFonts w:ascii="Times New Roman" w:hAnsi="Times New Roman" w:cs="Times New Roman"/>
              </w:rPr>
            </w:pPr>
            <w:r w:rsidRPr="00D31DFB">
              <w:rPr>
                <w:rFonts w:ascii="Times New Roman" w:hAnsi="Times New Roman" w:cs="Times New Roman"/>
              </w:rPr>
              <w:t>1.901e+11</w:t>
            </w:r>
          </w:p>
        </w:tc>
        <w:tc>
          <w:tcPr>
            <w:tcW w:w="1214" w:type="dxa"/>
          </w:tcPr>
          <w:p w:rsidR="00A84AA6" w:rsidRPr="00D31DFB" w:rsidRDefault="00A84AA6" w:rsidP="00A84AA6">
            <w:pPr>
              <w:pStyle w:val="TableParagraph"/>
              <w:adjustRightInd w:val="0"/>
              <w:snapToGrid w:val="0"/>
              <w:jc w:val="center"/>
              <w:rPr>
                <w:rFonts w:ascii="Times New Roman" w:hAnsi="Times New Roman" w:cs="Times New Roman"/>
              </w:rPr>
            </w:pPr>
          </w:p>
        </w:tc>
        <w:tc>
          <w:tcPr>
            <w:tcW w:w="275" w:type="dxa"/>
          </w:tcPr>
          <w:p w:rsidR="00A84AA6" w:rsidRPr="00D31DFB" w:rsidRDefault="00A84AA6" w:rsidP="00A84AA6">
            <w:pPr>
              <w:pStyle w:val="TableParagraph"/>
              <w:adjustRightInd w:val="0"/>
              <w:snapToGrid w:val="0"/>
              <w:jc w:val="center"/>
              <w:rPr>
                <w:rFonts w:ascii="Times New Roman" w:hAnsi="Times New Roman" w:cs="Times New Roman"/>
              </w:rPr>
            </w:pPr>
          </w:p>
        </w:tc>
        <w:tc>
          <w:tcPr>
            <w:tcW w:w="1490" w:type="dxa"/>
          </w:tcPr>
          <w:p w:rsidR="00A84AA6" w:rsidRPr="00D31DFB" w:rsidRDefault="00A84AA6" w:rsidP="00A84AA6">
            <w:pPr>
              <w:pStyle w:val="TableParagraph"/>
              <w:adjustRightInd w:val="0"/>
              <w:snapToGrid w:val="0"/>
              <w:jc w:val="center"/>
              <w:rPr>
                <w:rFonts w:ascii="Times New Roman" w:hAnsi="Times New Roman" w:cs="Times New Roman"/>
              </w:rPr>
            </w:pPr>
          </w:p>
        </w:tc>
        <w:tc>
          <w:tcPr>
            <w:tcW w:w="331" w:type="dxa"/>
          </w:tcPr>
          <w:p w:rsidR="00A84AA6" w:rsidRPr="00D31DFB" w:rsidRDefault="00A84AA6" w:rsidP="00A84AA6">
            <w:pPr>
              <w:pStyle w:val="TableParagraph"/>
              <w:adjustRightInd w:val="0"/>
              <w:snapToGrid w:val="0"/>
              <w:jc w:val="center"/>
              <w:rPr>
                <w:rFonts w:ascii="Times New Roman" w:hAnsi="Times New Roman" w:cs="Times New Roman"/>
              </w:rPr>
            </w:pPr>
          </w:p>
        </w:tc>
        <w:tc>
          <w:tcPr>
            <w:tcW w:w="1324" w:type="dxa"/>
          </w:tcPr>
          <w:p w:rsidR="00A84AA6" w:rsidRPr="00D31DFB" w:rsidRDefault="00A84AA6" w:rsidP="00A84AA6">
            <w:pPr>
              <w:pStyle w:val="TableParagraph"/>
              <w:adjustRightInd w:val="0"/>
              <w:snapToGrid w:val="0"/>
              <w:jc w:val="center"/>
              <w:rPr>
                <w:rFonts w:ascii="Times New Roman" w:hAnsi="Times New Roman" w:cs="Times New Roman"/>
              </w:rPr>
            </w:pPr>
          </w:p>
        </w:tc>
        <w:tc>
          <w:tcPr>
            <w:tcW w:w="1052" w:type="dxa"/>
          </w:tcPr>
          <w:p w:rsidR="00A84AA6" w:rsidRPr="00D31DFB" w:rsidRDefault="00A84AA6" w:rsidP="00A84AA6">
            <w:pPr>
              <w:pStyle w:val="TableParagraph"/>
              <w:adjustRightInd w:val="0"/>
              <w:snapToGrid w:val="0"/>
              <w:jc w:val="center"/>
              <w:rPr>
                <w:rFonts w:ascii="Times New Roman" w:hAnsi="Times New Roman" w:cs="Times New Roman"/>
              </w:rPr>
            </w:pPr>
          </w:p>
        </w:tc>
      </w:tr>
      <w:tr w:rsidR="00A84AA6" w:rsidRPr="00D31DFB" w:rsidTr="00A84AA6">
        <w:trPr>
          <w:gridBefore w:val="1"/>
          <w:wBefore w:w="172" w:type="dxa"/>
          <w:trHeight w:val="194"/>
        </w:trPr>
        <w:tc>
          <w:tcPr>
            <w:tcW w:w="1490" w:type="dxa"/>
          </w:tcPr>
          <w:p w:rsidR="00A84AA6" w:rsidRPr="00D31DFB" w:rsidRDefault="00A84AA6" w:rsidP="00A84AA6">
            <w:pPr>
              <w:pStyle w:val="TableParagraph"/>
              <w:adjustRightInd w:val="0"/>
              <w:snapToGrid w:val="0"/>
              <w:ind w:right="161"/>
              <w:jc w:val="center"/>
              <w:rPr>
                <w:rFonts w:ascii="Times New Roman" w:hAnsi="Times New Roman" w:cs="Times New Roman"/>
              </w:rPr>
            </w:pPr>
            <w:proofErr w:type="spellStart"/>
            <w:r w:rsidRPr="00D31DFB">
              <w:rPr>
                <w:rFonts w:ascii="Times New Roman" w:hAnsi="Times New Roman" w:cs="Times New Roman"/>
              </w:rPr>
              <w:t>sigma_e</w:t>
            </w:r>
            <w:proofErr w:type="spellEnd"/>
          </w:p>
        </w:tc>
        <w:tc>
          <w:tcPr>
            <w:tcW w:w="1431" w:type="dxa"/>
          </w:tcPr>
          <w:p w:rsidR="00A84AA6" w:rsidRPr="00D31DFB" w:rsidRDefault="00A84AA6" w:rsidP="00A84AA6">
            <w:pPr>
              <w:pStyle w:val="TableParagraph"/>
              <w:adjustRightInd w:val="0"/>
              <w:snapToGrid w:val="0"/>
              <w:ind w:right="162"/>
              <w:jc w:val="center"/>
              <w:rPr>
                <w:rFonts w:ascii="Times New Roman" w:hAnsi="Times New Roman" w:cs="Times New Roman"/>
              </w:rPr>
            </w:pPr>
            <w:r w:rsidRPr="00D31DFB">
              <w:rPr>
                <w:rFonts w:ascii="Times New Roman" w:hAnsi="Times New Roman" w:cs="Times New Roman"/>
              </w:rPr>
              <w:t>8.971e+10</w:t>
            </w:r>
          </w:p>
        </w:tc>
        <w:tc>
          <w:tcPr>
            <w:tcW w:w="1214" w:type="dxa"/>
          </w:tcPr>
          <w:p w:rsidR="00A84AA6" w:rsidRPr="00D31DFB" w:rsidRDefault="00A84AA6" w:rsidP="00A84AA6">
            <w:pPr>
              <w:pStyle w:val="TableParagraph"/>
              <w:adjustRightInd w:val="0"/>
              <w:snapToGrid w:val="0"/>
              <w:jc w:val="center"/>
              <w:rPr>
                <w:rFonts w:ascii="Times New Roman" w:hAnsi="Times New Roman" w:cs="Times New Roman"/>
              </w:rPr>
            </w:pPr>
          </w:p>
        </w:tc>
        <w:tc>
          <w:tcPr>
            <w:tcW w:w="275" w:type="dxa"/>
          </w:tcPr>
          <w:p w:rsidR="00A84AA6" w:rsidRPr="00D31DFB" w:rsidRDefault="00A84AA6" w:rsidP="00A84AA6">
            <w:pPr>
              <w:pStyle w:val="TableParagraph"/>
              <w:adjustRightInd w:val="0"/>
              <w:snapToGrid w:val="0"/>
              <w:jc w:val="center"/>
              <w:rPr>
                <w:rFonts w:ascii="Times New Roman" w:hAnsi="Times New Roman" w:cs="Times New Roman"/>
              </w:rPr>
            </w:pPr>
          </w:p>
        </w:tc>
        <w:tc>
          <w:tcPr>
            <w:tcW w:w="1490" w:type="dxa"/>
          </w:tcPr>
          <w:p w:rsidR="00A84AA6" w:rsidRPr="00D31DFB" w:rsidRDefault="00A84AA6" w:rsidP="00A84AA6">
            <w:pPr>
              <w:pStyle w:val="TableParagraph"/>
              <w:adjustRightInd w:val="0"/>
              <w:snapToGrid w:val="0"/>
              <w:jc w:val="center"/>
              <w:rPr>
                <w:rFonts w:ascii="Times New Roman" w:hAnsi="Times New Roman" w:cs="Times New Roman"/>
              </w:rPr>
            </w:pPr>
          </w:p>
        </w:tc>
        <w:tc>
          <w:tcPr>
            <w:tcW w:w="331" w:type="dxa"/>
          </w:tcPr>
          <w:p w:rsidR="00A84AA6" w:rsidRPr="00D31DFB" w:rsidRDefault="00A84AA6" w:rsidP="00A84AA6">
            <w:pPr>
              <w:pStyle w:val="TableParagraph"/>
              <w:adjustRightInd w:val="0"/>
              <w:snapToGrid w:val="0"/>
              <w:jc w:val="center"/>
              <w:rPr>
                <w:rFonts w:ascii="Times New Roman" w:hAnsi="Times New Roman" w:cs="Times New Roman"/>
              </w:rPr>
            </w:pPr>
          </w:p>
        </w:tc>
        <w:tc>
          <w:tcPr>
            <w:tcW w:w="1324" w:type="dxa"/>
          </w:tcPr>
          <w:p w:rsidR="00A84AA6" w:rsidRPr="00D31DFB" w:rsidRDefault="00A84AA6" w:rsidP="00A84AA6">
            <w:pPr>
              <w:pStyle w:val="TableParagraph"/>
              <w:adjustRightInd w:val="0"/>
              <w:snapToGrid w:val="0"/>
              <w:jc w:val="center"/>
              <w:rPr>
                <w:rFonts w:ascii="Times New Roman" w:hAnsi="Times New Roman" w:cs="Times New Roman"/>
              </w:rPr>
            </w:pPr>
          </w:p>
        </w:tc>
        <w:tc>
          <w:tcPr>
            <w:tcW w:w="1052" w:type="dxa"/>
          </w:tcPr>
          <w:p w:rsidR="00A84AA6" w:rsidRPr="00D31DFB" w:rsidRDefault="00A84AA6" w:rsidP="00A84AA6">
            <w:pPr>
              <w:pStyle w:val="TableParagraph"/>
              <w:adjustRightInd w:val="0"/>
              <w:snapToGrid w:val="0"/>
              <w:jc w:val="center"/>
              <w:rPr>
                <w:rFonts w:ascii="Times New Roman" w:hAnsi="Times New Roman" w:cs="Times New Roman"/>
              </w:rPr>
            </w:pPr>
          </w:p>
        </w:tc>
      </w:tr>
      <w:tr w:rsidR="00A84AA6" w:rsidRPr="00D31DFB" w:rsidTr="00A84AA6">
        <w:trPr>
          <w:gridBefore w:val="1"/>
          <w:wBefore w:w="172" w:type="dxa"/>
          <w:trHeight w:val="285"/>
        </w:trPr>
        <w:tc>
          <w:tcPr>
            <w:tcW w:w="1490" w:type="dxa"/>
          </w:tcPr>
          <w:p w:rsidR="00A84AA6" w:rsidRPr="00D31DFB" w:rsidRDefault="00A84AA6" w:rsidP="00A84AA6">
            <w:pPr>
              <w:pStyle w:val="TableParagraph"/>
              <w:adjustRightInd w:val="0"/>
              <w:snapToGrid w:val="0"/>
              <w:ind w:right="161"/>
              <w:jc w:val="center"/>
              <w:rPr>
                <w:rFonts w:ascii="Times New Roman" w:hAnsi="Times New Roman" w:cs="Times New Roman"/>
              </w:rPr>
            </w:pPr>
            <w:r w:rsidRPr="00D31DFB">
              <w:rPr>
                <w:rFonts w:ascii="Times New Roman" w:hAnsi="Times New Roman" w:cs="Times New Roman"/>
              </w:rPr>
              <w:t>rho</w:t>
            </w:r>
          </w:p>
        </w:tc>
        <w:tc>
          <w:tcPr>
            <w:tcW w:w="1431" w:type="dxa"/>
          </w:tcPr>
          <w:p w:rsidR="00A84AA6" w:rsidRPr="00D31DFB" w:rsidRDefault="00A84AA6" w:rsidP="00A84AA6">
            <w:pPr>
              <w:pStyle w:val="TableParagraph"/>
              <w:adjustRightInd w:val="0"/>
              <w:snapToGrid w:val="0"/>
              <w:ind w:right="162"/>
              <w:jc w:val="center"/>
              <w:rPr>
                <w:rFonts w:ascii="Times New Roman" w:hAnsi="Times New Roman" w:cs="Times New Roman"/>
              </w:rPr>
            </w:pPr>
            <w:r w:rsidRPr="00D31DFB">
              <w:rPr>
                <w:rFonts w:ascii="Times New Roman" w:hAnsi="Times New Roman" w:cs="Times New Roman"/>
              </w:rPr>
              <w:t>.81791079</w:t>
            </w:r>
          </w:p>
        </w:tc>
        <w:tc>
          <w:tcPr>
            <w:tcW w:w="1214" w:type="dxa"/>
          </w:tcPr>
          <w:p w:rsidR="00A84AA6" w:rsidRPr="00D31DFB" w:rsidRDefault="00A84AA6" w:rsidP="00A84AA6">
            <w:pPr>
              <w:pStyle w:val="TableParagraph"/>
              <w:adjustRightInd w:val="0"/>
              <w:snapToGrid w:val="0"/>
              <w:ind w:left="173"/>
              <w:jc w:val="center"/>
              <w:rPr>
                <w:rFonts w:ascii="Times New Roman" w:hAnsi="Times New Roman" w:cs="Times New Roman"/>
              </w:rPr>
            </w:pPr>
            <w:r w:rsidRPr="00D31DFB">
              <w:rPr>
                <w:rFonts w:ascii="Times New Roman" w:hAnsi="Times New Roman" w:cs="Times New Roman"/>
              </w:rPr>
              <w:t>(fraction</w:t>
            </w:r>
          </w:p>
        </w:tc>
        <w:tc>
          <w:tcPr>
            <w:tcW w:w="275" w:type="dxa"/>
          </w:tcPr>
          <w:p w:rsidR="00A84AA6" w:rsidRPr="00D31DFB" w:rsidRDefault="00A84AA6" w:rsidP="00A84AA6">
            <w:pPr>
              <w:pStyle w:val="TableParagraph"/>
              <w:adjustRightInd w:val="0"/>
              <w:snapToGrid w:val="0"/>
              <w:ind w:left="64" w:right="-15"/>
              <w:jc w:val="center"/>
              <w:rPr>
                <w:rFonts w:ascii="Times New Roman" w:hAnsi="Times New Roman" w:cs="Times New Roman"/>
              </w:rPr>
            </w:pPr>
            <w:r w:rsidRPr="00D31DFB">
              <w:rPr>
                <w:rFonts w:ascii="Times New Roman" w:hAnsi="Times New Roman" w:cs="Times New Roman"/>
                <w:spacing w:val="3"/>
              </w:rPr>
              <w:t>of</w:t>
            </w:r>
          </w:p>
        </w:tc>
        <w:tc>
          <w:tcPr>
            <w:tcW w:w="1490" w:type="dxa"/>
          </w:tcPr>
          <w:p w:rsidR="00A84AA6" w:rsidRPr="00D31DFB" w:rsidRDefault="00A84AA6" w:rsidP="00A84AA6">
            <w:pPr>
              <w:pStyle w:val="TableParagraph"/>
              <w:adjustRightInd w:val="0"/>
              <w:snapToGrid w:val="0"/>
              <w:ind w:right="51"/>
              <w:jc w:val="center"/>
              <w:rPr>
                <w:rFonts w:ascii="Times New Roman" w:hAnsi="Times New Roman" w:cs="Times New Roman"/>
              </w:rPr>
            </w:pPr>
            <w:r w:rsidRPr="00D31DFB">
              <w:rPr>
                <w:rFonts w:ascii="Times New Roman" w:hAnsi="Times New Roman" w:cs="Times New Roman"/>
              </w:rPr>
              <w:t>variance due</w:t>
            </w:r>
          </w:p>
        </w:tc>
        <w:tc>
          <w:tcPr>
            <w:tcW w:w="331" w:type="dxa"/>
          </w:tcPr>
          <w:p w:rsidR="00A84AA6" w:rsidRPr="00D31DFB" w:rsidRDefault="00A84AA6" w:rsidP="00A84AA6">
            <w:pPr>
              <w:pStyle w:val="TableParagraph"/>
              <w:adjustRightInd w:val="0"/>
              <w:snapToGrid w:val="0"/>
              <w:ind w:left="65"/>
              <w:jc w:val="center"/>
              <w:rPr>
                <w:rFonts w:ascii="Times New Roman" w:hAnsi="Times New Roman" w:cs="Times New Roman"/>
              </w:rPr>
            </w:pPr>
            <w:r w:rsidRPr="00D31DFB">
              <w:rPr>
                <w:rFonts w:ascii="Times New Roman" w:hAnsi="Times New Roman" w:cs="Times New Roman"/>
              </w:rPr>
              <w:t>to</w:t>
            </w:r>
          </w:p>
        </w:tc>
        <w:tc>
          <w:tcPr>
            <w:tcW w:w="1324" w:type="dxa"/>
          </w:tcPr>
          <w:p w:rsidR="00A84AA6" w:rsidRPr="00D31DFB" w:rsidRDefault="00A84AA6" w:rsidP="00A84AA6">
            <w:pPr>
              <w:pStyle w:val="TableParagraph"/>
              <w:adjustRightInd w:val="0"/>
              <w:snapToGrid w:val="0"/>
              <w:ind w:left="66"/>
              <w:rPr>
                <w:rFonts w:ascii="Times New Roman" w:hAnsi="Times New Roman" w:cs="Times New Roman"/>
              </w:rPr>
            </w:pPr>
            <w:proofErr w:type="spellStart"/>
            <w:r w:rsidRPr="00D31DFB">
              <w:rPr>
                <w:rFonts w:ascii="Times New Roman" w:hAnsi="Times New Roman" w:cs="Times New Roman"/>
              </w:rPr>
              <w:t>u_i</w:t>
            </w:r>
            <w:proofErr w:type="spellEnd"/>
            <w:r w:rsidRPr="00D31DFB">
              <w:rPr>
                <w:rFonts w:ascii="Times New Roman" w:hAnsi="Times New Roman" w:cs="Times New Roman"/>
              </w:rPr>
              <w:t>)</w:t>
            </w:r>
          </w:p>
        </w:tc>
        <w:tc>
          <w:tcPr>
            <w:tcW w:w="1052" w:type="dxa"/>
          </w:tcPr>
          <w:p w:rsidR="00A84AA6" w:rsidRPr="00D31DFB" w:rsidRDefault="00A84AA6" w:rsidP="00A84AA6">
            <w:pPr>
              <w:pStyle w:val="TableParagraph"/>
              <w:adjustRightInd w:val="0"/>
              <w:snapToGrid w:val="0"/>
              <w:jc w:val="center"/>
              <w:rPr>
                <w:rFonts w:ascii="Times New Roman" w:hAnsi="Times New Roman" w:cs="Times New Roman"/>
              </w:rPr>
            </w:pPr>
          </w:p>
        </w:tc>
      </w:tr>
    </w:tbl>
    <w:tbl>
      <w:tblPr>
        <w:tblW w:w="8864" w:type="dxa"/>
        <w:jc w:val="center"/>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60"/>
        <w:gridCol w:w="213"/>
        <w:gridCol w:w="4247"/>
        <w:gridCol w:w="2956"/>
        <w:gridCol w:w="1388"/>
      </w:tblGrid>
      <w:tr w:rsidR="00A84AA6" w:rsidRPr="00D31DFB" w:rsidTr="00A84AA6">
        <w:trPr>
          <w:trHeight w:val="291"/>
          <w:jc w:val="center"/>
        </w:trPr>
        <w:tc>
          <w:tcPr>
            <w:tcW w:w="60" w:type="dxa"/>
          </w:tcPr>
          <w:p w:rsidR="00A84AA6" w:rsidRPr="00D31DFB" w:rsidRDefault="00A84AA6" w:rsidP="00A84AA6">
            <w:pPr>
              <w:pStyle w:val="TableParagraph"/>
              <w:adjustRightInd w:val="0"/>
              <w:snapToGrid w:val="0"/>
              <w:rPr>
                <w:rFonts w:ascii="Times New Roman" w:hAnsi="Times New Roman" w:cs="Times New Roman"/>
              </w:rPr>
            </w:pPr>
          </w:p>
        </w:tc>
        <w:tc>
          <w:tcPr>
            <w:tcW w:w="213" w:type="dxa"/>
          </w:tcPr>
          <w:p w:rsidR="00A84AA6" w:rsidRPr="00D31DFB" w:rsidRDefault="00A84AA6" w:rsidP="00A84AA6">
            <w:pPr>
              <w:pStyle w:val="TableParagraph"/>
              <w:adjustRightInd w:val="0"/>
              <w:snapToGrid w:val="0"/>
              <w:jc w:val="center"/>
              <w:rPr>
                <w:rFonts w:ascii="Times New Roman" w:hAnsi="Times New Roman" w:cs="Times New Roman"/>
              </w:rPr>
            </w:pPr>
            <w:r w:rsidRPr="00D31DFB">
              <w:rPr>
                <w:rFonts w:ascii="Times New Roman" w:hAnsi="Times New Roman" w:cs="Times New Roman"/>
              </w:rPr>
              <w:t>F</w:t>
            </w:r>
          </w:p>
        </w:tc>
        <w:tc>
          <w:tcPr>
            <w:tcW w:w="4247" w:type="dxa"/>
          </w:tcPr>
          <w:p w:rsidR="00A84AA6" w:rsidRPr="00D31DFB" w:rsidRDefault="00A84AA6" w:rsidP="00A84AA6">
            <w:pPr>
              <w:pStyle w:val="TableParagraph"/>
              <w:adjustRightInd w:val="0"/>
              <w:snapToGrid w:val="0"/>
              <w:ind w:left="59"/>
              <w:rPr>
                <w:rFonts w:ascii="Times New Roman" w:hAnsi="Times New Roman" w:cs="Times New Roman"/>
              </w:rPr>
            </w:pPr>
            <w:r w:rsidRPr="00D31DFB">
              <w:rPr>
                <w:rFonts w:ascii="Times New Roman" w:hAnsi="Times New Roman" w:cs="Times New Roman"/>
              </w:rPr>
              <w:t xml:space="preserve">test that all </w:t>
            </w:r>
            <w:proofErr w:type="spellStart"/>
            <w:r w:rsidRPr="00D31DFB">
              <w:rPr>
                <w:rFonts w:ascii="Times New Roman" w:hAnsi="Times New Roman" w:cs="Times New Roman"/>
              </w:rPr>
              <w:t>u_i</w:t>
            </w:r>
            <w:proofErr w:type="spellEnd"/>
            <w:r w:rsidRPr="00D31DFB">
              <w:rPr>
                <w:rFonts w:ascii="Times New Roman" w:hAnsi="Times New Roman" w:cs="Times New Roman"/>
              </w:rPr>
              <w:t xml:space="preserve">=0: </w:t>
            </w:r>
            <w:proofErr w:type="gramStart"/>
            <w:r w:rsidRPr="00D31DFB">
              <w:rPr>
                <w:rFonts w:ascii="Times New Roman" w:hAnsi="Times New Roman" w:cs="Times New Roman"/>
              </w:rPr>
              <w:t>F(</w:t>
            </w:r>
            <w:proofErr w:type="gramEnd"/>
            <w:r w:rsidRPr="00D31DFB">
              <w:rPr>
                <w:rFonts w:ascii="Times New Roman" w:hAnsi="Times New Roman" w:cs="Times New Roman"/>
              </w:rPr>
              <w:t>13, 66) = 3.35</w:t>
            </w:r>
          </w:p>
        </w:tc>
        <w:tc>
          <w:tcPr>
            <w:tcW w:w="2956" w:type="dxa"/>
          </w:tcPr>
          <w:p w:rsidR="00A84AA6" w:rsidRPr="00D31DFB" w:rsidRDefault="00A84AA6" w:rsidP="00A84AA6">
            <w:pPr>
              <w:pStyle w:val="TableParagraph"/>
              <w:adjustRightInd w:val="0"/>
              <w:snapToGrid w:val="0"/>
              <w:ind w:right="56"/>
              <w:jc w:val="center"/>
              <w:rPr>
                <w:rFonts w:ascii="Times New Roman" w:hAnsi="Times New Roman" w:cs="Times New Roman"/>
              </w:rPr>
            </w:pPr>
            <w:r w:rsidRPr="00D31DFB">
              <w:rPr>
                <w:rFonts w:ascii="Times New Roman" w:hAnsi="Times New Roman" w:cs="Times New Roman"/>
              </w:rPr>
              <w:t xml:space="preserve">                                       Prob</w:t>
            </w:r>
          </w:p>
        </w:tc>
        <w:tc>
          <w:tcPr>
            <w:tcW w:w="1388" w:type="dxa"/>
          </w:tcPr>
          <w:p w:rsidR="00A84AA6" w:rsidRPr="00D31DFB" w:rsidRDefault="00A84AA6" w:rsidP="00A84AA6">
            <w:pPr>
              <w:pStyle w:val="TableParagraph"/>
              <w:adjustRightInd w:val="0"/>
              <w:snapToGrid w:val="0"/>
              <w:rPr>
                <w:rFonts w:ascii="Times New Roman" w:hAnsi="Times New Roman" w:cs="Times New Roman"/>
              </w:rPr>
            </w:pPr>
            <w:r w:rsidRPr="00D31DFB">
              <w:rPr>
                <w:rFonts w:ascii="Times New Roman" w:hAnsi="Times New Roman" w:cs="Times New Roman"/>
              </w:rPr>
              <w:t>&gt; F =</w:t>
            </w:r>
            <w:r w:rsidRPr="00D31DFB">
              <w:rPr>
                <w:rFonts w:ascii="Times New Roman" w:hAnsi="Times New Roman" w:cs="Times New Roman"/>
                <w:spacing w:val="58"/>
              </w:rPr>
              <w:t xml:space="preserve"> </w:t>
            </w:r>
            <w:r w:rsidRPr="00D31DFB">
              <w:rPr>
                <w:rFonts w:ascii="Times New Roman" w:hAnsi="Times New Roman" w:cs="Times New Roman"/>
                <w:spacing w:val="5"/>
              </w:rPr>
              <w:t>0.0006</w:t>
            </w:r>
          </w:p>
        </w:tc>
      </w:tr>
    </w:tbl>
    <w:p w:rsidR="00D31DFB" w:rsidRPr="00D31DFB" w:rsidRDefault="00D31DFB" w:rsidP="00D31DFB">
      <w:pPr>
        <w:widowControl w:val="0"/>
        <w:autoSpaceDE w:val="0"/>
        <w:autoSpaceDN w:val="0"/>
        <w:adjustRightInd w:val="0"/>
        <w:snapToGrid w:val="0"/>
      </w:pPr>
      <w:r w:rsidRPr="00D31DFB">
        <w:t>Source : Processed Research (2020)</w:t>
      </w:r>
    </w:p>
    <w:p w:rsidR="00D31DFB" w:rsidRPr="00D31DFB" w:rsidRDefault="00D31DFB" w:rsidP="00A84AA6">
      <w:pPr>
        <w:widowControl w:val="0"/>
        <w:autoSpaceDE w:val="0"/>
        <w:autoSpaceDN w:val="0"/>
        <w:adjustRightInd w:val="0"/>
        <w:snapToGrid w:val="0"/>
        <w:rPr>
          <w:shd w:val="clear" w:color="auto" w:fill="FFFFFF"/>
        </w:rPr>
      </w:pPr>
    </w:p>
    <w:p w:rsidR="00A84AA6" w:rsidRPr="00D31DFB" w:rsidRDefault="00A84AA6" w:rsidP="00A84AA6">
      <w:pPr>
        <w:widowControl w:val="0"/>
        <w:autoSpaceDE w:val="0"/>
        <w:autoSpaceDN w:val="0"/>
        <w:adjustRightInd w:val="0"/>
        <w:snapToGrid w:val="0"/>
        <w:ind w:firstLine="720"/>
        <w:jc w:val="both"/>
        <w:rPr>
          <w:shd w:val="clear" w:color="auto" w:fill="FFFFFF"/>
        </w:rPr>
      </w:pPr>
      <w:r w:rsidRPr="00D31DFB">
        <w:rPr>
          <w:shd w:val="clear" w:color="auto" w:fill="FFFFFF"/>
        </w:rPr>
        <w:t xml:space="preserve">On </w:t>
      </w:r>
      <w:proofErr w:type="spellStart"/>
      <w:r w:rsidRPr="00D31DFB">
        <w:rPr>
          <w:shd w:val="clear" w:color="auto" w:fill="FFFFFF"/>
        </w:rPr>
        <w:t>the</w:t>
      </w:r>
      <w:proofErr w:type="spellEnd"/>
      <w:r w:rsidRPr="00D31DFB">
        <w:rPr>
          <w:shd w:val="clear" w:color="auto" w:fill="FFFFFF"/>
        </w:rPr>
        <w:t xml:space="preserve"> </w:t>
      </w:r>
      <w:proofErr w:type="spellStart"/>
      <w:r w:rsidRPr="00D31DFB">
        <w:rPr>
          <w:shd w:val="clear" w:color="auto" w:fill="FFFFFF"/>
        </w:rPr>
        <w:t>other</w:t>
      </w:r>
      <w:proofErr w:type="spellEnd"/>
      <w:r w:rsidRPr="00D31DFB">
        <w:rPr>
          <w:shd w:val="clear" w:color="auto" w:fill="FFFFFF"/>
        </w:rPr>
        <w:t xml:space="preserve"> </w:t>
      </w:r>
      <w:proofErr w:type="spellStart"/>
      <w:r w:rsidRPr="00D31DFB">
        <w:rPr>
          <w:shd w:val="clear" w:color="auto" w:fill="FFFFFF"/>
        </w:rPr>
        <w:t>hand</w:t>
      </w:r>
      <w:proofErr w:type="spellEnd"/>
      <w:r w:rsidRPr="00D31DFB">
        <w:rPr>
          <w:shd w:val="clear" w:color="auto" w:fill="FFFFFF"/>
        </w:rPr>
        <w:t xml:space="preserve">, </w:t>
      </w:r>
      <w:proofErr w:type="spellStart"/>
      <w:r w:rsidRPr="00D31DFB">
        <w:t>original</w:t>
      </w:r>
      <w:proofErr w:type="spellEnd"/>
      <w:r w:rsidRPr="00D31DFB">
        <w:t xml:space="preserve"> local government revenue </w:t>
      </w:r>
      <w:r w:rsidRPr="00D31DFB">
        <w:rPr>
          <w:shd w:val="clear" w:color="auto" w:fill="FFFFFF"/>
        </w:rPr>
        <w:t xml:space="preserve">is negative and not significant in affecting government spending where the p-value (0.380) is more significant than 0.05. It implies that a 1 unit increase of PAD will not decrease government spending by 4,98 units. This outcome is in line with research from </w:t>
      </w:r>
      <w:r w:rsidRPr="00D31DFB">
        <w:rPr>
          <w:shd w:val="clear" w:color="auto" w:fill="FFFFFF"/>
        </w:rPr>
        <w:fldChar w:fldCharType="begin" w:fldLock="1"/>
      </w:r>
      <w:r w:rsidRPr="00D31DFB">
        <w:rPr>
          <w:shd w:val="clear" w:color="auto" w:fill="FFFFFF"/>
        </w:rPr>
        <w:instrText>ADDIN CSL_CITATION {"citationItems":[{"id":"ITEM-1","itemData":{"DOI":"10.24843/ejmunud.2019.v08.i05.p09","ISSN":"2302-8912","abstract":"Penelitian ini bertujuan untuk mengetahui pengaruh PAD dan dana perimbangan terhadap kinerja keuangan pemerintah daerah. Penelitian ini dilakukan di Kota Denpasar, Kabupaten Badung, Kabupaten Gianyar, dan Kabupaten Tabanan atau sering disebut dengan wilayah Sarbagita. Desain penelitian dalam penelitian ini menggunakan pendekatan asosiatif. Populasi dan sampel dalam penelitian ini adalah pemerintah Kota Denpasar, Kabupaten Badung, Kabupaten Gianyar, dan Kabupaten Tabanan (wilayah Sarbagita) dengan metode penentuan sampel yang digunakan adalah metode sampling jenuh. Pengumpulan data menggunakan metode observasi non partisipan dengan cara observasi pada laporan realisasi APDB pemerintah Kabupaten/Kota di wilayah Sarbagita tahun anggaran 2012-2016 dengan teknik analisis yang digunakan adalah regresi linier berganda. Hasil analisis menunjukkan bahwa PAD dan dana perimbangan berpengaruh negatif signifikan terhadap kinerja keuangan pemerintah daerah. Hasil ini menunjukkan bahwa semakin meningkatnya perolehan PAD dan penerimaan dana perimbangan akan diikuti dengan penurunan kinerja keuangan pemerintah daerah.\r  \r Kata kunci: pendapatan asli daerah, dana perimbangan, kinerja keuangan pemerintah daerah","author":[{"dropping-particle":"","family":"Putri","given":"Ni Kadek Novia Indrawati","non-dropping-particle":"","parse-names":false,"suffix":""},{"dropping-particle":"","family":"Darmayanti","given":"Ni Putu Ayu","non-dropping-particle":"","parse-names":false,"suffix":""}],"container-title":"E-Jurnal Manajemen Universitas Udayana","id":"ITEM-1","issue":"5","issued":{"date-parts":[["2019"]]},"page":"2834","title":"Pengaruh Pad Dan Dana Perimbangan Terhadap Kinerja Keuangan Pemerintah Daerah Di Wilayah Sarbagita Provinsi Bali","type":"article-journal","volume":"8"},"uris":["http://www.mendeley.com/documents/?uuid=7d4061d9-910a-4212-bd18-c5e9323dd99e"]}],"mendeley":{"formattedCitation":"(N. K. N. I. Putri &amp; Darmayanti, 2019)","plainTextFormattedCitation":"(N. K. N. I. Putri &amp; Darmayanti, 2019)","previouslyFormattedCitation":"(N. K. N. I. Putri &amp; Darmayanti, 2019)"},"properties":{"noteIndex":0},"schema":"https://github.com/citation-style-language/schema/raw/master/csl-citation.json"}</w:instrText>
      </w:r>
      <w:r w:rsidRPr="00D31DFB">
        <w:rPr>
          <w:shd w:val="clear" w:color="auto" w:fill="FFFFFF"/>
        </w:rPr>
        <w:fldChar w:fldCharType="separate"/>
      </w:r>
      <w:r w:rsidRPr="00D31DFB">
        <w:rPr>
          <w:noProof/>
          <w:shd w:val="clear" w:color="auto" w:fill="FFFFFF"/>
        </w:rPr>
        <w:t>Putri &amp; Darmayanti (2019)</w:t>
      </w:r>
      <w:r w:rsidRPr="00D31DFB">
        <w:rPr>
          <w:shd w:val="clear" w:color="auto" w:fill="FFFFFF"/>
        </w:rPr>
        <w:fldChar w:fldCharType="end"/>
      </w:r>
      <w:r w:rsidRPr="00D31DFB">
        <w:rPr>
          <w:shd w:val="clear" w:color="auto" w:fill="FFFFFF"/>
        </w:rPr>
        <w:t xml:space="preserve"> concludes that PAD is negative but significant on government spending and </w:t>
      </w:r>
      <w:r w:rsidRPr="00D31DFB">
        <w:rPr>
          <w:shd w:val="clear" w:color="auto" w:fill="FFFFFF"/>
        </w:rPr>
        <w:fldChar w:fldCharType="begin" w:fldLock="1"/>
      </w:r>
      <w:r w:rsidRPr="00D31DFB">
        <w:rPr>
          <w:shd w:val="clear" w:color="auto" w:fill="FFFFFF"/>
        </w:rPr>
        <w:instrText>ADDIN CSL_CITATION {"citationItems":[{"id":"ITEM-1","itemData":{"ISBN":"1966030819","abstract":"Wandira, Arbie Gugus. 2013. Effect of Revenue, General Allocation Fund, Special Allocation Fund, and Revenue Sharing against Capital Expenditure Budget Allocation (Empirical Study of the Provincial Government in Indonesia 2012). Final Project. Accounting Departement. Faculty of Economics. State University of Semarang. Advisor. Amir Mahmud, S.Pd. M.Si. Co Advisor. Kiswanto, SE. M.Si","author":[{"dropping-particle":"","family":"Wandira","given":"arbie gugus","non-dropping-particle":"","parse-names":false,"suffix":""}],"id":"ITEM-1","issued":{"date-parts":[["2013"]]},"number-of-pages":"9-132","title":"Pengaruh Pendapatan Asli Daerah ( Pad ), Dana Alokasi Umum ( Dau ), Dana Alokasi Terhadap Pengalokasian","type":"book"},"uris":["http://www.mendeley.com/documents/?uuid=79f0c961-2f00-4d01-a807-f82f35eb3220"]}],"mendeley":{"formattedCitation":"(Wandira, 2013)","plainTextFormattedCitation":"(Wandira, 2013)","previouslyFormattedCitation":"(Wandira, 2013)"},"properties":{"noteIndex":0},"schema":"https://github.com/citation-style-language/schema/raw/master/csl-citation.json"}</w:instrText>
      </w:r>
      <w:r w:rsidRPr="00D31DFB">
        <w:rPr>
          <w:shd w:val="clear" w:color="auto" w:fill="FFFFFF"/>
        </w:rPr>
        <w:fldChar w:fldCharType="separate"/>
      </w:r>
      <w:r w:rsidRPr="00D31DFB">
        <w:rPr>
          <w:noProof/>
          <w:shd w:val="clear" w:color="auto" w:fill="FFFFFF"/>
        </w:rPr>
        <w:t>Wandira (2013)</w:t>
      </w:r>
      <w:r w:rsidRPr="00D31DFB">
        <w:rPr>
          <w:shd w:val="clear" w:color="auto" w:fill="FFFFFF"/>
        </w:rPr>
        <w:fldChar w:fldCharType="end"/>
      </w:r>
      <w:r w:rsidRPr="00D31DFB">
        <w:rPr>
          <w:shd w:val="clear" w:color="auto" w:fill="FFFFFF"/>
        </w:rPr>
        <w:t xml:space="preserve"> explains that PAD is not significant on spending. In general, all variables in this model provide a better fit and influence the government budget. The p-value of  F-statistic (0.0006) is less than 0.05. </w:t>
      </w:r>
    </w:p>
    <w:p w:rsidR="00A84AA6" w:rsidRPr="00D31DFB" w:rsidRDefault="00A84AA6" w:rsidP="00A84AA6">
      <w:pPr>
        <w:widowControl w:val="0"/>
        <w:autoSpaceDE w:val="0"/>
        <w:autoSpaceDN w:val="0"/>
        <w:adjustRightInd w:val="0"/>
        <w:snapToGrid w:val="0"/>
        <w:jc w:val="both"/>
        <w:rPr>
          <w:shd w:val="clear" w:color="auto" w:fill="FFFFFF"/>
        </w:rPr>
      </w:pPr>
      <w:r w:rsidRPr="00D31DFB">
        <w:t xml:space="preserve">The Flypaper effect is calculated by the coefficient or value of the independent variables. If the coefficient value of a balanced budget is greater than the </w:t>
      </w:r>
      <w:r w:rsidRPr="00D31DFB">
        <w:rPr>
          <w:bCs/>
        </w:rPr>
        <w:t xml:space="preserve">original local government, </w:t>
      </w:r>
      <w:r w:rsidRPr="00D31DFB">
        <w:t xml:space="preserve">and both are significant, it can be assumed that a flypaper effect occurs. The results obtained in Table 4 show that the DAU coefficient of 2.187608 and DAK 1.338198 is more dominant than the PAD coefficient of -0.3104811, thus indicating a flypaper effect on the management of regional expenditures in regencies/cities in West Kalimantan Province. Simultaneously, DBH did not find a flypaper effect because it has a coefficient value of 0.2747257, which is smaller than the PAD coefficient. This study is in line with several findings </w:t>
      </w:r>
      <w:r w:rsidRPr="00D31DFB">
        <w:rPr>
          <w:shd w:val="clear" w:color="auto" w:fill="FFFFFF"/>
        </w:rPr>
        <w:fldChar w:fldCharType="begin" w:fldLock="1"/>
      </w:r>
      <w:r w:rsidRPr="00D31DFB">
        <w:rPr>
          <w:shd w:val="clear" w:color="auto" w:fill="FFFFFF"/>
        </w:rPr>
        <w:instrText>ADDIN CSL_CITATION {"citationItems":[{"id":"ITEM-1","itemData":{"abstract":"Penelitian ini bertujuan untuk mengetahui pengaruh Pendapatan Asli Daerah, Dana Perimbangan yang terdiri dari Dana Alokasi Umum, Dana Alokasi Khusus dan Dana Bagi Hasil serta Belanja Pegawai terhadap Belanja Modal pada Pemerintah Kota Surakarta. Penelitian ini diharapkan dqpat digunakan sebagai bahan masukan dan kontribusi pengembangan ilmu pengetahuan akuntansi sektor publik dan juga sebagai bahan pertimbangan Pemkot Surakarta dalam mengalokasikan belanja modal. Teknik pengumpulan data adalah dokumentasi, yang dilakukan dengan mengumpulkan data sekunder, mencatat, dan mengolah data yang berkaitan dengan penelitian. Analisis data dalam penelitian ini menggunakan Statistik Deskriptif, Uji Asumsi Klasik, regresi linear berganda dengan uji F, uji t, dan koefisien determinasi. Hasil Penelitian menunjukan bahwa belanja pegawai berpengaruh negatif terhadap belanja modal, Pendapatan Asli Daerah dan Dana Alokasi Umum berpengaruh terhadap belanja modal. Sedangkan Dana Alokasi Khusus dan Dana Bagi Hasil tidak berpengaruh terhadap belanja modal.","author":[{"dropping-particle":"","family":"Prastiwi, Ayu, Nurlaela","given":"Siti","non-dropping-particle":"","parse-names":false,"suffix":""},{"dropping-particle":"","family":"dan Chomsatu","given":"Yuli","non-dropping-particle":"","parse-names":false,"suffix":""}],"container-title":"Seminar Nasional IENACO-2016","id":"ITEM-1","issued":{"date-parts":[["2016"]]},"page":"872-879","title":"Pengaruh Pendapatan Asli Daerah, Dana Perimbangan Dan Belanja Pengawai Terhadap Belanja Modal Pemerintah Kota Surakarta","type":"article-journal"},"uris":["http://www.mendeley.com/documents/?uuid=6ff3d278-66e7-4563-a11f-0318298fbfcc"]},{"id":"ITEM-2","itemData":{"DOI":"10.32493/jabi.v2i1.y2019.p104-122","ISSN":"2614-8447","abstract":" ABSTRAKPenulis mempunyai tujuan untuk dapat menganalisis, menguji dan kemudian membuktikan apakah Belanja Modal pada Pemda Kabupaten/Kota di Jawa Timur tahun 2011-2014 dipengaruhi oleh variabel Pertumbuhan Ekonomi Daerah serta variabel-variabel penerimaan seperti PAD, DAU dan DBH.Dasar pengambilan sample adalah sample yang memenuhi kriteria atau syarat tertentu dengan metode Purposive sampling, dimana populasinya adalah data realisasi APBD Pemda Kabupaten/Kota di Jawa Timur. Alat uji yang digunakan untuk menguji data yang ada adalah uji asumsi klasik dan analisis regresi linier berganda menggunakan SPSS versi 24 untuk windows.Dari serangkain pengujian yang dilakukan menghasilkan data yang dapat membuktikan bahwa secara parsial baik variabel bebas Pertumbuhan Ekonomi Daerah maupun DBH tidak berpengaruh signifikan terhadap Belanja Modal, sementara itu variabel bebas PAD dan DAU mempunyai pengaruh siginifikan terhadap Belanja Modal. Namun demikian secara bersama-bersama keempat variabel bebas tersebut berpengaruh signifikan terhadap variabel terikat yaitu Belanja Modal. Pengujian tersebut berdasarkan pada tingkat keyakinan sebesar 95% dan tingkat error sebesar 5%.","author":[{"dropping-particle":"","family":"Mundiroh","given":"Siti","non-dropping-particle":"","parse-names":false,"suffix":""}],"container-title":"Jurnal Akuntansi Berkelanjutan Indonesia","id":"ITEM-2","issue":"1","issued":{"date-parts":[["2019"]]},"page":"104","title":"Pengaruh Pertumbuhan Ekonomi Daerah, Pendapatan Asli Daerah (Pad), Dana Alokasi Umum (Dau) Dan Dana Bagi Hasil (Dbh) Terhadap Alokasi Belanja Modal Daerah","type":"article-journal","volume":"2"},"uris":["http://www.mendeley.com/documents/?uuid=f56ee665-ce8c-4500-b4f4-c0f7eabe6e96"]}],"mendeley":{"formattedCitation":"(Mundiroh, 2019; Prastiwi, Ayu, Nurlaela &amp; dan Chomsatu, 2016)","plainTextFormattedCitation":"(Mundiroh, 2019; Prastiwi, Ayu, Nurlaela &amp; dan Chomsatu, 2016)","previouslyFormattedCitation":"(Mundiroh, 2019; Prastiwi, Ayu, Nurlaela &amp; dan Chomsatu, 2016)"},"properties":{"noteIndex":0},"schema":"https://github.com/citation-style-language/schema/raw/master/csl-citation.json"}</w:instrText>
      </w:r>
      <w:r w:rsidRPr="00D31DFB">
        <w:rPr>
          <w:shd w:val="clear" w:color="auto" w:fill="FFFFFF"/>
        </w:rPr>
        <w:fldChar w:fldCharType="separate"/>
      </w:r>
      <w:r w:rsidRPr="00D31DFB">
        <w:t>Dollery &amp; Worthington (1995), Solikin (2016), A</w:t>
      </w:r>
      <w:r w:rsidRPr="00D31DFB">
        <w:rPr>
          <w:noProof/>
          <w:shd w:val="clear" w:color="auto" w:fill="FFFFFF"/>
        </w:rPr>
        <w:t xml:space="preserve">malia (2017), </w:t>
      </w:r>
      <w:r w:rsidRPr="00D31DFB">
        <w:t>Putri et al. (2020</w:t>
      </w:r>
      <w:r w:rsidRPr="00D31DFB">
        <w:rPr>
          <w:shd w:val="clear" w:color="auto" w:fill="FFFFFF"/>
        </w:rPr>
        <w:fldChar w:fldCharType="end"/>
      </w:r>
      <w:r w:rsidRPr="00D31DFB">
        <w:rPr>
          <w:shd w:val="clear" w:color="auto" w:fill="FFFFFF"/>
        </w:rPr>
        <w:t xml:space="preserve">). </w:t>
      </w:r>
      <w:r w:rsidRPr="00D31DFB">
        <w:t>It shows that the dependence between regions and cities in West Kalimantan on the central government is still high.</w:t>
      </w:r>
    </w:p>
    <w:p w:rsidR="00A84AA6" w:rsidRPr="00D31DFB" w:rsidRDefault="00A84AA6" w:rsidP="00A84AA6">
      <w:pPr>
        <w:widowControl w:val="0"/>
        <w:autoSpaceDE w:val="0"/>
        <w:autoSpaceDN w:val="0"/>
        <w:adjustRightInd w:val="0"/>
        <w:snapToGrid w:val="0"/>
        <w:ind w:firstLine="720"/>
        <w:jc w:val="both"/>
      </w:pPr>
      <w:r w:rsidRPr="00D31DFB">
        <w:t xml:space="preserve">The general allocation funds received by the West Kalimantan Provincial government have an enormous compared to the original regional income. So that if the amount of this fund is reduced, it will affect the reduction in local revenue. Likewise, the special allocation funds are almost entirely higher in value than the regions' revenue. The regional government should </w:t>
      </w:r>
      <w:r w:rsidRPr="00D31DFB">
        <w:lastRenderedPageBreak/>
        <w:t>adequately utilize the balancing fund provided by the central government to improve the provision of community services, stimulate the regional economy, and maximize the potential of the region to increase the original regional income. However, unfortunately, the use of these transfer funds was not effective because the funds were mostly used to meet routine expenditures rather than capital expenditures, and this happened repeatedly. This allocation of funds also had a negative effect, namely that it increased the dependence of local governments on the central government, which eventually led to the flypaper effect phenomenon.</w:t>
      </w:r>
    </w:p>
    <w:p w:rsidR="00A84AA6" w:rsidRPr="00D31DFB" w:rsidRDefault="00A84AA6" w:rsidP="00A84AA6">
      <w:pPr>
        <w:widowControl w:val="0"/>
        <w:autoSpaceDE w:val="0"/>
        <w:autoSpaceDN w:val="0"/>
        <w:adjustRightInd w:val="0"/>
        <w:snapToGrid w:val="0"/>
        <w:ind w:firstLine="720"/>
        <w:jc w:val="both"/>
      </w:pPr>
      <w:r w:rsidRPr="00D31DFB">
        <w:t>The lack of optimal local government in creating and maximizing its economic potential will impact local revenue, which is difficult to increase. If this continues, then the aim of regional autonomy in realizing fiscal independence will also be hampered. The regional government will continue to expect equal funding assistance from the central government. To reduce this flypaper effect, it would be better if the central government can pay more attention to the allocation of balancing funds, especially general allocation funds and special allocation funds to local governments. The management used for regional spending is right on target and in accordance with the expected goals. Also, the central government is expected to strictly evaluate the use of these funds to meet the minimum limit in capital spending. On the other hand, local governments must work hard in increasing sources of regional income, such as increasing taxes, user fees, and encouraging investment into the West Kalimantan region.</w:t>
      </w:r>
    </w:p>
    <w:p w:rsidR="00DA26AF" w:rsidRPr="00D31DFB" w:rsidRDefault="00DA26AF" w:rsidP="00A84AA6">
      <w:pPr>
        <w:widowControl w:val="0"/>
        <w:autoSpaceDE w:val="0"/>
        <w:autoSpaceDN w:val="0"/>
        <w:adjustRightInd w:val="0"/>
        <w:snapToGrid w:val="0"/>
        <w:jc w:val="both"/>
      </w:pPr>
    </w:p>
    <w:p w:rsidR="00DA26AF" w:rsidRPr="00D31DFB" w:rsidRDefault="00DA26AF" w:rsidP="00A84AA6">
      <w:pPr>
        <w:widowControl w:val="0"/>
        <w:autoSpaceDE w:val="0"/>
        <w:autoSpaceDN w:val="0"/>
        <w:adjustRightInd w:val="0"/>
        <w:snapToGrid w:val="0"/>
        <w:jc w:val="both"/>
      </w:pPr>
    </w:p>
    <w:p w:rsidR="00A84AA6" w:rsidRPr="00D31DFB" w:rsidRDefault="00A84AA6" w:rsidP="00A84AA6">
      <w:pPr>
        <w:widowControl w:val="0"/>
        <w:autoSpaceDE w:val="0"/>
        <w:autoSpaceDN w:val="0"/>
        <w:adjustRightInd w:val="0"/>
        <w:snapToGrid w:val="0"/>
        <w:jc w:val="both"/>
        <w:rPr>
          <w:b/>
          <w:bCs/>
        </w:rPr>
      </w:pPr>
      <w:r w:rsidRPr="00D31DFB">
        <w:rPr>
          <w:b/>
          <w:bCs/>
        </w:rPr>
        <w:t>CONCLUSION</w:t>
      </w:r>
    </w:p>
    <w:p w:rsidR="00D87B44" w:rsidRPr="00D31DFB" w:rsidRDefault="00A84AA6" w:rsidP="00D87B44">
      <w:pPr>
        <w:widowControl w:val="0"/>
        <w:tabs>
          <w:tab w:val="left" w:pos="851"/>
        </w:tabs>
        <w:autoSpaceDE w:val="0"/>
        <w:autoSpaceDN w:val="0"/>
        <w:adjustRightInd w:val="0"/>
        <w:snapToGrid w:val="0"/>
        <w:ind w:firstLine="720"/>
        <w:jc w:val="both"/>
      </w:pPr>
      <w:r w:rsidRPr="00D31DFB">
        <w:t xml:space="preserve">This study finds that the flypaper effect phenomenon has occurred during the period 2013-2018 in local government expenditure, which comes from general allocation funds and special allocation funds in regencies/cities in West Kalimantan Province. Meanwhile, </w:t>
      </w:r>
      <w:r w:rsidRPr="00D31DFB">
        <w:rPr>
          <w:bCs/>
        </w:rPr>
        <w:t>original local government revenue</w:t>
      </w:r>
      <w:r w:rsidRPr="00D31DFB">
        <w:t xml:space="preserve"> and sharing funds do not show a flypaper effect. The amount of allocated funds given each year, especially the general allocation funds, proves that local governments have not been able to meet their expenditures independently so that the level of dependence on the central government is still very high. The flypaper effect also shows that local governments have not maximally exploited their regional economic potential to increase local revenue.</w:t>
      </w:r>
    </w:p>
    <w:p w:rsidR="00D87B44" w:rsidRPr="00D31DFB" w:rsidRDefault="00D87B44" w:rsidP="00D87B44">
      <w:pPr>
        <w:widowControl w:val="0"/>
        <w:tabs>
          <w:tab w:val="left" w:pos="851"/>
        </w:tabs>
        <w:autoSpaceDE w:val="0"/>
        <w:autoSpaceDN w:val="0"/>
        <w:adjustRightInd w:val="0"/>
        <w:snapToGrid w:val="0"/>
        <w:ind w:firstLine="720"/>
        <w:jc w:val="both"/>
      </w:pPr>
    </w:p>
    <w:p w:rsidR="00D87B44" w:rsidRPr="00D31DFB" w:rsidRDefault="00D87B44" w:rsidP="00D87B44">
      <w:pPr>
        <w:widowControl w:val="0"/>
        <w:tabs>
          <w:tab w:val="left" w:pos="851"/>
        </w:tabs>
        <w:autoSpaceDE w:val="0"/>
        <w:autoSpaceDN w:val="0"/>
        <w:adjustRightInd w:val="0"/>
        <w:snapToGrid w:val="0"/>
        <w:ind w:firstLine="720"/>
        <w:jc w:val="both"/>
      </w:pPr>
    </w:p>
    <w:p w:rsidR="00D87B44" w:rsidRPr="00D31DFB" w:rsidRDefault="00D87B44" w:rsidP="00D87B44">
      <w:pPr>
        <w:widowControl w:val="0"/>
        <w:tabs>
          <w:tab w:val="left" w:pos="851"/>
        </w:tabs>
        <w:autoSpaceDE w:val="0"/>
        <w:autoSpaceDN w:val="0"/>
        <w:adjustRightInd w:val="0"/>
        <w:snapToGrid w:val="0"/>
        <w:jc w:val="both"/>
        <w:rPr>
          <w:b/>
          <w:bCs/>
        </w:rPr>
      </w:pPr>
      <w:r w:rsidRPr="00D31DFB">
        <w:rPr>
          <w:b/>
          <w:bCs/>
        </w:rPr>
        <w:t>SUGGESTION</w:t>
      </w:r>
    </w:p>
    <w:p w:rsidR="00A84AA6" w:rsidRPr="00D31DFB" w:rsidRDefault="00A84AA6" w:rsidP="00A84AA6">
      <w:pPr>
        <w:widowControl w:val="0"/>
        <w:autoSpaceDE w:val="0"/>
        <w:autoSpaceDN w:val="0"/>
        <w:adjustRightInd w:val="0"/>
        <w:snapToGrid w:val="0"/>
        <w:ind w:firstLine="567"/>
        <w:jc w:val="both"/>
      </w:pPr>
      <w:r w:rsidRPr="00D31DFB">
        <w:t>This research's limitation is that the data taken is only six years, and the sample used is limited to West Kalimantan. Likewise, the observed variables only use local government expenditure, general allocation funds, special allocation funds, and sharing funds. Thus, it is hoped that further research can expand the period of observation and the object of research so that it not only presents data for one province but can even compare the flypaper effect phenomenon that occurs in other countries. The dependent variable in regional expenditure can also be more specified in certain types of expenditure.</w:t>
      </w:r>
    </w:p>
    <w:p w:rsidR="00A84AA6" w:rsidRPr="00D31DFB" w:rsidRDefault="00A84AA6" w:rsidP="00A84AA6">
      <w:pPr>
        <w:widowControl w:val="0"/>
        <w:autoSpaceDE w:val="0"/>
        <w:autoSpaceDN w:val="0"/>
        <w:adjustRightInd w:val="0"/>
        <w:snapToGrid w:val="0"/>
        <w:jc w:val="both"/>
      </w:pPr>
    </w:p>
    <w:p w:rsidR="00A84AA6" w:rsidRPr="00D31DFB" w:rsidRDefault="00A84AA6" w:rsidP="00A84AA6">
      <w:pPr>
        <w:widowControl w:val="0"/>
        <w:autoSpaceDE w:val="0"/>
        <w:autoSpaceDN w:val="0"/>
        <w:adjustRightInd w:val="0"/>
        <w:snapToGrid w:val="0"/>
        <w:ind w:left="567" w:hanging="567"/>
        <w:jc w:val="both"/>
        <w:rPr>
          <w:noProof/>
          <w:color w:val="000000" w:themeColor="text1"/>
        </w:rPr>
      </w:pPr>
      <w:r w:rsidRPr="00D31DFB">
        <w:rPr>
          <w:b/>
          <w:bCs/>
        </w:rPr>
        <w:t>REFERENCES</w:t>
      </w:r>
      <w:r w:rsidRPr="00A84AA6">
        <w:rPr>
          <w:noProof/>
          <w:color w:val="000000" w:themeColor="text1"/>
        </w:rPr>
        <w:fldChar w:fldCharType="begin" w:fldLock="1"/>
      </w:r>
      <w:r w:rsidRPr="00D31DFB">
        <w:rPr>
          <w:noProof/>
          <w:color w:val="000000" w:themeColor="text1"/>
        </w:rPr>
        <w:instrText xml:space="preserve">ADDIN Mendeley Bibliography CSL_BIBLIOGRAPHY </w:instrText>
      </w:r>
      <w:r w:rsidRPr="00A84AA6">
        <w:rPr>
          <w:noProof/>
          <w:color w:val="000000" w:themeColor="text1"/>
        </w:rPr>
        <w:fldChar w:fldCharType="separate"/>
      </w:r>
    </w:p>
    <w:p w:rsidR="00A84AA6" w:rsidRPr="00A84AA6" w:rsidRDefault="00A84AA6" w:rsidP="00FA4FCF">
      <w:pPr>
        <w:widowControl w:val="0"/>
        <w:autoSpaceDE w:val="0"/>
        <w:autoSpaceDN w:val="0"/>
        <w:ind w:left="811" w:hanging="811"/>
        <w:jc w:val="both"/>
        <w:rPr>
          <w:i/>
          <w:iCs/>
          <w:noProof/>
        </w:rPr>
      </w:pPr>
      <w:r w:rsidRPr="00D31DFB">
        <w:rPr>
          <w:noProof/>
          <w:color w:val="000000" w:themeColor="text1"/>
        </w:rPr>
        <w:t>A</w:t>
      </w:r>
      <w:r w:rsidRPr="00D31DFB">
        <w:rPr>
          <w:noProof/>
        </w:rPr>
        <w:t xml:space="preserve">malia, F. </w:t>
      </w:r>
      <w:r w:rsidR="005C098D" w:rsidRPr="00D31DFB">
        <w:rPr>
          <w:noProof/>
        </w:rPr>
        <w:t>(</w:t>
      </w:r>
      <w:r w:rsidRPr="00D31DFB">
        <w:rPr>
          <w:noProof/>
        </w:rPr>
        <w:t>2017</w:t>
      </w:r>
      <w:r w:rsidR="005C098D" w:rsidRPr="00D31DFB">
        <w:rPr>
          <w:noProof/>
        </w:rPr>
        <w:t>)</w:t>
      </w:r>
      <w:r w:rsidRPr="00D31DFB">
        <w:rPr>
          <w:noProof/>
        </w:rPr>
        <w:t xml:space="preserve">. “Flypaper Effect of Regional Expenditure and It’s Impact to Regional Inequality in Indonesia”. Signifikan: </w:t>
      </w:r>
      <w:r w:rsidRPr="00D31DFB">
        <w:rPr>
          <w:i/>
          <w:iCs/>
          <w:noProof/>
        </w:rPr>
        <w:t>Jurnal Ilmu Ekonomi</w:t>
      </w:r>
      <w:r w:rsidRPr="00D31DFB">
        <w:rPr>
          <w:noProof/>
        </w:rPr>
        <w:t>, 6</w:t>
      </w:r>
      <w:r w:rsidR="009B0ABB" w:rsidRPr="00D31DFB">
        <w:rPr>
          <w:noProof/>
        </w:rPr>
        <w:t>(</w:t>
      </w:r>
      <w:r w:rsidRPr="00D31DFB">
        <w:rPr>
          <w:noProof/>
        </w:rPr>
        <w:t>1</w:t>
      </w:r>
      <w:r w:rsidR="009B0ABB" w:rsidRPr="00D31DFB">
        <w:rPr>
          <w:noProof/>
        </w:rPr>
        <w:t>)</w:t>
      </w:r>
      <w:r w:rsidRPr="00D31DFB">
        <w:rPr>
          <w:noProof/>
        </w:rPr>
        <w:t>, 125–138.</w:t>
      </w:r>
      <w:r w:rsidRPr="00A84AA6">
        <w:rPr>
          <w:i/>
          <w:iCs/>
          <w:noProof/>
        </w:rPr>
        <w:t xml:space="preserve"> https://doi.org/10.15408/sjie.v6i1.3293</w:t>
      </w:r>
    </w:p>
    <w:p w:rsidR="00A84AA6" w:rsidRPr="00A84AA6" w:rsidRDefault="00A84AA6" w:rsidP="00FA4FCF">
      <w:pPr>
        <w:pStyle w:val="NormalWeb"/>
        <w:spacing w:before="0" w:beforeAutospacing="0" w:after="0" w:afterAutospacing="0"/>
        <w:ind w:left="811" w:hanging="811"/>
        <w:jc w:val="both"/>
        <w:rPr>
          <w:lang w:val="en-US"/>
        </w:rPr>
      </w:pPr>
      <w:r w:rsidRPr="00A84AA6">
        <w:rPr>
          <w:noProof/>
          <w:color w:val="000000" w:themeColor="text1"/>
        </w:rPr>
        <w:t>A</w:t>
      </w:r>
      <w:r w:rsidRPr="00A84AA6">
        <w:rPr>
          <w:noProof/>
        </w:rPr>
        <w:t>r</w:t>
      </w:r>
      <w:r w:rsidRPr="00A84AA6">
        <w:t xml:space="preserve">mawaddin, M., Rumbia, W. A., &amp; Afiat, M. N. </w:t>
      </w:r>
      <w:r w:rsidR="005C098D">
        <w:rPr>
          <w:lang w:val="en-US"/>
        </w:rPr>
        <w:t>(</w:t>
      </w:r>
      <w:r w:rsidRPr="00A84AA6">
        <w:t>2017</w:t>
      </w:r>
      <w:r w:rsidR="005C098D">
        <w:rPr>
          <w:lang w:val="en-US"/>
        </w:rPr>
        <w:t>)</w:t>
      </w:r>
      <w:r w:rsidRPr="00A84AA6">
        <w:t xml:space="preserve">. </w:t>
      </w:r>
      <w:r w:rsidRPr="00A84AA6">
        <w:rPr>
          <w:lang w:val="en-US"/>
        </w:rPr>
        <w:t>“</w:t>
      </w:r>
      <w:r w:rsidRPr="00A84AA6">
        <w:t>Analisis Flypaper Effect Belanja Daerah Kabupaten/Kota di Sulawesi</w:t>
      </w:r>
      <w:r w:rsidRPr="00A84AA6">
        <w:rPr>
          <w:lang w:val="en-US"/>
        </w:rPr>
        <w:t xml:space="preserve">”. </w:t>
      </w:r>
      <w:r w:rsidRPr="005C098D">
        <w:rPr>
          <w:i/>
          <w:iCs/>
        </w:rPr>
        <w:t>Jurnal Ekonomi dan Pembangunan Indonesia</w:t>
      </w:r>
      <w:r w:rsidRPr="005C098D">
        <w:rPr>
          <w:i/>
          <w:iCs/>
          <w:lang w:val="en-US"/>
        </w:rPr>
        <w:t>,</w:t>
      </w:r>
      <w:r w:rsidRPr="00A84AA6">
        <w:rPr>
          <w:lang w:val="en-US"/>
        </w:rPr>
        <w:t xml:space="preserve"> 18</w:t>
      </w:r>
      <w:r w:rsidR="009B0ABB">
        <w:rPr>
          <w:lang w:val="en-US"/>
        </w:rPr>
        <w:t>(</w:t>
      </w:r>
      <w:r w:rsidRPr="00A84AA6">
        <w:rPr>
          <w:lang w:val="en-US"/>
        </w:rPr>
        <w:t>1</w:t>
      </w:r>
      <w:r w:rsidR="009B0ABB">
        <w:rPr>
          <w:lang w:val="en-US"/>
        </w:rPr>
        <w:t>)</w:t>
      </w:r>
      <w:r w:rsidRPr="00A84AA6">
        <w:rPr>
          <w:lang w:val="en-US"/>
        </w:rPr>
        <w:t xml:space="preserve">, 77-91. </w:t>
      </w:r>
    </w:p>
    <w:p w:rsidR="00A84AA6" w:rsidRPr="00A84AA6" w:rsidRDefault="00A84AA6" w:rsidP="00FA4FCF">
      <w:pPr>
        <w:widowControl w:val="0"/>
        <w:autoSpaceDE w:val="0"/>
        <w:autoSpaceDN w:val="0"/>
        <w:ind w:left="811" w:hanging="811"/>
        <w:jc w:val="both"/>
        <w:rPr>
          <w:i/>
          <w:iCs/>
          <w:noProof/>
          <w:color w:val="000000" w:themeColor="text1"/>
        </w:rPr>
      </w:pPr>
      <w:r w:rsidRPr="00D31DFB">
        <w:rPr>
          <w:noProof/>
          <w:color w:val="000000" w:themeColor="text1"/>
        </w:rPr>
        <w:lastRenderedPageBreak/>
        <w:t xml:space="preserve">Aragon, </w:t>
      </w:r>
      <w:r w:rsidRPr="00D31DFB">
        <w:rPr>
          <w:color w:val="000000" w:themeColor="text1"/>
        </w:rPr>
        <w:t xml:space="preserve">F. M. </w:t>
      </w:r>
      <w:r w:rsidR="005C098D" w:rsidRPr="00D31DFB">
        <w:rPr>
          <w:color w:val="000000" w:themeColor="text1"/>
        </w:rPr>
        <w:t>(</w:t>
      </w:r>
      <w:r w:rsidRPr="00D31DFB">
        <w:rPr>
          <w:color w:val="000000" w:themeColor="text1"/>
        </w:rPr>
        <w:t>2013</w:t>
      </w:r>
      <w:r w:rsidR="005C098D" w:rsidRPr="00D31DFB">
        <w:rPr>
          <w:color w:val="000000" w:themeColor="text1"/>
        </w:rPr>
        <w:t>)</w:t>
      </w:r>
      <w:r w:rsidRPr="00D31DFB">
        <w:rPr>
          <w:color w:val="000000" w:themeColor="text1"/>
        </w:rPr>
        <w:t>. “Local Spending, Transfers, and Costly Tax Collection”.</w:t>
      </w:r>
      <w:r w:rsidRPr="00A84AA6">
        <w:rPr>
          <w:i/>
          <w:iCs/>
          <w:color w:val="000000" w:themeColor="text1"/>
        </w:rPr>
        <w:t xml:space="preserve"> </w:t>
      </w:r>
      <w:r w:rsidRPr="00D31DFB">
        <w:rPr>
          <w:i/>
          <w:iCs/>
          <w:color w:val="000000" w:themeColor="text1"/>
        </w:rPr>
        <w:t>National Tax Journal,</w:t>
      </w:r>
      <w:r w:rsidRPr="00A84AA6">
        <w:rPr>
          <w:i/>
          <w:iCs/>
          <w:color w:val="000000" w:themeColor="text1"/>
        </w:rPr>
        <w:t xml:space="preserve"> 66</w:t>
      </w:r>
      <w:r w:rsidR="009B0ABB">
        <w:rPr>
          <w:i/>
          <w:iCs/>
          <w:color w:val="000000" w:themeColor="text1"/>
        </w:rPr>
        <w:t>(</w:t>
      </w:r>
      <w:r w:rsidRPr="00A84AA6">
        <w:rPr>
          <w:i/>
          <w:iCs/>
          <w:color w:val="000000" w:themeColor="text1"/>
        </w:rPr>
        <w:t>2</w:t>
      </w:r>
      <w:r w:rsidR="009B0ABB">
        <w:rPr>
          <w:i/>
          <w:iCs/>
          <w:color w:val="000000" w:themeColor="text1"/>
        </w:rPr>
        <w:t>)</w:t>
      </w:r>
      <w:r w:rsidRPr="00A84AA6">
        <w:rPr>
          <w:i/>
          <w:iCs/>
          <w:color w:val="000000" w:themeColor="text1"/>
        </w:rPr>
        <w:t>, 343-370. http://dx.doi.org/10.17310/ntj.2013.2.03</w:t>
      </w:r>
    </w:p>
    <w:p w:rsidR="00A84AA6" w:rsidRPr="00D31DFB" w:rsidRDefault="00A84AA6" w:rsidP="00FA4FCF">
      <w:pPr>
        <w:widowControl w:val="0"/>
        <w:autoSpaceDE w:val="0"/>
        <w:autoSpaceDN w:val="0"/>
        <w:ind w:left="811" w:hanging="811"/>
        <w:jc w:val="both"/>
        <w:rPr>
          <w:noProof/>
        </w:rPr>
      </w:pPr>
      <w:r w:rsidRPr="00D31DFB">
        <w:rPr>
          <w:noProof/>
        </w:rPr>
        <w:t xml:space="preserve">Baltagi, B. H. </w:t>
      </w:r>
      <w:r w:rsidR="005C098D" w:rsidRPr="00D31DFB">
        <w:rPr>
          <w:noProof/>
        </w:rPr>
        <w:t>(</w:t>
      </w:r>
      <w:r w:rsidRPr="00D31DFB">
        <w:rPr>
          <w:noProof/>
        </w:rPr>
        <w:t>2005</w:t>
      </w:r>
      <w:r w:rsidR="005C098D" w:rsidRPr="00D31DFB">
        <w:rPr>
          <w:noProof/>
        </w:rPr>
        <w:t>)</w:t>
      </w:r>
      <w:r w:rsidRPr="00D31DFB">
        <w:rPr>
          <w:noProof/>
        </w:rPr>
        <w:t xml:space="preserve">. </w:t>
      </w:r>
      <w:r w:rsidRPr="00D31DFB">
        <w:rPr>
          <w:i/>
          <w:iCs/>
          <w:noProof/>
        </w:rPr>
        <w:t>Econometric Analysis of Panel Data (Third Edit).</w:t>
      </w:r>
      <w:r w:rsidRPr="00D31DFB">
        <w:rPr>
          <w:noProof/>
        </w:rPr>
        <w:t xml:space="preserve"> John wiley &amp;</w:t>
      </w:r>
      <w:r w:rsidR="005C098D" w:rsidRPr="00D31DFB">
        <w:rPr>
          <w:noProof/>
        </w:rPr>
        <w:t xml:space="preserve">                 </w:t>
      </w:r>
      <w:r w:rsidRPr="00D31DFB">
        <w:rPr>
          <w:noProof/>
        </w:rPr>
        <w:t xml:space="preserve"> Sons, Ltd.</w:t>
      </w:r>
    </w:p>
    <w:p w:rsidR="00A84AA6" w:rsidRPr="00D31DFB" w:rsidRDefault="00A84AA6" w:rsidP="00FA4FCF">
      <w:pPr>
        <w:ind w:left="811" w:hanging="811"/>
        <w:jc w:val="both"/>
        <w:rPr>
          <w:color w:val="000000" w:themeColor="text1"/>
        </w:rPr>
      </w:pPr>
      <w:r w:rsidRPr="00D31DFB">
        <w:rPr>
          <w:noProof/>
        </w:rPr>
        <w:t xml:space="preserve">Bodman, P., &amp; Hodge, A. </w:t>
      </w:r>
      <w:r w:rsidR="005C098D" w:rsidRPr="00D31DFB">
        <w:rPr>
          <w:noProof/>
        </w:rPr>
        <w:t>(</w:t>
      </w:r>
      <w:r w:rsidRPr="00D31DFB">
        <w:rPr>
          <w:noProof/>
        </w:rPr>
        <w:t>2010</w:t>
      </w:r>
      <w:r w:rsidR="005C098D" w:rsidRPr="00D31DFB">
        <w:rPr>
          <w:noProof/>
        </w:rPr>
        <w:t>)</w:t>
      </w:r>
      <w:r w:rsidRPr="00D31DFB">
        <w:rPr>
          <w:noProof/>
        </w:rPr>
        <w:t xml:space="preserve">. "What Drives Fiscal Decentralisation? </w:t>
      </w:r>
      <w:r w:rsidR="00FA4FCF" w:rsidRPr="00D31DFB">
        <w:rPr>
          <w:noProof/>
        </w:rPr>
        <w:t xml:space="preserve">                                          </w:t>
      </w:r>
      <w:r w:rsidRPr="00D31DFB">
        <w:rPr>
          <w:noProof/>
        </w:rPr>
        <w:t xml:space="preserve">Further Assessing the Role of Income". </w:t>
      </w:r>
      <w:r w:rsidRPr="00D31DFB">
        <w:rPr>
          <w:i/>
          <w:iCs/>
          <w:noProof/>
        </w:rPr>
        <w:t xml:space="preserve">Fiscal Studies: </w:t>
      </w:r>
      <w:r w:rsidR="009B0ABB" w:rsidRPr="00D31DFB">
        <w:rPr>
          <w:i/>
          <w:iCs/>
          <w:noProof/>
        </w:rPr>
        <w:t xml:space="preserve">                                                                  </w:t>
      </w:r>
      <w:r w:rsidRPr="00D31DFB">
        <w:rPr>
          <w:i/>
          <w:iCs/>
          <w:noProof/>
        </w:rPr>
        <w:t xml:space="preserve">The </w:t>
      </w:r>
      <w:r w:rsidR="009B0ABB" w:rsidRPr="00D31DFB">
        <w:rPr>
          <w:i/>
          <w:iCs/>
          <w:noProof/>
        </w:rPr>
        <w:t xml:space="preserve">   </w:t>
      </w:r>
      <w:r w:rsidRPr="00D31DFB">
        <w:rPr>
          <w:i/>
          <w:iCs/>
          <w:noProof/>
        </w:rPr>
        <w:t xml:space="preserve">Journal </w:t>
      </w:r>
      <w:r w:rsidR="00FA4FCF" w:rsidRPr="00D31DFB">
        <w:rPr>
          <w:i/>
          <w:iCs/>
          <w:noProof/>
        </w:rPr>
        <w:t xml:space="preserve">  </w:t>
      </w:r>
      <w:r w:rsidRPr="00D31DFB">
        <w:rPr>
          <w:i/>
          <w:iCs/>
          <w:noProof/>
        </w:rPr>
        <w:t xml:space="preserve">of </w:t>
      </w:r>
      <w:r w:rsidR="009B0ABB" w:rsidRPr="00D31DFB">
        <w:rPr>
          <w:i/>
          <w:iCs/>
          <w:noProof/>
        </w:rPr>
        <w:t xml:space="preserve">  </w:t>
      </w:r>
      <w:r w:rsidRPr="00D31DFB">
        <w:rPr>
          <w:i/>
          <w:iCs/>
          <w:noProof/>
        </w:rPr>
        <w:t>Applied</w:t>
      </w:r>
      <w:r w:rsidR="00FA4FCF" w:rsidRPr="00D31DFB">
        <w:rPr>
          <w:i/>
          <w:iCs/>
          <w:noProof/>
        </w:rPr>
        <w:t xml:space="preserve">  </w:t>
      </w:r>
      <w:r w:rsidRPr="00D31DFB">
        <w:rPr>
          <w:i/>
          <w:iCs/>
          <w:noProof/>
        </w:rPr>
        <w:t>Public Economics,</w:t>
      </w:r>
      <w:r w:rsidRPr="00D31DFB">
        <w:rPr>
          <w:noProof/>
        </w:rPr>
        <w:t xml:space="preserve"> </w:t>
      </w:r>
      <w:r w:rsidR="00FA4FCF" w:rsidRPr="00D31DFB">
        <w:rPr>
          <w:noProof/>
        </w:rPr>
        <w:t xml:space="preserve"> </w:t>
      </w:r>
      <w:r w:rsidRPr="00D31DFB">
        <w:rPr>
          <w:noProof/>
        </w:rPr>
        <w:t>31</w:t>
      </w:r>
      <w:r w:rsidR="009B0ABB" w:rsidRPr="00D31DFB">
        <w:rPr>
          <w:noProof/>
        </w:rPr>
        <w:t>(</w:t>
      </w:r>
      <w:r w:rsidRPr="00D31DFB">
        <w:rPr>
          <w:noProof/>
        </w:rPr>
        <w:t>3</w:t>
      </w:r>
      <w:r w:rsidR="009B0ABB" w:rsidRPr="00D31DFB">
        <w:rPr>
          <w:noProof/>
        </w:rPr>
        <w:t>)</w:t>
      </w:r>
      <w:r w:rsidRPr="00D31DFB">
        <w:rPr>
          <w:noProof/>
        </w:rPr>
        <w:t xml:space="preserve">, 373-404. </w:t>
      </w:r>
      <w:r w:rsidRPr="00D31DFB">
        <w:br/>
      </w:r>
      <w:r w:rsidRPr="00D31DFB">
        <w:rPr>
          <w:color w:val="000000" w:themeColor="text1"/>
          <w:shd w:val="clear" w:color="auto" w:fill="FFFFFF"/>
        </w:rPr>
        <w:t>https://doi.org/10.1111/j.1475-5890.2010.00119.x</w:t>
      </w:r>
    </w:p>
    <w:p w:rsidR="00A84AA6" w:rsidRPr="00D31DFB" w:rsidRDefault="00A84AA6" w:rsidP="00FA4FCF">
      <w:pPr>
        <w:widowControl w:val="0"/>
        <w:autoSpaceDE w:val="0"/>
        <w:autoSpaceDN w:val="0"/>
        <w:ind w:left="811" w:hanging="811"/>
        <w:jc w:val="both"/>
        <w:rPr>
          <w:noProof/>
        </w:rPr>
      </w:pPr>
      <w:r w:rsidRPr="00D31DFB">
        <w:rPr>
          <w:noProof/>
        </w:rPr>
        <w:t xml:space="preserve">Borenstein, M., Hedges, L. V., Higgins, J. P. T., &amp; Rothstein, H. R. </w:t>
      </w:r>
      <w:r w:rsidR="005C098D" w:rsidRPr="00D31DFB">
        <w:rPr>
          <w:noProof/>
        </w:rPr>
        <w:t>(</w:t>
      </w:r>
      <w:r w:rsidRPr="00D31DFB">
        <w:rPr>
          <w:noProof/>
        </w:rPr>
        <w:t>2010</w:t>
      </w:r>
      <w:r w:rsidR="005C098D" w:rsidRPr="00D31DFB">
        <w:rPr>
          <w:noProof/>
        </w:rPr>
        <w:t>)</w:t>
      </w:r>
      <w:r w:rsidRPr="00D31DFB">
        <w:rPr>
          <w:noProof/>
        </w:rPr>
        <w:t xml:space="preserve">.  "A Basic Introduction to Fixed-Effect and Random-Effects Models for Meta-Analysis". </w:t>
      </w:r>
      <w:r w:rsidRPr="00D31DFB">
        <w:rPr>
          <w:i/>
          <w:iCs/>
          <w:noProof/>
        </w:rPr>
        <w:t>Research Synthesis Methods,</w:t>
      </w:r>
      <w:r w:rsidRPr="00D31DFB">
        <w:rPr>
          <w:noProof/>
        </w:rPr>
        <w:t xml:space="preserve"> 1</w:t>
      </w:r>
      <w:r w:rsidR="009B0ABB" w:rsidRPr="00D31DFB">
        <w:rPr>
          <w:noProof/>
        </w:rPr>
        <w:t>(</w:t>
      </w:r>
      <w:r w:rsidRPr="00D31DFB">
        <w:rPr>
          <w:noProof/>
        </w:rPr>
        <w:t>2</w:t>
      </w:r>
      <w:r w:rsidR="009B0ABB" w:rsidRPr="00D31DFB">
        <w:rPr>
          <w:noProof/>
        </w:rPr>
        <w:t>)</w:t>
      </w:r>
      <w:r w:rsidRPr="00D31DFB">
        <w:rPr>
          <w:noProof/>
        </w:rPr>
        <w:t>, 97–111. https://doi.org/10.1002/jrsm.12</w:t>
      </w:r>
    </w:p>
    <w:p w:rsidR="00A84AA6" w:rsidRPr="00D31DFB" w:rsidRDefault="00A84AA6" w:rsidP="00FA4FCF">
      <w:pPr>
        <w:widowControl w:val="0"/>
        <w:autoSpaceDE w:val="0"/>
        <w:autoSpaceDN w:val="0"/>
        <w:ind w:left="811" w:hanging="811"/>
        <w:jc w:val="both"/>
        <w:rPr>
          <w:noProof/>
        </w:rPr>
      </w:pPr>
      <w:r w:rsidRPr="00D31DFB">
        <w:rPr>
          <w:noProof/>
        </w:rPr>
        <w:t xml:space="preserve">Croissant, Y., &amp; Millo, G. </w:t>
      </w:r>
      <w:r w:rsidR="005C098D" w:rsidRPr="00D31DFB">
        <w:rPr>
          <w:noProof/>
        </w:rPr>
        <w:t>(</w:t>
      </w:r>
      <w:r w:rsidRPr="00D31DFB">
        <w:rPr>
          <w:noProof/>
        </w:rPr>
        <w:t>2008</w:t>
      </w:r>
      <w:r w:rsidR="005C098D" w:rsidRPr="00D31DFB">
        <w:rPr>
          <w:noProof/>
        </w:rPr>
        <w:t>)</w:t>
      </w:r>
      <w:r w:rsidRPr="00D31DFB">
        <w:rPr>
          <w:noProof/>
        </w:rPr>
        <w:t xml:space="preserve">. "Panel Data Econometrics in R: The Plum Package". </w:t>
      </w:r>
      <w:r w:rsidRPr="00D31DFB">
        <w:rPr>
          <w:i/>
          <w:iCs/>
          <w:noProof/>
        </w:rPr>
        <w:t>Journal of Statistical Software,</w:t>
      </w:r>
      <w:r w:rsidRPr="00D31DFB">
        <w:rPr>
          <w:noProof/>
        </w:rPr>
        <w:t xml:space="preserve"> 27</w:t>
      </w:r>
      <w:r w:rsidR="009B0ABB" w:rsidRPr="00D31DFB">
        <w:rPr>
          <w:noProof/>
        </w:rPr>
        <w:t>(</w:t>
      </w:r>
      <w:r w:rsidRPr="00D31DFB">
        <w:rPr>
          <w:noProof/>
        </w:rPr>
        <w:t>2</w:t>
      </w:r>
      <w:r w:rsidR="009B0ABB" w:rsidRPr="00D31DFB">
        <w:rPr>
          <w:noProof/>
        </w:rPr>
        <w:t>)</w:t>
      </w:r>
      <w:r w:rsidRPr="00D31DFB">
        <w:rPr>
          <w:noProof/>
        </w:rPr>
        <w:t>, 1–43. https://doi.org/10.1186/1478-7954-4-13</w:t>
      </w:r>
    </w:p>
    <w:p w:rsidR="00A84AA6" w:rsidRPr="00D31DFB" w:rsidRDefault="00A84AA6" w:rsidP="00FA4FCF">
      <w:pPr>
        <w:pStyle w:val="DaftarParagraf"/>
        <w:spacing w:after="0" w:line="240" w:lineRule="auto"/>
        <w:ind w:left="811" w:hanging="811"/>
        <w:jc w:val="both"/>
        <w:rPr>
          <w:rFonts w:ascii="Times New Roman" w:hAnsi="Times New Roman" w:cs="Times New Roman"/>
          <w:i w:val="0"/>
          <w:iCs w:val="0"/>
          <w:sz w:val="24"/>
          <w:szCs w:val="24"/>
        </w:rPr>
      </w:pPr>
      <w:r w:rsidRPr="00D31DFB">
        <w:rPr>
          <w:rFonts w:ascii="Times New Roman" w:hAnsi="Times New Roman" w:cs="Times New Roman"/>
          <w:i w:val="0"/>
          <w:iCs w:val="0"/>
          <w:sz w:val="24"/>
          <w:szCs w:val="24"/>
        </w:rPr>
        <w:t xml:space="preserve">Cruz, T., &amp; Silva, T. </w:t>
      </w:r>
      <w:r w:rsidR="005C098D" w:rsidRPr="00D31DFB">
        <w:rPr>
          <w:rFonts w:ascii="Times New Roman" w:hAnsi="Times New Roman" w:cs="Times New Roman"/>
          <w:i w:val="0"/>
          <w:iCs w:val="0"/>
          <w:sz w:val="24"/>
          <w:szCs w:val="24"/>
        </w:rPr>
        <w:t>(</w:t>
      </w:r>
      <w:r w:rsidRPr="00D31DFB">
        <w:rPr>
          <w:rFonts w:ascii="Times New Roman" w:hAnsi="Times New Roman" w:cs="Times New Roman"/>
          <w:i w:val="0"/>
          <w:iCs w:val="0"/>
          <w:sz w:val="24"/>
          <w:szCs w:val="24"/>
        </w:rPr>
        <w:t>2020</w:t>
      </w:r>
      <w:r w:rsidR="005C098D" w:rsidRPr="00D31DFB">
        <w:rPr>
          <w:rFonts w:ascii="Times New Roman" w:hAnsi="Times New Roman" w:cs="Times New Roman"/>
          <w:i w:val="0"/>
          <w:iCs w:val="0"/>
          <w:sz w:val="24"/>
          <w:szCs w:val="24"/>
        </w:rPr>
        <w:t>)</w:t>
      </w:r>
      <w:r w:rsidRPr="00D31DFB">
        <w:rPr>
          <w:rFonts w:ascii="Times New Roman" w:hAnsi="Times New Roman" w:cs="Times New Roman"/>
          <w:i w:val="0"/>
          <w:iCs w:val="0"/>
          <w:sz w:val="24"/>
          <w:szCs w:val="24"/>
        </w:rPr>
        <w:t xml:space="preserve">. "Minimum Spending in Education and </w:t>
      </w:r>
      <w:r w:rsidR="009B0ABB" w:rsidRPr="00D31DFB">
        <w:rPr>
          <w:rFonts w:ascii="Times New Roman" w:hAnsi="Times New Roman" w:cs="Times New Roman"/>
          <w:i w:val="0"/>
          <w:iCs w:val="0"/>
          <w:sz w:val="24"/>
          <w:szCs w:val="24"/>
        </w:rPr>
        <w:t>T</w:t>
      </w:r>
      <w:r w:rsidRPr="00D31DFB">
        <w:rPr>
          <w:rFonts w:ascii="Times New Roman" w:hAnsi="Times New Roman" w:cs="Times New Roman"/>
          <w:i w:val="0"/>
          <w:iCs w:val="0"/>
          <w:sz w:val="24"/>
          <w:szCs w:val="24"/>
        </w:rPr>
        <w:t xml:space="preserve">he </w:t>
      </w:r>
      <w:r w:rsidR="009B0ABB" w:rsidRPr="00D31DFB">
        <w:rPr>
          <w:rFonts w:ascii="Times New Roman" w:hAnsi="Times New Roman" w:cs="Times New Roman"/>
          <w:i w:val="0"/>
          <w:iCs w:val="0"/>
          <w:sz w:val="24"/>
          <w:szCs w:val="24"/>
        </w:rPr>
        <w:t xml:space="preserve">                                            </w:t>
      </w:r>
      <w:r w:rsidRPr="00D31DFB">
        <w:rPr>
          <w:rFonts w:ascii="Times New Roman" w:hAnsi="Times New Roman" w:cs="Times New Roman"/>
          <w:i w:val="0"/>
          <w:iCs w:val="0"/>
          <w:sz w:val="24"/>
          <w:szCs w:val="24"/>
        </w:rPr>
        <w:t xml:space="preserve">Flypaper Effect". </w:t>
      </w:r>
      <w:r w:rsidRPr="00D31DFB">
        <w:rPr>
          <w:rFonts w:ascii="Times New Roman" w:hAnsi="Times New Roman" w:cs="Times New Roman"/>
          <w:sz w:val="24"/>
          <w:szCs w:val="24"/>
        </w:rPr>
        <w:t>Economics of Education Review,</w:t>
      </w:r>
      <w:r w:rsidR="009B0ABB" w:rsidRPr="00D31DFB">
        <w:rPr>
          <w:rFonts w:ascii="Times New Roman" w:hAnsi="Times New Roman" w:cs="Times New Roman"/>
          <w:i w:val="0"/>
          <w:iCs w:val="0"/>
          <w:sz w:val="24"/>
          <w:szCs w:val="24"/>
        </w:rPr>
        <w:t xml:space="preserve"> </w:t>
      </w:r>
      <w:r w:rsidRPr="00D31DFB">
        <w:rPr>
          <w:rFonts w:ascii="Times New Roman" w:hAnsi="Times New Roman" w:cs="Times New Roman"/>
          <w:i w:val="0"/>
          <w:iCs w:val="0"/>
          <w:sz w:val="24"/>
          <w:szCs w:val="24"/>
        </w:rPr>
        <w:t>77. https://doi.org/10.1016/j.econedurev.2020.102012</w:t>
      </w:r>
    </w:p>
    <w:p w:rsidR="00A84AA6" w:rsidRPr="00D31DFB" w:rsidRDefault="00A84AA6" w:rsidP="00FA4FCF">
      <w:pPr>
        <w:widowControl w:val="0"/>
        <w:autoSpaceDE w:val="0"/>
        <w:autoSpaceDN w:val="0"/>
        <w:ind w:left="811" w:hanging="811"/>
        <w:jc w:val="both"/>
        <w:rPr>
          <w:noProof/>
        </w:rPr>
      </w:pPr>
      <w:r w:rsidRPr="00D31DFB">
        <w:rPr>
          <w:noProof/>
        </w:rPr>
        <w:t xml:space="preserve">Dollery, B &amp; Worthington, A. </w:t>
      </w:r>
      <w:r w:rsidR="005C098D" w:rsidRPr="00D31DFB">
        <w:rPr>
          <w:noProof/>
        </w:rPr>
        <w:t>(</w:t>
      </w:r>
      <w:r w:rsidRPr="00D31DFB">
        <w:rPr>
          <w:noProof/>
        </w:rPr>
        <w:t>1995</w:t>
      </w:r>
      <w:r w:rsidR="005C098D" w:rsidRPr="00D31DFB">
        <w:rPr>
          <w:noProof/>
        </w:rPr>
        <w:t>)</w:t>
      </w:r>
      <w:r w:rsidRPr="00D31DFB">
        <w:rPr>
          <w:noProof/>
        </w:rPr>
        <w:t xml:space="preserve">. "Federal Expenditure and Fiscal Illusion: An Australian Test of The Flypaper Hypothesis". </w:t>
      </w:r>
      <w:r w:rsidRPr="00D31DFB">
        <w:rPr>
          <w:i/>
          <w:iCs/>
          <w:noProof/>
        </w:rPr>
        <w:t>Publius: The Journal of Federalism</w:t>
      </w:r>
      <w:r w:rsidR="005C098D" w:rsidRPr="00D31DFB">
        <w:rPr>
          <w:i/>
          <w:iCs/>
          <w:noProof/>
        </w:rPr>
        <w:t>,</w:t>
      </w:r>
      <w:r w:rsidRPr="00D31DFB">
        <w:rPr>
          <w:i/>
          <w:iCs/>
          <w:noProof/>
        </w:rPr>
        <w:t xml:space="preserve"> </w:t>
      </w:r>
      <w:r w:rsidRPr="00D31DFB">
        <w:rPr>
          <w:noProof/>
        </w:rPr>
        <w:t>25</w:t>
      </w:r>
      <w:r w:rsidR="009B0ABB" w:rsidRPr="00D31DFB">
        <w:rPr>
          <w:noProof/>
        </w:rPr>
        <w:t>(</w:t>
      </w:r>
      <w:r w:rsidRPr="00D31DFB">
        <w:rPr>
          <w:noProof/>
        </w:rPr>
        <w:t>1</w:t>
      </w:r>
      <w:r w:rsidR="009B0ABB" w:rsidRPr="00D31DFB">
        <w:rPr>
          <w:noProof/>
        </w:rPr>
        <w:t>)</w:t>
      </w:r>
      <w:r w:rsidRPr="00D31DFB">
        <w:rPr>
          <w:noProof/>
        </w:rPr>
        <w:t xml:space="preserve">, 23-34. Originally published by Lafayette College, journal now published by. Всш,  </w:t>
      </w:r>
      <w:r w:rsidR="009B0ABB" w:rsidRPr="00D31DFB">
        <w:rPr>
          <w:noProof/>
        </w:rPr>
        <w:t xml:space="preserve">                      </w:t>
      </w:r>
      <w:r w:rsidRPr="00D31DFB">
        <w:rPr>
          <w:noProof/>
        </w:rPr>
        <w:t>1</w:t>
      </w:r>
      <w:r w:rsidR="009B0ABB" w:rsidRPr="00D31DFB">
        <w:rPr>
          <w:noProof/>
        </w:rPr>
        <w:t>(</w:t>
      </w:r>
      <w:r w:rsidRPr="00D31DFB">
        <w:rPr>
          <w:noProof/>
        </w:rPr>
        <w:t>1</w:t>
      </w:r>
      <w:r w:rsidR="009B0ABB" w:rsidRPr="00D31DFB">
        <w:rPr>
          <w:noProof/>
        </w:rPr>
        <w:t>)</w:t>
      </w:r>
      <w:r w:rsidRPr="00D31DFB">
        <w:rPr>
          <w:noProof/>
        </w:rPr>
        <w:t>, 35–38.</w:t>
      </w:r>
    </w:p>
    <w:p w:rsidR="00A84AA6" w:rsidRPr="00D31DFB" w:rsidRDefault="00A84AA6" w:rsidP="00FA4FCF">
      <w:pPr>
        <w:widowControl w:val="0"/>
        <w:autoSpaceDE w:val="0"/>
        <w:autoSpaceDN w:val="0"/>
        <w:ind w:left="811" w:hanging="811"/>
        <w:jc w:val="both"/>
        <w:rPr>
          <w:noProof/>
        </w:rPr>
      </w:pPr>
      <w:r w:rsidRPr="00D31DFB">
        <w:rPr>
          <w:noProof/>
        </w:rPr>
        <w:t xml:space="preserve">Hausman, J. A., &amp; Taylor, W. E. </w:t>
      </w:r>
      <w:r w:rsidR="005C098D" w:rsidRPr="00D31DFB">
        <w:rPr>
          <w:noProof/>
        </w:rPr>
        <w:t>(</w:t>
      </w:r>
      <w:r w:rsidRPr="00D31DFB">
        <w:rPr>
          <w:noProof/>
        </w:rPr>
        <w:t>1980</w:t>
      </w:r>
      <w:r w:rsidR="005C098D" w:rsidRPr="00D31DFB">
        <w:rPr>
          <w:noProof/>
        </w:rPr>
        <w:t>)</w:t>
      </w:r>
      <w:r w:rsidRPr="00D31DFB">
        <w:rPr>
          <w:noProof/>
        </w:rPr>
        <w:t xml:space="preserve">. Panel Data and Unobservable Individual Effects. </w:t>
      </w:r>
      <w:r w:rsidRPr="00D31DFB">
        <w:rPr>
          <w:i/>
          <w:iCs/>
          <w:noProof/>
        </w:rPr>
        <w:t>Econometrica,</w:t>
      </w:r>
      <w:r w:rsidRPr="00D31DFB">
        <w:rPr>
          <w:noProof/>
        </w:rPr>
        <w:t xml:space="preserve"> 1377–1398.</w:t>
      </w:r>
    </w:p>
    <w:p w:rsidR="00A84AA6" w:rsidRPr="00D31DFB" w:rsidRDefault="00A84AA6" w:rsidP="00FA4FCF">
      <w:pPr>
        <w:widowControl w:val="0"/>
        <w:autoSpaceDE w:val="0"/>
        <w:autoSpaceDN w:val="0"/>
        <w:ind w:left="811" w:hanging="811"/>
        <w:jc w:val="both"/>
        <w:rPr>
          <w:noProof/>
        </w:rPr>
      </w:pPr>
      <w:r w:rsidRPr="00D31DFB">
        <w:rPr>
          <w:noProof/>
        </w:rPr>
        <w:t xml:space="preserve">Hsiao, C. </w:t>
      </w:r>
      <w:r w:rsidR="005C098D" w:rsidRPr="00D31DFB">
        <w:rPr>
          <w:noProof/>
        </w:rPr>
        <w:t>(</w:t>
      </w:r>
      <w:r w:rsidRPr="00D31DFB">
        <w:rPr>
          <w:noProof/>
        </w:rPr>
        <w:t>2003</w:t>
      </w:r>
      <w:r w:rsidR="005C098D" w:rsidRPr="00D31DFB">
        <w:rPr>
          <w:noProof/>
        </w:rPr>
        <w:t>)</w:t>
      </w:r>
      <w:r w:rsidRPr="00D31DFB">
        <w:rPr>
          <w:noProof/>
        </w:rPr>
        <w:t xml:space="preserve">. </w:t>
      </w:r>
      <w:r w:rsidRPr="00D31DFB">
        <w:rPr>
          <w:i/>
          <w:iCs/>
          <w:noProof/>
        </w:rPr>
        <w:t>Analysis of Panel Data Second Edition.</w:t>
      </w:r>
      <w:r w:rsidRPr="00D31DFB">
        <w:rPr>
          <w:noProof/>
        </w:rPr>
        <w:t xml:space="preserve"> Cambridge University Press. https://doi.org/10.5771/9783845289892-15</w:t>
      </w:r>
    </w:p>
    <w:p w:rsidR="00A84AA6" w:rsidRPr="00D31DFB" w:rsidRDefault="00A84AA6" w:rsidP="00FA4FCF">
      <w:pPr>
        <w:widowControl w:val="0"/>
        <w:autoSpaceDE w:val="0"/>
        <w:autoSpaceDN w:val="0"/>
        <w:ind w:left="811" w:hanging="811"/>
        <w:jc w:val="both"/>
        <w:rPr>
          <w:noProof/>
        </w:rPr>
      </w:pPr>
      <w:r w:rsidRPr="00D31DFB">
        <w:rPr>
          <w:noProof/>
        </w:rPr>
        <w:t xml:space="preserve">Inayati, N. I., &amp; Setiawan, D. </w:t>
      </w:r>
      <w:r w:rsidR="005C098D" w:rsidRPr="00D31DFB">
        <w:rPr>
          <w:noProof/>
        </w:rPr>
        <w:t>(</w:t>
      </w:r>
      <w:r w:rsidRPr="00D31DFB">
        <w:rPr>
          <w:noProof/>
        </w:rPr>
        <w:t>2012</w:t>
      </w:r>
      <w:r w:rsidR="005C098D" w:rsidRPr="00D31DFB">
        <w:rPr>
          <w:noProof/>
        </w:rPr>
        <w:t>)</w:t>
      </w:r>
      <w:r w:rsidRPr="00D31DFB">
        <w:rPr>
          <w:noProof/>
        </w:rPr>
        <w:t xml:space="preserve">. Fenomena Flypaper Effect pada Belanja Daerah Kabupaten/Kota di Indonesia.  </w:t>
      </w:r>
      <w:r w:rsidRPr="00D31DFB">
        <w:rPr>
          <w:i/>
          <w:iCs/>
          <w:noProof/>
        </w:rPr>
        <w:t>Ekuitas: Jurnal Ekonomi dan Keuangan,</w:t>
      </w:r>
      <w:r w:rsidRPr="00D31DFB">
        <w:rPr>
          <w:noProof/>
        </w:rPr>
        <w:t xml:space="preserve"> 1</w:t>
      </w:r>
      <w:r w:rsidR="009B0ABB" w:rsidRPr="00D31DFB">
        <w:rPr>
          <w:noProof/>
        </w:rPr>
        <w:t>(</w:t>
      </w:r>
      <w:r w:rsidRPr="00D31DFB">
        <w:rPr>
          <w:noProof/>
        </w:rPr>
        <w:t>2</w:t>
      </w:r>
      <w:r w:rsidR="009B0ABB" w:rsidRPr="00D31DFB">
        <w:rPr>
          <w:noProof/>
        </w:rPr>
        <w:t>)</w:t>
      </w:r>
      <w:r w:rsidRPr="00D31DFB">
        <w:rPr>
          <w:noProof/>
        </w:rPr>
        <w:t xml:space="preserve">, </w:t>
      </w:r>
      <w:r w:rsidR="009B0ABB" w:rsidRPr="00D31DFB">
        <w:rPr>
          <w:noProof/>
        </w:rPr>
        <w:t xml:space="preserve">                            </w:t>
      </w:r>
      <w:r w:rsidRPr="00D31DFB">
        <w:rPr>
          <w:noProof/>
        </w:rPr>
        <w:t>1377–1398.</w:t>
      </w:r>
    </w:p>
    <w:p w:rsidR="00A84AA6" w:rsidRPr="00D31DFB" w:rsidRDefault="00A84AA6" w:rsidP="00FA4FCF">
      <w:pPr>
        <w:widowControl w:val="0"/>
        <w:autoSpaceDE w:val="0"/>
        <w:autoSpaceDN w:val="0"/>
        <w:ind w:left="811" w:hanging="811"/>
        <w:jc w:val="both"/>
        <w:rPr>
          <w:noProof/>
        </w:rPr>
      </w:pPr>
      <w:r w:rsidRPr="00D31DFB">
        <w:rPr>
          <w:noProof/>
        </w:rPr>
        <w:t xml:space="preserve">Iskandar, I. </w:t>
      </w:r>
      <w:r w:rsidR="005C098D" w:rsidRPr="00D31DFB">
        <w:rPr>
          <w:noProof/>
        </w:rPr>
        <w:t>(</w:t>
      </w:r>
      <w:r w:rsidRPr="00D31DFB">
        <w:rPr>
          <w:noProof/>
        </w:rPr>
        <w:t>2012</w:t>
      </w:r>
      <w:r w:rsidR="005C098D" w:rsidRPr="00D31DFB">
        <w:rPr>
          <w:noProof/>
        </w:rPr>
        <w:t>)</w:t>
      </w:r>
      <w:r w:rsidRPr="00D31DFB">
        <w:rPr>
          <w:noProof/>
        </w:rPr>
        <w:t xml:space="preserve">. "Flypaper Effect pada Unconditional Grant". </w:t>
      </w:r>
      <w:r w:rsidRPr="00D31DFB">
        <w:rPr>
          <w:i/>
          <w:iCs/>
          <w:noProof/>
        </w:rPr>
        <w:t xml:space="preserve">Jurnal Ekonomi dan Pembangunan, </w:t>
      </w:r>
      <w:r w:rsidRPr="00D31DFB">
        <w:rPr>
          <w:noProof/>
        </w:rPr>
        <w:t>13</w:t>
      </w:r>
      <w:r w:rsidR="009B0ABB" w:rsidRPr="00D31DFB">
        <w:rPr>
          <w:noProof/>
        </w:rPr>
        <w:t>(</w:t>
      </w:r>
      <w:r w:rsidRPr="00D31DFB">
        <w:rPr>
          <w:noProof/>
        </w:rPr>
        <w:t>1</w:t>
      </w:r>
      <w:r w:rsidR="009B0ABB" w:rsidRPr="00D31DFB">
        <w:rPr>
          <w:noProof/>
        </w:rPr>
        <w:t>)</w:t>
      </w:r>
      <w:r w:rsidRPr="00D31DFB">
        <w:rPr>
          <w:noProof/>
        </w:rPr>
        <w:t>, 113–131.</w:t>
      </w:r>
    </w:p>
    <w:p w:rsidR="00A84AA6" w:rsidRPr="00D31DFB" w:rsidRDefault="00A84AA6" w:rsidP="00FA4FCF">
      <w:pPr>
        <w:widowControl w:val="0"/>
        <w:autoSpaceDE w:val="0"/>
        <w:autoSpaceDN w:val="0"/>
        <w:ind w:left="811" w:hanging="811"/>
        <w:jc w:val="both"/>
        <w:rPr>
          <w:noProof/>
        </w:rPr>
      </w:pPr>
      <w:r w:rsidRPr="00D31DFB">
        <w:rPr>
          <w:noProof/>
        </w:rPr>
        <w:t xml:space="preserve">Klevmarken, N. A. </w:t>
      </w:r>
      <w:r w:rsidR="005C098D" w:rsidRPr="00D31DFB">
        <w:rPr>
          <w:noProof/>
        </w:rPr>
        <w:t>(</w:t>
      </w:r>
      <w:r w:rsidRPr="00D31DFB">
        <w:rPr>
          <w:noProof/>
        </w:rPr>
        <w:t>1989</w:t>
      </w:r>
      <w:r w:rsidR="005C098D" w:rsidRPr="00D31DFB">
        <w:rPr>
          <w:noProof/>
        </w:rPr>
        <w:t>)</w:t>
      </w:r>
      <w:r w:rsidRPr="00D31DFB">
        <w:rPr>
          <w:noProof/>
        </w:rPr>
        <w:t xml:space="preserve">. "Panel Studies: What We Can Learn from </w:t>
      </w:r>
      <w:r w:rsidR="005C098D" w:rsidRPr="00D31DFB">
        <w:rPr>
          <w:noProof/>
        </w:rPr>
        <w:t>T</w:t>
      </w:r>
      <w:r w:rsidRPr="00D31DFB">
        <w:rPr>
          <w:noProof/>
        </w:rPr>
        <w:t>hem?</w:t>
      </w:r>
      <w:r w:rsidR="00804BA7" w:rsidRPr="00D31DFB">
        <w:rPr>
          <w:noProof/>
        </w:rPr>
        <w:t xml:space="preserve">                         </w:t>
      </w:r>
      <w:r w:rsidRPr="00D31DFB">
        <w:rPr>
          <w:noProof/>
        </w:rPr>
        <w:t xml:space="preserve"> Introduction". </w:t>
      </w:r>
      <w:r w:rsidRPr="00D31DFB">
        <w:rPr>
          <w:i/>
          <w:iCs/>
          <w:noProof/>
        </w:rPr>
        <w:t>European Economic Review,</w:t>
      </w:r>
      <w:r w:rsidRPr="00D31DFB">
        <w:rPr>
          <w:noProof/>
        </w:rPr>
        <w:t xml:space="preserve"> 33</w:t>
      </w:r>
      <w:r w:rsidR="009B0ABB" w:rsidRPr="00D31DFB">
        <w:rPr>
          <w:noProof/>
        </w:rPr>
        <w:t>(</w:t>
      </w:r>
      <w:r w:rsidRPr="00D31DFB">
        <w:rPr>
          <w:noProof/>
        </w:rPr>
        <w:t>2–3</w:t>
      </w:r>
      <w:r w:rsidR="009B0ABB" w:rsidRPr="00D31DFB">
        <w:rPr>
          <w:noProof/>
        </w:rPr>
        <w:t>)</w:t>
      </w:r>
      <w:r w:rsidRPr="00D31DFB">
        <w:rPr>
          <w:noProof/>
        </w:rPr>
        <w:t>,</w:t>
      </w:r>
      <w:r w:rsidR="00804BA7" w:rsidRPr="00D31DFB">
        <w:rPr>
          <w:noProof/>
        </w:rPr>
        <w:t xml:space="preserve"> </w:t>
      </w:r>
      <w:r w:rsidRPr="00D31DFB">
        <w:rPr>
          <w:noProof/>
        </w:rPr>
        <w:t>523–529. https://doi.org/10.1016/0014-2921(89)90131-1</w:t>
      </w:r>
    </w:p>
    <w:p w:rsidR="00A84AA6" w:rsidRPr="00D31DFB" w:rsidRDefault="00A84AA6" w:rsidP="00FA4FCF">
      <w:pPr>
        <w:widowControl w:val="0"/>
        <w:autoSpaceDE w:val="0"/>
        <w:autoSpaceDN w:val="0"/>
        <w:ind w:left="811" w:hanging="811"/>
        <w:jc w:val="both"/>
        <w:rPr>
          <w:noProof/>
        </w:rPr>
      </w:pPr>
      <w:r w:rsidRPr="00D31DFB">
        <w:rPr>
          <w:noProof/>
        </w:rPr>
        <w:t xml:space="preserve">Kunst, R. M. </w:t>
      </w:r>
      <w:r w:rsidR="005C098D" w:rsidRPr="00D31DFB">
        <w:rPr>
          <w:noProof/>
        </w:rPr>
        <w:t>(</w:t>
      </w:r>
      <w:r w:rsidRPr="00D31DFB">
        <w:rPr>
          <w:noProof/>
        </w:rPr>
        <w:t>2013</w:t>
      </w:r>
      <w:r w:rsidR="005C098D" w:rsidRPr="00D31DFB">
        <w:rPr>
          <w:noProof/>
        </w:rPr>
        <w:t>)</w:t>
      </w:r>
      <w:r w:rsidRPr="00D31DFB">
        <w:rPr>
          <w:noProof/>
        </w:rPr>
        <w:t>. "</w:t>
      </w:r>
      <w:r w:rsidRPr="00D31DFB">
        <w:rPr>
          <w:i/>
          <w:iCs/>
          <w:noProof/>
        </w:rPr>
        <w:t>Econometric Methods for Panel Data".</w:t>
      </w:r>
      <w:r w:rsidRPr="00D31DFB">
        <w:rPr>
          <w:noProof/>
        </w:rPr>
        <w:t xml:space="preserve"> Outline Introduction Tests in panel models Poolability tests</w:t>
      </w:r>
      <w:r w:rsidR="005E2226" w:rsidRPr="00D31DFB">
        <w:rPr>
          <w:noProof/>
        </w:rPr>
        <w:t xml:space="preserve">, </w:t>
      </w:r>
      <w:r w:rsidRPr="00D31DFB">
        <w:rPr>
          <w:noProof/>
        </w:rPr>
        <w:t>Testing for the presence of random effects</w:t>
      </w:r>
      <w:r w:rsidR="005E2226" w:rsidRPr="00D31DFB">
        <w:rPr>
          <w:noProof/>
        </w:rPr>
        <w:t xml:space="preserve">, </w:t>
      </w:r>
      <w:r w:rsidRPr="00D31DFB">
        <w:rPr>
          <w:noProof/>
        </w:rPr>
        <w:t xml:space="preserve">The Hausman. </w:t>
      </w:r>
    </w:p>
    <w:p w:rsidR="00A84AA6" w:rsidRPr="00D31DFB" w:rsidRDefault="00A84AA6" w:rsidP="00FA4FCF">
      <w:pPr>
        <w:widowControl w:val="0"/>
        <w:autoSpaceDE w:val="0"/>
        <w:autoSpaceDN w:val="0"/>
        <w:ind w:left="811" w:hanging="811"/>
        <w:jc w:val="both"/>
        <w:rPr>
          <w:noProof/>
        </w:rPr>
      </w:pPr>
      <w:r w:rsidRPr="00D31DFB">
        <w:rPr>
          <w:noProof/>
        </w:rPr>
        <w:t xml:space="preserve">Muhammad, S., Zulham, T., Sapha, D., Fitriyani, &amp; Saputra, J. </w:t>
      </w:r>
      <w:r w:rsidR="005E2226" w:rsidRPr="00D31DFB">
        <w:rPr>
          <w:noProof/>
        </w:rPr>
        <w:t>(</w:t>
      </w:r>
      <w:r w:rsidRPr="00D31DFB">
        <w:rPr>
          <w:noProof/>
        </w:rPr>
        <w:t>2019</w:t>
      </w:r>
      <w:r w:rsidR="005E2226" w:rsidRPr="00D31DFB">
        <w:rPr>
          <w:noProof/>
        </w:rPr>
        <w:t>)</w:t>
      </w:r>
      <w:r w:rsidRPr="00D31DFB">
        <w:rPr>
          <w:noProof/>
        </w:rPr>
        <w:t xml:space="preserve">. "Investigating </w:t>
      </w:r>
      <w:r w:rsidR="009B0ABB" w:rsidRPr="00D31DFB">
        <w:rPr>
          <w:noProof/>
        </w:rPr>
        <w:t xml:space="preserve">                          </w:t>
      </w:r>
      <w:r w:rsidRPr="00D31DFB">
        <w:rPr>
          <w:noProof/>
        </w:rPr>
        <w:t xml:space="preserve">The Public Spending and Economical Growth on The Poverty Reduction </w:t>
      </w:r>
      <w:r w:rsidR="009B0ABB" w:rsidRPr="00D31DFB">
        <w:rPr>
          <w:noProof/>
        </w:rPr>
        <w:t xml:space="preserve">                          </w:t>
      </w:r>
      <w:r w:rsidRPr="00D31DFB">
        <w:rPr>
          <w:noProof/>
        </w:rPr>
        <w:t>In Indonesia.</w:t>
      </w:r>
      <w:r w:rsidR="009B0ABB" w:rsidRPr="00D31DFB">
        <w:rPr>
          <w:noProof/>
        </w:rPr>
        <w:t xml:space="preserve"> </w:t>
      </w:r>
      <w:r w:rsidRPr="00D31DFB">
        <w:rPr>
          <w:i/>
          <w:iCs/>
          <w:noProof/>
        </w:rPr>
        <w:t>Industrial Engineering</w:t>
      </w:r>
      <w:r w:rsidR="00804BA7" w:rsidRPr="00D31DFB">
        <w:rPr>
          <w:i/>
          <w:iCs/>
          <w:noProof/>
        </w:rPr>
        <w:t xml:space="preserve"> </w:t>
      </w:r>
      <w:r w:rsidRPr="00D31DFB">
        <w:rPr>
          <w:i/>
          <w:iCs/>
          <w:noProof/>
        </w:rPr>
        <w:t>and Management Systems,</w:t>
      </w:r>
      <w:r w:rsidRPr="00D31DFB">
        <w:rPr>
          <w:noProof/>
        </w:rPr>
        <w:t xml:space="preserve"> 18</w:t>
      </w:r>
      <w:r w:rsidR="009B0ABB" w:rsidRPr="00D31DFB">
        <w:rPr>
          <w:noProof/>
        </w:rPr>
        <w:t>(</w:t>
      </w:r>
      <w:r w:rsidRPr="00D31DFB">
        <w:rPr>
          <w:noProof/>
        </w:rPr>
        <w:t>3</w:t>
      </w:r>
      <w:r w:rsidR="009B0ABB" w:rsidRPr="00D31DFB">
        <w:rPr>
          <w:noProof/>
        </w:rPr>
        <w:t>)</w:t>
      </w:r>
      <w:r w:rsidRPr="00D31DFB">
        <w:rPr>
          <w:noProof/>
        </w:rPr>
        <w:t>, 495–500. https://doi.org/10.7232/iems.2019.18.3.495</w:t>
      </w:r>
    </w:p>
    <w:p w:rsidR="00A84AA6" w:rsidRPr="00D31DFB" w:rsidRDefault="00A84AA6" w:rsidP="00FA4FCF">
      <w:pPr>
        <w:widowControl w:val="0"/>
        <w:autoSpaceDE w:val="0"/>
        <w:autoSpaceDN w:val="0"/>
        <w:ind w:left="811" w:hanging="811"/>
        <w:jc w:val="both"/>
        <w:rPr>
          <w:noProof/>
        </w:rPr>
      </w:pPr>
      <w:r w:rsidRPr="00D31DFB">
        <w:rPr>
          <w:noProof/>
        </w:rPr>
        <w:t xml:space="preserve">Mundiroh, S. </w:t>
      </w:r>
      <w:r w:rsidR="005E2226" w:rsidRPr="00D31DFB">
        <w:rPr>
          <w:noProof/>
        </w:rPr>
        <w:t>(</w:t>
      </w:r>
      <w:r w:rsidRPr="00D31DFB">
        <w:rPr>
          <w:noProof/>
        </w:rPr>
        <w:t>2019</w:t>
      </w:r>
      <w:r w:rsidR="005E2226" w:rsidRPr="00D31DFB">
        <w:rPr>
          <w:noProof/>
        </w:rPr>
        <w:t>)</w:t>
      </w:r>
      <w:r w:rsidRPr="00D31DFB">
        <w:rPr>
          <w:noProof/>
        </w:rPr>
        <w:t xml:space="preserve">. "Pengaruh Pertumbuhan Ekonomi Daerah, Pendapatan Asli Daerah (PAD), Dana Alokasi Umum (DAU) dan Dana Bagi Hasil (DBH) terhadap Alokasi Belanja Modal Daerah". </w:t>
      </w:r>
      <w:r w:rsidRPr="00D31DFB">
        <w:rPr>
          <w:i/>
          <w:iCs/>
          <w:noProof/>
        </w:rPr>
        <w:t xml:space="preserve">Jurnal Akuntansi Berkelanjutan Indonesia, </w:t>
      </w:r>
      <w:r w:rsidRPr="00D31DFB">
        <w:rPr>
          <w:noProof/>
        </w:rPr>
        <w:t>2</w:t>
      </w:r>
      <w:r w:rsidR="005C098D" w:rsidRPr="00D31DFB">
        <w:rPr>
          <w:noProof/>
        </w:rPr>
        <w:t>(</w:t>
      </w:r>
      <w:r w:rsidRPr="00D31DFB">
        <w:rPr>
          <w:noProof/>
        </w:rPr>
        <w:t>1</w:t>
      </w:r>
      <w:r w:rsidR="005C098D" w:rsidRPr="00D31DFB">
        <w:rPr>
          <w:noProof/>
        </w:rPr>
        <w:t>)</w:t>
      </w:r>
      <w:r w:rsidRPr="00D31DFB">
        <w:rPr>
          <w:noProof/>
        </w:rPr>
        <w:t>, 104. https://doi.org/10.32493/jabi.v2i1.y2019.p104-122</w:t>
      </w:r>
    </w:p>
    <w:p w:rsidR="00A84AA6" w:rsidRPr="00D31DFB" w:rsidRDefault="00A84AA6" w:rsidP="00FA4FCF">
      <w:pPr>
        <w:widowControl w:val="0"/>
        <w:autoSpaceDE w:val="0"/>
        <w:autoSpaceDN w:val="0"/>
        <w:ind w:left="811" w:hanging="811"/>
        <w:jc w:val="both"/>
        <w:rPr>
          <w:noProof/>
        </w:rPr>
      </w:pPr>
      <w:r w:rsidRPr="00D31DFB">
        <w:rPr>
          <w:noProof/>
        </w:rPr>
        <w:t xml:space="preserve">Nasir, M. S. </w:t>
      </w:r>
      <w:r w:rsidR="005E2226" w:rsidRPr="00D31DFB">
        <w:rPr>
          <w:noProof/>
        </w:rPr>
        <w:t>(</w:t>
      </w:r>
      <w:r w:rsidRPr="00D31DFB">
        <w:rPr>
          <w:noProof/>
        </w:rPr>
        <w:t>2019</w:t>
      </w:r>
      <w:r w:rsidR="005E2226" w:rsidRPr="00D31DFB">
        <w:rPr>
          <w:noProof/>
        </w:rPr>
        <w:t>)</w:t>
      </w:r>
      <w:r w:rsidRPr="00D31DFB">
        <w:rPr>
          <w:noProof/>
        </w:rPr>
        <w:t>. "Analisis Sumber-Sumber Pendapatan Asli Daerah Setelah Satu Dekade Otonomi Daerah".</w:t>
      </w:r>
      <w:r w:rsidRPr="00D31DFB">
        <w:rPr>
          <w:i/>
          <w:iCs/>
          <w:noProof/>
        </w:rPr>
        <w:t xml:space="preserve"> Jurnal Dinamika Ekonomi Pembangunan,</w:t>
      </w:r>
      <w:r w:rsidRPr="00D31DFB">
        <w:rPr>
          <w:noProof/>
        </w:rPr>
        <w:t xml:space="preserve"> 2</w:t>
      </w:r>
      <w:r w:rsidR="005C098D" w:rsidRPr="00D31DFB">
        <w:rPr>
          <w:noProof/>
        </w:rPr>
        <w:t>(</w:t>
      </w:r>
      <w:r w:rsidRPr="00D31DFB">
        <w:rPr>
          <w:noProof/>
        </w:rPr>
        <w:t>1</w:t>
      </w:r>
      <w:r w:rsidR="005C098D" w:rsidRPr="00D31DFB">
        <w:rPr>
          <w:noProof/>
        </w:rPr>
        <w:t>)</w:t>
      </w:r>
      <w:r w:rsidRPr="00D31DFB">
        <w:rPr>
          <w:noProof/>
        </w:rPr>
        <w:t>, 30-45.</w:t>
      </w:r>
    </w:p>
    <w:p w:rsidR="00A84AA6" w:rsidRPr="00D31DFB" w:rsidRDefault="00A84AA6" w:rsidP="00FA4FCF">
      <w:pPr>
        <w:pStyle w:val="NormalWeb"/>
        <w:spacing w:before="0" w:beforeAutospacing="0" w:after="0" w:afterAutospacing="0"/>
        <w:ind w:left="811" w:hanging="811"/>
        <w:jc w:val="both"/>
        <w:rPr>
          <w:lang w:val="en-US"/>
        </w:rPr>
      </w:pPr>
      <w:r w:rsidRPr="00D31DFB">
        <w:rPr>
          <w:lang w:val="en-US"/>
        </w:rPr>
        <w:t xml:space="preserve">Nugroho. </w:t>
      </w:r>
      <w:r w:rsidR="005E2226" w:rsidRPr="00D31DFB">
        <w:rPr>
          <w:lang w:val="en-US"/>
        </w:rPr>
        <w:t>(</w:t>
      </w:r>
      <w:r w:rsidRPr="00D31DFB">
        <w:rPr>
          <w:lang w:val="en-US"/>
        </w:rPr>
        <w:t>2017</w:t>
      </w:r>
      <w:r w:rsidR="005E2226" w:rsidRPr="00D31DFB">
        <w:rPr>
          <w:lang w:val="en-US"/>
        </w:rPr>
        <w:t>)</w:t>
      </w:r>
      <w:r w:rsidRPr="00D31DFB">
        <w:rPr>
          <w:lang w:val="en-US"/>
        </w:rPr>
        <w:t xml:space="preserve">. "Flypaper Effect of Regional Expenditures in Yogyakarta". </w:t>
      </w:r>
      <w:r w:rsidRPr="00D31DFB">
        <w:rPr>
          <w:i/>
          <w:iCs/>
          <w:lang w:val="en-US"/>
        </w:rPr>
        <w:t>Journal of Economics and Business,</w:t>
      </w:r>
      <w:r w:rsidRPr="00D31DFB">
        <w:rPr>
          <w:lang w:val="en-US"/>
        </w:rPr>
        <w:t xml:space="preserve"> 2</w:t>
      </w:r>
      <w:r w:rsidR="005C098D" w:rsidRPr="00D31DFB">
        <w:rPr>
          <w:lang w:val="en-US"/>
        </w:rPr>
        <w:t>(</w:t>
      </w:r>
      <w:r w:rsidRPr="00D31DFB">
        <w:rPr>
          <w:lang w:val="en-US"/>
        </w:rPr>
        <w:t>3</w:t>
      </w:r>
      <w:r w:rsidR="005C098D" w:rsidRPr="00D31DFB">
        <w:rPr>
          <w:lang w:val="en-US"/>
        </w:rPr>
        <w:t>)</w:t>
      </w:r>
      <w:r w:rsidRPr="00D31DFB">
        <w:rPr>
          <w:lang w:val="en-US"/>
        </w:rPr>
        <w:t>, 353-374.</w:t>
      </w:r>
    </w:p>
    <w:p w:rsidR="00A84AA6" w:rsidRPr="00D31DFB" w:rsidRDefault="00A84AA6" w:rsidP="00FA4FCF">
      <w:pPr>
        <w:widowControl w:val="0"/>
        <w:autoSpaceDE w:val="0"/>
        <w:autoSpaceDN w:val="0"/>
        <w:ind w:left="811" w:hanging="811"/>
        <w:jc w:val="both"/>
        <w:rPr>
          <w:noProof/>
        </w:rPr>
      </w:pPr>
      <w:r w:rsidRPr="00D31DFB">
        <w:rPr>
          <w:noProof/>
        </w:rPr>
        <w:t xml:space="preserve">Nwakuya, M. T., &amp; Ijomah, M. A. </w:t>
      </w:r>
      <w:r w:rsidR="005E2226" w:rsidRPr="00D31DFB">
        <w:rPr>
          <w:noProof/>
        </w:rPr>
        <w:t>(</w:t>
      </w:r>
      <w:r w:rsidRPr="00D31DFB">
        <w:rPr>
          <w:noProof/>
        </w:rPr>
        <w:t>2017</w:t>
      </w:r>
      <w:r w:rsidR="005E2226" w:rsidRPr="00D31DFB">
        <w:rPr>
          <w:noProof/>
        </w:rPr>
        <w:t>)</w:t>
      </w:r>
      <w:r w:rsidRPr="00D31DFB">
        <w:rPr>
          <w:noProof/>
        </w:rPr>
        <w:t xml:space="preserve">. "Fixed Effect Versus Random Effects Modeling in </w:t>
      </w:r>
      <w:r w:rsidRPr="00D31DFB">
        <w:rPr>
          <w:noProof/>
        </w:rPr>
        <w:lastRenderedPageBreak/>
        <w:t xml:space="preserve">a Panel Data Analysis; A Consideration of Economic and Political Indicators in Six African Countries". </w:t>
      </w:r>
      <w:r w:rsidRPr="00D31DFB">
        <w:rPr>
          <w:i/>
          <w:iCs/>
          <w:noProof/>
        </w:rPr>
        <w:t>International Journal of Statistics and Applications,</w:t>
      </w:r>
      <w:r w:rsidRPr="00D31DFB">
        <w:rPr>
          <w:noProof/>
        </w:rPr>
        <w:t xml:space="preserve"> 7</w:t>
      </w:r>
      <w:r w:rsidR="005C098D" w:rsidRPr="00D31DFB">
        <w:rPr>
          <w:noProof/>
        </w:rPr>
        <w:t>(</w:t>
      </w:r>
      <w:r w:rsidRPr="00D31DFB">
        <w:rPr>
          <w:noProof/>
        </w:rPr>
        <w:t>6</w:t>
      </w:r>
      <w:r w:rsidR="005C098D" w:rsidRPr="00D31DFB">
        <w:rPr>
          <w:noProof/>
        </w:rPr>
        <w:t>)</w:t>
      </w:r>
      <w:r w:rsidRPr="00D31DFB">
        <w:rPr>
          <w:noProof/>
        </w:rPr>
        <w:t>, 275–279. https://doi.org/10.5923/j.statistics.20170706.01</w:t>
      </w:r>
    </w:p>
    <w:p w:rsidR="00A84AA6" w:rsidRPr="00A84AA6" w:rsidRDefault="00A84AA6" w:rsidP="00FA4FCF">
      <w:pPr>
        <w:widowControl w:val="0"/>
        <w:autoSpaceDE w:val="0"/>
        <w:autoSpaceDN w:val="0"/>
        <w:ind w:left="811" w:hanging="811"/>
        <w:jc w:val="both"/>
        <w:rPr>
          <w:i/>
          <w:iCs/>
          <w:noProof/>
        </w:rPr>
      </w:pPr>
      <w:r w:rsidRPr="00D31DFB">
        <w:rPr>
          <w:noProof/>
        </w:rPr>
        <w:t xml:space="preserve">Pillai, V. </w:t>
      </w:r>
      <w:r w:rsidR="005E2226" w:rsidRPr="00D31DFB">
        <w:rPr>
          <w:noProof/>
        </w:rPr>
        <w:t>(</w:t>
      </w:r>
      <w:r w:rsidRPr="00D31DFB">
        <w:rPr>
          <w:noProof/>
        </w:rPr>
        <w:t>2016</w:t>
      </w:r>
      <w:r w:rsidR="005E2226" w:rsidRPr="00D31DFB">
        <w:rPr>
          <w:noProof/>
        </w:rPr>
        <w:t>)</w:t>
      </w:r>
      <w:r w:rsidRPr="00D31DFB">
        <w:rPr>
          <w:noProof/>
        </w:rPr>
        <w:t>. "Panel Data Analysis with Stata Part 1 Fixed Effects and Random Effects</w:t>
      </w:r>
      <w:r w:rsidRPr="00A84AA6">
        <w:rPr>
          <w:i/>
          <w:iCs/>
          <w:noProof/>
        </w:rPr>
        <w:t xml:space="preserve"> </w:t>
      </w:r>
      <w:r w:rsidRPr="00D31DFB">
        <w:rPr>
          <w:noProof/>
        </w:rPr>
        <w:t>Models"</w:t>
      </w:r>
      <w:r w:rsidRPr="00A84AA6">
        <w:rPr>
          <w:i/>
          <w:iCs/>
          <w:noProof/>
        </w:rPr>
        <w:t xml:space="preserve">. </w:t>
      </w:r>
      <w:r w:rsidRPr="00D31DFB">
        <w:rPr>
          <w:i/>
          <w:iCs/>
          <w:noProof/>
        </w:rPr>
        <w:t>Munich Personal RePEc Archive,</w:t>
      </w:r>
      <w:r w:rsidRPr="005E2226">
        <w:rPr>
          <w:noProof/>
        </w:rPr>
        <w:t xml:space="preserve"> </w:t>
      </w:r>
      <w:r w:rsidRPr="00A84AA6">
        <w:rPr>
          <w:i/>
          <w:iCs/>
          <w:noProof/>
        </w:rPr>
        <w:t>70986, 1–56.</w:t>
      </w:r>
    </w:p>
    <w:p w:rsidR="00A84AA6" w:rsidRPr="00D31DFB" w:rsidRDefault="00A84AA6" w:rsidP="00FA4FCF">
      <w:pPr>
        <w:widowControl w:val="0"/>
        <w:autoSpaceDE w:val="0"/>
        <w:autoSpaceDN w:val="0"/>
        <w:ind w:left="811" w:hanging="811"/>
        <w:jc w:val="both"/>
        <w:rPr>
          <w:noProof/>
        </w:rPr>
      </w:pPr>
      <w:r w:rsidRPr="00D31DFB">
        <w:rPr>
          <w:noProof/>
        </w:rPr>
        <w:t xml:space="preserve">Pradiatmi, I. N., &amp; Wibowo, H. </w:t>
      </w:r>
      <w:r w:rsidR="005E2226" w:rsidRPr="00D31DFB">
        <w:rPr>
          <w:noProof/>
        </w:rPr>
        <w:t>(</w:t>
      </w:r>
      <w:r w:rsidRPr="00D31DFB">
        <w:rPr>
          <w:noProof/>
        </w:rPr>
        <w:t>2017</w:t>
      </w:r>
      <w:r w:rsidR="005E2226" w:rsidRPr="00D31DFB">
        <w:rPr>
          <w:noProof/>
        </w:rPr>
        <w:t>)</w:t>
      </w:r>
      <w:r w:rsidRPr="00D31DFB">
        <w:rPr>
          <w:noProof/>
        </w:rPr>
        <w:t xml:space="preserve">. "Pengaruh  Kinerja  Keuangan dan  Belanja  Modal  terhadap Pertumbuhan  Ekonomi  pada Kabupaten/Kota  di  Jawa  Tengah". </w:t>
      </w:r>
      <w:r w:rsidR="005C098D" w:rsidRPr="00D31DFB">
        <w:rPr>
          <w:noProof/>
        </w:rPr>
        <w:t xml:space="preserve">                         </w:t>
      </w:r>
      <w:r w:rsidRPr="00D31DFB">
        <w:rPr>
          <w:i/>
          <w:iCs/>
          <w:noProof/>
        </w:rPr>
        <w:t>Jurnal Reviu Akuntansi</w:t>
      </w:r>
      <w:r w:rsidR="00FA4FCF" w:rsidRPr="00D31DFB">
        <w:rPr>
          <w:i/>
          <w:iCs/>
          <w:noProof/>
        </w:rPr>
        <w:t xml:space="preserve"> </w:t>
      </w:r>
      <w:r w:rsidRPr="00D31DFB">
        <w:rPr>
          <w:i/>
          <w:iCs/>
          <w:noProof/>
        </w:rPr>
        <w:t>dan Keuangan,</w:t>
      </w:r>
      <w:r w:rsidRPr="00D31DFB">
        <w:rPr>
          <w:noProof/>
        </w:rPr>
        <w:t xml:space="preserve"> 5</w:t>
      </w:r>
      <w:r w:rsidR="005C098D" w:rsidRPr="00D31DFB">
        <w:rPr>
          <w:noProof/>
        </w:rPr>
        <w:t>(</w:t>
      </w:r>
      <w:r w:rsidRPr="00D31DFB">
        <w:rPr>
          <w:noProof/>
        </w:rPr>
        <w:t>2</w:t>
      </w:r>
      <w:r w:rsidR="005C098D" w:rsidRPr="00D31DFB">
        <w:rPr>
          <w:noProof/>
        </w:rPr>
        <w:t>)</w:t>
      </w:r>
      <w:r w:rsidRPr="00D31DFB">
        <w:rPr>
          <w:noProof/>
        </w:rPr>
        <w:t>, 759–768. https://doi.org/10.22219/jrak.v5i2.5152</w:t>
      </w:r>
    </w:p>
    <w:p w:rsidR="00A84AA6" w:rsidRPr="00D31DFB" w:rsidRDefault="00A84AA6" w:rsidP="00FA4FCF">
      <w:pPr>
        <w:widowControl w:val="0"/>
        <w:autoSpaceDE w:val="0"/>
        <w:autoSpaceDN w:val="0"/>
        <w:ind w:left="811" w:hanging="811"/>
        <w:jc w:val="both"/>
        <w:rPr>
          <w:noProof/>
        </w:rPr>
      </w:pPr>
      <w:r w:rsidRPr="00D31DFB">
        <w:rPr>
          <w:noProof/>
        </w:rPr>
        <w:t xml:space="preserve">Prakosa, K. B. </w:t>
      </w:r>
      <w:r w:rsidR="005E2226" w:rsidRPr="00D31DFB">
        <w:rPr>
          <w:noProof/>
        </w:rPr>
        <w:t>(</w:t>
      </w:r>
      <w:r w:rsidRPr="00D31DFB">
        <w:rPr>
          <w:noProof/>
        </w:rPr>
        <w:t>2004</w:t>
      </w:r>
      <w:r w:rsidR="005E2226" w:rsidRPr="00D31DFB">
        <w:rPr>
          <w:noProof/>
        </w:rPr>
        <w:t>)</w:t>
      </w:r>
      <w:r w:rsidRPr="00D31DFB">
        <w:rPr>
          <w:noProof/>
        </w:rPr>
        <w:t xml:space="preserve">. "Analisis Pengaruh Dana Alokasi Umum (DAU) dan Pendapatan Asli Daerah (PAD) terhadap Prediksi Belanja Daerah (Studi Empirik di Wilayah Propinsi Jawa Tengah dan DIY)". </w:t>
      </w:r>
      <w:r w:rsidRPr="00D31DFB">
        <w:rPr>
          <w:i/>
          <w:iCs/>
          <w:noProof/>
        </w:rPr>
        <w:t>Jurnal Akuntansi &amp; Auditing Indonesia,</w:t>
      </w:r>
      <w:r w:rsidRPr="00D31DFB">
        <w:rPr>
          <w:noProof/>
        </w:rPr>
        <w:t xml:space="preserve"> 8</w:t>
      </w:r>
      <w:r w:rsidR="005C098D" w:rsidRPr="00D31DFB">
        <w:rPr>
          <w:noProof/>
        </w:rPr>
        <w:t>(</w:t>
      </w:r>
      <w:r w:rsidRPr="00D31DFB">
        <w:rPr>
          <w:noProof/>
        </w:rPr>
        <w:t>2</w:t>
      </w:r>
      <w:r w:rsidR="005C098D" w:rsidRPr="00D31DFB">
        <w:rPr>
          <w:noProof/>
        </w:rPr>
        <w:t>)</w:t>
      </w:r>
      <w:r w:rsidRPr="00D31DFB">
        <w:rPr>
          <w:noProof/>
        </w:rPr>
        <w:t>, 101–118.</w:t>
      </w:r>
    </w:p>
    <w:p w:rsidR="00A84AA6" w:rsidRPr="00D31DFB" w:rsidRDefault="00A84AA6" w:rsidP="00FA4FCF">
      <w:pPr>
        <w:widowControl w:val="0"/>
        <w:autoSpaceDE w:val="0"/>
        <w:autoSpaceDN w:val="0"/>
        <w:ind w:left="811" w:hanging="811"/>
        <w:jc w:val="both"/>
        <w:rPr>
          <w:noProof/>
        </w:rPr>
      </w:pPr>
      <w:r w:rsidRPr="00D31DFB">
        <w:rPr>
          <w:noProof/>
        </w:rPr>
        <w:t xml:space="preserve">Prastiwi, Ayu, Nurlaela, S., &amp; dan Chomsatu, Y. </w:t>
      </w:r>
      <w:r w:rsidR="005E2226" w:rsidRPr="00D31DFB">
        <w:rPr>
          <w:noProof/>
        </w:rPr>
        <w:t>(</w:t>
      </w:r>
      <w:r w:rsidRPr="00D31DFB">
        <w:rPr>
          <w:noProof/>
        </w:rPr>
        <w:t>2016</w:t>
      </w:r>
      <w:r w:rsidR="005E2226" w:rsidRPr="00D31DFB">
        <w:rPr>
          <w:noProof/>
        </w:rPr>
        <w:t>)</w:t>
      </w:r>
      <w:r w:rsidRPr="00D31DFB">
        <w:rPr>
          <w:noProof/>
        </w:rPr>
        <w:t xml:space="preserve">. "Pengaruh Pendapatan Asli Daerah, Dana Perimbangan dan Belanja Pengawai terhadap Belanja Modal Pemerintah Kota Surakarta". </w:t>
      </w:r>
      <w:r w:rsidRPr="00D31DFB">
        <w:rPr>
          <w:i/>
          <w:iCs/>
          <w:noProof/>
        </w:rPr>
        <w:t>Seminar Nasional IENACO</w:t>
      </w:r>
      <w:r w:rsidRPr="00D31DFB">
        <w:rPr>
          <w:noProof/>
        </w:rPr>
        <w:t xml:space="preserve">,  872–879. </w:t>
      </w:r>
    </w:p>
    <w:p w:rsidR="00A84AA6" w:rsidRPr="00D31DFB" w:rsidRDefault="00A84AA6" w:rsidP="00FA4FCF">
      <w:pPr>
        <w:widowControl w:val="0"/>
        <w:autoSpaceDE w:val="0"/>
        <w:autoSpaceDN w:val="0"/>
        <w:ind w:left="811" w:hanging="811"/>
        <w:jc w:val="both"/>
        <w:rPr>
          <w:noProof/>
        </w:rPr>
      </w:pPr>
      <w:r w:rsidRPr="00D31DFB">
        <w:rPr>
          <w:noProof/>
        </w:rPr>
        <w:t xml:space="preserve">Putri, N. K. N. I., &amp; Darmayanti, N. P. A. </w:t>
      </w:r>
      <w:r w:rsidR="005E2226" w:rsidRPr="00D31DFB">
        <w:rPr>
          <w:noProof/>
        </w:rPr>
        <w:t>(</w:t>
      </w:r>
      <w:r w:rsidRPr="00D31DFB">
        <w:rPr>
          <w:noProof/>
        </w:rPr>
        <w:t>2019</w:t>
      </w:r>
      <w:r w:rsidR="005E2226" w:rsidRPr="00D31DFB">
        <w:rPr>
          <w:noProof/>
        </w:rPr>
        <w:t>)</w:t>
      </w:r>
      <w:r w:rsidRPr="00D31DFB">
        <w:rPr>
          <w:noProof/>
        </w:rPr>
        <w:t>. "Pengaruh PAD  dan  Dana Perimbangan terhadap Kinerja Keuangan Pemerintah Daerah di Wilayah Sarbagita</w:t>
      </w:r>
      <w:r w:rsidR="00804BA7" w:rsidRPr="00D31DFB">
        <w:rPr>
          <w:noProof/>
        </w:rPr>
        <w:t xml:space="preserve">               </w:t>
      </w:r>
      <w:r w:rsidRPr="00D31DFB">
        <w:rPr>
          <w:noProof/>
        </w:rPr>
        <w:t xml:space="preserve"> </w:t>
      </w:r>
      <w:r w:rsidR="00804BA7" w:rsidRPr="00D31DFB">
        <w:rPr>
          <w:noProof/>
        </w:rPr>
        <w:t xml:space="preserve">                     </w:t>
      </w:r>
      <w:r w:rsidRPr="00D31DFB">
        <w:rPr>
          <w:noProof/>
        </w:rPr>
        <w:t>Provinsi Bali".</w:t>
      </w:r>
      <w:r w:rsidR="00804BA7" w:rsidRPr="00D31DFB">
        <w:rPr>
          <w:noProof/>
        </w:rPr>
        <w:t xml:space="preserve"> </w:t>
      </w:r>
      <w:r w:rsidRPr="00D31DFB">
        <w:rPr>
          <w:i/>
          <w:iCs/>
          <w:noProof/>
        </w:rPr>
        <w:t>E-Jurnal Manajemen,</w:t>
      </w:r>
      <w:r w:rsidRPr="00D31DFB">
        <w:rPr>
          <w:noProof/>
        </w:rPr>
        <w:t xml:space="preserve"> 8</w:t>
      </w:r>
      <w:r w:rsidR="005C098D" w:rsidRPr="00D31DFB">
        <w:rPr>
          <w:noProof/>
        </w:rPr>
        <w:t>(</w:t>
      </w:r>
      <w:r w:rsidRPr="00D31DFB">
        <w:rPr>
          <w:noProof/>
        </w:rPr>
        <w:t>5</w:t>
      </w:r>
      <w:r w:rsidR="005C098D" w:rsidRPr="00D31DFB">
        <w:rPr>
          <w:noProof/>
        </w:rPr>
        <w:t>)</w:t>
      </w:r>
      <w:r w:rsidRPr="00D31DFB">
        <w:rPr>
          <w:noProof/>
        </w:rPr>
        <w:t>, 2834-2861. https://doi.org/10.24843/ejmunud.2019.v08.i05.p09</w:t>
      </w:r>
    </w:p>
    <w:p w:rsidR="00A84AA6" w:rsidRPr="00D31DFB" w:rsidRDefault="00A84AA6" w:rsidP="00FA4FCF">
      <w:pPr>
        <w:widowControl w:val="0"/>
        <w:autoSpaceDE w:val="0"/>
        <w:autoSpaceDN w:val="0"/>
        <w:ind w:left="811" w:hanging="811"/>
        <w:jc w:val="both"/>
        <w:rPr>
          <w:noProof/>
        </w:rPr>
      </w:pPr>
      <w:r w:rsidRPr="00D31DFB">
        <w:rPr>
          <w:noProof/>
        </w:rPr>
        <w:t xml:space="preserve">Putri, R. L., Nirwanto, N., Assih, P., &amp; Darmawan, W. </w:t>
      </w:r>
      <w:r w:rsidR="005E2226" w:rsidRPr="00D31DFB">
        <w:rPr>
          <w:noProof/>
        </w:rPr>
        <w:t>(</w:t>
      </w:r>
      <w:r w:rsidRPr="00D31DFB">
        <w:rPr>
          <w:noProof/>
        </w:rPr>
        <w:t>2020</w:t>
      </w:r>
      <w:r w:rsidR="005E2226" w:rsidRPr="00D31DFB">
        <w:rPr>
          <w:noProof/>
        </w:rPr>
        <w:t>)</w:t>
      </w:r>
      <w:r w:rsidRPr="00D31DFB">
        <w:rPr>
          <w:noProof/>
        </w:rPr>
        <w:t xml:space="preserve">. ""The Importance of Regional Original Income, Balance Fund and Demography on Flypaper Effect through </w:t>
      </w:r>
      <w:r w:rsidR="00D31DFB">
        <w:rPr>
          <w:noProof/>
          <w:lang w:val="en-US"/>
        </w:rPr>
        <w:t>T</w:t>
      </w:r>
      <w:r w:rsidRPr="00D31DFB">
        <w:rPr>
          <w:noProof/>
        </w:rPr>
        <w:t xml:space="preserve">he Regional Government Expenditure". </w:t>
      </w:r>
      <w:r w:rsidRPr="00D31DFB">
        <w:rPr>
          <w:i/>
          <w:iCs/>
          <w:noProof/>
        </w:rPr>
        <w:t xml:space="preserve">International Journal of Research in Humanities and Social Studies, </w:t>
      </w:r>
      <w:r w:rsidRPr="00D31DFB">
        <w:rPr>
          <w:noProof/>
        </w:rPr>
        <w:t>7</w:t>
      </w:r>
      <w:r w:rsidR="005C098D" w:rsidRPr="00D31DFB">
        <w:rPr>
          <w:noProof/>
        </w:rPr>
        <w:t>(</w:t>
      </w:r>
      <w:r w:rsidRPr="00D31DFB">
        <w:rPr>
          <w:noProof/>
        </w:rPr>
        <w:t>2</w:t>
      </w:r>
      <w:r w:rsidR="005C098D" w:rsidRPr="00D31DFB">
        <w:rPr>
          <w:noProof/>
        </w:rPr>
        <w:t>)</w:t>
      </w:r>
      <w:r w:rsidRPr="00D31DFB">
        <w:rPr>
          <w:noProof/>
        </w:rPr>
        <w:t>, 33–45.</w:t>
      </w:r>
    </w:p>
    <w:p w:rsidR="00A84AA6" w:rsidRPr="00A84AA6" w:rsidRDefault="00A84AA6" w:rsidP="00FA4FCF">
      <w:pPr>
        <w:pStyle w:val="NormalWeb"/>
        <w:spacing w:before="0" w:beforeAutospacing="0" w:after="0" w:afterAutospacing="0"/>
        <w:ind w:left="811" w:hanging="811"/>
        <w:jc w:val="both"/>
      </w:pPr>
      <w:r w:rsidRPr="00A84AA6">
        <w:t>Sag ̆bas,</w:t>
      </w:r>
      <w:r w:rsidRPr="00A84AA6">
        <w:rPr>
          <w:lang w:val="en-US"/>
        </w:rPr>
        <w:t xml:space="preserve"> </w:t>
      </w:r>
      <w:r w:rsidRPr="00A84AA6">
        <w:t>I.,</w:t>
      </w:r>
      <w:r w:rsidRPr="00A84AA6">
        <w:rPr>
          <w:lang w:val="en-US"/>
        </w:rPr>
        <w:t xml:space="preserve"> </w:t>
      </w:r>
      <w:r w:rsidRPr="00A84AA6">
        <w:t>&amp;</w:t>
      </w:r>
      <w:r w:rsidRPr="00A84AA6">
        <w:rPr>
          <w:lang w:val="en-US"/>
        </w:rPr>
        <w:t xml:space="preserve"> </w:t>
      </w:r>
      <w:r w:rsidRPr="00A84AA6">
        <w:t>Saruc,</w:t>
      </w:r>
      <w:r w:rsidRPr="00A84AA6">
        <w:rPr>
          <w:lang w:val="en-US"/>
        </w:rPr>
        <w:t xml:space="preserve"> </w:t>
      </w:r>
      <w:r w:rsidRPr="00A84AA6">
        <w:t>N.T.</w:t>
      </w:r>
      <w:r w:rsidR="005E2226">
        <w:rPr>
          <w:lang w:val="en-US"/>
        </w:rPr>
        <w:t xml:space="preserve"> (</w:t>
      </w:r>
      <w:r w:rsidRPr="00A84AA6">
        <w:t>2004</w:t>
      </w:r>
      <w:r w:rsidR="005E2226">
        <w:rPr>
          <w:lang w:val="en-US"/>
        </w:rPr>
        <w:t>)</w:t>
      </w:r>
      <w:r w:rsidRPr="00A84AA6">
        <w:t>.</w:t>
      </w:r>
      <w:r w:rsidRPr="00A84AA6">
        <w:rPr>
          <w:lang w:val="en-US"/>
        </w:rPr>
        <w:t xml:space="preserve"> "</w:t>
      </w:r>
      <w:r w:rsidRPr="00A84AA6">
        <w:t>Intergovernmental</w:t>
      </w:r>
      <w:r w:rsidRPr="00A84AA6">
        <w:rPr>
          <w:lang w:val="en-US"/>
        </w:rPr>
        <w:t xml:space="preserve"> </w:t>
      </w:r>
      <w:r w:rsidRPr="00A84AA6">
        <w:t xml:space="preserve">Transfers </w:t>
      </w:r>
      <w:r w:rsidRPr="00A84AA6">
        <w:rPr>
          <w:lang w:val="en-US"/>
        </w:rPr>
        <w:t>a</w:t>
      </w:r>
      <w:r w:rsidRPr="00A84AA6">
        <w:t>nd The Flypaper Effect In Turkey</w:t>
      </w:r>
      <w:r w:rsidRPr="00A84AA6">
        <w:rPr>
          <w:lang w:val="en-US"/>
        </w:rPr>
        <w:t>"</w:t>
      </w:r>
      <w:r w:rsidRPr="00A84AA6">
        <w:t xml:space="preserve">. </w:t>
      </w:r>
      <w:r w:rsidRPr="005E2226">
        <w:rPr>
          <w:i/>
          <w:iCs/>
        </w:rPr>
        <w:t>Turkish Studies,</w:t>
      </w:r>
      <w:r w:rsidRPr="00A84AA6">
        <w:t xml:space="preserve"> 5</w:t>
      </w:r>
      <w:r w:rsidR="005C098D">
        <w:rPr>
          <w:lang w:val="en-US"/>
        </w:rPr>
        <w:t>(</w:t>
      </w:r>
      <w:r w:rsidRPr="00A84AA6">
        <w:t>2</w:t>
      </w:r>
      <w:r w:rsidR="005C098D">
        <w:rPr>
          <w:lang w:val="en-US"/>
        </w:rPr>
        <w:t>)</w:t>
      </w:r>
      <w:r w:rsidRPr="00A84AA6">
        <w:t xml:space="preserve">, 79–92. DOI: 10.1080/1468384042000228602. </w:t>
      </w:r>
    </w:p>
    <w:p w:rsidR="00A84AA6" w:rsidRPr="00D31DFB" w:rsidRDefault="00A84AA6" w:rsidP="00FA4FCF">
      <w:pPr>
        <w:widowControl w:val="0"/>
        <w:autoSpaceDE w:val="0"/>
        <w:autoSpaceDN w:val="0"/>
        <w:ind w:left="811" w:hanging="811"/>
        <w:jc w:val="both"/>
        <w:rPr>
          <w:noProof/>
        </w:rPr>
      </w:pPr>
      <w:r w:rsidRPr="00D31DFB">
        <w:rPr>
          <w:noProof/>
        </w:rPr>
        <w:t xml:space="preserve">Solikin, A. </w:t>
      </w:r>
      <w:r w:rsidR="005E2226" w:rsidRPr="00D31DFB">
        <w:rPr>
          <w:noProof/>
        </w:rPr>
        <w:t>(</w:t>
      </w:r>
      <w:r w:rsidRPr="00D31DFB">
        <w:rPr>
          <w:noProof/>
        </w:rPr>
        <w:t>2016</w:t>
      </w:r>
      <w:r w:rsidR="005E2226" w:rsidRPr="00D31DFB">
        <w:rPr>
          <w:noProof/>
        </w:rPr>
        <w:t>)</w:t>
      </w:r>
      <w:r w:rsidRPr="00D31DFB">
        <w:rPr>
          <w:noProof/>
        </w:rPr>
        <w:t xml:space="preserve">. "Analisis Flypaper Effect pada Pengujian Pengaruh Dana Alokasi Umum (DAU), Pendapatan Asli Daerah (PAD), dan Sisa Lebih Penghitungan Anggaran (SiLPA) terhadap Belanja Pemerintah Daerah di Indonesia (Studi Tahun 2012-2014)". </w:t>
      </w:r>
      <w:r w:rsidRPr="00D31DFB">
        <w:rPr>
          <w:i/>
          <w:iCs/>
          <w:noProof/>
        </w:rPr>
        <w:t xml:space="preserve">Jurnal Akuntansi dan Bisnis, </w:t>
      </w:r>
      <w:r w:rsidRPr="00D31DFB">
        <w:rPr>
          <w:noProof/>
        </w:rPr>
        <w:t>16</w:t>
      </w:r>
      <w:r w:rsidR="005C098D" w:rsidRPr="00D31DFB">
        <w:rPr>
          <w:noProof/>
        </w:rPr>
        <w:t>(</w:t>
      </w:r>
      <w:r w:rsidRPr="00D31DFB">
        <w:rPr>
          <w:noProof/>
        </w:rPr>
        <w:t>1</w:t>
      </w:r>
      <w:r w:rsidR="005C098D" w:rsidRPr="00D31DFB">
        <w:rPr>
          <w:noProof/>
        </w:rPr>
        <w:t>)</w:t>
      </w:r>
      <w:r w:rsidRPr="00D31DFB">
        <w:rPr>
          <w:noProof/>
        </w:rPr>
        <w:t>, 11. https://doi.org/10.20961/jab.v16i1.187</w:t>
      </w:r>
    </w:p>
    <w:p w:rsidR="00A84AA6" w:rsidRPr="00D31DFB" w:rsidRDefault="00A84AA6" w:rsidP="00FA4FCF">
      <w:pPr>
        <w:pStyle w:val="DaftarParagraf"/>
        <w:spacing w:after="0" w:line="240" w:lineRule="auto"/>
        <w:ind w:left="811" w:hanging="811"/>
        <w:jc w:val="both"/>
        <w:rPr>
          <w:rFonts w:ascii="Times New Roman" w:hAnsi="Times New Roman" w:cs="Times New Roman"/>
          <w:i w:val="0"/>
          <w:iCs w:val="0"/>
          <w:sz w:val="24"/>
          <w:szCs w:val="24"/>
        </w:rPr>
      </w:pPr>
      <w:r w:rsidRPr="00D31DFB">
        <w:rPr>
          <w:rFonts w:ascii="Times New Roman" w:hAnsi="Times New Roman" w:cs="Times New Roman"/>
          <w:i w:val="0"/>
          <w:iCs w:val="0"/>
          <w:sz w:val="24"/>
          <w:szCs w:val="24"/>
        </w:rPr>
        <w:t xml:space="preserve">Sour, L. </w:t>
      </w:r>
      <w:r w:rsidR="005E2226" w:rsidRPr="00D31DFB">
        <w:rPr>
          <w:rFonts w:ascii="Times New Roman" w:hAnsi="Times New Roman" w:cs="Times New Roman"/>
          <w:i w:val="0"/>
          <w:iCs w:val="0"/>
          <w:sz w:val="24"/>
          <w:szCs w:val="24"/>
        </w:rPr>
        <w:t>(</w:t>
      </w:r>
      <w:r w:rsidRPr="00D31DFB">
        <w:rPr>
          <w:rFonts w:ascii="Times New Roman" w:hAnsi="Times New Roman" w:cs="Times New Roman"/>
          <w:i w:val="0"/>
          <w:iCs w:val="0"/>
          <w:sz w:val="24"/>
          <w:szCs w:val="24"/>
        </w:rPr>
        <w:t>2013</w:t>
      </w:r>
      <w:r w:rsidR="005E2226" w:rsidRPr="00D31DFB">
        <w:rPr>
          <w:rFonts w:ascii="Times New Roman" w:hAnsi="Times New Roman" w:cs="Times New Roman"/>
          <w:i w:val="0"/>
          <w:iCs w:val="0"/>
          <w:sz w:val="24"/>
          <w:szCs w:val="24"/>
        </w:rPr>
        <w:t>)</w:t>
      </w:r>
      <w:r w:rsidRPr="00D31DFB">
        <w:rPr>
          <w:rFonts w:ascii="Times New Roman" w:hAnsi="Times New Roman" w:cs="Times New Roman"/>
          <w:i w:val="0"/>
          <w:iCs w:val="0"/>
          <w:sz w:val="24"/>
          <w:szCs w:val="24"/>
        </w:rPr>
        <w:t xml:space="preserve">. "The Flypaper Effect in Mexican Local Governments". </w:t>
      </w:r>
      <w:r w:rsidRPr="00D31DFB">
        <w:rPr>
          <w:rFonts w:ascii="Times New Roman" w:hAnsi="Times New Roman" w:cs="Times New Roman"/>
          <w:sz w:val="24"/>
          <w:szCs w:val="24"/>
        </w:rPr>
        <w:t xml:space="preserve">Estudios Economicos, </w:t>
      </w:r>
      <w:r w:rsidRPr="00D31DFB">
        <w:rPr>
          <w:rFonts w:ascii="Times New Roman" w:hAnsi="Times New Roman" w:cs="Times New Roman"/>
          <w:i w:val="0"/>
          <w:iCs w:val="0"/>
          <w:sz w:val="24"/>
          <w:szCs w:val="24"/>
        </w:rPr>
        <w:t>28</w:t>
      </w:r>
      <w:r w:rsidR="005C098D" w:rsidRPr="00D31DFB">
        <w:rPr>
          <w:rFonts w:ascii="Times New Roman" w:hAnsi="Times New Roman" w:cs="Times New Roman"/>
          <w:i w:val="0"/>
          <w:iCs w:val="0"/>
          <w:sz w:val="24"/>
          <w:szCs w:val="24"/>
        </w:rPr>
        <w:t>(</w:t>
      </w:r>
      <w:r w:rsidRPr="00D31DFB">
        <w:rPr>
          <w:rFonts w:ascii="Times New Roman" w:hAnsi="Times New Roman" w:cs="Times New Roman"/>
          <w:i w:val="0"/>
          <w:iCs w:val="0"/>
          <w:sz w:val="24"/>
          <w:szCs w:val="24"/>
        </w:rPr>
        <w:t>1</w:t>
      </w:r>
      <w:r w:rsidR="005C098D" w:rsidRPr="00D31DFB">
        <w:rPr>
          <w:rFonts w:ascii="Times New Roman" w:hAnsi="Times New Roman" w:cs="Times New Roman"/>
          <w:i w:val="0"/>
          <w:iCs w:val="0"/>
          <w:sz w:val="24"/>
          <w:szCs w:val="24"/>
        </w:rPr>
        <w:t>)</w:t>
      </w:r>
      <w:r w:rsidRPr="00D31DFB">
        <w:rPr>
          <w:rFonts w:ascii="Times New Roman" w:hAnsi="Times New Roman" w:cs="Times New Roman"/>
          <w:i w:val="0"/>
          <w:iCs w:val="0"/>
          <w:sz w:val="24"/>
          <w:szCs w:val="24"/>
        </w:rPr>
        <w:t>, 165-186.</w:t>
      </w:r>
    </w:p>
    <w:p w:rsidR="00D31DFB" w:rsidRPr="00D31DFB" w:rsidRDefault="00D31DFB" w:rsidP="00D31DFB">
      <w:pPr>
        <w:ind w:left="851" w:hanging="851"/>
        <w:jc w:val="both"/>
      </w:pPr>
      <w:r w:rsidRPr="00D31DFB">
        <w:t xml:space="preserve">Statistics Indonesia (2018). </w:t>
      </w:r>
      <w:r w:rsidRPr="00D31DFB">
        <w:rPr>
          <w:i/>
          <w:iCs/>
        </w:rPr>
        <w:t>Financial Statistics of Regency/Municipality Government</w:t>
      </w:r>
      <w:r w:rsidRPr="00D31DFB">
        <w:t>.</w:t>
      </w:r>
      <w:r w:rsidRPr="00D31DFB">
        <w:rPr>
          <w:lang w:val="en-US"/>
        </w:rPr>
        <w:t xml:space="preserve"> </w:t>
      </w:r>
      <w:r w:rsidRPr="00D31DFB">
        <w:t xml:space="preserve">ISSN </w:t>
      </w:r>
      <w:r w:rsidRPr="00D31DFB">
        <w:rPr>
          <w:color w:val="000000" w:themeColor="text1"/>
          <w:shd w:val="clear" w:color="auto" w:fill="FFFFFF"/>
        </w:rPr>
        <w:t>0126-4699</w:t>
      </w:r>
    </w:p>
    <w:p w:rsidR="00A84AA6" w:rsidRPr="00D31DFB" w:rsidRDefault="00A84AA6" w:rsidP="00FA4FCF">
      <w:pPr>
        <w:pStyle w:val="DaftarParagraf"/>
        <w:spacing w:after="0" w:line="240" w:lineRule="auto"/>
        <w:ind w:left="811" w:hanging="811"/>
        <w:jc w:val="both"/>
        <w:rPr>
          <w:rFonts w:ascii="Times New Roman" w:hAnsi="Times New Roman" w:cs="Times New Roman"/>
          <w:i w:val="0"/>
          <w:iCs w:val="0"/>
          <w:sz w:val="24"/>
          <w:szCs w:val="24"/>
        </w:rPr>
      </w:pPr>
      <w:r w:rsidRPr="00D31DFB">
        <w:rPr>
          <w:rFonts w:ascii="Times New Roman" w:hAnsi="Times New Roman" w:cs="Times New Roman"/>
          <w:i w:val="0"/>
          <w:iCs w:val="0"/>
          <w:sz w:val="24"/>
          <w:szCs w:val="24"/>
        </w:rPr>
        <w:t xml:space="preserve">Suyanto. </w:t>
      </w:r>
      <w:r w:rsidR="005E2226" w:rsidRPr="00D31DFB">
        <w:rPr>
          <w:rFonts w:ascii="Times New Roman" w:hAnsi="Times New Roman" w:cs="Times New Roman"/>
          <w:i w:val="0"/>
          <w:iCs w:val="0"/>
          <w:sz w:val="24"/>
          <w:szCs w:val="24"/>
        </w:rPr>
        <w:t>(</w:t>
      </w:r>
      <w:r w:rsidRPr="00D31DFB">
        <w:rPr>
          <w:rFonts w:ascii="Times New Roman" w:hAnsi="Times New Roman" w:cs="Times New Roman"/>
          <w:i w:val="0"/>
          <w:iCs w:val="0"/>
          <w:sz w:val="24"/>
          <w:szCs w:val="24"/>
        </w:rPr>
        <w:t>2010</w:t>
      </w:r>
      <w:r w:rsidR="005E2226" w:rsidRPr="00D31DFB">
        <w:rPr>
          <w:rFonts w:ascii="Times New Roman" w:hAnsi="Times New Roman" w:cs="Times New Roman"/>
          <w:i w:val="0"/>
          <w:iCs w:val="0"/>
          <w:sz w:val="24"/>
          <w:szCs w:val="24"/>
        </w:rPr>
        <w:t>)</w:t>
      </w:r>
      <w:r w:rsidRPr="00D31DFB">
        <w:rPr>
          <w:rFonts w:ascii="Times New Roman" w:hAnsi="Times New Roman" w:cs="Times New Roman"/>
          <w:i w:val="0"/>
          <w:iCs w:val="0"/>
          <w:sz w:val="24"/>
          <w:szCs w:val="24"/>
        </w:rPr>
        <w:t xml:space="preserve">. "Flypaper Effect Theory dalam Implementasi Kebijakan Desentralisasi Fiskal". </w:t>
      </w:r>
      <w:r w:rsidRPr="00D31DFB">
        <w:rPr>
          <w:rFonts w:ascii="Times New Roman" w:hAnsi="Times New Roman" w:cs="Times New Roman"/>
          <w:sz w:val="24"/>
          <w:szCs w:val="24"/>
        </w:rPr>
        <w:t>Jurnal Ekonomi Pembangunan,</w:t>
      </w:r>
      <w:r w:rsidRPr="00D31DFB">
        <w:rPr>
          <w:rFonts w:ascii="Times New Roman" w:hAnsi="Times New Roman" w:cs="Times New Roman"/>
          <w:i w:val="0"/>
          <w:iCs w:val="0"/>
          <w:sz w:val="24"/>
          <w:szCs w:val="24"/>
        </w:rPr>
        <w:t xml:space="preserve"> 11</w:t>
      </w:r>
      <w:r w:rsidR="005C098D" w:rsidRPr="00D31DFB">
        <w:rPr>
          <w:rFonts w:ascii="Times New Roman" w:hAnsi="Times New Roman" w:cs="Times New Roman"/>
          <w:i w:val="0"/>
          <w:iCs w:val="0"/>
          <w:sz w:val="24"/>
          <w:szCs w:val="24"/>
        </w:rPr>
        <w:t>(</w:t>
      </w:r>
      <w:r w:rsidRPr="00D31DFB">
        <w:rPr>
          <w:rFonts w:ascii="Times New Roman" w:hAnsi="Times New Roman" w:cs="Times New Roman"/>
          <w:i w:val="0"/>
          <w:iCs w:val="0"/>
          <w:sz w:val="24"/>
          <w:szCs w:val="24"/>
        </w:rPr>
        <w:t>1</w:t>
      </w:r>
      <w:r w:rsidR="005C098D" w:rsidRPr="00D31DFB">
        <w:rPr>
          <w:rFonts w:ascii="Times New Roman" w:hAnsi="Times New Roman" w:cs="Times New Roman"/>
          <w:i w:val="0"/>
          <w:iCs w:val="0"/>
          <w:sz w:val="24"/>
          <w:szCs w:val="24"/>
        </w:rPr>
        <w:t>)</w:t>
      </w:r>
      <w:r w:rsidRPr="00D31DFB">
        <w:rPr>
          <w:rFonts w:ascii="Times New Roman" w:hAnsi="Times New Roman" w:cs="Times New Roman"/>
          <w:i w:val="0"/>
          <w:iCs w:val="0"/>
          <w:sz w:val="24"/>
          <w:szCs w:val="24"/>
        </w:rPr>
        <w:t xml:space="preserve">, 69-92. </w:t>
      </w:r>
    </w:p>
    <w:p w:rsidR="00A84AA6" w:rsidRPr="00D31DFB" w:rsidRDefault="00A84AA6" w:rsidP="00FA4FCF">
      <w:pPr>
        <w:pStyle w:val="DaftarParagraf"/>
        <w:spacing w:after="0" w:line="240" w:lineRule="auto"/>
        <w:ind w:left="811" w:hanging="811"/>
        <w:jc w:val="both"/>
        <w:rPr>
          <w:rFonts w:ascii="Times New Roman" w:hAnsi="Times New Roman" w:cs="Times New Roman"/>
          <w:i w:val="0"/>
          <w:iCs w:val="0"/>
          <w:sz w:val="24"/>
          <w:szCs w:val="24"/>
        </w:rPr>
      </w:pPr>
      <w:r w:rsidRPr="00D31DFB">
        <w:rPr>
          <w:rFonts w:ascii="Times New Roman" w:hAnsi="Times New Roman" w:cs="Times New Roman"/>
          <w:i w:val="0"/>
          <w:iCs w:val="0"/>
          <w:sz w:val="24"/>
          <w:szCs w:val="24"/>
        </w:rPr>
        <w:t xml:space="preserve">Thornton, J. P. </w:t>
      </w:r>
      <w:r w:rsidR="005E2226" w:rsidRPr="00D31DFB">
        <w:rPr>
          <w:rFonts w:ascii="Times New Roman" w:hAnsi="Times New Roman" w:cs="Times New Roman"/>
          <w:i w:val="0"/>
          <w:iCs w:val="0"/>
          <w:sz w:val="24"/>
          <w:szCs w:val="24"/>
        </w:rPr>
        <w:t>(</w:t>
      </w:r>
      <w:r w:rsidRPr="00D31DFB">
        <w:rPr>
          <w:rFonts w:ascii="Times New Roman" w:hAnsi="Times New Roman" w:cs="Times New Roman"/>
          <w:i w:val="0"/>
          <w:iCs w:val="0"/>
          <w:sz w:val="24"/>
          <w:szCs w:val="24"/>
        </w:rPr>
        <w:t>2011</w:t>
      </w:r>
      <w:r w:rsidR="005E2226" w:rsidRPr="00D31DFB">
        <w:rPr>
          <w:rFonts w:ascii="Times New Roman" w:hAnsi="Times New Roman" w:cs="Times New Roman"/>
          <w:i w:val="0"/>
          <w:iCs w:val="0"/>
          <w:sz w:val="24"/>
          <w:szCs w:val="24"/>
        </w:rPr>
        <w:t>)</w:t>
      </w:r>
      <w:r w:rsidRPr="00D31DFB">
        <w:rPr>
          <w:rFonts w:ascii="Times New Roman" w:hAnsi="Times New Roman" w:cs="Times New Roman"/>
          <w:i w:val="0"/>
          <w:iCs w:val="0"/>
          <w:sz w:val="24"/>
          <w:szCs w:val="24"/>
        </w:rPr>
        <w:t>. "Flypaper Nonprofits: The impact of Federal Grant Structure on Nonprofit Expenditure Decision".</w:t>
      </w:r>
      <w:r w:rsidRPr="00D31DFB">
        <w:rPr>
          <w:rFonts w:ascii="Times New Roman" w:hAnsi="Times New Roman" w:cs="Times New Roman"/>
          <w:sz w:val="24"/>
          <w:szCs w:val="24"/>
        </w:rPr>
        <w:t xml:space="preserve"> Public Finance Review</w:t>
      </w:r>
      <w:r w:rsidRPr="00D31DFB">
        <w:rPr>
          <w:rFonts w:ascii="Times New Roman" w:hAnsi="Times New Roman" w:cs="Times New Roman"/>
          <w:i w:val="0"/>
          <w:iCs w:val="0"/>
          <w:sz w:val="24"/>
          <w:szCs w:val="24"/>
        </w:rPr>
        <w:t>, 42</w:t>
      </w:r>
      <w:r w:rsidR="005C098D" w:rsidRPr="00D31DFB">
        <w:rPr>
          <w:rFonts w:ascii="Times New Roman" w:hAnsi="Times New Roman" w:cs="Times New Roman"/>
          <w:i w:val="0"/>
          <w:iCs w:val="0"/>
          <w:sz w:val="24"/>
          <w:szCs w:val="24"/>
        </w:rPr>
        <w:t>(</w:t>
      </w:r>
      <w:r w:rsidRPr="00D31DFB">
        <w:rPr>
          <w:rFonts w:ascii="Times New Roman" w:hAnsi="Times New Roman" w:cs="Times New Roman"/>
          <w:i w:val="0"/>
          <w:iCs w:val="0"/>
          <w:sz w:val="24"/>
          <w:szCs w:val="24"/>
        </w:rPr>
        <w:t>2</w:t>
      </w:r>
      <w:r w:rsidR="005C098D" w:rsidRPr="00D31DFB">
        <w:rPr>
          <w:rFonts w:ascii="Times New Roman" w:hAnsi="Times New Roman" w:cs="Times New Roman"/>
          <w:i w:val="0"/>
          <w:iCs w:val="0"/>
          <w:sz w:val="24"/>
          <w:szCs w:val="24"/>
        </w:rPr>
        <w:t>)</w:t>
      </w:r>
      <w:r w:rsidRPr="00D31DFB">
        <w:rPr>
          <w:rFonts w:ascii="Times New Roman" w:hAnsi="Times New Roman" w:cs="Times New Roman"/>
          <w:i w:val="0"/>
          <w:iCs w:val="0"/>
          <w:sz w:val="24"/>
          <w:szCs w:val="24"/>
        </w:rPr>
        <w:t>, 176-198.</w:t>
      </w:r>
    </w:p>
    <w:p w:rsidR="00A84AA6" w:rsidRPr="00A84AA6" w:rsidRDefault="00A84AA6" w:rsidP="00FA4FCF">
      <w:pPr>
        <w:pStyle w:val="DaftarParagraf"/>
        <w:spacing w:after="0" w:line="240" w:lineRule="auto"/>
        <w:ind w:left="811" w:hanging="811"/>
        <w:jc w:val="both"/>
        <w:rPr>
          <w:rFonts w:ascii="Times New Roman" w:hAnsi="Times New Roman" w:cs="Times New Roman"/>
          <w:i w:val="0"/>
          <w:iCs w:val="0"/>
          <w:sz w:val="24"/>
          <w:szCs w:val="24"/>
        </w:rPr>
      </w:pPr>
      <w:r w:rsidRPr="00A84AA6">
        <w:rPr>
          <w:rFonts w:ascii="Times New Roman" w:hAnsi="Times New Roman" w:cs="Times New Roman"/>
          <w:i w:val="0"/>
          <w:iCs w:val="0"/>
          <w:sz w:val="24"/>
          <w:szCs w:val="24"/>
        </w:rPr>
        <w:t>Vegh, C.A., &amp; Vuletin, G. 2015. Unsticking the Flyaper Effect in an Uncertain Word.</w:t>
      </w:r>
      <w:r w:rsidRPr="00D31DFB">
        <w:rPr>
          <w:rFonts w:ascii="Times New Roman" w:hAnsi="Times New Roman" w:cs="Times New Roman"/>
          <w:sz w:val="24"/>
          <w:szCs w:val="24"/>
        </w:rPr>
        <w:t xml:space="preserve"> Journal of Public Economics, </w:t>
      </w:r>
      <w:r w:rsidRPr="00A84AA6">
        <w:rPr>
          <w:rFonts w:ascii="Times New Roman" w:hAnsi="Times New Roman" w:cs="Times New Roman"/>
          <w:i w:val="0"/>
          <w:iCs w:val="0"/>
          <w:sz w:val="24"/>
          <w:szCs w:val="24"/>
        </w:rPr>
        <w:t xml:space="preserve">131, 142-155. </w:t>
      </w:r>
      <w:hyperlink r:id="rId9" w:history="1">
        <w:r w:rsidRPr="00A84AA6">
          <w:rPr>
            <w:rStyle w:val="Hyperlink"/>
            <w:rFonts w:ascii="Times New Roman" w:hAnsi="Times New Roman" w:cs="Times New Roman"/>
            <w:i w:val="0"/>
            <w:iCs w:val="0"/>
            <w:color w:val="000000" w:themeColor="text1"/>
            <w:sz w:val="24"/>
            <w:szCs w:val="24"/>
          </w:rPr>
          <w:t>https://doi.org/10.1016/j.jpubeco.2015.09.001</w:t>
        </w:r>
      </w:hyperlink>
    </w:p>
    <w:p w:rsidR="00A84AA6" w:rsidRPr="00D31DFB" w:rsidRDefault="00A84AA6" w:rsidP="00FA4FCF">
      <w:pPr>
        <w:widowControl w:val="0"/>
        <w:autoSpaceDE w:val="0"/>
        <w:autoSpaceDN w:val="0"/>
        <w:ind w:left="811" w:hanging="811"/>
        <w:jc w:val="both"/>
        <w:rPr>
          <w:noProof/>
        </w:rPr>
      </w:pPr>
      <w:r w:rsidRPr="00D31DFB">
        <w:rPr>
          <w:noProof/>
        </w:rPr>
        <w:t xml:space="preserve">Wandira,  A. G. </w:t>
      </w:r>
      <w:r w:rsidR="005E2226" w:rsidRPr="00D31DFB">
        <w:rPr>
          <w:noProof/>
        </w:rPr>
        <w:t>(</w:t>
      </w:r>
      <w:r w:rsidRPr="00D31DFB">
        <w:rPr>
          <w:noProof/>
        </w:rPr>
        <w:t>2013</w:t>
      </w:r>
      <w:r w:rsidR="005E2226" w:rsidRPr="00D31DFB">
        <w:rPr>
          <w:noProof/>
        </w:rPr>
        <w:t>)</w:t>
      </w:r>
      <w:r w:rsidRPr="00D31DFB">
        <w:rPr>
          <w:noProof/>
        </w:rPr>
        <w:t xml:space="preserve">. "Pengaruh PAD, DAU, DAK, dan DBH terhadap </w:t>
      </w:r>
      <w:r w:rsidR="005C098D" w:rsidRPr="00D31DFB">
        <w:rPr>
          <w:noProof/>
        </w:rPr>
        <w:t xml:space="preserve">                           </w:t>
      </w:r>
      <w:r w:rsidRPr="00D31DFB">
        <w:rPr>
          <w:noProof/>
        </w:rPr>
        <w:t xml:space="preserve">Pengalokasian Belanja Modal". </w:t>
      </w:r>
      <w:r w:rsidRPr="00D31DFB">
        <w:rPr>
          <w:i/>
          <w:iCs/>
          <w:noProof/>
        </w:rPr>
        <w:t xml:space="preserve">Accounting Analysis Journal, </w:t>
      </w:r>
      <w:r w:rsidRPr="00D31DFB">
        <w:rPr>
          <w:noProof/>
        </w:rPr>
        <w:t>2</w:t>
      </w:r>
      <w:r w:rsidR="005C098D" w:rsidRPr="00D31DFB">
        <w:rPr>
          <w:noProof/>
        </w:rPr>
        <w:t>(</w:t>
      </w:r>
      <w:r w:rsidRPr="00D31DFB">
        <w:rPr>
          <w:noProof/>
        </w:rPr>
        <w:t>1</w:t>
      </w:r>
      <w:r w:rsidR="005C098D" w:rsidRPr="00D31DFB">
        <w:rPr>
          <w:noProof/>
        </w:rPr>
        <w:t>)</w:t>
      </w:r>
      <w:r w:rsidRPr="00D31DFB">
        <w:rPr>
          <w:noProof/>
        </w:rPr>
        <w:t>. https://doi.org/10.15294/aaj.v2i1.1158</w:t>
      </w:r>
    </w:p>
    <w:p w:rsidR="00A84AA6" w:rsidRPr="0080615C" w:rsidRDefault="00A84AA6" w:rsidP="00A84AA6">
      <w:pPr>
        <w:widowControl w:val="0"/>
        <w:autoSpaceDE w:val="0"/>
        <w:autoSpaceDN w:val="0"/>
        <w:adjustRightInd w:val="0"/>
        <w:snapToGrid w:val="0"/>
        <w:ind w:left="567" w:hanging="567"/>
        <w:jc w:val="both"/>
        <w:rPr>
          <w:rFonts w:ascii="Century" w:hAnsi="Century"/>
        </w:rPr>
      </w:pPr>
      <w:r w:rsidRPr="00A84AA6">
        <w:rPr>
          <w:i/>
          <w:iCs/>
        </w:rPr>
        <w:fldChar w:fldCharType="end"/>
      </w:r>
    </w:p>
    <w:p w:rsidR="00A84AA6" w:rsidRDefault="00A84AA6" w:rsidP="007450B1">
      <w:pPr>
        <w:jc w:val="both"/>
        <w:rPr>
          <w:b/>
          <w:i/>
        </w:rPr>
      </w:pPr>
    </w:p>
    <w:p w:rsidR="00AB0D07" w:rsidRPr="00573525" w:rsidRDefault="00AB0D07" w:rsidP="007B42C2">
      <w:pPr>
        <w:pStyle w:val="p0"/>
        <w:ind w:left="811" w:hanging="811"/>
        <w:jc w:val="both"/>
        <w:rPr>
          <w:lang w:val="es-AR"/>
        </w:rPr>
      </w:pPr>
      <w:r w:rsidRPr="00FB3D5F">
        <w:rPr>
          <w:lang w:val="es-AR"/>
        </w:rPr>
        <w:t xml:space="preserve"> </w:t>
      </w:r>
    </w:p>
    <w:sectPr w:rsidR="00AB0D07" w:rsidRPr="00573525" w:rsidSect="007B42C2">
      <w:headerReference w:type="even" r:id="rId10"/>
      <w:headerReference w:type="default" r:id="rId11"/>
      <w:footerReference w:type="even" r:id="rId12"/>
      <w:footerReference w:type="default" r:id="rId13"/>
      <w:headerReference w:type="first" r:id="rId14"/>
      <w:footerReference w:type="first" r:id="rId15"/>
      <w:pgSz w:w="11906" w:h="16838" w:code="9"/>
      <w:pgMar w:top="1701" w:right="1418" w:bottom="1701" w:left="1418" w:header="709" w:footer="567" w:gutter="0"/>
      <w:pgNumType w:start="1"/>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72CBF" w:rsidRDefault="00172CBF">
      <w:r>
        <w:separator/>
      </w:r>
    </w:p>
  </w:endnote>
  <w:endnote w:type="continuationSeparator" w:id="0">
    <w:p w:rsidR="00172CBF" w:rsidRDefault="00172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OpenSymbol">
    <w:panose1 w:val="020B0604020202020204"/>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Borders>
        <w:insideV w:val="single" w:sz="4" w:space="0" w:color="auto"/>
      </w:tblBorders>
      <w:tblLook w:val="04A0" w:firstRow="1" w:lastRow="0" w:firstColumn="1" w:lastColumn="0" w:noHBand="0" w:noVBand="1"/>
    </w:tblPr>
    <w:tblGrid>
      <w:gridCol w:w="751"/>
      <w:gridCol w:w="8319"/>
    </w:tblGrid>
    <w:tr w:rsidR="00A84AA6" w:rsidRPr="00EF7480" w:rsidTr="00C769AA">
      <w:trPr>
        <w:jc w:val="center"/>
      </w:trPr>
      <w:tc>
        <w:tcPr>
          <w:tcW w:w="414" w:type="pct"/>
          <w:vAlign w:val="center"/>
        </w:tcPr>
        <w:p w:rsidR="00A84AA6" w:rsidRPr="00EF7480" w:rsidRDefault="00172CBF" w:rsidP="00EF7480">
          <w:pPr>
            <w:pStyle w:val="Footer"/>
            <w:tabs>
              <w:tab w:val="right" w:pos="7938"/>
            </w:tabs>
            <w:spacing w:after="0" w:line="240" w:lineRule="auto"/>
            <w:rPr>
              <w:rFonts w:ascii="Tahoma" w:hAnsi="Tahoma" w:cs="Tahoma"/>
              <w:i w:val="0"/>
              <w:iCs w:val="0"/>
              <w:sz w:val="24"/>
              <w:szCs w:val="24"/>
            </w:rPr>
          </w:pPr>
          <w:sdt>
            <w:sdtPr>
              <w:rPr>
                <w:rFonts w:ascii="Tahoma" w:hAnsi="Tahoma" w:cs="Tahoma"/>
                <w:i w:val="0"/>
                <w:iCs w:val="0"/>
                <w:sz w:val="24"/>
                <w:szCs w:val="24"/>
              </w:rPr>
              <w:id w:val="707462928"/>
              <w:docPartObj>
                <w:docPartGallery w:val="Page Numbers (Bottom of Page)"/>
                <w:docPartUnique/>
              </w:docPartObj>
            </w:sdtPr>
            <w:sdtEndPr>
              <w:rPr>
                <w:b/>
                <w:bCs/>
                <w:noProof/>
              </w:rPr>
            </w:sdtEndPr>
            <w:sdtContent>
              <w:r w:rsidR="00A84AA6" w:rsidRPr="00EF7480">
                <w:rPr>
                  <w:rFonts w:ascii="Tahoma" w:hAnsi="Tahoma" w:cs="Tahoma"/>
                  <w:b/>
                  <w:bCs/>
                  <w:i w:val="0"/>
                  <w:iCs w:val="0"/>
                  <w:sz w:val="24"/>
                  <w:szCs w:val="24"/>
                </w:rPr>
                <w:fldChar w:fldCharType="begin"/>
              </w:r>
              <w:r w:rsidR="00A84AA6" w:rsidRPr="00EF7480">
                <w:rPr>
                  <w:rFonts w:ascii="Tahoma" w:hAnsi="Tahoma" w:cs="Tahoma"/>
                  <w:b/>
                  <w:bCs/>
                  <w:i w:val="0"/>
                  <w:iCs w:val="0"/>
                  <w:sz w:val="24"/>
                  <w:szCs w:val="24"/>
                </w:rPr>
                <w:instrText xml:space="preserve"> PAGE   \* MERGEFORMAT </w:instrText>
              </w:r>
              <w:r w:rsidR="00A84AA6" w:rsidRPr="00EF7480">
                <w:rPr>
                  <w:rFonts w:ascii="Tahoma" w:hAnsi="Tahoma" w:cs="Tahoma"/>
                  <w:b/>
                  <w:bCs/>
                  <w:i w:val="0"/>
                  <w:iCs w:val="0"/>
                  <w:sz w:val="24"/>
                  <w:szCs w:val="24"/>
                </w:rPr>
                <w:fldChar w:fldCharType="separate"/>
              </w:r>
              <w:r w:rsidR="00A84AA6">
                <w:rPr>
                  <w:rFonts w:ascii="Tahoma" w:hAnsi="Tahoma" w:cs="Tahoma"/>
                  <w:b/>
                  <w:bCs/>
                  <w:i w:val="0"/>
                  <w:iCs w:val="0"/>
                  <w:noProof/>
                  <w:sz w:val="24"/>
                  <w:szCs w:val="24"/>
                </w:rPr>
                <w:t>6</w:t>
              </w:r>
              <w:r w:rsidR="00A84AA6" w:rsidRPr="00EF7480">
                <w:rPr>
                  <w:rFonts w:ascii="Tahoma" w:hAnsi="Tahoma" w:cs="Tahoma"/>
                  <w:b/>
                  <w:bCs/>
                  <w:i w:val="0"/>
                  <w:iCs w:val="0"/>
                  <w:noProof/>
                  <w:sz w:val="24"/>
                  <w:szCs w:val="24"/>
                </w:rPr>
                <w:fldChar w:fldCharType="end"/>
              </w:r>
            </w:sdtContent>
          </w:sdt>
        </w:p>
      </w:tc>
      <w:tc>
        <w:tcPr>
          <w:tcW w:w="4586" w:type="pct"/>
          <w:vAlign w:val="center"/>
        </w:tcPr>
        <w:p w:rsidR="00A84AA6" w:rsidRPr="00EF7480" w:rsidRDefault="00A84AA6" w:rsidP="00EF7480">
          <w:pPr>
            <w:pStyle w:val="Footer"/>
            <w:tabs>
              <w:tab w:val="right" w:pos="7938"/>
            </w:tabs>
            <w:spacing w:after="0" w:line="240" w:lineRule="auto"/>
            <w:rPr>
              <w:rFonts w:ascii="Tahoma" w:hAnsi="Tahoma" w:cs="Tahoma"/>
              <w:i w:val="0"/>
              <w:iCs w:val="0"/>
            </w:rPr>
          </w:pPr>
          <w:r w:rsidRPr="003D04EE">
            <w:rPr>
              <w:rFonts w:ascii="Arial Narrow" w:hAnsi="Arial Narrow"/>
              <w:b/>
              <w:i w:val="0"/>
              <w:iCs w:val="0"/>
            </w:rPr>
            <w:t>http://publikasi.mercubuana.ac.id/index.php/profita</w:t>
          </w:r>
        </w:p>
      </w:tc>
    </w:tr>
  </w:tbl>
  <w:p w:rsidR="00A84AA6" w:rsidRPr="00EF7480" w:rsidRDefault="00A84AA6" w:rsidP="00EF7480">
    <w:pPr>
      <w:pStyle w:val="Footer"/>
      <w:tabs>
        <w:tab w:val="right" w:pos="7938"/>
      </w:tabs>
      <w:spacing w:after="0" w:line="240" w:lineRule="auto"/>
      <w:jc w:val="both"/>
      <w:rPr>
        <w:i w:val="0"/>
        <w:iC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Borders>
        <w:insideV w:val="single" w:sz="4" w:space="0" w:color="auto"/>
      </w:tblBorders>
      <w:tblLook w:val="04A0" w:firstRow="1" w:lastRow="0" w:firstColumn="1" w:lastColumn="0" w:noHBand="0" w:noVBand="1"/>
    </w:tblPr>
    <w:tblGrid>
      <w:gridCol w:w="8321"/>
      <w:gridCol w:w="749"/>
    </w:tblGrid>
    <w:tr w:rsidR="00A84AA6" w:rsidTr="00C769AA">
      <w:trPr>
        <w:jc w:val="center"/>
      </w:trPr>
      <w:tc>
        <w:tcPr>
          <w:tcW w:w="4587" w:type="pct"/>
          <w:vAlign w:val="center"/>
        </w:tcPr>
        <w:p w:rsidR="00A84AA6" w:rsidRPr="00EF7480" w:rsidRDefault="00A84AA6" w:rsidP="00EF7480">
          <w:pPr>
            <w:pStyle w:val="Footer"/>
            <w:tabs>
              <w:tab w:val="right" w:pos="7938"/>
            </w:tabs>
            <w:spacing w:after="0" w:line="240" w:lineRule="auto"/>
            <w:jc w:val="right"/>
            <w:rPr>
              <w:rFonts w:ascii="Tahoma" w:hAnsi="Tahoma" w:cs="Tahoma"/>
              <w:i w:val="0"/>
              <w:iCs w:val="0"/>
            </w:rPr>
          </w:pPr>
        </w:p>
      </w:tc>
      <w:tc>
        <w:tcPr>
          <w:tcW w:w="413" w:type="pct"/>
          <w:vAlign w:val="center"/>
        </w:tcPr>
        <w:p w:rsidR="00A84AA6" w:rsidRPr="00EF7480" w:rsidRDefault="00172CBF" w:rsidP="00EF7480">
          <w:pPr>
            <w:pStyle w:val="Footer"/>
            <w:tabs>
              <w:tab w:val="right" w:pos="7938"/>
            </w:tabs>
            <w:spacing w:after="0" w:line="240" w:lineRule="auto"/>
            <w:jc w:val="right"/>
            <w:rPr>
              <w:rFonts w:ascii="Tahoma" w:hAnsi="Tahoma" w:cs="Tahoma"/>
              <w:i w:val="0"/>
              <w:iCs w:val="0"/>
              <w:sz w:val="24"/>
              <w:szCs w:val="24"/>
            </w:rPr>
          </w:pPr>
          <w:sdt>
            <w:sdtPr>
              <w:rPr>
                <w:rFonts w:ascii="Tahoma" w:hAnsi="Tahoma" w:cs="Tahoma"/>
                <w:i w:val="0"/>
                <w:iCs w:val="0"/>
                <w:sz w:val="24"/>
                <w:szCs w:val="24"/>
              </w:rPr>
              <w:id w:val="-1071962407"/>
              <w:docPartObj>
                <w:docPartGallery w:val="Page Numbers (Bottom of Page)"/>
                <w:docPartUnique/>
              </w:docPartObj>
            </w:sdtPr>
            <w:sdtEndPr>
              <w:rPr>
                <w:b/>
                <w:bCs/>
                <w:noProof/>
              </w:rPr>
            </w:sdtEndPr>
            <w:sdtContent>
              <w:r w:rsidR="00A84AA6" w:rsidRPr="00EF7480">
                <w:rPr>
                  <w:rFonts w:ascii="Tahoma" w:hAnsi="Tahoma" w:cs="Tahoma"/>
                  <w:b/>
                  <w:bCs/>
                  <w:i w:val="0"/>
                  <w:iCs w:val="0"/>
                  <w:sz w:val="24"/>
                  <w:szCs w:val="24"/>
                </w:rPr>
                <w:fldChar w:fldCharType="begin"/>
              </w:r>
              <w:r w:rsidR="00A84AA6" w:rsidRPr="00EF7480">
                <w:rPr>
                  <w:rFonts w:ascii="Tahoma" w:hAnsi="Tahoma" w:cs="Tahoma"/>
                  <w:b/>
                  <w:bCs/>
                  <w:i w:val="0"/>
                  <w:iCs w:val="0"/>
                  <w:sz w:val="24"/>
                  <w:szCs w:val="24"/>
                </w:rPr>
                <w:instrText xml:space="preserve"> PAGE   \* MERGEFORMAT </w:instrText>
              </w:r>
              <w:r w:rsidR="00A84AA6" w:rsidRPr="00EF7480">
                <w:rPr>
                  <w:rFonts w:ascii="Tahoma" w:hAnsi="Tahoma" w:cs="Tahoma"/>
                  <w:b/>
                  <w:bCs/>
                  <w:i w:val="0"/>
                  <w:iCs w:val="0"/>
                  <w:sz w:val="24"/>
                  <w:szCs w:val="24"/>
                </w:rPr>
                <w:fldChar w:fldCharType="separate"/>
              </w:r>
              <w:r w:rsidR="00A84AA6">
                <w:rPr>
                  <w:rFonts w:ascii="Tahoma" w:hAnsi="Tahoma" w:cs="Tahoma"/>
                  <w:b/>
                  <w:bCs/>
                  <w:i w:val="0"/>
                  <w:iCs w:val="0"/>
                  <w:noProof/>
                  <w:sz w:val="24"/>
                  <w:szCs w:val="24"/>
                </w:rPr>
                <w:t>7</w:t>
              </w:r>
              <w:r w:rsidR="00A84AA6" w:rsidRPr="00EF7480">
                <w:rPr>
                  <w:rFonts w:ascii="Tahoma" w:hAnsi="Tahoma" w:cs="Tahoma"/>
                  <w:b/>
                  <w:bCs/>
                  <w:i w:val="0"/>
                  <w:iCs w:val="0"/>
                  <w:noProof/>
                  <w:sz w:val="24"/>
                  <w:szCs w:val="24"/>
                </w:rPr>
                <w:fldChar w:fldCharType="end"/>
              </w:r>
            </w:sdtContent>
          </w:sdt>
        </w:p>
      </w:tc>
    </w:tr>
  </w:tbl>
  <w:p w:rsidR="00A84AA6" w:rsidRPr="00750B04" w:rsidRDefault="00A84AA6" w:rsidP="007B42C2">
    <w:pPr>
      <w:pStyle w:val="Footer"/>
      <w:tabs>
        <w:tab w:val="right" w:pos="7938"/>
      </w:tabs>
      <w:jc w:val="both"/>
      <w:rPr>
        <w:i w:val="0"/>
        <w:i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Borders>
        <w:insideV w:val="single" w:sz="4" w:space="0" w:color="auto"/>
      </w:tblBorders>
      <w:tblLook w:val="04A0" w:firstRow="1" w:lastRow="0" w:firstColumn="1" w:lastColumn="0" w:noHBand="0" w:noVBand="1"/>
    </w:tblPr>
    <w:tblGrid>
      <w:gridCol w:w="8321"/>
      <w:gridCol w:w="749"/>
    </w:tblGrid>
    <w:tr w:rsidR="00A84AA6" w:rsidTr="00A84AA6">
      <w:trPr>
        <w:jc w:val="center"/>
      </w:trPr>
      <w:tc>
        <w:tcPr>
          <w:tcW w:w="4587" w:type="pct"/>
          <w:shd w:val="clear" w:color="auto" w:fill="auto"/>
          <w:vAlign w:val="center"/>
        </w:tcPr>
        <w:p w:rsidR="00A84AA6" w:rsidRPr="00FD5BDB" w:rsidRDefault="00A84AA6" w:rsidP="003D04EE">
          <w:pPr>
            <w:pStyle w:val="Footer"/>
            <w:tabs>
              <w:tab w:val="right" w:pos="7938"/>
            </w:tabs>
            <w:spacing w:after="0" w:line="240" w:lineRule="auto"/>
            <w:jc w:val="both"/>
            <w:rPr>
              <w:rFonts w:ascii="Tahoma" w:hAnsi="Tahoma" w:cs="Tahoma"/>
              <w:i w:val="0"/>
              <w:iCs w:val="0"/>
            </w:rPr>
          </w:pPr>
        </w:p>
      </w:tc>
      <w:tc>
        <w:tcPr>
          <w:tcW w:w="413" w:type="pct"/>
          <w:shd w:val="clear" w:color="auto" w:fill="auto"/>
          <w:vAlign w:val="center"/>
        </w:tcPr>
        <w:p w:rsidR="00A84AA6" w:rsidRPr="00FD5BDB" w:rsidRDefault="00A84AA6" w:rsidP="003D04EE">
          <w:pPr>
            <w:pStyle w:val="Footer"/>
            <w:tabs>
              <w:tab w:val="right" w:pos="7938"/>
            </w:tabs>
            <w:spacing w:after="0" w:line="240" w:lineRule="auto"/>
            <w:jc w:val="right"/>
            <w:rPr>
              <w:rFonts w:ascii="Tahoma" w:hAnsi="Tahoma" w:cs="Tahoma"/>
              <w:i w:val="0"/>
              <w:iCs w:val="0"/>
              <w:sz w:val="24"/>
              <w:szCs w:val="24"/>
            </w:rPr>
          </w:pPr>
          <w:r w:rsidRPr="00FD5BDB">
            <w:rPr>
              <w:rFonts w:ascii="Tahoma" w:hAnsi="Tahoma" w:cs="Tahoma"/>
              <w:b/>
              <w:bCs/>
              <w:i w:val="0"/>
              <w:iCs w:val="0"/>
              <w:sz w:val="24"/>
              <w:szCs w:val="24"/>
            </w:rPr>
            <w:fldChar w:fldCharType="begin"/>
          </w:r>
          <w:r w:rsidRPr="00FD5BDB">
            <w:rPr>
              <w:rFonts w:ascii="Tahoma" w:hAnsi="Tahoma" w:cs="Tahoma"/>
              <w:b/>
              <w:bCs/>
              <w:i w:val="0"/>
              <w:iCs w:val="0"/>
              <w:sz w:val="24"/>
              <w:szCs w:val="24"/>
            </w:rPr>
            <w:instrText xml:space="preserve"> PAGE   \* MERGEFORMAT </w:instrText>
          </w:r>
          <w:r w:rsidRPr="00FD5BDB">
            <w:rPr>
              <w:rFonts w:ascii="Tahoma" w:hAnsi="Tahoma" w:cs="Tahoma"/>
              <w:b/>
              <w:bCs/>
              <w:i w:val="0"/>
              <w:iCs w:val="0"/>
              <w:sz w:val="24"/>
              <w:szCs w:val="24"/>
            </w:rPr>
            <w:fldChar w:fldCharType="separate"/>
          </w:r>
          <w:r>
            <w:rPr>
              <w:rFonts w:ascii="Tahoma" w:hAnsi="Tahoma" w:cs="Tahoma"/>
              <w:b/>
              <w:bCs/>
              <w:i w:val="0"/>
              <w:iCs w:val="0"/>
              <w:noProof/>
              <w:sz w:val="24"/>
              <w:szCs w:val="24"/>
            </w:rPr>
            <w:t>1</w:t>
          </w:r>
          <w:r w:rsidRPr="00FD5BDB">
            <w:rPr>
              <w:rFonts w:ascii="Tahoma" w:hAnsi="Tahoma" w:cs="Tahoma"/>
              <w:b/>
              <w:bCs/>
              <w:i w:val="0"/>
              <w:iCs w:val="0"/>
              <w:noProof/>
              <w:sz w:val="24"/>
              <w:szCs w:val="24"/>
            </w:rPr>
            <w:fldChar w:fldCharType="end"/>
          </w:r>
        </w:p>
      </w:tc>
    </w:tr>
  </w:tbl>
  <w:p w:rsidR="00A84AA6" w:rsidRPr="00750B04" w:rsidRDefault="00A84AA6" w:rsidP="003D04EE">
    <w:pPr>
      <w:pStyle w:val="Footer"/>
      <w:tabs>
        <w:tab w:val="right" w:pos="7938"/>
      </w:tabs>
      <w:jc w:val="both"/>
      <w:rPr>
        <w:i w:val="0"/>
        <w:i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72CBF" w:rsidRDefault="00172CBF">
      <w:r>
        <w:separator/>
      </w:r>
    </w:p>
  </w:footnote>
  <w:footnote w:type="continuationSeparator" w:id="0">
    <w:p w:rsidR="00172CBF" w:rsidRDefault="00172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Borders>
        <w:insideV w:val="single" w:sz="4" w:space="0" w:color="auto"/>
      </w:tblBorders>
      <w:tblLook w:val="04A0" w:firstRow="1" w:lastRow="0" w:firstColumn="1" w:lastColumn="0" w:noHBand="0" w:noVBand="1"/>
    </w:tblPr>
    <w:tblGrid>
      <w:gridCol w:w="7370"/>
      <w:gridCol w:w="1700"/>
    </w:tblGrid>
    <w:tr w:rsidR="00A84AA6" w:rsidTr="00A84AA6">
      <w:trPr>
        <w:jc w:val="center"/>
      </w:trPr>
      <w:tc>
        <w:tcPr>
          <w:tcW w:w="4063" w:type="pct"/>
          <w:vAlign w:val="center"/>
        </w:tcPr>
        <w:sdt>
          <w:sdtPr>
            <w:rPr>
              <w:rFonts w:ascii="Tahoma" w:hAnsi="Tahoma" w:cs="Tahoma"/>
              <w:i w:val="0"/>
              <w:iCs w:val="0"/>
            </w:rPr>
            <w:id w:val="-817573846"/>
            <w:docPartObj>
              <w:docPartGallery w:val="Page Numbers (Bottom of Page)"/>
              <w:docPartUnique/>
            </w:docPartObj>
          </w:sdtPr>
          <w:sdtEndPr>
            <w:rPr>
              <w:b/>
              <w:bCs/>
              <w:noProof/>
            </w:rPr>
          </w:sdtEndPr>
          <w:sdtContent>
            <w:p w:rsidR="00A84AA6" w:rsidRDefault="00A84AA6" w:rsidP="00D50408">
              <w:pPr>
                <w:pStyle w:val="Header"/>
                <w:tabs>
                  <w:tab w:val="clear" w:pos="4513"/>
                  <w:tab w:val="clear" w:pos="9026"/>
                  <w:tab w:val="center" w:pos="1171"/>
                  <w:tab w:val="right" w:pos="9070"/>
                </w:tabs>
                <w:spacing w:after="0" w:line="240" w:lineRule="auto"/>
                <w:jc w:val="both"/>
                <w:rPr>
                  <w:rFonts w:ascii="Tahoma" w:hAnsi="Tahoma" w:cs="Tahoma"/>
                  <w:b/>
                  <w:bCs/>
                  <w:i w:val="0"/>
                  <w:iCs w:val="0"/>
                  <w:noProof/>
                </w:rPr>
              </w:pPr>
              <w:r>
                <w:tab/>
              </w:r>
              <w:proofErr w:type="spellStart"/>
              <w:r w:rsidRPr="007B70B1">
                <w:rPr>
                  <w:rFonts w:ascii="Arial Narrow" w:hAnsi="Arial Narrow"/>
                  <w:b/>
                  <w:i w:val="0"/>
                </w:rPr>
                <w:t>Profita</w:t>
              </w:r>
              <w:proofErr w:type="spellEnd"/>
              <w:r w:rsidRPr="007B70B1">
                <w:rPr>
                  <w:rFonts w:ascii="Arial Narrow" w:hAnsi="Arial Narrow"/>
                  <w:b/>
                  <w:i w:val="0"/>
                </w:rPr>
                <w:t xml:space="preserve">: </w:t>
              </w:r>
              <w:proofErr w:type="spellStart"/>
              <w:r w:rsidRPr="007B70B1">
                <w:rPr>
                  <w:rFonts w:ascii="Arial Narrow" w:hAnsi="Arial Narrow"/>
                  <w:b/>
                  <w:i w:val="0"/>
                </w:rPr>
                <w:t>Komunikasi</w:t>
              </w:r>
              <w:proofErr w:type="spellEnd"/>
              <w:r w:rsidRPr="007B70B1">
                <w:rPr>
                  <w:rFonts w:ascii="Arial Narrow" w:hAnsi="Arial Narrow"/>
                  <w:b/>
                  <w:i w:val="0"/>
                </w:rPr>
                <w:t xml:space="preserve"> </w:t>
              </w:r>
              <w:proofErr w:type="spellStart"/>
              <w:r w:rsidRPr="007B70B1">
                <w:rPr>
                  <w:rFonts w:ascii="Arial Narrow" w:hAnsi="Arial Narrow"/>
                  <w:b/>
                  <w:i w:val="0"/>
                </w:rPr>
                <w:t>Ilmiah</w:t>
              </w:r>
              <w:proofErr w:type="spellEnd"/>
              <w:r w:rsidRPr="007B70B1">
                <w:rPr>
                  <w:rFonts w:ascii="Arial Narrow" w:hAnsi="Arial Narrow"/>
                  <w:b/>
                  <w:i w:val="0"/>
                </w:rPr>
                <w:t xml:space="preserve"> </w:t>
              </w:r>
              <w:proofErr w:type="spellStart"/>
              <w:r w:rsidRPr="007B70B1">
                <w:rPr>
                  <w:rFonts w:ascii="Arial Narrow" w:hAnsi="Arial Narrow"/>
                  <w:b/>
                  <w:i w:val="0"/>
                </w:rPr>
                <w:t>Akuntansi</w:t>
              </w:r>
              <w:proofErr w:type="spellEnd"/>
              <w:r w:rsidRPr="007B70B1">
                <w:rPr>
                  <w:rFonts w:ascii="Arial Narrow" w:hAnsi="Arial Narrow"/>
                  <w:b/>
                  <w:i w:val="0"/>
                </w:rPr>
                <w:t xml:space="preserve"> dan </w:t>
              </w:r>
              <w:proofErr w:type="spellStart"/>
              <w:r w:rsidRPr="007B70B1">
                <w:rPr>
                  <w:rFonts w:ascii="Arial Narrow" w:hAnsi="Arial Narrow"/>
                  <w:b/>
                  <w:i w:val="0"/>
                </w:rPr>
                <w:t>Perpajakan</w:t>
              </w:r>
              <w:proofErr w:type="spellEnd"/>
            </w:p>
            <w:p w:rsidR="00A84AA6" w:rsidRPr="00EF7480" w:rsidRDefault="00A84AA6" w:rsidP="00D50408">
              <w:pPr>
                <w:pStyle w:val="Footer"/>
                <w:tabs>
                  <w:tab w:val="center" w:pos="1171"/>
                  <w:tab w:val="right" w:pos="7260"/>
                </w:tabs>
                <w:spacing w:after="0" w:line="240" w:lineRule="auto"/>
                <w:jc w:val="both"/>
                <w:rPr>
                  <w:rFonts w:ascii="Tahoma" w:hAnsi="Tahoma" w:cs="Tahoma"/>
                  <w:i w:val="0"/>
                  <w:iCs w:val="0"/>
                </w:rPr>
              </w:pPr>
              <w:r>
                <w:tab/>
              </w:r>
              <w:proofErr w:type="spellStart"/>
              <w:r w:rsidRPr="00F46C80">
                <w:rPr>
                  <w:rFonts w:ascii="Arial Narrow" w:hAnsi="Arial Narrow" w:cs="Tahoma"/>
                  <w:b/>
                  <w:i w:val="0"/>
                  <w:iCs w:val="0"/>
                  <w:lang w:val="id-ID"/>
                </w:rPr>
                <w:t>Vol</w:t>
              </w:r>
              <w:r>
                <w:rPr>
                  <w:rFonts w:ascii="Arial Narrow" w:hAnsi="Arial Narrow" w:cs="Tahoma"/>
                  <w:b/>
                  <w:i w:val="0"/>
                  <w:iCs w:val="0"/>
                </w:rPr>
                <w:t>ume</w:t>
              </w:r>
              <w:proofErr w:type="spellEnd"/>
              <w:r>
                <w:rPr>
                  <w:rFonts w:ascii="Arial Narrow" w:hAnsi="Arial Narrow" w:cs="Tahoma"/>
                  <w:b/>
                  <w:i w:val="0"/>
                  <w:iCs w:val="0"/>
                  <w:lang w:val="id-ID"/>
                </w:rPr>
                <w:t xml:space="preserve"> </w:t>
              </w:r>
              <w:r w:rsidRPr="00F46C80">
                <w:rPr>
                  <w:rFonts w:ascii="Arial Narrow" w:hAnsi="Arial Narrow" w:cs="Tahoma"/>
                  <w:b/>
                  <w:i w:val="0"/>
                  <w:iCs w:val="0"/>
                  <w:lang w:val="id-ID"/>
                </w:rPr>
                <w:t>1</w:t>
              </w:r>
              <w:r>
                <w:rPr>
                  <w:rFonts w:ascii="Arial Narrow" w:hAnsi="Arial Narrow" w:cs="Tahoma"/>
                  <w:b/>
                  <w:i w:val="0"/>
                  <w:iCs w:val="0"/>
                </w:rPr>
                <w:t>3</w:t>
              </w:r>
              <w:r w:rsidRPr="00F46C80">
                <w:rPr>
                  <w:rFonts w:ascii="Arial Narrow" w:hAnsi="Arial Narrow" w:cs="Tahoma"/>
                  <w:b/>
                  <w:i w:val="0"/>
                  <w:iCs w:val="0"/>
                  <w:lang w:val="id-ID"/>
                </w:rPr>
                <w:t xml:space="preserve"> </w:t>
              </w:r>
              <w:proofErr w:type="spellStart"/>
              <w:r w:rsidRPr="00F46C80">
                <w:rPr>
                  <w:rFonts w:ascii="Arial Narrow" w:hAnsi="Arial Narrow" w:cs="Tahoma"/>
                  <w:b/>
                  <w:i w:val="0"/>
                  <w:iCs w:val="0"/>
                  <w:lang w:val="id-ID"/>
                </w:rPr>
                <w:t>No</w:t>
              </w:r>
              <w:proofErr w:type="spellEnd"/>
              <w:r>
                <w:rPr>
                  <w:rFonts w:ascii="Arial Narrow" w:hAnsi="Arial Narrow" w:cs="Tahoma"/>
                  <w:b/>
                  <w:i w:val="0"/>
                  <w:iCs w:val="0"/>
                </w:rPr>
                <w:t>mor</w:t>
              </w:r>
              <w:r w:rsidRPr="00F46C80">
                <w:rPr>
                  <w:rFonts w:ascii="Arial Narrow" w:hAnsi="Arial Narrow" w:cs="Tahoma"/>
                  <w:b/>
                  <w:i w:val="0"/>
                  <w:iCs w:val="0"/>
                  <w:lang w:val="id-ID"/>
                </w:rPr>
                <w:t xml:space="preserve"> </w:t>
              </w:r>
              <w:r>
                <w:rPr>
                  <w:rFonts w:ascii="Arial Narrow" w:hAnsi="Arial Narrow" w:cs="Tahoma"/>
                  <w:b/>
                  <w:i w:val="0"/>
                  <w:iCs w:val="0"/>
                </w:rPr>
                <w:t>1</w:t>
              </w:r>
              <w:r>
                <w:rPr>
                  <w:rFonts w:ascii="Arial Narrow" w:hAnsi="Arial Narrow" w:cs="Tahoma"/>
                  <w:b/>
                  <w:i w:val="0"/>
                  <w:iCs w:val="0"/>
                  <w:lang w:val="id-ID"/>
                </w:rPr>
                <w:t xml:space="preserve"> | </w:t>
              </w:r>
              <w:r>
                <w:rPr>
                  <w:rFonts w:ascii="Arial Narrow" w:hAnsi="Arial Narrow" w:cs="Tahoma"/>
                  <w:b/>
                  <w:i w:val="0"/>
                  <w:iCs w:val="0"/>
                </w:rPr>
                <w:t>April</w:t>
              </w:r>
              <w:r w:rsidRPr="00F46C80">
                <w:rPr>
                  <w:rFonts w:ascii="Arial Narrow" w:hAnsi="Arial Narrow" w:cs="Tahoma"/>
                  <w:b/>
                  <w:i w:val="0"/>
                  <w:iCs w:val="0"/>
                  <w:lang w:val="id-ID"/>
                </w:rPr>
                <w:t xml:space="preserve"> 20</w:t>
              </w:r>
              <w:r>
                <w:rPr>
                  <w:rFonts w:ascii="Arial Narrow" w:hAnsi="Arial Narrow" w:cs="Tahoma"/>
                  <w:b/>
                  <w:i w:val="0"/>
                  <w:iCs w:val="0"/>
                </w:rPr>
                <w:t>20</w:t>
              </w:r>
            </w:p>
          </w:sdtContent>
        </w:sdt>
      </w:tc>
      <w:tc>
        <w:tcPr>
          <w:tcW w:w="937" w:type="pct"/>
          <w:vAlign w:val="center"/>
        </w:tcPr>
        <w:sdt>
          <w:sdtPr>
            <w:rPr>
              <w:rFonts w:ascii="Tahoma" w:hAnsi="Tahoma" w:cs="Tahoma"/>
              <w:i w:val="0"/>
              <w:iCs w:val="0"/>
              <w:sz w:val="24"/>
              <w:szCs w:val="24"/>
            </w:rPr>
            <w:id w:val="1184324895"/>
            <w:docPartObj>
              <w:docPartGallery w:val="Page Numbers (Bottom of Page)"/>
              <w:docPartUnique/>
            </w:docPartObj>
          </w:sdtPr>
          <w:sdtEndPr>
            <w:rPr>
              <w:b/>
              <w:bCs/>
              <w:noProof/>
            </w:rPr>
          </w:sdtEndPr>
          <w:sdtContent>
            <w:p w:rsidR="00A84AA6" w:rsidRDefault="00A84AA6" w:rsidP="00D50408">
              <w:pPr>
                <w:pStyle w:val="Footer"/>
                <w:tabs>
                  <w:tab w:val="right" w:pos="7938"/>
                </w:tabs>
                <w:spacing w:after="0" w:line="240" w:lineRule="auto"/>
                <w:jc w:val="right"/>
                <w:rPr>
                  <w:rFonts w:ascii="Arial Narrow" w:hAnsi="Arial Narrow"/>
                  <w:b/>
                  <w:i w:val="0"/>
                </w:rPr>
              </w:pPr>
              <w:r w:rsidRPr="007B70B1">
                <w:rPr>
                  <w:rFonts w:ascii="Arial Narrow" w:hAnsi="Arial Narrow"/>
                  <w:b/>
                  <w:i w:val="0"/>
                </w:rPr>
                <w:t xml:space="preserve">p-ISSN: 2086-7662 </w:t>
              </w:r>
            </w:p>
            <w:p w:rsidR="00A84AA6" w:rsidRPr="00EF7480" w:rsidRDefault="00A84AA6" w:rsidP="00D50408">
              <w:pPr>
                <w:pStyle w:val="Footer"/>
                <w:tabs>
                  <w:tab w:val="right" w:pos="7938"/>
                </w:tabs>
                <w:spacing w:after="0" w:line="240" w:lineRule="auto"/>
                <w:jc w:val="right"/>
                <w:rPr>
                  <w:rFonts w:ascii="Tahoma" w:hAnsi="Tahoma" w:cs="Tahoma"/>
                  <w:i w:val="0"/>
                  <w:iCs w:val="0"/>
                  <w:sz w:val="24"/>
                  <w:szCs w:val="24"/>
                </w:rPr>
              </w:pPr>
              <w:r w:rsidRPr="007B70B1">
                <w:rPr>
                  <w:rFonts w:ascii="Arial Narrow" w:hAnsi="Arial Narrow"/>
                  <w:b/>
                  <w:i w:val="0"/>
                </w:rPr>
                <w:t>e-ISSN: 2622-1950</w:t>
              </w:r>
            </w:p>
          </w:sdtContent>
        </w:sdt>
      </w:tc>
    </w:tr>
  </w:tbl>
  <w:p w:rsidR="00A84AA6" w:rsidRPr="007B70B1" w:rsidRDefault="00A84AA6" w:rsidP="00D50408">
    <w:pPr>
      <w:pStyle w:val="Footer"/>
      <w:tabs>
        <w:tab w:val="right" w:pos="7938"/>
      </w:tabs>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Borders>
        <w:insideV w:val="single" w:sz="4" w:space="0" w:color="auto"/>
      </w:tblBorders>
      <w:tblLook w:val="04A0" w:firstRow="1" w:lastRow="0" w:firstColumn="1" w:lastColumn="0" w:noHBand="0" w:noVBand="1"/>
    </w:tblPr>
    <w:tblGrid>
      <w:gridCol w:w="7370"/>
      <w:gridCol w:w="1700"/>
    </w:tblGrid>
    <w:tr w:rsidR="00A84AA6" w:rsidTr="00D50408">
      <w:trPr>
        <w:jc w:val="center"/>
      </w:trPr>
      <w:tc>
        <w:tcPr>
          <w:tcW w:w="4063" w:type="pct"/>
          <w:vAlign w:val="center"/>
        </w:tcPr>
        <w:sdt>
          <w:sdtPr>
            <w:rPr>
              <w:rFonts w:ascii="Tahoma" w:hAnsi="Tahoma" w:cs="Tahoma"/>
              <w:i w:val="0"/>
              <w:iCs w:val="0"/>
            </w:rPr>
            <w:id w:val="996773282"/>
            <w:docPartObj>
              <w:docPartGallery w:val="Page Numbers (Bottom of Page)"/>
              <w:docPartUnique/>
            </w:docPartObj>
          </w:sdtPr>
          <w:sdtEndPr>
            <w:rPr>
              <w:b/>
              <w:bCs/>
              <w:noProof/>
            </w:rPr>
          </w:sdtEndPr>
          <w:sdtContent>
            <w:p w:rsidR="00A84AA6" w:rsidRDefault="00A84AA6" w:rsidP="00D50408">
              <w:pPr>
                <w:pStyle w:val="Header"/>
                <w:tabs>
                  <w:tab w:val="clear" w:pos="4513"/>
                  <w:tab w:val="clear" w:pos="9026"/>
                  <w:tab w:val="center" w:pos="1171"/>
                  <w:tab w:val="right" w:pos="9070"/>
                </w:tabs>
                <w:spacing w:after="0" w:line="240" w:lineRule="auto"/>
                <w:jc w:val="both"/>
                <w:rPr>
                  <w:rFonts w:ascii="Tahoma" w:hAnsi="Tahoma" w:cs="Tahoma"/>
                  <w:b/>
                  <w:bCs/>
                  <w:i w:val="0"/>
                  <w:iCs w:val="0"/>
                  <w:noProof/>
                </w:rPr>
              </w:pPr>
              <w:r>
                <w:tab/>
              </w:r>
              <w:proofErr w:type="spellStart"/>
              <w:r w:rsidRPr="007B70B1">
                <w:rPr>
                  <w:rFonts w:ascii="Arial Narrow" w:hAnsi="Arial Narrow"/>
                  <w:b/>
                  <w:i w:val="0"/>
                </w:rPr>
                <w:t>Profita</w:t>
              </w:r>
              <w:proofErr w:type="spellEnd"/>
              <w:r w:rsidRPr="007B70B1">
                <w:rPr>
                  <w:rFonts w:ascii="Arial Narrow" w:hAnsi="Arial Narrow"/>
                  <w:b/>
                  <w:i w:val="0"/>
                </w:rPr>
                <w:t xml:space="preserve">: </w:t>
              </w:r>
              <w:proofErr w:type="spellStart"/>
              <w:r w:rsidRPr="007B70B1">
                <w:rPr>
                  <w:rFonts w:ascii="Arial Narrow" w:hAnsi="Arial Narrow"/>
                  <w:b/>
                  <w:i w:val="0"/>
                </w:rPr>
                <w:t>Komunikasi</w:t>
              </w:r>
              <w:proofErr w:type="spellEnd"/>
              <w:r w:rsidRPr="007B70B1">
                <w:rPr>
                  <w:rFonts w:ascii="Arial Narrow" w:hAnsi="Arial Narrow"/>
                  <w:b/>
                  <w:i w:val="0"/>
                </w:rPr>
                <w:t xml:space="preserve"> </w:t>
              </w:r>
              <w:proofErr w:type="spellStart"/>
              <w:r w:rsidRPr="007B70B1">
                <w:rPr>
                  <w:rFonts w:ascii="Arial Narrow" w:hAnsi="Arial Narrow"/>
                  <w:b/>
                  <w:i w:val="0"/>
                </w:rPr>
                <w:t>Ilmiah</w:t>
              </w:r>
              <w:proofErr w:type="spellEnd"/>
              <w:r w:rsidRPr="007B70B1">
                <w:rPr>
                  <w:rFonts w:ascii="Arial Narrow" w:hAnsi="Arial Narrow"/>
                  <w:b/>
                  <w:i w:val="0"/>
                </w:rPr>
                <w:t xml:space="preserve"> </w:t>
              </w:r>
              <w:proofErr w:type="spellStart"/>
              <w:r w:rsidRPr="007B70B1">
                <w:rPr>
                  <w:rFonts w:ascii="Arial Narrow" w:hAnsi="Arial Narrow"/>
                  <w:b/>
                  <w:i w:val="0"/>
                </w:rPr>
                <w:t>Akuntansi</w:t>
              </w:r>
              <w:proofErr w:type="spellEnd"/>
              <w:r w:rsidRPr="007B70B1">
                <w:rPr>
                  <w:rFonts w:ascii="Arial Narrow" w:hAnsi="Arial Narrow"/>
                  <w:b/>
                  <w:i w:val="0"/>
                </w:rPr>
                <w:t xml:space="preserve"> dan </w:t>
              </w:r>
              <w:proofErr w:type="spellStart"/>
              <w:r w:rsidRPr="007B70B1">
                <w:rPr>
                  <w:rFonts w:ascii="Arial Narrow" w:hAnsi="Arial Narrow"/>
                  <w:b/>
                  <w:i w:val="0"/>
                </w:rPr>
                <w:t>Perpajakan</w:t>
              </w:r>
              <w:proofErr w:type="spellEnd"/>
            </w:p>
            <w:p w:rsidR="00A84AA6" w:rsidRPr="00EF7480" w:rsidRDefault="00A84AA6" w:rsidP="00D50408">
              <w:pPr>
                <w:pStyle w:val="Footer"/>
                <w:tabs>
                  <w:tab w:val="center" w:pos="1171"/>
                  <w:tab w:val="right" w:pos="7260"/>
                </w:tabs>
                <w:spacing w:after="0" w:line="240" w:lineRule="auto"/>
                <w:jc w:val="both"/>
                <w:rPr>
                  <w:rFonts w:ascii="Tahoma" w:hAnsi="Tahoma" w:cs="Tahoma"/>
                  <w:i w:val="0"/>
                  <w:iCs w:val="0"/>
                </w:rPr>
              </w:pPr>
              <w:r>
                <w:tab/>
              </w:r>
              <w:proofErr w:type="spellStart"/>
              <w:r w:rsidRPr="00F46C80">
                <w:rPr>
                  <w:rFonts w:ascii="Arial Narrow" w:hAnsi="Arial Narrow" w:cs="Tahoma"/>
                  <w:b/>
                  <w:i w:val="0"/>
                  <w:iCs w:val="0"/>
                  <w:lang w:val="id-ID"/>
                </w:rPr>
                <w:t>Vol</w:t>
              </w:r>
              <w:r>
                <w:rPr>
                  <w:rFonts w:ascii="Arial Narrow" w:hAnsi="Arial Narrow" w:cs="Tahoma"/>
                  <w:b/>
                  <w:i w:val="0"/>
                  <w:iCs w:val="0"/>
                </w:rPr>
                <w:t>ume</w:t>
              </w:r>
              <w:proofErr w:type="spellEnd"/>
              <w:r>
                <w:rPr>
                  <w:rFonts w:ascii="Arial Narrow" w:hAnsi="Arial Narrow" w:cs="Tahoma"/>
                  <w:b/>
                  <w:i w:val="0"/>
                  <w:iCs w:val="0"/>
                  <w:lang w:val="id-ID"/>
                </w:rPr>
                <w:t xml:space="preserve"> </w:t>
              </w:r>
              <w:r w:rsidRPr="00F46C80">
                <w:rPr>
                  <w:rFonts w:ascii="Arial Narrow" w:hAnsi="Arial Narrow" w:cs="Tahoma"/>
                  <w:b/>
                  <w:i w:val="0"/>
                  <w:iCs w:val="0"/>
                  <w:lang w:val="id-ID"/>
                </w:rPr>
                <w:t>1</w:t>
              </w:r>
              <w:r>
                <w:rPr>
                  <w:rFonts w:ascii="Arial Narrow" w:hAnsi="Arial Narrow" w:cs="Tahoma"/>
                  <w:b/>
                  <w:i w:val="0"/>
                  <w:iCs w:val="0"/>
                </w:rPr>
                <w:t>3</w:t>
              </w:r>
              <w:r w:rsidRPr="00F46C80">
                <w:rPr>
                  <w:rFonts w:ascii="Arial Narrow" w:hAnsi="Arial Narrow" w:cs="Tahoma"/>
                  <w:b/>
                  <w:i w:val="0"/>
                  <w:iCs w:val="0"/>
                  <w:lang w:val="id-ID"/>
                </w:rPr>
                <w:t xml:space="preserve"> </w:t>
              </w:r>
              <w:proofErr w:type="spellStart"/>
              <w:r w:rsidRPr="00F46C80">
                <w:rPr>
                  <w:rFonts w:ascii="Arial Narrow" w:hAnsi="Arial Narrow" w:cs="Tahoma"/>
                  <w:b/>
                  <w:i w:val="0"/>
                  <w:iCs w:val="0"/>
                  <w:lang w:val="id-ID"/>
                </w:rPr>
                <w:t>No</w:t>
              </w:r>
              <w:proofErr w:type="spellEnd"/>
              <w:r>
                <w:rPr>
                  <w:rFonts w:ascii="Arial Narrow" w:hAnsi="Arial Narrow" w:cs="Tahoma"/>
                  <w:b/>
                  <w:i w:val="0"/>
                  <w:iCs w:val="0"/>
                </w:rPr>
                <w:t>mor</w:t>
              </w:r>
              <w:r w:rsidRPr="00F46C80">
                <w:rPr>
                  <w:rFonts w:ascii="Arial Narrow" w:hAnsi="Arial Narrow" w:cs="Tahoma"/>
                  <w:b/>
                  <w:i w:val="0"/>
                  <w:iCs w:val="0"/>
                  <w:lang w:val="id-ID"/>
                </w:rPr>
                <w:t xml:space="preserve"> </w:t>
              </w:r>
              <w:r>
                <w:rPr>
                  <w:rFonts w:ascii="Arial Narrow" w:hAnsi="Arial Narrow" w:cs="Tahoma"/>
                  <w:b/>
                  <w:i w:val="0"/>
                  <w:iCs w:val="0"/>
                </w:rPr>
                <w:t>1</w:t>
              </w:r>
              <w:r>
                <w:rPr>
                  <w:rFonts w:ascii="Arial Narrow" w:hAnsi="Arial Narrow" w:cs="Tahoma"/>
                  <w:b/>
                  <w:i w:val="0"/>
                  <w:iCs w:val="0"/>
                  <w:lang w:val="id-ID"/>
                </w:rPr>
                <w:t xml:space="preserve"> | </w:t>
              </w:r>
              <w:r>
                <w:rPr>
                  <w:rFonts w:ascii="Arial Narrow" w:hAnsi="Arial Narrow" w:cs="Tahoma"/>
                  <w:b/>
                  <w:i w:val="0"/>
                  <w:iCs w:val="0"/>
                </w:rPr>
                <w:t>April</w:t>
              </w:r>
              <w:r w:rsidRPr="00F46C80">
                <w:rPr>
                  <w:rFonts w:ascii="Arial Narrow" w:hAnsi="Arial Narrow" w:cs="Tahoma"/>
                  <w:b/>
                  <w:i w:val="0"/>
                  <w:iCs w:val="0"/>
                  <w:lang w:val="id-ID"/>
                </w:rPr>
                <w:t xml:space="preserve"> 20</w:t>
              </w:r>
              <w:r>
                <w:rPr>
                  <w:rFonts w:ascii="Arial Narrow" w:hAnsi="Arial Narrow" w:cs="Tahoma"/>
                  <w:b/>
                  <w:i w:val="0"/>
                  <w:iCs w:val="0"/>
                </w:rPr>
                <w:t>20</w:t>
              </w:r>
            </w:p>
          </w:sdtContent>
        </w:sdt>
      </w:tc>
      <w:tc>
        <w:tcPr>
          <w:tcW w:w="937" w:type="pct"/>
          <w:vAlign w:val="center"/>
        </w:tcPr>
        <w:sdt>
          <w:sdtPr>
            <w:rPr>
              <w:rFonts w:ascii="Tahoma" w:hAnsi="Tahoma" w:cs="Tahoma"/>
              <w:i w:val="0"/>
              <w:iCs w:val="0"/>
              <w:sz w:val="24"/>
              <w:szCs w:val="24"/>
            </w:rPr>
            <w:id w:val="-579681514"/>
            <w:docPartObj>
              <w:docPartGallery w:val="Page Numbers (Bottom of Page)"/>
              <w:docPartUnique/>
            </w:docPartObj>
          </w:sdtPr>
          <w:sdtEndPr>
            <w:rPr>
              <w:b/>
              <w:bCs/>
              <w:noProof/>
            </w:rPr>
          </w:sdtEndPr>
          <w:sdtContent>
            <w:p w:rsidR="00A84AA6" w:rsidRDefault="00A84AA6" w:rsidP="00D50408">
              <w:pPr>
                <w:pStyle w:val="Footer"/>
                <w:tabs>
                  <w:tab w:val="right" w:pos="7938"/>
                </w:tabs>
                <w:spacing w:after="0" w:line="240" w:lineRule="auto"/>
                <w:jc w:val="right"/>
                <w:rPr>
                  <w:rFonts w:ascii="Arial Narrow" w:hAnsi="Arial Narrow"/>
                  <w:b/>
                  <w:i w:val="0"/>
                </w:rPr>
              </w:pPr>
              <w:r w:rsidRPr="007B70B1">
                <w:rPr>
                  <w:rFonts w:ascii="Arial Narrow" w:hAnsi="Arial Narrow"/>
                  <w:b/>
                  <w:i w:val="0"/>
                </w:rPr>
                <w:t xml:space="preserve">p-ISSN: 2086-7662 </w:t>
              </w:r>
            </w:p>
            <w:p w:rsidR="00A84AA6" w:rsidRPr="00EF7480" w:rsidRDefault="00A84AA6" w:rsidP="00D50408">
              <w:pPr>
                <w:pStyle w:val="Footer"/>
                <w:tabs>
                  <w:tab w:val="right" w:pos="7938"/>
                </w:tabs>
                <w:spacing w:after="0" w:line="240" w:lineRule="auto"/>
                <w:jc w:val="right"/>
                <w:rPr>
                  <w:rFonts w:ascii="Tahoma" w:hAnsi="Tahoma" w:cs="Tahoma"/>
                  <w:i w:val="0"/>
                  <w:iCs w:val="0"/>
                  <w:sz w:val="24"/>
                  <w:szCs w:val="24"/>
                </w:rPr>
              </w:pPr>
              <w:r w:rsidRPr="007B70B1">
                <w:rPr>
                  <w:rFonts w:ascii="Arial Narrow" w:hAnsi="Arial Narrow"/>
                  <w:b/>
                  <w:i w:val="0"/>
                </w:rPr>
                <w:t>e-ISSN: 2622-1950</w:t>
              </w:r>
            </w:p>
          </w:sdtContent>
        </w:sdt>
      </w:tc>
    </w:tr>
  </w:tbl>
  <w:p w:rsidR="00A84AA6" w:rsidRPr="007B70B1" w:rsidRDefault="00A84AA6" w:rsidP="00D50408">
    <w:pPr>
      <w:pStyle w:val="Footer"/>
      <w:tabs>
        <w:tab w:val="right" w:pos="7938"/>
      </w:tabs>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Borders>
        <w:insideV w:val="single" w:sz="4" w:space="0" w:color="auto"/>
      </w:tblBorders>
      <w:tblLook w:val="04A0" w:firstRow="1" w:lastRow="0" w:firstColumn="1" w:lastColumn="0" w:noHBand="0" w:noVBand="1"/>
    </w:tblPr>
    <w:tblGrid>
      <w:gridCol w:w="7370"/>
      <w:gridCol w:w="1700"/>
    </w:tblGrid>
    <w:tr w:rsidR="00A84AA6" w:rsidTr="00DF424F">
      <w:trPr>
        <w:jc w:val="center"/>
      </w:trPr>
      <w:tc>
        <w:tcPr>
          <w:tcW w:w="4063" w:type="pct"/>
          <w:vAlign w:val="center"/>
        </w:tcPr>
        <w:sdt>
          <w:sdtPr>
            <w:rPr>
              <w:rFonts w:ascii="Tahoma" w:hAnsi="Tahoma" w:cs="Tahoma"/>
              <w:i w:val="0"/>
              <w:iCs w:val="0"/>
            </w:rPr>
            <w:id w:val="-1354027274"/>
            <w:docPartObj>
              <w:docPartGallery w:val="Page Numbers (Bottom of Page)"/>
              <w:docPartUnique/>
            </w:docPartObj>
          </w:sdtPr>
          <w:sdtEndPr>
            <w:rPr>
              <w:b/>
              <w:bCs/>
              <w:noProof/>
            </w:rPr>
          </w:sdtEndPr>
          <w:sdtContent>
            <w:p w:rsidR="00A84AA6" w:rsidRDefault="00A84AA6" w:rsidP="00F778DE">
              <w:pPr>
                <w:pStyle w:val="Header"/>
                <w:tabs>
                  <w:tab w:val="clear" w:pos="4513"/>
                  <w:tab w:val="clear" w:pos="9026"/>
                  <w:tab w:val="center" w:pos="1171"/>
                  <w:tab w:val="right" w:pos="9070"/>
                </w:tabs>
                <w:spacing w:after="0" w:line="240" w:lineRule="auto"/>
                <w:jc w:val="both"/>
                <w:rPr>
                  <w:rFonts w:ascii="Tahoma" w:hAnsi="Tahoma" w:cs="Tahoma"/>
                  <w:b/>
                  <w:bCs/>
                  <w:i w:val="0"/>
                  <w:iCs w:val="0"/>
                  <w:noProof/>
                </w:rPr>
              </w:pPr>
              <w:r>
                <w:tab/>
              </w:r>
              <w:proofErr w:type="spellStart"/>
              <w:r w:rsidRPr="007B70B1">
                <w:rPr>
                  <w:rFonts w:ascii="Arial Narrow" w:hAnsi="Arial Narrow"/>
                  <w:b/>
                  <w:i w:val="0"/>
                </w:rPr>
                <w:t>Profita</w:t>
              </w:r>
              <w:proofErr w:type="spellEnd"/>
              <w:r w:rsidRPr="007B70B1">
                <w:rPr>
                  <w:rFonts w:ascii="Arial Narrow" w:hAnsi="Arial Narrow"/>
                  <w:b/>
                  <w:i w:val="0"/>
                </w:rPr>
                <w:t xml:space="preserve">: </w:t>
              </w:r>
              <w:proofErr w:type="spellStart"/>
              <w:r w:rsidRPr="007B70B1">
                <w:rPr>
                  <w:rFonts w:ascii="Arial Narrow" w:hAnsi="Arial Narrow"/>
                  <w:b/>
                  <w:i w:val="0"/>
                </w:rPr>
                <w:t>Komunikasi</w:t>
              </w:r>
              <w:proofErr w:type="spellEnd"/>
              <w:r w:rsidRPr="007B70B1">
                <w:rPr>
                  <w:rFonts w:ascii="Arial Narrow" w:hAnsi="Arial Narrow"/>
                  <w:b/>
                  <w:i w:val="0"/>
                </w:rPr>
                <w:t xml:space="preserve"> </w:t>
              </w:r>
              <w:proofErr w:type="spellStart"/>
              <w:r w:rsidRPr="007B70B1">
                <w:rPr>
                  <w:rFonts w:ascii="Arial Narrow" w:hAnsi="Arial Narrow"/>
                  <w:b/>
                  <w:i w:val="0"/>
                </w:rPr>
                <w:t>Ilmiah</w:t>
              </w:r>
              <w:proofErr w:type="spellEnd"/>
              <w:r w:rsidRPr="007B70B1">
                <w:rPr>
                  <w:rFonts w:ascii="Arial Narrow" w:hAnsi="Arial Narrow"/>
                  <w:b/>
                  <w:i w:val="0"/>
                </w:rPr>
                <w:t xml:space="preserve"> </w:t>
              </w:r>
              <w:proofErr w:type="spellStart"/>
              <w:r w:rsidRPr="007B70B1">
                <w:rPr>
                  <w:rFonts w:ascii="Arial Narrow" w:hAnsi="Arial Narrow"/>
                  <w:b/>
                  <w:i w:val="0"/>
                </w:rPr>
                <w:t>Akuntansi</w:t>
              </w:r>
              <w:proofErr w:type="spellEnd"/>
              <w:r w:rsidRPr="007B70B1">
                <w:rPr>
                  <w:rFonts w:ascii="Arial Narrow" w:hAnsi="Arial Narrow"/>
                  <w:b/>
                  <w:i w:val="0"/>
                </w:rPr>
                <w:t xml:space="preserve"> dan </w:t>
              </w:r>
              <w:proofErr w:type="spellStart"/>
              <w:r w:rsidRPr="007B70B1">
                <w:rPr>
                  <w:rFonts w:ascii="Arial Narrow" w:hAnsi="Arial Narrow"/>
                  <w:b/>
                  <w:i w:val="0"/>
                </w:rPr>
                <w:t>Perpajakan</w:t>
              </w:r>
              <w:proofErr w:type="spellEnd"/>
            </w:p>
            <w:p w:rsidR="00A84AA6" w:rsidRPr="00EF7480" w:rsidRDefault="00A84AA6" w:rsidP="00F778DE">
              <w:pPr>
                <w:pStyle w:val="Footer"/>
                <w:tabs>
                  <w:tab w:val="center" w:pos="1171"/>
                  <w:tab w:val="right" w:pos="7260"/>
                </w:tabs>
                <w:spacing w:after="0" w:line="240" w:lineRule="auto"/>
                <w:jc w:val="both"/>
                <w:rPr>
                  <w:rFonts w:ascii="Tahoma" w:hAnsi="Tahoma" w:cs="Tahoma"/>
                  <w:i w:val="0"/>
                  <w:iCs w:val="0"/>
                </w:rPr>
              </w:pPr>
              <w:proofErr w:type="spellStart"/>
              <w:r w:rsidRPr="00F46C80">
                <w:rPr>
                  <w:rFonts w:ascii="Arial Narrow" w:hAnsi="Arial Narrow" w:cs="Tahoma"/>
                  <w:b/>
                  <w:i w:val="0"/>
                  <w:iCs w:val="0"/>
                  <w:lang w:val="id-ID"/>
                </w:rPr>
                <w:t>Vol</w:t>
              </w:r>
              <w:r>
                <w:rPr>
                  <w:rFonts w:ascii="Arial Narrow" w:hAnsi="Arial Narrow" w:cs="Tahoma"/>
                  <w:b/>
                  <w:i w:val="0"/>
                  <w:iCs w:val="0"/>
                </w:rPr>
                <w:t>ume</w:t>
              </w:r>
              <w:proofErr w:type="spellEnd"/>
              <w:r w:rsidR="00B9526F">
                <w:rPr>
                  <w:rFonts w:ascii="Arial Narrow" w:hAnsi="Arial Narrow" w:cs="Tahoma"/>
                  <w:b/>
                  <w:i w:val="0"/>
                  <w:iCs w:val="0"/>
                </w:rPr>
                <w:t xml:space="preserve"> 14</w:t>
              </w:r>
              <w:r w:rsidR="00E6624D">
                <w:rPr>
                  <w:rFonts w:ascii="Arial Narrow" w:hAnsi="Arial Narrow" w:cs="Tahoma"/>
                  <w:b/>
                  <w:i w:val="0"/>
                  <w:iCs w:val="0"/>
                </w:rPr>
                <w:t xml:space="preserve">, </w:t>
              </w:r>
              <w:proofErr w:type="spellStart"/>
              <w:r w:rsidR="00E6624D">
                <w:rPr>
                  <w:rFonts w:ascii="Arial Narrow" w:hAnsi="Arial Narrow" w:cs="Tahoma"/>
                  <w:b/>
                  <w:i w:val="0"/>
                  <w:iCs w:val="0"/>
                </w:rPr>
                <w:t>Nomor</w:t>
              </w:r>
              <w:proofErr w:type="spellEnd"/>
              <w:r>
                <w:rPr>
                  <w:rFonts w:ascii="Arial Narrow" w:hAnsi="Arial Narrow" w:cs="Tahoma"/>
                  <w:b/>
                  <w:i w:val="0"/>
                  <w:iCs w:val="0"/>
                  <w:lang w:val="id-ID"/>
                </w:rPr>
                <w:t xml:space="preserve"> | </w:t>
              </w:r>
              <w:r w:rsidR="00E6624D">
                <w:rPr>
                  <w:rFonts w:ascii="Arial Narrow" w:hAnsi="Arial Narrow" w:cs="Tahoma"/>
                  <w:b/>
                  <w:i w:val="0"/>
                  <w:iCs w:val="0"/>
                </w:rPr>
                <w:t>2021</w:t>
              </w:r>
            </w:p>
          </w:sdtContent>
        </w:sdt>
      </w:tc>
      <w:tc>
        <w:tcPr>
          <w:tcW w:w="937" w:type="pct"/>
          <w:vAlign w:val="center"/>
        </w:tcPr>
        <w:sdt>
          <w:sdtPr>
            <w:rPr>
              <w:rFonts w:ascii="Tahoma" w:hAnsi="Tahoma" w:cs="Tahoma"/>
              <w:i w:val="0"/>
              <w:iCs w:val="0"/>
              <w:sz w:val="24"/>
              <w:szCs w:val="24"/>
            </w:rPr>
            <w:id w:val="-167942648"/>
            <w:docPartObj>
              <w:docPartGallery w:val="Page Numbers (Bottom of Page)"/>
              <w:docPartUnique/>
            </w:docPartObj>
          </w:sdtPr>
          <w:sdtEndPr>
            <w:rPr>
              <w:b/>
              <w:bCs/>
              <w:noProof/>
            </w:rPr>
          </w:sdtEndPr>
          <w:sdtContent>
            <w:p w:rsidR="00A84AA6" w:rsidRDefault="00A84AA6" w:rsidP="00DF424F">
              <w:pPr>
                <w:pStyle w:val="Footer"/>
                <w:tabs>
                  <w:tab w:val="right" w:pos="7938"/>
                </w:tabs>
                <w:spacing w:after="0" w:line="240" w:lineRule="auto"/>
                <w:jc w:val="right"/>
                <w:rPr>
                  <w:rFonts w:ascii="Arial Narrow" w:hAnsi="Arial Narrow"/>
                  <w:b/>
                  <w:i w:val="0"/>
                </w:rPr>
              </w:pPr>
              <w:r w:rsidRPr="007B70B1">
                <w:rPr>
                  <w:rFonts w:ascii="Arial Narrow" w:hAnsi="Arial Narrow"/>
                  <w:b/>
                  <w:i w:val="0"/>
                </w:rPr>
                <w:t xml:space="preserve">p-ISSN: 2086-7662 </w:t>
              </w:r>
            </w:p>
            <w:p w:rsidR="00A84AA6" w:rsidRPr="00EF7480" w:rsidRDefault="00A84AA6" w:rsidP="00DF424F">
              <w:pPr>
                <w:pStyle w:val="Footer"/>
                <w:tabs>
                  <w:tab w:val="right" w:pos="7938"/>
                </w:tabs>
                <w:spacing w:after="0" w:line="240" w:lineRule="auto"/>
                <w:jc w:val="right"/>
                <w:rPr>
                  <w:rFonts w:ascii="Tahoma" w:hAnsi="Tahoma" w:cs="Tahoma"/>
                  <w:i w:val="0"/>
                  <w:iCs w:val="0"/>
                  <w:sz w:val="24"/>
                  <w:szCs w:val="24"/>
                </w:rPr>
              </w:pPr>
              <w:r w:rsidRPr="007B70B1">
                <w:rPr>
                  <w:rFonts w:ascii="Arial Narrow" w:hAnsi="Arial Narrow"/>
                  <w:b/>
                  <w:i w:val="0"/>
                </w:rPr>
                <w:t>e-ISSN: 2622-1950</w:t>
              </w:r>
            </w:p>
          </w:sdtContent>
        </w:sdt>
      </w:tc>
    </w:tr>
  </w:tbl>
  <w:p w:rsidR="00A84AA6" w:rsidRPr="007B70B1" w:rsidRDefault="00A84AA6" w:rsidP="00D50408">
    <w:pPr>
      <w:pStyle w:val="Footer"/>
      <w:tabs>
        <w:tab w:val="right" w:pos="7938"/>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Judul1"/>
      <w:suff w:val="nothing"/>
      <w:lvlText w:val=""/>
      <w:lvlJc w:val="left"/>
      <w:pPr>
        <w:tabs>
          <w:tab w:val="num" w:pos="432"/>
        </w:tabs>
        <w:ind w:left="432" w:hanging="432"/>
      </w:pPr>
      <w:rPr>
        <w:rFonts w:ascii="Arial" w:eastAsia="Calibri" w:hAnsi="Arial" w:cs="Arial"/>
      </w:rPr>
    </w:lvl>
    <w:lvl w:ilvl="1">
      <w:start w:val="1"/>
      <w:numFmt w:val="none"/>
      <w:pStyle w:val="Judul2"/>
      <w:suff w:val="nothing"/>
      <w:lvlText w:val=""/>
      <w:lvlJc w:val="left"/>
      <w:pPr>
        <w:tabs>
          <w:tab w:val="num" w:pos="576"/>
        </w:tabs>
        <w:ind w:left="576" w:hanging="576"/>
      </w:pPr>
      <w:rPr>
        <w:rFonts w:ascii="Courier New" w:hAnsi="Courier New" w:cs="Courier New"/>
      </w:rPr>
    </w:lvl>
    <w:lvl w:ilvl="2">
      <w:start w:val="1"/>
      <w:numFmt w:val="none"/>
      <w:pStyle w:val="Judul3"/>
      <w:suff w:val="nothing"/>
      <w:lvlText w:val=""/>
      <w:lvlJc w:val="left"/>
      <w:pPr>
        <w:tabs>
          <w:tab w:val="num" w:pos="720"/>
        </w:tabs>
        <w:ind w:left="720" w:hanging="720"/>
      </w:pPr>
      <w:rPr>
        <w:rFonts w:ascii="Wingdings" w:hAnsi="Wingdings" w:cs="Wingdings"/>
      </w:rPr>
    </w:lvl>
    <w:lvl w:ilvl="3">
      <w:start w:val="1"/>
      <w:numFmt w:val="none"/>
      <w:pStyle w:val="Judul4"/>
      <w:suff w:val="nothing"/>
      <w:lvlText w:val=""/>
      <w:lvlJc w:val="left"/>
      <w:pPr>
        <w:tabs>
          <w:tab w:val="num" w:pos="864"/>
        </w:tabs>
        <w:ind w:left="864" w:hanging="864"/>
      </w:pPr>
      <w:rPr>
        <w:rFonts w:ascii="Symbol" w:hAnsi="Symbol" w:cs="Symbol"/>
      </w:rPr>
    </w:lvl>
    <w:lvl w:ilvl="4">
      <w:start w:val="1"/>
      <w:numFmt w:val="none"/>
      <w:pStyle w:val="Judul5"/>
      <w:suff w:val="nothing"/>
      <w:lvlText w:val=""/>
      <w:lvlJc w:val="left"/>
      <w:pPr>
        <w:tabs>
          <w:tab w:val="num" w:pos="1008"/>
        </w:tabs>
        <w:ind w:left="1008" w:hanging="1008"/>
      </w:pPr>
    </w:lvl>
    <w:lvl w:ilvl="5">
      <w:start w:val="1"/>
      <w:numFmt w:val="none"/>
      <w:pStyle w:val="Judul6"/>
      <w:suff w:val="nothing"/>
      <w:lvlText w:val=""/>
      <w:lvlJc w:val="left"/>
      <w:pPr>
        <w:tabs>
          <w:tab w:val="num" w:pos="1152"/>
        </w:tabs>
        <w:ind w:left="1152" w:hanging="1152"/>
      </w:pPr>
    </w:lvl>
    <w:lvl w:ilvl="6">
      <w:start w:val="1"/>
      <w:numFmt w:val="none"/>
      <w:pStyle w:val="Judul7"/>
      <w:suff w:val="nothing"/>
      <w:lvlText w:val=""/>
      <w:lvlJc w:val="left"/>
      <w:pPr>
        <w:tabs>
          <w:tab w:val="num" w:pos="1296"/>
        </w:tabs>
        <w:ind w:left="1296" w:hanging="1296"/>
      </w:pPr>
    </w:lvl>
    <w:lvl w:ilvl="7">
      <w:start w:val="1"/>
      <w:numFmt w:val="none"/>
      <w:pStyle w:val="Judul8"/>
      <w:suff w:val="nothing"/>
      <w:lvlText w:val=""/>
      <w:lvlJc w:val="left"/>
      <w:pPr>
        <w:tabs>
          <w:tab w:val="num" w:pos="1440"/>
        </w:tabs>
        <w:ind w:left="1440" w:hanging="1440"/>
      </w:pPr>
    </w:lvl>
    <w:lvl w:ilvl="8">
      <w:start w:val="1"/>
      <w:numFmt w:val="none"/>
      <w:pStyle w:val="Judul9"/>
      <w:suff w:val="nothing"/>
      <w:lvlText w:val=""/>
      <w:lvlJc w:val="left"/>
      <w:pPr>
        <w:tabs>
          <w:tab w:val="num" w:pos="1584"/>
        </w:tabs>
        <w:ind w:left="1584" w:hanging="1584"/>
      </w:pPr>
    </w:lvl>
  </w:abstractNum>
  <w:abstractNum w:abstractNumId="1" w15:restartNumberingAfterBreak="0">
    <w:nsid w:val="00000002"/>
    <w:multiLevelType w:val="singleLevel"/>
    <w:tmpl w:val="DC44DAC2"/>
    <w:name w:val="WW8Num2"/>
    <w:lvl w:ilvl="0">
      <w:start w:val="1"/>
      <w:numFmt w:val="decimal"/>
      <w:lvlText w:val="%1."/>
      <w:lvlJc w:val="left"/>
      <w:pPr>
        <w:tabs>
          <w:tab w:val="num" w:pos="0"/>
        </w:tabs>
        <w:ind w:left="720" w:hanging="360"/>
      </w:pPr>
      <w:rPr>
        <w:rFonts w:ascii="Arial" w:eastAsia="Calibri" w:hAnsi="Arial" w:cs="Arial"/>
        <w:b w:val="0"/>
      </w:r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rPr>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080" w:hanging="360"/>
      </w:pPr>
      <w:rPr>
        <w:rFonts w:ascii="Arial" w:hAnsi="Arial" w:cs="Arial"/>
        <w:b w:val="0"/>
        <w:i w:val="0"/>
        <w:sz w:val="24"/>
        <w:szCs w:val="24"/>
        <w:lang w:val="id-ID"/>
      </w:rPr>
    </w:lvl>
  </w:abstractNum>
  <w:abstractNum w:abstractNumId="4" w15:restartNumberingAfterBreak="0">
    <w:nsid w:val="00000005"/>
    <w:multiLevelType w:val="singleLevel"/>
    <w:tmpl w:val="FD02C97E"/>
    <w:name w:val="WW8Num5"/>
    <w:lvl w:ilvl="0">
      <w:start w:val="1"/>
      <w:numFmt w:val="decimal"/>
      <w:lvlText w:val="%1."/>
      <w:lvlJc w:val="left"/>
      <w:pPr>
        <w:tabs>
          <w:tab w:val="num" w:pos="0"/>
        </w:tabs>
        <w:ind w:left="1080" w:hanging="360"/>
      </w:pPr>
      <w:rPr>
        <w:rFonts w:ascii="Arial" w:hAnsi="Arial" w:cs="Arial"/>
        <w:b w:val="0"/>
        <w:i w:val="0"/>
        <w:sz w:val="24"/>
        <w:szCs w:val="24"/>
        <w:lang w:val="id-ID"/>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1080" w:hanging="360"/>
      </w:pPr>
    </w:lvl>
  </w:abstractNum>
  <w:abstractNum w:abstractNumId="6" w15:restartNumberingAfterBreak="0">
    <w:nsid w:val="00000009"/>
    <w:multiLevelType w:val="singleLevel"/>
    <w:tmpl w:val="00000009"/>
    <w:name w:val="WW8Num10"/>
    <w:lvl w:ilvl="0">
      <w:start w:val="1"/>
      <w:numFmt w:val="upperLetter"/>
      <w:lvlText w:val="%1."/>
      <w:lvlJc w:val="left"/>
      <w:pPr>
        <w:tabs>
          <w:tab w:val="num" w:pos="0"/>
        </w:tabs>
        <w:ind w:left="720" w:hanging="360"/>
      </w:pPr>
      <w:rPr>
        <w:b w:val="0"/>
      </w:rPr>
    </w:lvl>
  </w:abstractNum>
  <w:abstractNum w:abstractNumId="7"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cs="Arial"/>
      </w:rPr>
    </w:lvl>
  </w:abstractNum>
  <w:abstractNum w:abstractNumId="8"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Arial"/>
        <w:sz w:val="24"/>
        <w:szCs w:val="24"/>
        <w:lang w:val="id-ID"/>
      </w:rPr>
    </w:lvl>
    <w:lvl w:ilvl="1">
      <w:start w:val="1"/>
      <w:numFmt w:val="bullet"/>
      <w:lvlText w:val=""/>
      <w:lvlJc w:val="left"/>
      <w:pPr>
        <w:tabs>
          <w:tab w:val="num" w:pos="1080"/>
        </w:tabs>
        <w:ind w:left="1080" w:hanging="360"/>
      </w:pPr>
      <w:rPr>
        <w:rFonts w:ascii="Symbol" w:hAnsi="Symbol" w:cs="Arial"/>
        <w:sz w:val="24"/>
        <w:szCs w:val="24"/>
        <w:lang w:val="id-ID"/>
      </w:rPr>
    </w:lvl>
    <w:lvl w:ilvl="2">
      <w:start w:val="1"/>
      <w:numFmt w:val="bullet"/>
      <w:lvlText w:val=""/>
      <w:lvlJc w:val="left"/>
      <w:pPr>
        <w:tabs>
          <w:tab w:val="num" w:pos="1440"/>
        </w:tabs>
        <w:ind w:left="1440" w:hanging="360"/>
      </w:pPr>
      <w:rPr>
        <w:rFonts w:ascii="Symbol" w:hAnsi="Symbol" w:cs="Arial"/>
        <w:sz w:val="24"/>
        <w:szCs w:val="24"/>
        <w:lang w:val="id-ID"/>
      </w:rPr>
    </w:lvl>
    <w:lvl w:ilvl="3">
      <w:start w:val="1"/>
      <w:numFmt w:val="bullet"/>
      <w:lvlText w:val=""/>
      <w:lvlJc w:val="left"/>
      <w:pPr>
        <w:tabs>
          <w:tab w:val="num" w:pos="1800"/>
        </w:tabs>
        <w:ind w:left="1800" w:hanging="360"/>
      </w:pPr>
      <w:rPr>
        <w:rFonts w:ascii="Symbol" w:hAnsi="Symbol" w:cs="Arial"/>
        <w:sz w:val="24"/>
        <w:szCs w:val="24"/>
        <w:lang w:val="id-ID"/>
      </w:rPr>
    </w:lvl>
    <w:lvl w:ilvl="4">
      <w:start w:val="1"/>
      <w:numFmt w:val="bullet"/>
      <w:lvlText w:val=""/>
      <w:lvlJc w:val="left"/>
      <w:pPr>
        <w:tabs>
          <w:tab w:val="num" w:pos="2160"/>
        </w:tabs>
        <w:ind w:left="2160" w:hanging="360"/>
      </w:pPr>
      <w:rPr>
        <w:rFonts w:ascii="Symbol" w:hAnsi="Symbol" w:cs="Arial"/>
        <w:sz w:val="24"/>
        <w:szCs w:val="24"/>
        <w:lang w:val="id-ID"/>
      </w:rPr>
    </w:lvl>
    <w:lvl w:ilvl="5">
      <w:start w:val="1"/>
      <w:numFmt w:val="bullet"/>
      <w:lvlText w:val=""/>
      <w:lvlJc w:val="left"/>
      <w:pPr>
        <w:tabs>
          <w:tab w:val="num" w:pos="2520"/>
        </w:tabs>
        <w:ind w:left="2520" w:hanging="360"/>
      </w:pPr>
      <w:rPr>
        <w:rFonts w:ascii="Symbol" w:hAnsi="Symbol" w:cs="Arial"/>
        <w:sz w:val="24"/>
        <w:szCs w:val="24"/>
        <w:lang w:val="id-ID"/>
      </w:rPr>
    </w:lvl>
    <w:lvl w:ilvl="6">
      <w:start w:val="1"/>
      <w:numFmt w:val="bullet"/>
      <w:lvlText w:val=""/>
      <w:lvlJc w:val="left"/>
      <w:pPr>
        <w:tabs>
          <w:tab w:val="num" w:pos="2880"/>
        </w:tabs>
        <w:ind w:left="2880" w:hanging="360"/>
      </w:pPr>
      <w:rPr>
        <w:rFonts w:ascii="Symbol" w:hAnsi="Symbol" w:cs="Arial"/>
        <w:sz w:val="24"/>
        <w:szCs w:val="24"/>
        <w:lang w:val="id-ID"/>
      </w:rPr>
    </w:lvl>
    <w:lvl w:ilvl="7">
      <w:start w:val="1"/>
      <w:numFmt w:val="bullet"/>
      <w:lvlText w:val=""/>
      <w:lvlJc w:val="left"/>
      <w:pPr>
        <w:tabs>
          <w:tab w:val="num" w:pos="3240"/>
        </w:tabs>
        <w:ind w:left="3240" w:hanging="360"/>
      </w:pPr>
      <w:rPr>
        <w:rFonts w:ascii="Symbol" w:hAnsi="Symbol" w:cs="Arial"/>
        <w:sz w:val="24"/>
        <w:szCs w:val="24"/>
        <w:lang w:val="id-ID"/>
      </w:rPr>
    </w:lvl>
    <w:lvl w:ilvl="8">
      <w:start w:val="1"/>
      <w:numFmt w:val="bullet"/>
      <w:lvlText w:val=""/>
      <w:lvlJc w:val="left"/>
      <w:pPr>
        <w:tabs>
          <w:tab w:val="num" w:pos="3600"/>
        </w:tabs>
        <w:ind w:left="3600" w:hanging="360"/>
      </w:pPr>
      <w:rPr>
        <w:rFonts w:ascii="Symbol" w:hAnsi="Symbol" w:cs="Arial"/>
        <w:sz w:val="24"/>
        <w:szCs w:val="24"/>
        <w:lang w:val="id-ID"/>
      </w:rPr>
    </w:lvl>
  </w:abstractNum>
  <w:abstractNum w:abstractNumId="9" w15:restartNumberingAfterBreak="0">
    <w:nsid w:val="0000000C"/>
    <w:multiLevelType w:val="singleLevel"/>
    <w:tmpl w:val="0000000C"/>
    <w:name w:val="WW8Num13"/>
    <w:lvl w:ilvl="0">
      <w:start w:val="1"/>
      <w:numFmt w:val="upperLetter"/>
      <w:lvlText w:val="%1."/>
      <w:lvlJc w:val="left"/>
      <w:pPr>
        <w:tabs>
          <w:tab w:val="num" w:pos="0"/>
        </w:tabs>
        <w:ind w:left="927" w:hanging="360"/>
      </w:pPr>
      <w:rPr>
        <w:b/>
      </w:rPr>
    </w:lvl>
  </w:abstractNum>
  <w:abstractNum w:abstractNumId="10" w15:restartNumberingAfterBreak="0">
    <w:nsid w:val="0000000D"/>
    <w:multiLevelType w:val="singleLevel"/>
    <w:tmpl w:val="0000000D"/>
    <w:name w:val="WW8Num15"/>
    <w:lvl w:ilvl="0">
      <w:start w:val="1"/>
      <w:numFmt w:val="decimal"/>
      <w:lvlText w:val="%1."/>
      <w:lvlJc w:val="left"/>
      <w:pPr>
        <w:tabs>
          <w:tab w:val="num" w:pos="0"/>
        </w:tabs>
        <w:ind w:left="720" w:hanging="360"/>
      </w:pPr>
      <w:rPr>
        <w:b/>
      </w:rPr>
    </w:lvl>
  </w:abstractNum>
  <w:abstractNum w:abstractNumId="11" w15:restartNumberingAfterBreak="0">
    <w:nsid w:val="0000000F"/>
    <w:multiLevelType w:val="singleLevel"/>
    <w:tmpl w:val="0000000F"/>
    <w:name w:val="WW8Num18"/>
    <w:lvl w:ilvl="0">
      <w:start w:val="1"/>
      <w:numFmt w:val="upperLetter"/>
      <w:lvlText w:val="%1."/>
      <w:lvlJc w:val="left"/>
      <w:pPr>
        <w:tabs>
          <w:tab w:val="num" w:pos="0"/>
        </w:tabs>
        <w:ind w:left="720" w:hanging="360"/>
      </w:pPr>
      <w:rPr>
        <w:rFonts w:ascii="Arial" w:hAnsi="Arial" w:cs="Arial" w:hint="default"/>
        <w:b/>
        <w:i w:val="0"/>
        <w:sz w:val="22"/>
        <w:szCs w:val="22"/>
        <w:lang w:val="id-ID"/>
      </w:rPr>
    </w:lvl>
  </w:abstractNum>
  <w:abstractNum w:abstractNumId="12" w15:restartNumberingAfterBreak="0">
    <w:nsid w:val="00000011"/>
    <w:multiLevelType w:val="singleLevel"/>
    <w:tmpl w:val="00000011"/>
    <w:name w:val="WW8Num22"/>
    <w:lvl w:ilvl="0">
      <w:start w:val="1"/>
      <w:numFmt w:val="decimal"/>
      <w:lvlText w:val="%1."/>
      <w:lvlJc w:val="left"/>
      <w:pPr>
        <w:tabs>
          <w:tab w:val="num" w:pos="0"/>
        </w:tabs>
        <w:ind w:left="720" w:hanging="360"/>
      </w:pPr>
      <w:rPr>
        <w:rFonts w:hint="default"/>
      </w:rPr>
    </w:lvl>
  </w:abstractNum>
  <w:abstractNum w:abstractNumId="13" w15:restartNumberingAfterBreak="0">
    <w:nsid w:val="00000012"/>
    <w:multiLevelType w:val="singleLevel"/>
    <w:tmpl w:val="00000012"/>
    <w:name w:val="WW8Num24"/>
    <w:lvl w:ilvl="0">
      <w:start w:val="1"/>
      <w:numFmt w:val="decimal"/>
      <w:lvlText w:val="%1."/>
      <w:lvlJc w:val="left"/>
      <w:pPr>
        <w:tabs>
          <w:tab w:val="num" w:pos="0"/>
        </w:tabs>
        <w:ind w:left="720" w:hanging="360"/>
      </w:pPr>
      <w:rPr>
        <w:rFonts w:hint="default"/>
      </w:rPr>
    </w:lvl>
  </w:abstractNum>
  <w:abstractNum w:abstractNumId="14" w15:restartNumberingAfterBreak="0">
    <w:nsid w:val="00000013"/>
    <w:multiLevelType w:val="singleLevel"/>
    <w:tmpl w:val="00000013"/>
    <w:name w:val="WW8Num25"/>
    <w:lvl w:ilvl="0">
      <w:start w:val="1"/>
      <w:numFmt w:val="decimal"/>
      <w:lvlText w:val="%1."/>
      <w:lvlJc w:val="left"/>
      <w:pPr>
        <w:tabs>
          <w:tab w:val="num" w:pos="0"/>
        </w:tabs>
        <w:ind w:left="720" w:hanging="360"/>
      </w:pPr>
      <w:rPr>
        <w:rFonts w:hint="default"/>
      </w:rPr>
    </w:lvl>
  </w:abstractNum>
  <w:abstractNum w:abstractNumId="15" w15:restartNumberingAfterBreak="0">
    <w:nsid w:val="00000014"/>
    <w:multiLevelType w:val="singleLevel"/>
    <w:tmpl w:val="6EC4DF00"/>
    <w:name w:val="WW8Num26"/>
    <w:lvl w:ilvl="0">
      <w:start w:val="1"/>
      <w:numFmt w:val="decimal"/>
      <w:lvlText w:val="%1."/>
      <w:lvlJc w:val="left"/>
      <w:pPr>
        <w:tabs>
          <w:tab w:val="num" w:pos="0"/>
        </w:tabs>
        <w:ind w:left="720" w:hanging="360"/>
      </w:pPr>
      <w:rPr>
        <w:rFonts w:ascii="Arial" w:eastAsia="Calibri" w:hAnsi="Arial" w:cs="Arial"/>
      </w:rPr>
    </w:lvl>
  </w:abstractNum>
  <w:abstractNum w:abstractNumId="16" w15:restartNumberingAfterBreak="0">
    <w:nsid w:val="00000015"/>
    <w:multiLevelType w:val="singleLevel"/>
    <w:tmpl w:val="00000015"/>
    <w:name w:val="WW8Num29"/>
    <w:lvl w:ilvl="0">
      <w:start w:val="1"/>
      <w:numFmt w:val="bullet"/>
      <w:lvlText w:val="-"/>
      <w:lvlJc w:val="left"/>
      <w:pPr>
        <w:tabs>
          <w:tab w:val="num" w:pos="0"/>
        </w:tabs>
        <w:ind w:left="720" w:hanging="360"/>
      </w:pPr>
      <w:rPr>
        <w:rFonts w:ascii="Arial" w:hAnsi="Arial" w:cs="Arial" w:hint="default"/>
      </w:rPr>
    </w:lvl>
  </w:abstractNum>
  <w:abstractNum w:abstractNumId="17" w15:restartNumberingAfterBreak="0">
    <w:nsid w:val="00000016"/>
    <w:multiLevelType w:val="singleLevel"/>
    <w:tmpl w:val="00000016"/>
    <w:name w:val="WW8Num31"/>
    <w:lvl w:ilvl="0">
      <w:numFmt w:val="bullet"/>
      <w:lvlText w:val="-"/>
      <w:lvlJc w:val="left"/>
      <w:pPr>
        <w:tabs>
          <w:tab w:val="num" w:pos="0"/>
        </w:tabs>
        <w:ind w:left="720" w:hanging="360"/>
      </w:pPr>
      <w:rPr>
        <w:rFonts w:ascii="Arial" w:hAnsi="Arial" w:cs="Arial" w:hint="default"/>
      </w:rPr>
    </w:lvl>
  </w:abstractNum>
  <w:abstractNum w:abstractNumId="18" w15:restartNumberingAfterBreak="0">
    <w:nsid w:val="00000017"/>
    <w:multiLevelType w:val="singleLevel"/>
    <w:tmpl w:val="00000017"/>
    <w:name w:val="WW8Num32"/>
    <w:lvl w:ilvl="0">
      <w:start w:val="1"/>
      <w:numFmt w:val="decimal"/>
      <w:lvlText w:val="%1."/>
      <w:lvlJc w:val="left"/>
      <w:pPr>
        <w:tabs>
          <w:tab w:val="num" w:pos="0"/>
        </w:tabs>
        <w:ind w:left="720" w:hanging="360"/>
      </w:pPr>
      <w:rPr>
        <w:rFonts w:hint="default"/>
      </w:rPr>
    </w:lvl>
  </w:abstractNum>
  <w:abstractNum w:abstractNumId="19" w15:restartNumberingAfterBreak="0">
    <w:nsid w:val="00000018"/>
    <w:multiLevelType w:val="singleLevel"/>
    <w:tmpl w:val="00000018"/>
    <w:name w:val="WW8Num33"/>
    <w:lvl w:ilvl="0">
      <w:start w:val="1"/>
      <w:numFmt w:val="decimal"/>
      <w:lvlText w:val="%1."/>
      <w:lvlJc w:val="left"/>
      <w:pPr>
        <w:tabs>
          <w:tab w:val="num" w:pos="0"/>
        </w:tabs>
        <w:ind w:left="720" w:hanging="360"/>
      </w:pPr>
      <w:rPr>
        <w:rFonts w:ascii="Arial" w:hAnsi="Arial" w:cs="Arial" w:hint="default"/>
        <w:b/>
        <w:i w:val="0"/>
        <w:sz w:val="22"/>
        <w:szCs w:val="22"/>
        <w:lang w:val="id-ID"/>
      </w:rPr>
    </w:lvl>
  </w:abstractNum>
  <w:abstractNum w:abstractNumId="20" w15:restartNumberingAfterBreak="0">
    <w:nsid w:val="00000019"/>
    <w:multiLevelType w:val="singleLevel"/>
    <w:tmpl w:val="00000019"/>
    <w:name w:val="WW8Num35"/>
    <w:lvl w:ilvl="0">
      <w:start w:val="1"/>
      <w:numFmt w:val="decimal"/>
      <w:lvlText w:val="%1."/>
      <w:lvlJc w:val="left"/>
      <w:pPr>
        <w:tabs>
          <w:tab w:val="num" w:pos="0"/>
        </w:tabs>
        <w:ind w:left="720" w:hanging="360"/>
      </w:pPr>
      <w:rPr>
        <w:rFonts w:hint="default"/>
      </w:rPr>
    </w:lvl>
  </w:abstractNum>
  <w:abstractNum w:abstractNumId="21" w15:restartNumberingAfterBreak="0">
    <w:nsid w:val="10BA5761"/>
    <w:multiLevelType w:val="hybridMultilevel"/>
    <w:tmpl w:val="F98C22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1E4B6083"/>
    <w:multiLevelType w:val="hybridMultilevel"/>
    <w:tmpl w:val="CA18823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36604921"/>
    <w:multiLevelType w:val="hybridMultilevel"/>
    <w:tmpl w:val="DC60F494"/>
    <w:lvl w:ilvl="0" w:tplc="9326A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25" w15:restartNumberingAfterBreak="0">
    <w:nsid w:val="42C00A0C"/>
    <w:multiLevelType w:val="hybridMultilevel"/>
    <w:tmpl w:val="292860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7F8387A"/>
    <w:multiLevelType w:val="hybridMultilevel"/>
    <w:tmpl w:val="16F040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8D35CAE"/>
    <w:multiLevelType w:val="hybridMultilevel"/>
    <w:tmpl w:val="60A62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BD7BC3"/>
    <w:multiLevelType w:val="hybridMultilevel"/>
    <w:tmpl w:val="92C28652"/>
    <w:lvl w:ilvl="0" w:tplc="7556FE62">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3"/>
  </w:num>
  <w:num w:numId="4">
    <w:abstractNumId w:val="21"/>
  </w:num>
  <w:num w:numId="5">
    <w:abstractNumId w:val="28"/>
  </w:num>
  <w:num w:numId="6">
    <w:abstractNumId w:val="25"/>
  </w:num>
  <w:num w:numId="7">
    <w:abstractNumId w:val="22"/>
  </w:num>
  <w:num w:numId="8">
    <w:abstractNumId w:val="26"/>
  </w:num>
  <w:num w:numId="9">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embedSystemFonts/>
  <w:hideSpellingError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C4F"/>
    <w:rsid w:val="000012D4"/>
    <w:rsid w:val="000019C6"/>
    <w:rsid w:val="000022C9"/>
    <w:rsid w:val="00010A81"/>
    <w:rsid w:val="000202D6"/>
    <w:rsid w:val="00020611"/>
    <w:rsid w:val="00021B1A"/>
    <w:rsid w:val="000234C1"/>
    <w:rsid w:val="00023A60"/>
    <w:rsid w:val="00033854"/>
    <w:rsid w:val="00035519"/>
    <w:rsid w:val="00036133"/>
    <w:rsid w:val="00036A2B"/>
    <w:rsid w:val="000405D2"/>
    <w:rsid w:val="0004126F"/>
    <w:rsid w:val="000426C8"/>
    <w:rsid w:val="00050439"/>
    <w:rsid w:val="00050B59"/>
    <w:rsid w:val="00051484"/>
    <w:rsid w:val="00055BF7"/>
    <w:rsid w:val="00065B48"/>
    <w:rsid w:val="00065FAD"/>
    <w:rsid w:val="00067624"/>
    <w:rsid w:val="0007179B"/>
    <w:rsid w:val="00072C6C"/>
    <w:rsid w:val="00073F22"/>
    <w:rsid w:val="00077797"/>
    <w:rsid w:val="00081140"/>
    <w:rsid w:val="00086A3D"/>
    <w:rsid w:val="00086EB6"/>
    <w:rsid w:val="000922D1"/>
    <w:rsid w:val="00095B51"/>
    <w:rsid w:val="00096854"/>
    <w:rsid w:val="000A123C"/>
    <w:rsid w:val="000A6B7D"/>
    <w:rsid w:val="000A7DE1"/>
    <w:rsid w:val="000A7FC2"/>
    <w:rsid w:val="000B00B0"/>
    <w:rsid w:val="000B1BF9"/>
    <w:rsid w:val="000B2D14"/>
    <w:rsid w:val="000C2A6A"/>
    <w:rsid w:val="000C3E7D"/>
    <w:rsid w:val="000C4F78"/>
    <w:rsid w:val="000D7EB9"/>
    <w:rsid w:val="000E4F48"/>
    <w:rsid w:val="000F03B4"/>
    <w:rsid w:val="000F3870"/>
    <w:rsid w:val="000F3D98"/>
    <w:rsid w:val="000F4DEE"/>
    <w:rsid w:val="00102FC7"/>
    <w:rsid w:val="00106191"/>
    <w:rsid w:val="00110BDE"/>
    <w:rsid w:val="00113416"/>
    <w:rsid w:val="00113FE5"/>
    <w:rsid w:val="00114875"/>
    <w:rsid w:val="001173F2"/>
    <w:rsid w:val="00124A6E"/>
    <w:rsid w:val="00127046"/>
    <w:rsid w:val="00136B06"/>
    <w:rsid w:val="00137AFC"/>
    <w:rsid w:val="00141B33"/>
    <w:rsid w:val="00145302"/>
    <w:rsid w:val="00147305"/>
    <w:rsid w:val="001532AD"/>
    <w:rsid w:val="00155D5C"/>
    <w:rsid w:val="00172CBF"/>
    <w:rsid w:val="00176658"/>
    <w:rsid w:val="001804E4"/>
    <w:rsid w:val="001816EE"/>
    <w:rsid w:val="001936B7"/>
    <w:rsid w:val="00193F21"/>
    <w:rsid w:val="00196C2F"/>
    <w:rsid w:val="001B453F"/>
    <w:rsid w:val="001B4DE4"/>
    <w:rsid w:val="001C6BBE"/>
    <w:rsid w:val="001C7693"/>
    <w:rsid w:val="001C7CA1"/>
    <w:rsid w:val="001E4A6A"/>
    <w:rsid w:val="001F0084"/>
    <w:rsid w:val="002106D9"/>
    <w:rsid w:val="00214A9A"/>
    <w:rsid w:val="00217FAE"/>
    <w:rsid w:val="0023054B"/>
    <w:rsid w:val="00241F80"/>
    <w:rsid w:val="002471A3"/>
    <w:rsid w:val="002527E7"/>
    <w:rsid w:val="00256356"/>
    <w:rsid w:val="002570F1"/>
    <w:rsid w:val="0026049F"/>
    <w:rsid w:val="00260DCD"/>
    <w:rsid w:val="00264282"/>
    <w:rsid w:val="0027072F"/>
    <w:rsid w:val="00271886"/>
    <w:rsid w:val="0027597A"/>
    <w:rsid w:val="002818E5"/>
    <w:rsid w:val="002819F0"/>
    <w:rsid w:val="00282435"/>
    <w:rsid w:val="00286207"/>
    <w:rsid w:val="00293AB6"/>
    <w:rsid w:val="002A71FA"/>
    <w:rsid w:val="002B194A"/>
    <w:rsid w:val="002B6C0D"/>
    <w:rsid w:val="002B74AF"/>
    <w:rsid w:val="002C0037"/>
    <w:rsid w:val="002C3E7C"/>
    <w:rsid w:val="002C402F"/>
    <w:rsid w:val="002D080C"/>
    <w:rsid w:val="002D5C52"/>
    <w:rsid w:val="002E26CC"/>
    <w:rsid w:val="002F0841"/>
    <w:rsid w:val="002F2064"/>
    <w:rsid w:val="002F3EB0"/>
    <w:rsid w:val="003024A8"/>
    <w:rsid w:val="00306030"/>
    <w:rsid w:val="0030623E"/>
    <w:rsid w:val="00306B8E"/>
    <w:rsid w:val="00313CEB"/>
    <w:rsid w:val="00314524"/>
    <w:rsid w:val="0031528F"/>
    <w:rsid w:val="00323594"/>
    <w:rsid w:val="00335EFA"/>
    <w:rsid w:val="00336827"/>
    <w:rsid w:val="003374BE"/>
    <w:rsid w:val="00341689"/>
    <w:rsid w:val="0035708A"/>
    <w:rsid w:val="00360B28"/>
    <w:rsid w:val="00367A6D"/>
    <w:rsid w:val="00367C80"/>
    <w:rsid w:val="003712A6"/>
    <w:rsid w:val="00380B3F"/>
    <w:rsid w:val="00386C14"/>
    <w:rsid w:val="00387F4C"/>
    <w:rsid w:val="003913B1"/>
    <w:rsid w:val="00394770"/>
    <w:rsid w:val="00395FB6"/>
    <w:rsid w:val="003961BA"/>
    <w:rsid w:val="003A218F"/>
    <w:rsid w:val="003A516E"/>
    <w:rsid w:val="003A5234"/>
    <w:rsid w:val="003A657E"/>
    <w:rsid w:val="003C0440"/>
    <w:rsid w:val="003C1163"/>
    <w:rsid w:val="003C11BF"/>
    <w:rsid w:val="003C292F"/>
    <w:rsid w:val="003C6C62"/>
    <w:rsid w:val="003D04EE"/>
    <w:rsid w:val="003D3973"/>
    <w:rsid w:val="003D705B"/>
    <w:rsid w:val="003E085A"/>
    <w:rsid w:val="003E2C71"/>
    <w:rsid w:val="003F0611"/>
    <w:rsid w:val="003F3455"/>
    <w:rsid w:val="003F4DB4"/>
    <w:rsid w:val="00401D6D"/>
    <w:rsid w:val="00402E3C"/>
    <w:rsid w:val="0041443F"/>
    <w:rsid w:val="00414559"/>
    <w:rsid w:val="00422203"/>
    <w:rsid w:val="004231A8"/>
    <w:rsid w:val="0043022B"/>
    <w:rsid w:val="00433EAB"/>
    <w:rsid w:val="00436697"/>
    <w:rsid w:val="00444348"/>
    <w:rsid w:val="00457FFB"/>
    <w:rsid w:val="0046089A"/>
    <w:rsid w:val="004624E3"/>
    <w:rsid w:val="004631BC"/>
    <w:rsid w:val="004635CF"/>
    <w:rsid w:val="00464A19"/>
    <w:rsid w:val="00471CD1"/>
    <w:rsid w:val="00472C88"/>
    <w:rsid w:val="00474DC3"/>
    <w:rsid w:val="004762DE"/>
    <w:rsid w:val="004767A5"/>
    <w:rsid w:val="00481C8F"/>
    <w:rsid w:val="004905C0"/>
    <w:rsid w:val="00490C1F"/>
    <w:rsid w:val="0049114D"/>
    <w:rsid w:val="0049189F"/>
    <w:rsid w:val="00496B03"/>
    <w:rsid w:val="004A12EB"/>
    <w:rsid w:val="004A2114"/>
    <w:rsid w:val="004B19FC"/>
    <w:rsid w:val="004B433B"/>
    <w:rsid w:val="004B7732"/>
    <w:rsid w:val="004C67D2"/>
    <w:rsid w:val="004D0F6A"/>
    <w:rsid w:val="004D216A"/>
    <w:rsid w:val="004D6955"/>
    <w:rsid w:val="004D779C"/>
    <w:rsid w:val="004E3390"/>
    <w:rsid w:val="004E6798"/>
    <w:rsid w:val="004F0385"/>
    <w:rsid w:val="004F308E"/>
    <w:rsid w:val="005042FC"/>
    <w:rsid w:val="005108DB"/>
    <w:rsid w:val="00516B50"/>
    <w:rsid w:val="00524A50"/>
    <w:rsid w:val="00526576"/>
    <w:rsid w:val="00527B79"/>
    <w:rsid w:val="00531437"/>
    <w:rsid w:val="00531827"/>
    <w:rsid w:val="0053225F"/>
    <w:rsid w:val="005334E3"/>
    <w:rsid w:val="00540076"/>
    <w:rsid w:val="005468A3"/>
    <w:rsid w:val="0055783C"/>
    <w:rsid w:val="00561F3E"/>
    <w:rsid w:val="005673DF"/>
    <w:rsid w:val="00571D5F"/>
    <w:rsid w:val="00580016"/>
    <w:rsid w:val="005868C8"/>
    <w:rsid w:val="00592F3B"/>
    <w:rsid w:val="005941ED"/>
    <w:rsid w:val="0059476C"/>
    <w:rsid w:val="00597B15"/>
    <w:rsid w:val="005A4562"/>
    <w:rsid w:val="005A5AA6"/>
    <w:rsid w:val="005A7C47"/>
    <w:rsid w:val="005B0E75"/>
    <w:rsid w:val="005B73D0"/>
    <w:rsid w:val="005B7D6C"/>
    <w:rsid w:val="005C098D"/>
    <w:rsid w:val="005C56B0"/>
    <w:rsid w:val="005C61CA"/>
    <w:rsid w:val="005C745D"/>
    <w:rsid w:val="005E2226"/>
    <w:rsid w:val="005F57C0"/>
    <w:rsid w:val="00601923"/>
    <w:rsid w:val="006033DA"/>
    <w:rsid w:val="006143A8"/>
    <w:rsid w:val="0061455A"/>
    <w:rsid w:val="006145C1"/>
    <w:rsid w:val="006232F7"/>
    <w:rsid w:val="00623F2A"/>
    <w:rsid w:val="00625C59"/>
    <w:rsid w:val="006308E9"/>
    <w:rsid w:val="0063241A"/>
    <w:rsid w:val="006328AA"/>
    <w:rsid w:val="0063596D"/>
    <w:rsid w:val="0063640C"/>
    <w:rsid w:val="0064025E"/>
    <w:rsid w:val="00643F5C"/>
    <w:rsid w:val="00647FAA"/>
    <w:rsid w:val="00655B39"/>
    <w:rsid w:val="0066720D"/>
    <w:rsid w:val="00674DC2"/>
    <w:rsid w:val="006778A9"/>
    <w:rsid w:val="00681EC4"/>
    <w:rsid w:val="006837B4"/>
    <w:rsid w:val="006856BD"/>
    <w:rsid w:val="00694498"/>
    <w:rsid w:val="00695A98"/>
    <w:rsid w:val="006A08C0"/>
    <w:rsid w:val="006A1AC6"/>
    <w:rsid w:val="006A3703"/>
    <w:rsid w:val="006A4988"/>
    <w:rsid w:val="006B08CA"/>
    <w:rsid w:val="006B7ADD"/>
    <w:rsid w:val="006B7C0D"/>
    <w:rsid w:val="006C6FEA"/>
    <w:rsid w:val="006D0A5D"/>
    <w:rsid w:val="006D2553"/>
    <w:rsid w:val="006D6234"/>
    <w:rsid w:val="006E47DF"/>
    <w:rsid w:val="006F546A"/>
    <w:rsid w:val="00710E86"/>
    <w:rsid w:val="00712C3E"/>
    <w:rsid w:val="0071577B"/>
    <w:rsid w:val="007159DB"/>
    <w:rsid w:val="00715E35"/>
    <w:rsid w:val="00722AF2"/>
    <w:rsid w:val="007232CF"/>
    <w:rsid w:val="00725562"/>
    <w:rsid w:val="00726C4B"/>
    <w:rsid w:val="0073256B"/>
    <w:rsid w:val="00733FE8"/>
    <w:rsid w:val="007415FE"/>
    <w:rsid w:val="007429A1"/>
    <w:rsid w:val="00743847"/>
    <w:rsid w:val="007450B1"/>
    <w:rsid w:val="007569DF"/>
    <w:rsid w:val="00757D4E"/>
    <w:rsid w:val="00760DF9"/>
    <w:rsid w:val="00775541"/>
    <w:rsid w:val="00790F07"/>
    <w:rsid w:val="0079181F"/>
    <w:rsid w:val="00794EA4"/>
    <w:rsid w:val="007A1E8B"/>
    <w:rsid w:val="007A212C"/>
    <w:rsid w:val="007A2C84"/>
    <w:rsid w:val="007A30A6"/>
    <w:rsid w:val="007A3DB6"/>
    <w:rsid w:val="007A746D"/>
    <w:rsid w:val="007B373E"/>
    <w:rsid w:val="007B42C2"/>
    <w:rsid w:val="007B682E"/>
    <w:rsid w:val="007C0356"/>
    <w:rsid w:val="007C4184"/>
    <w:rsid w:val="007C5E26"/>
    <w:rsid w:val="007C6722"/>
    <w:rsid w:val="007D0A0B"/>
    <w:rsid w:val="007E29D2"/>
    <w:rsid w:val="007E3242"/>
    <w:rsid w:val="007E58AC"/>
    <w:rsid w:val="007E5D79"/>
    <w:rsid w:val="007F1157"/>
    <w:rsid w:val="007F1BDA"/>
    <w:rsid w:val="007F55CA"/>
    <w:rsid w:val="008031FB"/>
    <w:rsid w:val="00804BA7"/>
    <w:rsid w:val="00810422"/>
    <w:rsid w:val="00814D8A"/>
    <w:rsid w:val="00816970"/>
    <w:rsid w:val="008310E8"/>
    <w:rsid w:val="00836C64"/>
    <w:rsid w:val="008445AF"/>
    <w:rsid w:val="008460EF"/>
    <w:rsid w:val="008502D3"/>
    <w:rsid w:val="008560C6"/>
    <w:rsid w:val="00857C28"/>
    <w:rsid w:val="00874711"/>
    <w:rsid w:val="0087651F"/>
    <w:rsid w:val="0089349F"/>
    <w:rsid w:val="008A4BA9"/>
    <w:rsid w:val="008A4DE6"/>
    <w:rsid w:val="008A5D75"/>
    <w:rsid w:val="008B200A"/>
    <w:rsid w:val="008C169D"/>
    <w:rsid w:val="008C63C1"/>
    <w:rsid w:val="008D2B16"/>
    <w:rsid w:val="008D347E"/>
    <w:rsid w:val="008D3578"/>
    <w:rsid w:val="008D3B0E"/>
    <w:rsid w:val="008D5F14"/>
    <w:rsid w:val="008D72FA"/>
    <w:rsid w:val="008E12E3"/>
    <w:rsid w:val="008F16D8"/>
    <w:rsid w:val="008F3A78"/>
    <w:rsid w:val="008F61F5"/>
    <w:rsid w:val="008F6A05"/>
    <w:rsid w:val="00900DE2"/>
    <w:rsid w:val="00902A54"/>
    <w:rsid w:val="009044BB"/>
    <w:rsid w:val="00905A83"/>
    <w:rsid w:val="0091238B"/>
    <w:rsid w:val="00922F4F"/>
    <w:rsid w:val="00933479"/>
    <w:rsid w:val="00934248"/>
    <w:rsid w:val="009367F4"/>
    <w:rsid w:val="009419E9"/>
    <w:rsid w:val="00943537"/>
    <w:rsid w:val="00950103"/>
    <w:rsid w:val="009515DE"/>
    <w:rsid w:val="00952459"/>
    <w:rsid w:val="00961D2B"/>
    <w:rsid w:val="00967847"/>
    <w:rsid w:val="009746CD"/>
    <w:rsid w:val="009757DC"/>
    <w:rsid w:val="009767FC"/>
    <w:rsid w:val="0098530E"/>
    <w:rsid w:val="00985688"/>
    <w:rsid w:val="00987A0D"/>
    <w:rsid w:val="00992056"/>
    <w:rsid w:val="009A0D60"/>
    <w:rsid w:val="009A1BB7"/>
    <w:rsid w:val="009A4119"/>
    <w:rsid w:val="009A42CA"/>
    <w:rsid w:val="009A4D07"/>
    <w:rsid w:val="009A57C9"/>
    <w:rsid w:val="009B0ABB"/>
    <w:rsid w:val="009B0BE9"/>
    <w:rsid w:val="009B2A2E"/>
    <w:rsid w:val="009B32A1"/>
    <w:rsid w:val="009B5C12"/>
    <w:rsid w:val="009C4A9F"/>
    <w:rsid w:val="009E2CC9"/>
    <w:rsid w:val="009E54D6"/>
    <w:rsid w:val="009E5C94"/>
    <w:rsid w:val="009E7A1E"/>
    <w:rsid w:val="009F0E2D"/>
    <w:rsid w:val="009F2E02"/>
    <w:rsid w:val="00A07616"/>
    <w:rsid w:val="00A11412"/>
    <w:rsid w:val="00A13496"/>
    <w:rsid w:val="00A16467"/>
    <w:rsid w:val="00A211AE"/>
    <w:rsid w:val="00A222CC"/>
    <w:rsid w:val="00A25ECB"/>
    <w:rsid w:val="00A32E06"/>
    <w:rsid w:val="00A3707D"/>
    <w:rsid w:val="00A503F0"/>
    <w:rsid w:val="00A51C68"/>
    <w:rsid w:val="00A53F13"/>
    <w:rsid w:val="00A64876"/>
    <w:rsid w:val="00A67BDD"/>
    <w:rsid w:val="00A82A8E"/>
    <w:rsid w:val="00A82C82"/>
    <w:rsid w:val="00A84AA6"/>
    <w:rsid w:val="00A85364"/>
    <w:rsid w:val="00A86BEF"/>
    <w:rsid w:val="00A94AD2"/>
    <w:rsid w:val="00AA4510"/>
    <w:rsid w:val="00AA70C3"/>
    <w:rsid w:val="00AB0D07"/>
    <w:rsid w:val="00AB143C"/>
    <w:rsid w:val="00AB1F41"/>
    <w:rsid w:val="00AB424B"/>
    <w:rsid w:val="00AC318B"/>
    <w:rsid w:val="00AD0801"/>
    <w:rsid w:val="00AD29B4"/>
    <w:rsid w:val="00AE2177"/>
    <w:rsid w:val="00AE2330"/>
    <w:rsid w:val="00AE362C"/>
    <w:rsid w:val="00AE78BB"/>
    <w:rsid w:val="00AF443A"/>
    <w:rsid w:val="00B05DC8"/>
    <w:rsid w:val="00B069F6"/>
    <w:rsid w:val="00B25871"/>
    <w:rsid w:val="00B328CA"/>
    <w:rsid w:val="00B34900"/>
    <w:rsid w:val="00B44AE2"/>
    <w:rsid w:val="00B468B0"/>
    <w:rsid w:val="00B51F0D"/>
    <w:rsid w:val="00B541A8"/>
    <w:rsid w:val="00B54640"/>
    <w:rsid w:val="00B5499F"/>
    <w:rsid w:val="00B54D90"/>
    <w:rsid w:val="00B54FD9"/>
    <w:rsid w:val="00B564B2"/>
    <w:rsid w:val="00B57FAD"/>
    <w:rsid w:val="00B64D45"/>
    <w:rsid w:val="00B7408A"/>
    <w:rsid w:val="00B75C56"/>
    <w:rsid w:val="00B768B0"/>
    <w:rsid w:val="00B85CC9"/>
    <w:rsid w:val="00B86D83"/>
    <w:rsid w:val="00B9526F"/>
    <w:rsid w:val="00BA297F"/>
    <w:rsid w:val="00BB20E9"/>
    <w:rsid w:val="00BD4905"/>
    <w:rsid w:val="00BD4A35"/>
    <w:rsid w:val="00BD55B6"/>
    <w:rsid w:val="00BD6A83"/>
    <w:rsid w:val="00BE407D"/>
    <w:rsid w:val="00BE67AE"/>
    <w:rsid w:val="00BE7933"/>
    <w:rsid w:val="00BF3C4F"/>
    <w:rsid w:val="00BF6C5C"/>
    <w:rsid w:val="00BF7672"/>
    <w:rsid w:val="00BF7688"/>
    <w:rsid w:val="00C03B44"/>
    <w:rsid w:val="00C05251"/>
    <w:rsid w:val="00C05B99"/>
    <w:rsid w:val="00C05DD8"/>
    <w:rsid w:val="00C13729"/>
    <w:rsid w:val="00C1481B"/>
    <w:rsid w:val="00C17707"/>
    <w:rsid w:val="00C17773"/>
    <w:rsid w:val="00C20DD3"/>
    <w:rsid w:val="00C23A37"/>
    <w:rsid w:val="00C2675F"/>
    <w:rsid w:val="00C27039"/>
    <w:rsid w:val="00C35726"/>
    <w:rsid w:val="00C35994"/>
    <w:rsid w:val="00C36851"/>
    <w:rsid w:val="00C40895"/>
    <w:rsid w:val="00C40983"/>
    <w:rsid w:val="00C4102C"/>
    <w:rsid w:val="00C51B9A"/>
    <w:rsid w:val="00C555F2"/>
    <w:rsid w:val="00C603AA"/>
    <w:rsid w:val="00C64F8A"/>
    <w:rsid w:val="00C7053D"/>
    <w:rsid w:val="00C70EF8"/>
    <w:rsid w:val="00C769AA"/>
    <w:rsid w:val="00C80871"/>
    <w:rsid w:val="00C80CF3"/>
    <w:rsid w:val="00C84084"/>
    <w:rsid w:val="00C901B6"/>
    <w:rsid w:val="00C90F13"/>
    <w:rsid w:val="00C9250C"/>
    <w:rsid w:val="00C97DF6"/>
    <w:rsid w:val="00CA6620"/>
    <w:rsid w:val="00CA7244"/>
    <w:rsid w:val="00CA7D07"/>
    <w:rsid w:val="00CB4E56"/>
    <w:rsid w:val="00CC201C"/>
    <w:rsid w:val="00CD44C5"/>
    <w:rsid w:val="00CD6EB6"/>
    <w:rsid w:val="00CD73CB"/>
    <w:rsid w:val="00CF0C7D"/>
    <w:rsid w:val="00CF1156"/>
    <w:rsid w:val="00CF2CE0"/>
    <w:rsid w:val="00D13ECE"/>
    <w:rsid w:val="00D1745C"/>
    <w:rsid w:val="00D22784"/>
    <w:rsid w:val="00D22832"/>
    <w:rsid w:val="00D2397B"/>
    <w:rsid w:val="00D304D6"/>
    <w:rsid w:val="00D31DFB"/>
    <w:rsid w:val="00D33023"/>
    <w:rsid w:val="00D36BE5"/>
    <w:rsid w:val="00D40348"/>
    <w:rsid w:val="00D43C7C"/>
    <w:rsid w:val="00D44340"/>
    <w:rsid w:val="00D50408"/>
    <w:rsid w:val="00D51CA0"/>
    <w:rsid w:val="00D55AFB"/>
    <w:rsid w:val="00D5640F"/>
    <w:rsid w:val="00D614C0"/>
    <w:rsid w:val="00D61DEA"/>
    <w:rsid w:val="00D667CE"/>
    <w:rsid w:val="00D857DF"/>
    <w:rsid w:val="00D87B44"/>
    <w:rsid w:val="00D92247"/>
    <w:rsid w:val="00DA060A"/>
    <w:rsid w:val="00DA1D6B"/>
    <w:rsid w:val="00DA2187"/>
    <w:rsid w:val="00DA26AF"/>
    <w:rsid w:val="00DA281F"/>
    <w:rsid w:val="00DA4F45"/>
    <w:rsid w:val="00DB2F7C"/>
    <w:rsid w:val="00DC6504"/>
    <w:rsid w:val="00DC6F37"/>
    <w:rsid w:val="00DD128C"/>
    <w:rsid w:val="00DE020B"/>
    <w:rsid w:val="00DE1CC8"/>
    <w:rsid w:val="00DE2A75"/>
    <w:rsid w:val="00DE4857"/>
    <w:rsid w:val="00DE5CC0"/>
    <w:rsid w:val="00DF2617"/>
    <w:rsid w:val="00DF424F"/>
    <w:rsid w:val="00DF679C"/>
    <w:rsid w:val="00E034E7"/>
    <w:rsid w:val="00E1047C"/>
    <w:rsid w:val="00E16BCB"/>
    <w:rsid w:val="00E41CDC"/>
    <w:rsid w:val="00E45580"/>
    <w:rsid w:val="00E4613B"/>
    <w:rsid w:val="00E462F8"/>
    <w:rsid w:val="00E46EBC"/>
    <w:rsid w:val="00E5192D"/>
    <w:rsid w:val="00E52BC1"/>
    <w:rsid w:val="00E548CA"/>
    <w:rsid w:val="00E5793A"/>
    <w:rsid w:val="00E60505"/>
    <w:rsid w:val="00E634AE"/>
    <w:rsid w:val="00E65F33"/>
    <w:rsid w:val="00E6624D"/>
    <w:rsid w:val="00E67786"/>
    <w:rsid w:val="00E72827"/>
    <w:rsid w:val="00E740EC"/>
    <w:rsid w:val="00E81243"/>
    <w:rsid w:val="00E835A8"/>
    <w:rsid w:val="00E83B2A"/>
    <w:rsid w:val="00E845BC"/>
    <w:rsid w:val="00E8574A"/>
    <w:rsid w:val="00EA05B9"/>
    <w:rsid w:val="00EA6C83"/>
    <w:rsid w:val="00EA71D0"/>
    <w:rsid w:val="00EB28C9"/>
    <w:rsid w:val="00EB61E0"/>
    <w:rsid w:val="00EB7B2E"/>
    <w:rsid w:val="00EC0052"/>
    <w:rsid w:val="00EC013E"/>
    <w:rsid w:val="00EC04D7"/>
    <w:rsid w:val="00EC1F03"/>
    <w:rsid w:val="00EC77B7"/>
    <w:rsid w:val="00ED0324"/>
    <w:rsid w:val="00ED330C"/>
    <w:rsid w:val="00ED7B7E"/>
    <w:rsid w:val="00EE1496"/>
    <w:rsid w:val="00EE3EA3"/>
    <w:rsid w:val="00EE4BD4"/>
    <w:rsid w:val="00EE5FD1"/>
    <w:rsid w:val="00EE67D3"/>
    <w:rsid w:val="00EF00B7"/>
    <w:rsid w:val="00EF04C2"/>
    <w:rsid w:val="00EF7480"/>
    <w:rsid w:val="00F02085"/>
    <w:rsid w:val="00F04EC3"/>
    <w:rsid w:val="00F11C26"/>
    <w:rsid w:val="00F220E0"/>
    <w:rsid w:val="00F22D65"/>
    <w:rsid w:val="00F22FE9"/>
    <w:rsid w:val="00F23C98"/>
    <w:rsid w:val="00F2414A"/>
    <w:rsid w:val="00F24A3F"/>
    <w:rsid w:val="00F2621E"/>
    <w:rsid w:val="00F26AB7"/>
    <w:rsid w:val="00F3224D"/>
    <w:rsid w:val="00F32C4D"/>
    <w:rsid w:val="00F46C80"/>
    <w:rsid w:val="00F52CA8"/>
    <w:rsid w:val="00F54D51"/>
    <w:rsid w:val="00F60134"/>
    <w:rsid w:val="00F6067E"/>
    <w:rsid w:val="00F60DB7"/>
    <w:rsid w:val="00F6538C"/>
    <w:rsid w:val="00F65999"/>
    <w:rsid w:val="00F65E31"/>
    <w:rsid w:val="00F70650"/>
    <w:rsid w:val="00F73CF7"/>
    <w:rsid w:val="00F778DE"/>
    <w:rsid w:val="00F77E82"/>
    <w:rsid w:val="00F804E3"/>
    <w:rsid w:val="00F82A9A"/>
    <w:rsid w:val="00F83586"/>
    <w:rsid w:val="00F84FAD"/>
    <w:rsid w:val="00F9587C"/>
    <w:rsid w:val="00FA01A1"/>
    <w:rsid w:val="00FA2289"/>
    <w:rsid w:val="00FA3918"/>
    <w:rsid w:val="00FA45B1"/>
    <w:rsid w:val="00FA4FCF"/>
    <w:rsid w:val="00FD5C78"/>
    <w:rsid w:val="00FD6FC6"/>
    <w:rsid w:val="00FD71CB"/>
    <w:rsid w:val="00FE36B2"/>
    <w:rsid w:val="00FE4C2E"/>
    <w:rsid w:val="00FE6185"/>
    <w:rsid w:val="00FF0DC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B46DBC5"/>
  <w15:docId w15:val="{4721C881-D5F3-E54E-A64E-6457BED8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DFB"/>
    <w:rPr>
      <w:sz w:val="24"/>
      <w:szCs w:val="24"/>
    </w:rPr>
  </w:style>
  <w:style w:type="paragraph" w:styleId="Judul1">
    <w:name w:val="heading 1"/>
    <w:basedOn w:val="Normal"/>
    <w:next w:val="Normal"/>
    <w:qFormat/>
    <w:rsid w:val="00147305"/>
    <w:pPr>
      <w:numPr>
        <w:numId w:val="1"/>
      </w:numPr>
      <w:shd w:val="clear" w:color="auto" w:fill="F2DBDB"/>
      <w:suppressAutoHyphens/>
      <w:spacing w:before="480" w:after="100" w:line="264" w:lineRule="auto"/>
      <w:outlineLvl w:val="0"/>
    </w:pPr>
    <w:rPr>
      <w:rFonts w:ascii="Cambria" w:hAnsi="Cambria"/>
      <w:b/>
      <w:bCs/>
      <w:i/>
      <w:iCs/>
      <w:color w:val="622423"/>
      <w:sz w:val="22"/>
      <w:szCs w:val="22"/>
      <w:lang w:val="en-US" w:eastAsia="en-US" w:bidi="en-US"/>
    </w:rPr>
  </w:style>
  <w:style w:type="paragraph" w:styleId="Judul2">
    <w:name w:val="heading 2"/>
    <w:basedOn w:val="Normal"/>
    <w:next w:val="Normal"/>
    <w:link w:val="Judul2KAR"/>
    <w:uiPriority w:val="9"/>
    <w:qFormat/>
    <w:rsid w:val="00147305"/>
    <w:pPr>
      <w:numPr>
        <w:ilvl w:val="1"/>
        <w:numId w:val="1"/>
      </w:numPr>
      <w:suppressAutoHyphens/>
      <w:spacing w:before="200" w:after="100" w:line="264" w:lineRule="auto"/>
      <w:ind w:left="144" w:firstLine="0"/>
      <w:outlineLvl w:val="1"/>
    </w:pPr>
    <w:rPr>
      <w:rFonts w:ascii="Cambria" w:hAnsi="Cambria"/>
      <w:b/>
      <w:bCs/>
      <w:i/>
      <w:iCs/>
      <w:color w:val="943634"/>
      <w:sz w:val="22"/>
      <w:szCs w:val="22"/>
      <w:lang w:val="en-US" w:eastAsia="en-US" w:bidi="en-US"/>
    </w:rPr>
  </w:style>
  <w:style w:type="paragraph" w:styleId="Judul3">
    <w:name w:val="heading 3"/>
    <w:basedOn w:val="Normal"/>
    <w:next w:val="Normal"/>
    <w:qFormat/>
    <w:rsid w:val="00147305"/>
    <w:pPr>
      <w:numPr>
        <w:ilvl w:val="2"/>
        <w:numId w:val="1"/>
      </w:numPr>
      <w:suppressAutoHyphens/>
      <w:spacing w:before="200" w:after="100"/>
      <w:ind w:left="144" w:firstLine="0"/>
      <w:outlineLvl w:val="2"/>
    </w:pPr>
    <w:rPr>
      <w:rFonts w:ascii="Cambria" w:hAnsi="Cambria"/>
      <w:b/>
      <w:bCs/>
      <w:i/>
      <w:iCs/>
      <w:color w:val="943634"/>
      <w:sz w:val="22"/>
      <w:szCs w:val="22"/>
      <w:lang w:val="en-US" w:eastAsia="en-US" w:bidi="en-US"/>
    </w:rPr>
  </w:style>
  <w:style w:type="paragraph" w:styleId="Judul4">
    <w:name w:val="heading 4"/>
    <w:basedOn w:val="Normal"/>
    <w:next w:val="Normal"/>
    <w:qFormat/>
    <w:rsid w:val="00147305"/>
    <w:pPr>
      <w:numPr>
        <w:ilvl w:val="3"/>
        <w:numId w:val="1"/>
      </w:numPr>
      <w:suppressAutoHyphens/>
      <w:spacing w:before="200" w:after="100"/>
      <w:ind w:left="86" w:firstLine="0"/>
      <w:outlineLvl w:val="3"/>
    </w:pPr>
    <w:rPr>
      <w:rFonts w:ascii="Cambria" w:hAnsi="Cambria"/>
      <w:b/>
      <w:bCs/>
      <w:i/>
      <w:iCs/>
      <w:color w:val="943634"/>
      <w:sz w:val="22"/>
      <w:szCs w:val="22"/>
      <w:lang w:val="en-US" w:eastAsia="en-US" w:bidi="en-US"/>
    </w:rPr>
  </w:style>
  <w:style w:type="paragraph" w:styleId="Judul5">
    <w:name w:val="heading 5"/>
    <w:basedOn w:val="Normal"/>
    <w:next w:val="Normal"/>
    <w:qFormat/>
    <w:rsid w:val="00147305"/>
    <w:pPr>
      <w:numPr>
        <w:ilvl w:val="4"/>
        <w:numId w:val="1"/>
      </w:numPr>
      <w:suppressAutoHyphens/>
      <w:spacing w:before="200" w:after="100"/>
      <w:ind w:left="86" w:firstLine="0"/>
      <w:outlineLvl w:val="4"/>
    </w:pPr>
    <w:rPr>
      <w:rFonts w:ascii="Cambria" w:hAnsi="Cambria"/>
      <w:b/>
      <w:bCs/>
      <w:i/>
      <w:iCs/>
      <w:color w:val="943634"/>
      <w:sz w:val="22"/>
      <w:szCs w:val="22"/>
      <w:lang w:val="en-US" w:eastAsia="en-US" w:bidi="en-US"/>
    </w:rPr>
  </w:style>
  <w:style w:type="paragraph" w:styleId="Judul6">
    <w:name w:val="heading 6"/>
    <w:basedOn w:val="Normal"/>
    <w:next w:val="Normal"/>
    <w:qFormat/>
    <w:rsid w:val="00147305"/>
    <w:pPr>
      <w:numPr>
        <w:ilvl w:val="5"/>
        <w:numId w:val="1"/>
      </w:numPr>
      <w:suppressAutoHyphens/>
      <w:spacing w:before="200" w:after="100"/>
      <w:outlineLvl w:val="5"/>
    </w:pPr>
    <w:rPr>
      <w:rFonts w:ascii="Cambria" w:hAnsi="Cambria"/>
      <w:i/>
      <w:iCs/>
      <w:color w:val="943634"/>
      <w:sz w:val="22"/>
      <w:szCs w:val="22"/>
      <w:lang w:val="en-US" w:eastAsia="en-US" w:bidi="en-US"/>
    </w:rPr>
  </w:style>
  <w:style w:type="paragraph" w:styleId="Judul7">
    <w:name w:val="heading 7"/>
    <w:basedOn w:val="Normal"/>
    <w:next w:val="Normal"/>
    <w:qFormat/>
    <w:rsid w:val="00147305"/>
    <w:pPr>
      <w:numPr>
        <w:ilvl w:val="6"/>
        <w:numId w:val="1"/>
      </w:numPr>
      <w:suppressAutoHyphens/>
      <w:spacing w:before="200" w:after="100"/>
      <w:outlineLvl w:val="6"/>
    </w:pPr>
    <w:rPr>
      <w:rFonts w:ascii="Cambria" w:hAnsi="Cambria"/>
      <w:i/>
      <w:iCs/>
      <w:color w:val="943634"/>
      <w:sz w:val="22"/>
      <w:szCs w:val="22"/>
      <w:lang w:val="en-US" w:eastAsia="en-US" w:bidi="en-US"/>
    </w:rPr>
  </w:style>
  <w:style w:type="paragraph" w:styleId="Judul8">
    <w:name w:val="heading 8"/>
    <w:basedOn w:val="Normal"/>
    <w:next w:val="Normal"/>
    <w:qFormat/>
    <w:rsid w:val="00147305"/>
    <w:pPr>
      <w:numPr>
        <w:ilvl w:val="7"/>
        <w:numId w:val="1"/>
      </w:numPr>
      <w:suppressAutoHyphens/>
      <w:spacing w:before="200" w:after="100"/>
      <w:outlineLvl w:val="7"/>
    </w:pPr>
    <w:rPr>
      <w:rFonts w:ascii="Cambria" w:hAnsi="Cambria"/>
      <w:i/>
      <w:iCs/>
      <w:color w:val="C0504D"/>
      <w:sz w:val="22"/>
      <w:szCs w:val="22"/>
      <w:lang w:val="en-US" w:eastAsia="en-US" w:bidi="en-US"/>
    </w:rPr>
  </w:style>
  <w:style w:type="paragraph" w:styleId="Judul9">
    <w:name w:val="heading 9"/>
    <w:basedOn w:val="Normal"/>
    <w:next w:val="Normal"/>
    <w:qFormat/>
    <w:rsid w:val="00147305"/>
    <w:pPr>
      <w:numPr>
        <w:ilvl w:val="8"/>
        <w:numId w:val="1"/>
      </w:numPr>
      <w:suppressAutoHyphens/>
      <w:spacing w:before="200" w:after="100"/>
      <w:outlineLvl w:val="8"/>
    </w:pPr>
    <w:rPr>
      <w:rFonts w:ascii="Cambria" w:hAnsi="Cambria"/>
      <w:i/>
      <w:iCs/>
      <w:color w:val="C0504D"/>
      <w:sz w:val="20"/>
      <w:szCs w:val="20"/>
      <w:lang w:val="en-US" w:eastAsia="en-US" w:bidi="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2KAR">
    <w:name w:val="Judul 2 KAR"/>
    <w:basedOn w:val="FontParagrafDefault"/>
    <w:link w:val="Judul2"/>
    <w:uiPriority w:val="9"/>
    <w:rsid w:val="00A84AA6"/>
    <w:rPr>
      <w:rFonts w:ascii="Cambria" w:hAnsi="Cambria"/>
      <w:b/>
      <w:bCs/>
      <w:i/>
      <w:iCs/>
      <w:color w:val="943634"/>
      <w:sz w:val="22"/>
      <w:szCs w:val="22"/>
      <w:lang w:val="en-US" w:eastAsia="en-US" w:bidi="en-US"/>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Kuat">
    <w:name w:val="Strong"/>
    <w:qFormat/>
    <w:rsid w:val="00147305"/>
    <w:rPr>
      <w:b/>
      <w:bCs/>
      <w:spacing w:val="0"/>
    </w:rPr>
  </w:style>
  <w:style w:type="character" w:styleId="Penekanan">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PenekananHalus">
    <w:name w:val="Subtle Emphasis"/>
    <w:qFormat/>
    <w:rsid w:val="00147305"/>
    <w:rPr>
      <w:rFonts w:ascii="Cambria" w:eastAsia="Times New Roman" w:hAnsi="Cambria" w:cs="Times New Roman"/>
      <w:i/>
      <w:iCs/>
      <w:color w:val="C0504D"/>
    </w:rPr>
  </w:style>
  <w:style w:type="character" w:styleId="PenekananKera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ReferensiRumit">
    <w:name w:val="Subtle Reference"/>
    <w:qFormat/>
    <w:rsid w:val="00147305"/>
    <w:rPr>
      <w:i/>
      <w:iCs/>
      <w:smallCaps/>
      <w:color w:val="C0504D"/>
    </w:rPr>
  </w:style>
  <w:style w:type="character" w:styleId="ReferensiyangSering">
    <w:name w:val="Intense Reference"/>
    <w:qFormat/>
    <w:rsid w:val="00147305"/>
    <w:rPr>
      <w:b/>
      <w:bCs/>
      <w:i/>
      <w:iCs/>
      <w:smallCaps/>
      <w:color w:val="C0504D"/>
    </w:rPr>
  </w:style>
  <w:style w:type="character" w:styleId="JudulBuku">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TeksIsi"/>
    <w:rsid w:val="00147305"/>
    <w:pPr>
      <w:keepNext/>
      <w:suppressAutoHyphens/>
      <w:spacing w:before="240" w:after="120" w:line="288" w:lineRule="auto"/>
    </w:pPr>
    <w:rPr>
      <w:rFonts w:ascii="Arial" w:eastAsia="MS Mincho" w:hAnsi="Arial" w:cs="Tahoma"/>
      <w:i/>
      <w:iCs/>
      <w:sz w:val="28"/>
      <w:szCs w:val="28"/>
      <w:lang w:val="en-US" w:eastAsia="en-US" w:bidi="en-US"/>
    </w:rPr>
  </w:style>
  <w:style w:type="paragraph" w:styleId="TeksIsi">
    <w:name w:val="Body Text"/>
    <w:basedOn w:val="Normal"/>
    <w:link w:val="TeksIsiKAR"/>
    <w:uiPriority w:val="1"/>
    <w:qFormat/>
    <w:rsid w:val="00147305"/>
    <w:pPr>
      <w:suppressAutoHyphens/>
      <w:spacing w:after="120" w:line="288" w:lineRule="auto"/>
    </w:pPr>
    <w:rPr>
      <w:rFonts w:ascii="Calibri" w:eastAsia="Calibri" w:hAnsi="Calibri" w:cs="Calibri"/>
      <w:i/>
      <w:iCs/>
      <w:sz w:val="20"/>
      <w:szCs w:val="20"/>
      <w:lang w:val="en-US" w:eastAsia="en-US" w:bidi="en-US"/>
    </w:rPr>
  </w:style>
  <w:style w:type="character" w:customStyle="1" w:styleId="TeksIsiKAR">
    <w:name w:val="Teks Isi KAR"/>
    <w:link w:val="TeksIsi"/>
    <w:uiPriority w:val="1"/>
    <w:rsid w:val="00C769AA"/>
    <w:rPr>
      <w:rFonts w:ascii="Calibri" w:eastAsia="Calibri" w:hAnsi="Calibri" w:cs="Calibri"/>
      <w:i/>
      <w:iCs/>
      <w:lang w:val="en-US" w:eastAsia="en-US" w:bidi="en-US"/>
    </w:rPr>
  </w:style>
  <w:style w:type="paragraph" w:styleId="Daftar">
    <w:name w:val="List"/>
    <w:basedOn w:val="TeksIsi"/>
    <w:rsid w:val="00147305"/>
    <w:rPr>
      <w:rFonts w:cs="Tahoma"/>
    </w:rPr>
  </w:style>
  <w:style w:type="paragraph" w:styleId="Keterangan">
    <w:name w:val="caption"/>
    <w:basedOn w:val="Normal"/>
    <w:next w:val="Normal"/>
    <w:qFormat/>
    <w:rsid w:val="00147305"/>
    <w:pPr>
      <w:suppressAutoHyphens/>
      <w:spacing w:after="200" w:line="288" w:lineRule="auto"/>
    </w:pPr>
    <w:rPr>
      <w:rFonts w:ascii="Calibri" w:eastAsia="Calibri" w:hAnsi="Calibri" w:cs="Calibri"/>
      <w:b/>
      <w:bCs/>
      <w:i/>
      <w:iCs/>
      <w:color w:val="943634"/>
      <w:sz w:val="18"/>
      <w:szCs w:val="18"/>
      <w:lang w:val="en-US" w:eastAsia="en-US" w:bidi="en-US"/>
    </w:rPr>
  </w:style>
  <w:style w:type="paragraph" w:customStyle="1" w:styleId="Index">
    <w:name w:val="Index"/>
    <w:basedOn w:val="Normal"/>
    <w:rsid w:val="00147305"/>
    <w:pPr>
      <w:suppressLineNumbers/>
      <w:suppressAutoHyphens/>
      <w:spacing w:after="200" w:line="288" w:lineRule="auto"/>
    </w:pPr>
    <w:rPr>
      <w:rFonts w:ascii="Calibri" w:eastAsia="Calibri" w:hAnsi="Calibri" w:cs="Tahoma"/>
      <w:i/>
      <w:iCs/>
      <w:sz w:val="20"/>
      <w:szCs w:val="20"/>
      <w:lang w:val="en-US" w:eastAsia="en-US" w:bidi="en-US"/>
    </w:rPr>
  </w:style>
  <w:style w:type="paragraph" w:styleId="TidakAdaSpasi">
    <w:name w:val="No Spacing"/>
    <w:basedOn w:val="Normal"/>
    <w:uiPriority w:val="1"/>
    <w:qFormat/>
    <w:rsid w:val="00147305"/>
    <w:pPr>
      <w:suppressAutoHyphens/>
    </w:pPr>
    <w:rPr>
      <w:rFonts w:ascii="Calibri" w:eastAsia="Calibri" w:hAnsi="Calibri" w:cs="Calibri"/>
      <w:i/>
      <w:iCs/>
      <w:sz w:val="20"/>
      <w:szCs w:val="20"/>
      <w:lang w:val="en-US" w:eastAsia="en-US" w:bidi="en-US"/>
    </w:rPr>
  </w:style>
  <w:style w:type="paragraph" w:styleId="Judul">
    <w:name w:val="Title"/>
    <w:basedOn w:val="Normal"/>
    <w:next w:val="Normal"/>
    <w:qFormat/>
    <w:rsid w:val="00147305"/>
    <w:pPr>
      <w:shd w:val="clear" w:color="auto" w:fill="C0504D"/>
      <w:suppressAutoHyphens/>
      <w:jc w:val="center"/>
    </w:pPr>
    <w:rPr>
      <w:rFonts w:ascii="Cambria" w:hAnsi="Cambria"/>
      <w:i/>
      <w:iCs/>
      <w:color w:val="FFFFFF"/>
      <w:spacing w:val="10"/>
      <w:sz w:val="48"/>
      <w:szCs w:val="48"/>
      <w:lang w:val="en-US" w:eastAsia="en-US" w:bidi="en-US"/>
    </w:rPr>
  </w:style>
  <w:style w:type="paragraph" w:styleId="Subjudul">
    <w:name w:val="Subtitle"/>
    <w:basedOn w:val="Normal"/>
    <w:next w:val="Normal"/>
    <w:qFormat/>
    <w:rsid w:val="00147305"/>
    <w:pPr>
      <w:suppressAutoHyphens/>
      <w:spacing w:before="200" w:after="900"/>
      <w:jc w:val="center"/>
    </w:pPr>
    <w:rPr>
      <w:rFonts w:ascii="Cambria" w:hAnsi="Cambria"/>
      <w:i/>
      <w:iCs/>
      <w:color w:val="622423"/>
      <w:lang w:val="en-US" w:eastAsia="en-US" w:bidi="en-US"/>
    </w:rPr>
  </w:style>
  <w:style w:type="paragraph" w:styleId="DaftarParagraf">
    <w:name w:val="List Paragraph"/>
    <w:basedOn w:val="Normal"/>
    <w:link w:val="DaftarParagrafKAR"/>
    <w:uiPriority w:val="34"/>
    <w:qFormat/>
    <w:rsid w:val="00147305"/>
    <w:pPr>
      <w:suppressAutoHyphens/>
      <w:spacing w:after="200" w:line="288" w:lineRule="auto"/>
      <w:ind w:left="720"/>
    </w:pPr>
    <w:rPr>
      <w:rFonts w:ascii="Calibri" w:eastAsia="Calibri" w:hAnsi="Calibri" w:cs="Calibri"/>
      <w:i/>
      <w:iCs/>
      <w:sz w:val="20"/>
      <w:szCs w:val="20"/>
      <w:lang w:val="en-US" w:eastAsia="en-US" w:bidi="en-US"/>
    </w:rPr>
  </w:style>
  <w:style w:type="character" w:customStyle="1" w:styleId="DaftarParagrafKAR">
    <w:name w:val="Daftar Paragraf KAR"/>
    <w:link w:val="DaftarParagraf"/>
    <w:uiPriority w:val="34"/>
    <w:locked/>
    <w:rsid w:val="006D2553"/>
    <w:rPr>
      <w:rFonts w:ascii="Calibri" w:eastAsia="Calibri" w:hAnsi="Calibri" w:cs="Calibri"/>
      <w:i/>
      <w:iCs/>
      <w:lang w:val="en-US" w:eastAsia="en-US" w:bidi="en-US"/>
    </w:rPr>
  </w:style>
  <w:style w:type="paragraph" w:styleId="Kutipan">
    <w:name w:val="Quote"/>
    <w:basedOn w:val="Normal"/>
    <w:next w:val="Normal"/>
    <w:qFormat/>
    <w:rsid w:val="00147305"/>
    <w:pPr>
      <w:suppressAutoHyphens/>
      <w:spacing w:after="200" w:line="288" w:lineRule="auto"/>
    </w:pPr>
    <w:rPr>
      <w:rFonts w:ascii="Calibri" w:eastAsia="Calibri" w:hAnsi="Calibri" w:cs="Calibri"/>
      <w:color w:val="943634"/>
      <w:sz w:val="20"/>
      <w:szCs w:val="20"/>
      <w:lang w:val="en-US" w:eastAsia="en-US" w:bidi="en-US"/>
    </w:rPr>
  </w:style>
  <w:style w:type="paragraph" w:styleId="KutipanyangSering">
    <w:name w:val="Intense Quote"/>
    <w:basedOn w:val="Normal"/>
    <w:next w:val="Normal"/>
    <w:qFormat/>
    <w:rsid w:val="00147305"/>
    <w:pPr>
      <w:suppressAutoHyphens/>
      <w:spacing w:after="200" w:line="300" w:lineRule="auto"/>
      <w:ind w:left="2160" w:right="2160"/>
      <w:jc w:val="center"/>
    </w:pPr>
    <w:rPr>
      <w:rFonts w:ascii="Cambria" w:hAnsi="Cambria"/>
      <w:b/>
      <w:bCs/>
      <w:i/>
      <w:iCs/>
      <w:color w:val="C0504D"/>
      <w:sz w:val="20"/>
      <w:szCs w:val="20"/>
      <w:lang w:val="en-US" w:eastAsia="en-US" w:bidi="en-US"/>
    </w:rPr>
  </w:style>
  <w:style w:type="paragraph" w:styleId="JudulTOC">
    <w:name w:val="TOC Heading"/>
    <w:basedOn w:val="Judul1"/>
    <w:next w:val="Normal"/>
    <w:qFormat/>
    <w:rsid w:val="00147305"/>
    <w:pPr>
      <w:numPr>
        <w:numId w:val="0"/>
      </w:numPr>
    </w:pPr>
  </w:style>
  <w:style w:type="paragraph" w:styleId="Header">
    <w:name w:val="header"/>
    <w:basedOn w:val="Normal"/>
    <w:link w:val="HeaderKAR"/>
    <w:uiPriority w:val="99"/>
    <w:rsid w:val="00147305"/>
    <w:pPr>
      <w:tabs>
        <w:tab w:val="center" w:pos="4513"/>
        <w:tab w:val="right" w:pos="9026"/>
      </w:tabs>
      <w:suppressAutoHyphens/>
      <w:spacing w:after="200" w:line="288" w:lineRule="auto"/>
    </w:pPr>
    <w:rPr>
      <w:rFonts w:ascii="Calibri" w:eastAsia="Calibri" w:hAnsi="Calibri" w:cs="Calibri"/>
      <w:i/>
      <w:iCs/>
      <w:sz w:val="20"/>
      <w:szCs w:val="20"/>
      <w:lang w:val="en-US" w:eastAsia="en-US" w:bidi="en-US"/>
    </w:rPr>
  </w:style>
  <w:style w:type="character" w:customStyle="1" w:styleId="HeaderKAR">
    <w:name w:val="Header KAR"/>
    <w:basedOn w:val="FontParagrafDefault"/>
    <w:link w:val="Header"/>
    <w:uiPriority w:val="99"/>
    <w:rsid w:val="00A84AA6"/>
    <w:rPr>
      <w:rFonts w:ascii="Calibri" w:eastAsia="Calibri" w:hAnsi="Calibri" w:cs="Calibri"/>
      <w:i/>
      <w:iCs/>
      <w:lang w:val="en-US" w:eastAsia="en-US" w:bidi="en-US"/>
    </w:rPr>
  </w:style>
  <w:style w:type="paragraph" w:styleId="Footer">
    <w:name w:val="footer"/>
    <w:basedOn w:val="Normal"/>
    <w:link w:val="FooterKAR"/>
    <w:uiPriority w:val="99"/>
    <w:rsid w:val="00147305"/>
    <w:pPr>
      <w:tabs>
        <w:tab w:val="center" w:pos="4513"/>
        <w:tab w:val="right" w:pos="9026"/>
      </w:tabs>
      <w:suppressAutoHyphens/>
      <w:spacing w:after="200" w:line="288" w:lineRule="auto"/>
    </w:pPr>
    <w:rPr>
      <w:rFonts w:ascii="Calibri" w:eastAsia="Calibri" w:hAnsi="Calibri" w:cs="Calibri"/>
      <w:i/>
      <w:iCs/>
      <w:sz w:val="20"/>
      <w:szCs w:val="20"/>
      <w:lang w:val="en-US" w:eastAsia="en-US" w:bidi="en-US"/>
    </w:rPr>
  </w:style>
  <w:style w:type="character" w:customStyle="1" w:styleId="FooterKAR">
    <w:name w:val="Footer KAR"/>
    <w:basedOn w:val="FontParagrafDefault"/>
    <w:link w:val="Footer"/>
    <w:uiPriority w:val="99"/>
    <w:rsid w:val="00A84AA6"/>
    <w:rPr>
      <w:rFonts w:ascii="Calibri" w:eastAsia="Calibri" w:hAnsi="Calibri" w:cs="Calibri"/>
      <w:i/>
      <w:iCs/>
      <w:lang w:val="en-US" w:eastAsia="en-US" w:bidi="en-US"/>
    </w:rPr>
  </w:style>
  <w:style w:type="paragraph" w:customStyle="1" w:styleId="TableContents">
    <w:name w:val="Table Contents"/>
    <w:basedOn w:val="Normal"/>
    <w:rsid w:val="00147305"/>
    <w:pPr>
      <w:suppressLineNumbers/>
      <w:suppressAutoHyphens/>
      <w:spacing w:after="200" w:line="288" w:lineRule="auto"/>
    </w:pPr>
    <w:rPr>
      <w:rFonts w:ascii="Calibri" w:eastAsia="Calibri" w:hAnsi="Calibri" w:cs="Calibri"/>
      <w:i/>
      <w:iCs/>
      <w:sz w:val="20"/>
      <w:szCs w:val="20"/>
      <w:lang w:val="en-US" w:eastAsia="en-US" w:bidi="en-US"/>
    </w:rPr>
  </w:style>
  <w:style w:type="paragraph" w:customStyle="1" w:styleId="TableHeading">
    <w:name w:val="Table Heading"/>
    <w:basedOn w:val="TableContents"/>
    <w:rsid w:val="00147305"/>
    <w:pPr>
      <w:jc w:val="center"/>
    </w:pPr>
    <w:rPr>
      <w:b/>
      <w:bCs/>
    </w:rPr>
  </w:style>
  <w:style w:type="paragraph" w:styleId="TeksBalon">
    <w:name w:val="Balloon Text"/>
    <w:basedOn w:val="Normal"/>
    <w:link w:val="TeksBalonKAR"/>
    <w:uiPriority w:val="99"/>
    <w:rsid w:val="00147305"/>
    <w:pPr>
      <w:suppressAutoHyphens/>
    </w:pPr>
    <w:rPr>
      <w:rFonts w:ascii="Tahoma" w:eastAsia="Calibri" w:hAnsi="Tahoma" w:cs="Tahoma"/>
      <w:i/>
      <w:iCs/>
      <w:sz w:val="16"/>
      <w:szCs w:val="16"/>
      <w:lang w:val="en-US" w:eastAsia="en-US" w:bidi="en-US"/>
    </w:rPr>
  </w:style>
  <w:style w:type="character" w:customStyle="1" w:styleId="TeksBalonKAR">
    <w:name w:val="Teks Balon KAR"/>
    <w:basedOn w:val="FontParagrafDefault"/>
    <w:link w:val="TeksBalon"/>
    <w:uiPriority w:val="99"/>
    <w:rsid w:val="00A84AA6"/>
    <w:rPr>
      <w:rFonts w:ascii="Tahoma" w:eastAsia="Calibri" w:hAnsi="Tahoma" w:cs="Tahoma"/>
      <w:i/>
      <w:iCs/>
      <w:sz w:val="16"/>
      <w:szCs w:val="16"/>
      <w:lang w:val="en-US" w:eastAsia="en-US" w:bidi="en-US"/>
    </w:rPr>
  </w:style>
  <w:style w:type="character" w:styleId="Hyperlink">
    <w:name w:val="Hyperlink"/>
    <w:uiPriority w:val="99"/>
    <w:unhideWhenUsed/>
    <w:rsid w:val="00531437"/>
    <w:rPr>
      <w:color w:val="0000FF"/>
      <w:u w:val="single"/>
    </w:rPr>
  </w:style>
  <w:style w:type="table" w:styleId="KisiTabel">
    <w:name w:val="Table Grid"/>
    <w:basedOn w:val="TabelNormal"/>
    <w:uiPriority w:val="3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butanYangBelumTerselesaikan1">
    <w:name w:val="Sebutan Yang Belum Terselesaikan1"/>
    <w:basedOn w:val="FontParagrafDefault"/>
    <w:uiPriority w:val="99"/>
    <w:semiHidden/>
    <w:unhideWhenUsed/>
    <w:rsid w:val="001C7CA1"/>
    <w:rPr>
      <w:color w:val="605E5C"/>
      <w:shd w:val="clear" w:color="auto" w:fill="E1DFDD"/>
    </w:rPr>
  </w:style>
  <w:style w:type="paragraph" w:customStyle="1" w:styleId="p0">
    <w:name w:val="p0"/>
    <w:basedOn w:val="Normal"/>
    <w:rsid w:val="0063640C"/>
    <w:rPr>
      <w:lang w:val="en-US" w:eastAsia="en-US"/>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val="en-US" w:eastAsia="en-US"/>
    </w:rPr>
  </w:style>
  <w:style w:type="paragraph" w:customStyle="1" w:styleId="bulletlist">
    <w:name w:val="bullet list"/>
    <w:basedOn w:val="TeksIsi"/>
    <w:rsid w:val="000022C9"/>
    <w:pPr>
      <w:numPr>
        <w:numId w:val="2"/>
      </w:numPr>
      <w:tabs>
        <w:tab w:val="num" w:pos="648"/>
      </w:tabs>
      <w:suppressAutoHyphens w:val="0"/>
      <w:spacing w:after="0" w:line="360" w:lineRule="auto"/>
      <w:ind w:left="357" w:hanging="357"/>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pacing w:before="240" w:after="240" w:line="216" w:lineRule="auto"/>
      <w:jc w:val="center"/>
    </w:pPr>
    <w:rPr>
      <w:rFonts w:ascii="Symbol" w:eastAsia="SimSun" w:hAnsi="Symbol" w:cs="Symbol"/>
      <w:sz w:val="20"/>
      <w:szCs w:val="20"/>
      <w:lang w:val="en-US" w:eastAsia="en-US"/>
    </w:rPr>
  </w:style>
  <w:style w:type="paragraph" w:customStyle="1" w:styleId="tablecolhead">
    <w:name w:val="table col head"/>
    <w:basedOn w:val="Normal"/>
    <w:rsid w:val="000022C9"/>
    <w:pPr>
      <w:jc w:val="center"/>
    </w:pPr>
    <w:rPr>
      <w:rFonts w:eastAsia="SimSun"/>
      <w:b/>
      <w:bCs/>
      <w:sz w:val="16"/>
      <w:szCs w:val="16"/>
      <w:lang w:val="en-US" w:eastAsia="en-US"/>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val="en-US" w:eastAsia="en-US"/>
    </w:rPr>
  </w:style>
  <w:style w:type="paragraph" w:customStyle="1" w:styleId="tablefootnote">
    <w:name w:val="table footnote"/>
    <w:rsid w:val="000022C9"/>
    <w:pPr>
      <w:spacing w:before="60" w:after="30"/>
      <w:jc w:val="right"/>
    </w:pPr>
    <w:rPr>
      <w:rFonts w:eastAsia="SimSun"/>
      <w:sz w:val="12"/>
      <w:szCs w:val="12"/>
      <w:lang w:val="en-US" w:eastAsia="en-US"/>
    </w:rPr>
  </w:style>
  <w:style w:type="paragraph" w:customStyle="1" w:styleId="DaftarPustaka">
    <w:name w:val="Daftar Pustaka"/>
    <w:basedOn w:val="Judul"/>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pacing w:before="240" w:after="40"/>
      <w:jc w:val="center"/>
    </w:pPr>
    <w:rPr>
      <w:rFonts w:eastAsia="SimSun"/>
      <w:b/>
      <w:bCs/>
      <w:noProof/>
      <w:sz w:val="22"/>
      <w:szCs w:val="22"/>
      <w:lang w:val="en-US" w:eastAsia="en-US"/>
    </w:rPr>
  </w:style>
  <w:style w:type="paragraph" w:customStyle="1" w:styleId="abstrak">
    <w:name w:val="abstrak"/>
    <w:basedOn w:val="TeksIsi"/>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paragraph" w:styleId="NormalWeb">
    <w:name w:val="Normal (Web)"/>
    <w:basedOn w:val="Normal"/>
    <w:uiPriority w:val="99"/>
    <w:unhideWhenUsed/>
    <w:rsid w:val="00BF3C4F"/>
    <w:pPr>
      <w:spacing w:before="100" w:beforeAutospacing="1" w:after="100" w:afterAutospacing="1"/>
    </w:pPr>
  </w:style>
  <w:style w:type="character" w:styleId="HiperlinkyangDiikuti">
    <w:name w:val="FollowedHyperlink"/>
    <w:basedOn w:val="FontParagrafDefault"/>
    <w:uiPriority w:val="99"/>
    <w:semiHidden/>
    <w:unhideWhenUsed/>
    <w:rsid w:val="00F11C26"/>
    <w:rPr>
      <w:color w:val="800080" w:themeColor="followedHyperlink"/>
      <w:u w:val="single"/>
    </w:rPr>
  </w:style>
  <w:style w:type="paragraph" w:customStyle="1" w:styleId="EndNoteBibliographyTitle">
    <w:name w:val="EndNote Bibliography Title"/>
    <w:basedOn w:val="Normal"/>
    <w:link w:val="EndNoteBibliographyTitleChar"/>
    <w:rsid w:val="00A84AA6"/>
    <w:pPr>
      <w:spacing w:line="259" w:lineRule="auto"/>
      <w:jc w:val="center"/>
    </w:pPr>
    <w:rPr>
      <w:rFonts w:eastAsiaTheme="minorHAnsi"/>
      <w:noProof/>
      <w:szCs w:val="22"/>
      <w:lang w:val="en-US" w:eastAsia="en-US"/>
    </w:rPr>
  </w:style>
  <w:style w:type="character" w:customStyle="1" w:styleId="EndNoteBibliographyTitleChar">
    <w:name w:val="EndNote Bibliography Title Char"/>
    <w:basedOn w:val="FontParagrafDefault"/>
    <w:link w:val="EndNoteBibliographyTitle"/>
    <w:rsid w:val="00A84AA6"/>
    <w:rPr>
      <w:rFonts w:eastAsiaTheme="minorHAnsi"/>
      <w:noProof/>
      <w:sz w:val="24"/>
      <w:szCs w:val="22"/>
      <w:lang w:val="en-US" w:eastAsia="en-US"/>
    </w:rPr>
  </w:style>
  <w:style w:type="paragraph" w:customStyle="1" w:styleId="EndNoteBibliography">
    <w:name w:val="EndNote Bibliography"/>
    <w:basedOn w:val="Normal"/>
    <w:link w:val="EndNoteBibliographyChar"/>
    <w:rsid w:val="00A84AA6"/>
    <w:pPr>
      <w:spacing w:after="160"/>
      <w:jc w:val="both"/>
    </w:pPr>
    <w:rPr>
      <w:rFonts w:eastAsiaTheme="minorHAnsi"/>
      <w:noProof/>
      <w:szCs w:val="22"/>
      <w:lang w:val="en-US" w:eastAsia="en-US"/>
    </w:rPr>
  </w:style>
  <w:style w:type="character" w:customStyle="1" w:styleId="EndNoteBibliographyChar">
    <w:name w:val="EndNote Bibliography Char"/>
    <w:basedOn w:val="FontParagrafDefault"/>
    <w:link w:val="EndNoteBibliography"/>
    <w:rsid w:val="00A84AA6"/>
    <w:rPr>
      <w:rFonts w:eastAsiaTheme="minorHAnsi"/>
      <w:noProof/>
      <w:sz w:val="24"/>
      <w:szCs w:val="22"/>
      <w:lang w:val="en-US" w:eastAsia="en-US"/>
    </w:rPr>
  </w:style>
  <w:style w:type="character" w:customStyle="1" w:styleId="HTMLSudahDiformatKAR">
    <w:name w:val="HTML Sudah Diformat KAR"/>
    <w:basedOn w:val="FontParagrafDefault"/>
    <w:link w:val="HTMLSudahDiformat"/>
    <w:uiPriority w:val="99"/>
    <w:semiHidden/>
    <w:rsid w:val="00A84AA6"/>
    <w:rPr>
      <w:rFonts w:ascii="Courier New" w:hAnsi="Courier New" w:cs="Courier New"/>
    </w:rPr>
  </w:style>
  <w:style w:type="paragraph" w:styleId="HTMLSudahDiformat">
    <w:name w:val="HTML Preformatted"/>
    <w:basedOn w:val="Normal"/>
    <w:link w:val="HTMLSudahDiformatKAR"/>
    <w:uiPriority w:val="99"/>
    <w:semiHidden/>
    <w:unhideWhenUsed/>
    <w:rsid w:val="00A84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i/>
      <w:iCs/>
    </w:rPr>
  </w:style>
  <w:style w:type="paragraph" w:customStyle="1" w:styleId="TableParagraph">
    <w:name w:val="Table Paragraph"/>
    <w:basedOn w:val="Normal"/>
    <w:uiPriority w:val="1"/>
    <w:qFormat/>
    <w:rsid w:val="00A84AA6"/>
    <w:pPr>
      <w:widowControl w:val="0"/>
      <w:autoSpaceDE w:val="0"/>
      <w:autoSpaceDN w:val="0"/>
    </w:pPr>
    <w:rPr>
      <w:rFonts w:ascii="Courier New" w:eastAsia="Courier New" w:hAnsi="Courier New" w:cs="Courier New"/>
      <w:sz w:val="22"/>
      <w:szCs w:val="22"/>
      <w:lang w:val="en-US" w:eastAsia="en-US"/>
    </w:rPr>
  </w:style>
  <w:style w:type="character" w:customStyle="1" w:styleId="TeksCatatanAkhirKAR">
    <w:name w:val="Teks Catatan Akhir KAR"/>
    <w:basedOn w:val="FontParagrafDefault"/>
    <w:link w:val="TeksCatatanAkhir"/>
    <w:uiPriority w:val="99"/>
    <w:semiHidden/>
    <w:rsid w:val="00A84AA6"/>
  </w:style>
  <w:style w:type="paragraph" w:styleId="TeksCatatanAkhir">
    <w:name w:val="endnote text"/>
    <w:basedOn w:val="Normal"/>
    <w:link w:val="TeksCatatanAkhirKAR"/>
    <w:uiPriority w:val="99"/>
    <w:semiHidden/>
    <w:unhideWhenUsed/>
    <w:rsid w:val="00A84A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90125">
      <w:bodyDiv w:val="1"/>
      <w:marLeft w:val="0"/>
      <w:marRight w:val="0"/>
      <w:marTop w:val="0"/>
      <w:marBottom w:val="0"/>
      <w:divBdr>
        <w:top w:val="none" w:sz="0" w:space="0" w:color="auto"/>
        <w:left w:val="none" w:sz="0" w:space="0" w:color="auto"/>
        <w:bottom w:val="none" w:sz="0" w:space="0" w:color="auto"/>
        <w:right w:val="none" w:sz="0" w:space="0" w:color="auto"/>
      </w:divBdr>
    </w:div>
    <w:div w:id="106438284">
      <w:bodyDiv w:val="1"/>
      <w:marLeft w:val="0"/>
      <w:marRight w:val="0"/>
      <w:marTop w:val="0"/>
      <w:marBottom w:val="0"/>
      <w:divBdr>
        <w:top w:val="none" w:sz="0" w:space="0" w:color="auto"/>
        <w:left w:val="none" w:sz="0" w:space="0" w:color="auto"/>
        <w:bottom w:val="none" w:sz="0" w:space="0" w:color="auto"/>
        <w:right w:val="none" w:sz="0" w:space="0" w:color="auto"/>
      </w:divBdr>
      <w:divsChild>
        <w:div w:id="1442066511">
          <w:marLeft w:val="0"/>
          <w:marRight w:val="0"/>
          <w:marTop w:val="0"/>
          <w:marBottom w:val="0"/>
          <w:divBdr>
            <w:top w:val="none" w:sz="0" w:space="0" w:color="auto"/>
            <w:left w:val="none" w:sz="0" w:space="0" w:color="auto"/>
            <w:bottom w:val="none" w:sz="0" w:space="0" w:color="auto"/>
            <w:right w:val="none" w:sz="0" w:space="0" w:color="auto"/>
          </w:divBdr>
        </w:div>
        <w:div w:id="1859853575">
          <w:marLeft w:val="0"/>
          <w:marRight w:val="0"/>
          <w:marTop w:val="0"/>
          <w:marBottom w:val="0"/>
          <w:divBdr>
            <w:top w:val="none" w:sz="0" w:space="0" w:color="auto"/>
            <w:left w:val="none" w:sz="0" w:space="0" w:color="auto"/>
            <w:bottom w:val="none" w:sz="0" w:space="0" w:color="auto"/>
            <w:right w:val="none" w:sz="0" w:space="0" w:color="auto"/>
          </w:divBdr>
        </w:div>
        <w:div w:id="506528090">
          <w:marLeft w:val="0"/>
          <w:marRight w:val="0"/>
          <w:marTop w:val="0"/>
          <w:marBottom w:val="0"/>
          <w:divBdr>
            <w:top w:val="none" w:sz="0" w:space="0" w:color="auto"/>
            <w:left w:val="none" w:sz="0" w:space="0" w:color="auto"/>
            <w:bottom w:val="none" w:sz="0" w:space="0" w:color="auto"/>
            <w:right w:val="none" w:sz="0" w:space="0" w:color="auto"/>
          </w:divBdr>
        </w:div>
        <w:div w:id="1929459282">
          <w:marLeft w:val="0"/>
          <w:marRight w:val="0"/>
          <w:marTop w:val="0"/>
          <w:marBottom w:val="0"/>
          <w:divBdr>
            <w:top w:val="none" w:sz="0" w:space="0" w:color="auto"/>
            <w:left w:val="none" w:sz="0" w:space="0" w:color="auto"/>
            <w:bottom w:val="none" w:sz="0" w:space="0" w:color="auto"/>
            <w:right w:val="none" w:sz="0" w:space="0" w:color="auto"/>
          </w:divBdr>
        </w:div>
      </w:divsChild>
    </w:div>
    <w:div w:id="171454296">
      <w:bodyDiv w:val="1"/>
      <w:marLeft w:val="0"/>
      <w:marRight w:val="0"/>
      <w:marTop w:val="0"/>
      <w:marBottom w:val="0"/>
      <w:divBdr>
        <w:top w:val="none" w:sz="0" w:space="0" w:color="auto"/>
        <w:left w:val="none" w:sz="0" w:space="0" w:color="auto"/>
        <w:bottom w:val="none" w:sz="0" w:space="0" w:color="auto"/>
        <w:right w:val="none" w:sz="0" w:space="0" w:color="auto"/>
      </w:divBdr>
    </w:div>
    <w:div w:id="258873755">
      <w:bodyDiv w:val="1"/>
      <w:marLeft w:val="0"/>
      <w:marRight w:val="0"/>
      <w:marTop w:val="0"/>
      <w:marBottom w:val="0"/>
      <w:divBdr>
        <w:top w:val="none" w:sz="0" w:space="0" w:color="auto"/>
        <w:left w:val="none" w:sz="0" w:space="0" w:color="auto"/>
        <w:bottom w:val="none" w:sz="0" w:space="0" w:color="auto"/>
        <w:right w:val="none" w:sz="0" w:space="0" w:color="auto"/>
      </w:divBdr>
    </w:div>
    <w:div w:id="555120452">
      <w:bodyDiv w:val="1"/>
      <w:marLeft w:val="0"/>
      <w:marRight w:val="0"/>
      <w:marTop w:val="0"/>
      <w:marBottom w:val="0"/>
      <w:divBdr>
        <w:top w:val="none" w:sz="0" w:space="0" w:color="auto"/>
        <w:left w:val="none" w:sz="0" w:space="0" w:color="auto"/>
        <w:bottom w:val="none" w:sz="0" w:space="0" w:color="auto"/>
        <w:right w:val="none" w:sz="0" w:space="0" w:color="auto"/>
      </w:divBdr>
    </w:div>
    <w:div w:id="735276672">
      <w:bodyDiv w:val="1"/>
      <w:marLeft w:val="0"/>
      <w:marRight w:val="0"/>
      <w:marTop w:val="0"/>
      <w:marBottom w:val="0"/>
      <w:divBdr>
        <w:top w:val="none" w:sz="0" w:space="0" w:color="auto"/>
        <w:left w:val="none" w:sz="0" w:space="0" w:color="auto"/>
        <w:bottom w:val="none" w:sz="0" w:space="0" w:color="auto"/>
        <w:right w:val="none" w:sz="0" w:space="0" w:color="auto"/>
      </w:divBdr>
    </w:div>
    <w:div w:id="751439279">
      <w:bodyDiv w:val="1"/>
      <w:marLeft w:val="0"/>
      <w:marRight w:val="0"/>
      <w:marTop w:val="0"/>
      <w:marBottom w:val="0"/>
      <w:divBdr>
        <w:top w:val="none" w:sz="0" w:space="0" w:color="auto"/>
        <w:left w:val="none" w:sz="0" w:space="0" w:color="auto"/>
        <w:bottom w:val="none" w:sz="0" w:space="0" w:color="auto"/>
        <w:right w:val="none" w:sz="0" w:space="0" w:color="auto"/>
      </w:divBdr>
      <w:divsChild>
        <w:div w:id="927277931">
          <w:marLeft w:val="0"/>
          <w:marRight w:val="0"/>
          <w:marTop w:val="0"/>
          <w:marBottom w:val="0"/>
          <w:divBdr>
            <w:top w:val="none" w:sz="0" w:space="0" w:color="auto"/>
            <w:left w:val="none" w:sz="0" w:space="0" w:color="auto"/>
            <w:bottom w:val="none" w:sz="0" w:space="0" w:color="auto"/>
            <w:right w:val="none" w:sz="0" w:space="0" w:color="auto"/>
          </w:divBdr>
        </w:div>
        <w:div w:id="1232273606">
          <w:marLeft w:val="0"/>
          <w:marRight w:val="0"/>
          <w:marTop w:val="0"/>
          <w:marBottom w:val="0"/>
          <w:divBdr>
            <w:top w:val="none" w:sz="0" w:space="0" w:color="auto"/>
            <w:left w:val="none" w:sz="0" w:space="0" w:color="auto"/>
            <w:bottom w:val="none" w:sz="0" w:space="0" w:color="auto"/>
            <w:right w:val="none" w:sz="0" w:space="0" w:color="auto"/>
          </w:divBdr>
        </w:div>
        <w:div w:id="597299405">
          <w:marLeft w:val="0"/>
          <w:marRight w:val="0"/>
          <w:marTop w:val="0"/>
          <w:marBottom w:val="0"/>
          <w:divBdr>
            <w:top w:val="none" w:sz="0" w:space="0" w:color="auto"/>
            <w:left w:val="none" w:sz="0" w:space="0" w:color="auto"/>
            <w:bottom w:val="none" w:sz="0" w:space="0" w:color="auto"/>
            <w:right w:val="none" w:sz="0" w:space="0" w:color="auto"/>
          </w:divBdr>
        </w:div>
        <w:div w:id="291398575">
          <w:marLeft w:val="0"/>
          <w:marRight w:val="0"/>
          <w:marTop w:val="0"/>
          <w:marBottom w:val="0"/>
          <w:divBdr>
            <w:top w:val="none" w:sz="0" w:space="0" w:color="auto"/>
            <w:left w:val="none" w:sz="0" w:space="0" w:color="auto"/>
            <w:bottom w:val="none" w:sz="0" w:space="0" w:color="auto"/>
            <w:right w:val="none" w:sz="0" w:space="0" w:color="auto"/>
          </w:divBdr>
        </w:div>
        <w:div w:id="1497040492">
          <w:marLeft w:val="0"/>
          <w:marRight w:val="0"/>
          <w:marTop w:val="0"/>
          <w:marBottom w:val="0"/>
          <w:divBdr>
            <w:top w:val="none" w:sz="0" w:space="0" w:color="auto"/>
            <w:left w:val="none" w:sz="0" w:space="0" w:color="auto"/>
            <w:bottom w:val="none" w:sz="0" w:space="0" w:color="auto"/>
            <w:right w:val="none" w:sz="0" w:space="0" w:color="auto"/>
          </w:divBdr>
        </w:div>
        <w:div w:id="1987272295">
          <w:marLeft w:val="0"/>
          <w:marRight w:val="0"/>
          <w:marTop w:val="0"/>
          <w:marBottom w:val="0"/>
          <w:divBdr>
            <w:top w:val="none" w:sz="0" w:space="0" w:color="auto"/>
            <w:left w:val="none" w:sz="0" w:space="0" w:color="auto"/>
            <w:bottom w:val="none" w:sz="0" w:space="0" w:color="auto"/>
            <w:right w:val="none" w:sz="0" w:space="0" w:color="auto"/>
          </w:divBdr>
        </w:div>
        <w:div w:id="1270161393">
          <w:marLeft w:val="0"/>
          <w:marRight w:val="0"/>
          <w:marTop w:val="0"/>
          <w:marBottom w:val="0"/>
          <w:divBdr>
            <w:top w:val="none" w:sz="0" w:space="0" w:color="auto"/>
            <w:left w:val="none" w:sz="0" w:space="0" w:color="auto"/>
            <w:bottom w:val="none" w:sz="0" w:space="0" w:color="auto"/>
            <w:right w:val="none" w:sz="0" w:space="0" w:color="auto"/>
          </w:divBdr>
        </w:div>
        <w:div w:id="2094012241">
          <w:marLeft w:val="0"/>
          <w:marRight w:val="0"/>
          <w:marTop w:val="0"/>
          <w:marBottom w:val="0"/>
          <w:divBdr>
            <w:top w:val="none" w:sz="0" w:space="0" w:color="auto"/>
            <w:left w:val="none" w:sz="0" w:space="0" w:color="auto"/>
            <w:bottom w:val="none" w:sz="0" w:space="0" w:color="auto"/>
            <w:right w:val="none" w:sz="0" w:space="0" w:color="auto"/>
          </w:divBdr>
        </w:div>
        <w:div w:id="242951814">
          <w:marLeft w:val="0"/>
          <w:marRight w:val="0"/>
          <w:marTop w:val="0"/>
          <w:marBottom w:val="0"/>
          <w:divBdr>
            <w:top w:val="none" w:sz="0" w:space="0" w:color="auto"/>
            <w:left w:val="none" w:sz="0" w:space="0" w:color="auto"/>
            <w:bottom w:val="none" w:sz="0" w:space="0" w:color="auto"/>
            <w:right w:val="none" w:sz="0" w:space="0" w:color="auto"/>
          </w:divBdr>
        </w:div>
        <w:div w:id="2099208778">
          <w:marLeft w:val="0"/>
          <w:marRight w:val="0"/>
          <w:marTop w:val="0"/>
          <w:marBottom w:val="0"/>
          <w:divBdr>
            <w:top w:val="none" w:sz="0" w:space="0" w:color="auto"/>
            <w:left w:val="none" w:sz="0" w:space="0" w:color="auto"/>
            <w:bottom w:val="none" w:sz="0" w:space="0" w:color="auto"/>
            <w:right w:val="none" w:sz="0" w:space="0" w:color="auto"/>
          </w:divBdr>
        </w:div>
        <w:div w:id="1309095968">
          <w:marLeft w:val="0"/>
          <w:marRight w:val="0"/>
          <w:marTop w:val="0"/>
          <w:marBottom w:val="0"/>
          <w:divBdr>
            <w:top w:val="none" w:sz="0" w:space="0" w:color="auto"/>
            <w:left w:val="none" w:sz="0" w:space="0" w:color="auto"/>
            <w:bottom w:val="none" w:sz="0" w:space="0" w:color="auto"/>
            <w:right w:val="none" w:sz="0" w:space="0" w:color="auto"/>
          </w:divBdr>
        </w:div>
        <w:div w:id="1274166704">
          <w:marLeft w:val="0"/>
          <w:marRight w:val="0"/>
          <w:marTop w:val="0"/>
          <w:marBottom w:val="0"/>
          <w:divBdr>
            <w:top w:val="none" w:sz="0" w:space="0" w:color="auto"/>
            <w:left w:val="none" w:sz="0" w:space="0" w:color="auto"/>
            <w:bottom w:val="none" w:sz="0" w:space="0" w:color="auto"/>
            <w:right w:val="none" w:sz="0" w:space="0" w:color="auto"/>
          </w:divBdr>
        </w:div>
      </w:divsChild>
    </w:div>
    <w:div w:id="811940944">
      <w:bodyDiv w:val="1"/>
      <w:marLeft w:val="0"/>
      <w:marRight w:val="0"/>
      <w:marTop w:val="0"/>
      <w:marBottom w:val="0"/>
      <w:divBdr>
        <w:top w:val="none" w:sz="0" w:space="0" w:color="auto"/>
        <w:left w:val="none" w:sz="0" w:space="0" w:color="auto"/>
        <w:bottom w:val="none" w:sz="0" w:space="0" w:color="auto"/>
        <w:right w:val="none" w:sz="0" w:space="0" w:color="auto"/>
      </w:divBdr>
    </w:div>
    <w:div w:id="954482787">
      <w:bodyDiv w:val="1"/>
      <w:marLeft w:val="0"/>
      <w:marRight w:val="0"/>
      <w:marTop w:val="0"/>
      <w:marBottom w:val="0"/>
      <w:divBdr>
        <w:top w:val="none" w:sz="0" w:space="0" w:color="auto"/>
        <w:left w:val="none" w:sz="0" w:space="0" w:color="auto"/>
        <w:bottom w:val="none" w:sz="0" w:space="0" w:color="auto"/>
        <w:right w:val="none" w:sz="0" w:space="0" w:color="auto"/>
      </w:divBdr>
      <w:divsChild>
        <w:div w:id="218175655">
          <w:marLeft w:val="0"/>
          <w:marRight w:val="0"/>
          <w:marTop w:val="0"/>
          <w:marBottom w:val="0"/>
          <w:divBdr>
            <w:top w:val="none" w:sz="0" w:space="0" w:color="auto"/>
            <w:left w:val="none" w:sz="0" w:space="0" w:color="auto"/>
            <w:bottom w:val="none" w:sz="0" w:space="0" w:color="auto"/>
            <w:right w:val="none" w:sz="0" w:space="0" w:color="auto"/>
          </w:divBdr>
        </w:div>
        <w:div w:id="1103452875">
          <w:marLeft w:val="0"/>
          <w:marRight w:val="0"/>
          <w:marTop w:val="0"/>
          <w:marBottom w:val="0"/>
          <w:divBdr>
            <w:top w:val="none" w:sz="0" w:space="0" w:color="auto"/>
            <w:left w:val="none" w:sz="0" w:space="0" w:color="auto"/>
            <w:bottom w:val="none" w:sz="0" w:space="0" w:color="auto"/>
            <w:right w:val="none" w:sz="0" w:space="0" w:color="auto"/>
          </w:divBdr>
        </w:div>
      </w:divsChild>
    </w:div>
    <w:div w:id="974337653">
      <w:bodyDiv w:val="1"/>
      <w:marLeft w:val="0"/>
      <w:marRight w:val="0"/>
      <w:marTop w:val="0"/>
      <w:marBottom w:val="0"/>
      <w:divBdr>
        <w:top w:val="none" w:sz="0" w:space="0" w:color="auto"/>
        <w:left w:val="none" w:sz="0" w:space="0" w:color="auto"/>
        <w:bottom w:val="none" w:sz="0" w:space="0" w:color="auto"/>
        <w:right w:val="none" w:sz="0" w:space="0" w:color="auto"/>
      </w:divBdr>
      <w:divsChild>
        <w:div w:id="893346112">
          <w:marLeft w:val="0"/>
          <w:marRight w:val="0"/>
          <w:marTop w:val="0"/>
          <w:marBottom w:val="0"/>
          <w:divBdr>
            <w:top w:val="none" w:sz="0" w:space="0" w:color="auto"/>
            <w:left w:val="none" w:sz="0" w:space="0" w:color="auto"/>
            <w:bottom w:val="none" w:sz="0" w:space="0" w:color="auto"/>
            <w:right w:val="none" w:sz="0" w:space="0" w:color="auto"/>
          </w:divBdr>
        </w:div>
        <w:div w:id="122576716">
          <w:marLeft w:val="0"/>
          <w:marRight w:val="0"/>
          <w:marTop w:val="0"/>
          <w:marBottom w:val="0"/>
          <w:divBdr>
            <w:top w:val="none" w:sz="0" w:space="0" w:color="auto"/>
            <w:left w:val="none" w:sz="0" w:space="0" w:color="auto"/>
            <w:bottom w:val="none" w:sz="0" w:space="0" w:color="auto"/>
            <w:right w:val="none" w:sz="0" w:space="0" w:color="auto"/>
          </w:divBdr>
        </w:div>
        <w:div w:id="9065580">
          <w:marLeft w:val="0"/>
          <w:marRight w:val="0"/>
          <w:marTop w:val="0"/>
          <w:marBottom w:val="0"/>
          <w:divBdr>
            <w:top w:val="none" w:sz="0" w:space="0" w:color="auto"/>
            <w:left w:val="none" w:sz="0" w:space="0" w:color="auto"/>
            <w:bottom w:val="none" w:sz="0" w:space="0" w:color="auto"/>
            <w:right w:val="none" w:sz="0" w:space="0" w:color="auto"/>
          </w:divBdr>
        </w:div>
        <w:div w:id="1453592589">
          <w:marLeft w:val="0"/>
          <w:marRight w:val="0"/>
          <w:marTop w:val="0"/>
          <w:marBottom w:val="0"/>
          <w:divBdr>
            <w:top w:val="none" w:sz="0" w:space="0" w:color="auto"/>
            <w:left w:val="none" w:sz="0" w:space="0" w:color="auto"/>
            <w:bottom w:val="none" w:sz="0" w:space="0" w:color="auto"/>
            <w:right w:val="none" w:sz="0" w:space="0" w:color="auto"/>
          </w:divBdr>
        </w:div>
        <w:div w:id="1354453636">
          <w:marLeft w:val="0"/>
          <w:marRight w:val="0"/>
          <w:marTop w:val="0"/>
          <w:marBottom w:val="0"/>
          <w:divBdr>
            <w:top w:val="none" w:sz="0" w:space="0" w:color="auto"/>
            <w:left w:val="none" w:sz="0" w:space="0" w:color="auto"/>
            <w:bottom w:val="none" w:sz="0" w:space="0" w:color="auto"/>
            <w:right w:val="none" w:sz="0" w:space="0" w:color="auto"/>
          </w:divBdr>
        </w:div>
        <w:div w:id="644088030">
          <w:marLeft w:val="0"/>
          <w:marRight w:val="0"/>
          <w:marTop w:val="0"/>
          <w:marBottom w:val="0"/>
          <w:divBdr>
            <w:top w:val="none" w:sz="0" w:space="0" w:color="auto"/>
            <w:left w:val="none" w:sz="0" w:space="0" w:color="auto"/>
            <w:bottom w:val="none" w:sz="0" w:space="0" w:color="auto"/>
            <w:right w:val="none" w:sz="0" w:space="0" w:color="auto"/>
          </w:divBdr>
        </w:div>
        <w:div w:id="1516192768">
          <w:marLeft w:val="0"/>
          <w:marRight w:val="0"/>
          <w:marTop w:val="0"/>
          <w:marBottom w:val="0"/>
          <w:divBdr>
            <w:top w:val="none" w:sz="0" w:space="0" w:color="auto"/>
            <w:left w:val="none" w:sz="0" w:space="0" w:color="auto"/>
            <w:bottom w:val="none" w:sz="0" w:space="0" w:color="auto"/>
            <w:right w:val="none" w:sz="0" w:space="0" w:color="auto"/>
          </w:divBdr>
        </w:div>
        <w:div w:id="1561942089">
          <w:marLeft w:val="0"/>
          <w:marRight w:val="0"/>
          <w:marTop w:val="0"/>
          <w:marBottom w:val="0"/>
          <w:divBdr>
            <w:top w:val="none" w:sz="0" w:space="0" w:color="auto"/>
            <w:left w:val="none" w:sz="0" w:space="0" w:color="auto"/>
            <w:bottom w:val="none" w:sz="0" w:space="0" w:color="auto"/>
            <w:right w:val="none" w:sz="0" w:space="0" w:color="auto"/>
          </w:divBdr>
        </w:div>
        <w:div w:id="248007397">
          <w:marLeft w:val="0"/>
          <w:marRight w:val="0"/>
          <w:marTop w:val="0"/>
          <w:marBottom w:val="0"/>
          <w:divBdr>
            <w:top w:val="none" w:sz="0" w:space="0" w:color="auto"/>
            <w:left w:val="none" w:sz="0" w:space="0" w:color="auto"/>
            <w:bottom w:val="none" w:sz="0" w:space="0" w:color="auto"/>
            <w:right w:val="none" w:sz="0" w:space="0" w:color="auto"/>
          </w:divBdr>
        </w:div>
        <w:div w:id="1321150903">
          <w:marLeft w:val="0"/>
          <w:marRight w:val="0"/>
          <w:marTop w:val="0"/>
          <w:marBottom w:val="0"/>
          <w:divBdr>
            <w:top w:val="none" w:sz="0" w:space="0" w:color="auto"/>
            <w:left w:val="none" w:sz="0" w:space="0" w:color="auto"/>
            <w:bottom w:val="none" w:sz="0" w:space="0" w:color="auto"/>
            <w:right w:val="none" w:sz="0" w:space="0" w:color="auto"/>
          </w:divBdr>
        </w:div>
        <w:div w:id="1867254066">
          <w:marLeft w:val="0"/>
          <w:marRight w:val="0"/>
          <w:marTop w:val="0"/>
          <w:marBottom w:val="0"/>
          <w:divBdr>
            <w:top w:val="none" w:sz="0" w:space="0" w:color="auto"/>
            <w:left w:val="none" w:sz="0" w:space="0" w:color="auto"/>
            <w:bottom w:val="none" w:sz="0" w:space="0" w:color="auto"/>
            <w:right w:val="none" w:sz="0" w:space="0" w:color="auto"/>
          </w:divBdr>
        </w:div>
        <w:div w:id="1007638619">
          <w:marLeft w:val="0"/>
          <w:marRight w:val="0"/>
          <w:marTop w:val="0"/>
          <w:marBottom w:val="0"/>
          <w:divBdr>
            <w:top w:val="none" w:sz="0" w:space="0" w:color="auto"/>
            <w:left w:val="none" w:sz="0" w:space="0" w:color="auto"/>
            <w:bottom w:val="none" w:sz="0" w:space="0" w:color="auto"/>
            <w:right w:val="none" w:sz="0" w:space="0" w:color="auto"/>
          </w:divBdr>
        </w:div>
        <w:div w:id="890309377">
          <w:marLeft w:val="0"/>
          <w:marRight w:val="0"/>
          <w:marTop w:val="0"/>
          <w:marBottom w:val="0"/>
          <w:divBdr>
            <w:top w:val="none" w:sz="0" w:space="0" w:color="auto"/>
            <w:left w:val="none" w:sz="0" w:space="0" w:color="auto"/>
            <w:bottom w:val="none" w:sz="0" w:space="0" w:color="auto"/>
            <w:right w:val="none" w:sz="0" w:space="0" w:color="auto"/>
          </w:divBdr>
        </w:div>
        <w:div w:id="526599372">
          <w:marLeft w:val="0"/>
          <w:marRight w:val="0"/>
          <w:marTop w:val="0"/>
          <w:marBottom w:val="0"/>
          <w:divBdr>
            <w:top w:val="none" w:sz="0" w:space="0" w:color="auto"/>
            <w:left w:val="none" w:sz="0" w:space="0" w:color="auto"/>
            <w:bottom w:val="none" w:sz="0" w:space="0" w:color="auto"/>
            <w:right w:val="none" w:sz="0" w:space="0" w:color="auto"/>
          </w:divBdr>
        </w:div>
        <w:div w:id="1725444596">
          <w:marLeft w:val="0"/>
          <w:marRight w:val="0"/>
          <w:marTop w:val="0"/>
          <w:marBottom w:val="0"/>
          <w:divBdr>
            <w:top w:val="none" w:sz="0" w:space="0" w:color="auto"/>
            <w:left w:val="none" w:sz="0" w:space="0" w:color="auto"/>
            <w:bottom w:val="none" w:sz="0" w:space="0" w:color="auto"/>
            <w:right w:val="none" w:sz="0" w:space="0" w:color="auto"/>
          </w:divBdr>
        </w:div>
        <w:div w:id="2108842405">
          <w:marLeft w:val="0"/>
          <w:marRight w:val="0"/>
          <w:marTop w:val="0"/>
          <w:marBottom w:val="0"/>
          <w:divBdr>
            <w:top w:val="none" w:sz="0" w:space="0" w:color="auto"/>
            <w:left w:val="none" w:sz="0" w:space="0" w:color="auto"/>
            <w:bottom w:val="none" w:sz="0" w:space="0" w:color="auto"/>
            <w:right w:val="none" w:sz="0" w:space="0" w:color="auto"/>
          </w:divBdr>
        </w:div>
        <w:div w:id="244851064">
          <w:marLeft w:val="0"/>
          <w:marRight w:val="0"/>
          <w:marTop w:val="0"/>
          <w:marBottom w:val="0"/>
          <w:divBdr>
            <w:top w:val="none" w:sz="0" w:space="0" w:color="auto"/>
            <w:left w:val="none" w:sz="0" w:space="0" w:color="auto"/>
            <w:bottom w:val="none" w:sz="0" w:space="0" w:color="auto"/>
            <w:right w:val="none" w:sz="0" w:space="0" w:color="auto"/>
          </w:divBdr>
        </w:div>
        <w:div w:id="2074961562">
          <w:marLeft w:val="0"/>
          <w:marRight w:val="0"/>
          <w:marTop w:val="0"/>
          <w:marBottom w:val="0"/>
          <w:divBdr>
            <w:top w:val="none" w:sz="0" w:space="0" w:color="auto"/>
            <w:left w:val="none" w:sz="0" w:space="0" w:color="auto"/>
            <w:bottom w:val="none" w:sz="0" w:space="0" w:color="auto"/>
            <w:right w:val="none" w:sz="0" w:space="0" w:color="auto"/>
          </w:divBdr>
        </w:div>
      </w:divsChild>
    </w:div>
    <w:div w:id="1036351375">
      <w:bodyDiv w:val="1"/>
      <w:marLeft w:val="0"/>
      <w:marRight w:val="0"/>
      <w:marTop w:val="0"/>
      <w:marBottom w:val="0"/>
      <w:divBdr>
        <w:top w:val="none" w:sz="0" w:space="0" w:color="auto"/>
        <w:left w:val="none" w:sz="0" w:space="0" w:color="auto"/>
        <w:bottom w:val="none" w:sz="0" w:space="0" w:color="auto"/>
        <w:right w:val="none" w:sz="0" w:space="0" w:color="auto"/>
      </w:divBdr>
    </w:div>
    <w:div w:id="1067803474">
      <w:bodyDiv w:val="1"/>
      <w:marLeft w:val="0"/>
      <w:marRight w:val="0"/>
      <w:marTop w:val="0"/>
      <w:marBottom w:val="0"/>
      <w:divBdr>
        <w:top w:val="none" w:sz="0" w:space="0" w:color="auto"/>
        <w:left w:val="none" w:sz="0" w:space="0" w:color="auto"/>
        <w:bottom w:val="none" w:sz="0" w:space="0" w:color="auto"/>
        <w:right w:val="none" w:sz="0" w:space="0" w:color="auto"/>
      </w:divBdr>
    </w:div>
    <w:div w:id="1075320389">
      <w:bodyDiv w:val="1"/>
      <w:marLeft w:val="0"/>
      <w:marRight w:val="0"/>
      <w:marTop w:val="0"/>
      <w:marBottom w:val="0"/>
      <w:divBdr>
        <w:top w:val="none" w:sz="0" w:space="0" w:color="auto"/>
        <w:left w:val="none" w:sz="0" w:space="0" w:color="auto"/>
        <w:bottom w:val="none" w:sz="0" w:space="0" w:color="auto"/>
        <w:right w:val="none" w:sz="0" w:space="0" w:color="auto"/>
      </w:divBdr>
      <w:divsChild>
        <w:div w:id="71008169">
          <w:marLeft w:val="0"/>
          <w:marRight w:val="0"/>
          <w:marTop w:val="0"/>
          <w:marBottom w:val="0"/>
          <w:divBdr>
            <w:top w:val="none" w:sz="0" w:space="0" w:color="auto"/>
            <w:left w:val="none" w:sz="0" w:space="0" w:color="auto"/>
            <w:bottom w:val="none" w:sz="0" w:space="0" w:color="auto"/>
            <w:right w:val="none" w:sz="0" w:space="0" w:color="auto"/>
          </w:divBdr>
        </w:div>
        <w:div w:id="388039321">
          <w:marLeft w:val="0"/>
          <w:marRight w:val="0"/>
          <w:marTop w:val="0"/>
          <w:marBottom w:val="0"/>
          <w:divBdr>
            <w:top w:val="none" w:sz="0" w:space="0" w:color="auto"/>
            <w:left w:val="none" w:sz="0" w:space="0" w:color="auto"/>
            <w:bottom w:val="none" w:sz="0" w:space="0" w:color="auto"/>
            <w:right w:val="none" w:sz="0" w:space="0" w:color="auto"/>
          </w:divBdr>
        </w:div>
        <w:div w:id="857280982">
          <w:marLeft w:val="0"/>
          <w:marRight w:val="0"/>
          <w:marTop w:val="0"/>
          <w:marBottom w:val="0"/>
          <w:divBdr>
            <w:top w:val="none" w:sz="0" w:space="0" w:color="auto"/>
            <w:left w:val="none" w:sz="0" w:space="0" w:color="auto"/>
            <w:bottom w:val="none" w:sz="0" w:space="0" w:color="auto"/>
            <w:right w:val="none" w:sz="0" w:space="0" w:color="auto"/>
          </w:divBdr>
        </w:div>
      </w:divsChild>
    </w:div>
    <w:div w:id="1100027595">
      <w:bodyDiv w:val="1"/>
      <w:marLeft w:val="0"/>
      <w:marRight w:val="0"/>
      <w:marTop w:val="0"/>
      <w:marBottom w:val="0"/>
      <w:divBdr>
        <w:top w:val="none" w:sz="0" w:space="0" w:color="auto"/>
        <w:left w:val="none" w:sz="0" w:space="0" w:color="auto"/>
        <w:bottom w:val="none" w:sz="0" w:space="0" w:color="auto"/>
        <w:right w:val="none" w:sz="0" w:space="0" w:color="auto"/>
      </w:divBdr>
    </w:div>
    <w:div w:id="1120494917">
      <w:bodyDiv w:val="1"/>
      <w:marLeft w:val="0"/>
      <w:marRight w:val="0"/>
      <w:marTop w:val="0"/>
      <w:marBottom w:val="0"/>
      <w:divBdr>
        <w:top w:val="none" w:sz="0" w:space="0" w:color="auto"/>
        <w:left w:val="none" w:sz="0" w:space="0" w:color="auto"/>
        <w:bottom w:val="none" w:sz="0" w:space="0" w:color="auto"/>
        <w:right w:val="none" w:sz="0" w:space="0" w:color="auto"/>
      </w:divBdr>
    </w:div>
    <w:div w:id="1495027958">
      <w:bodyDiv w:val="1"/>
      <w:marLeft w:val="0"/>
      <w:marRight w:val="0"/>
      <w:marTop w:val="0"/>
      <w:marBottom w:val="0"/>
      <w:divBdr>
        <w:top w:val="none" w:sz="0" w:space="0" w:color="auto"/>
        <w:left w:val="none" w:sz="0" w:space="0" w:color="auto"/>
        <w:bottom w:val="none" w:sz="0" w:space="0" w:color="auto"/>
        <w:right w:val="none" w:sz="0" w:space="0" w:color="auto"/>
      </w:divBdr>
    </w:div>
    <w:div w:id="1535658035">
      <w:bodyDiv w:val="1"/>
      <w:marLeft w:val="0"/>
      <w:marRight w:val="0"/>
      <w:marTop w:val="0"/>
      <w:marBottom w:val="0"/>
      <w:divBdr>
        <w:top w:val="none" w:sz="0" w:space="0" w:color="auto"/>
        <w:left w:val="none" w:sz="0" w:space="0" w:color="auto"/>
        <w:bottom w:val="none" w:sz="0" w:space="0" w:color="auto"/>
        <w:right w:val="none" w:sz="0" w:space="0" w:color="auto"/>
      </w:divBdr>
    </w:div>
    <w:div w:id="1704481404">
      <w:bodyDiv w:val="1"/>
      <w:marLeft w:val="0"/>
      <w:marRight w:val="0"/>
      <w:marTop w:val="0"/>
      <w:marBottom w:val="0"/>
      <w:divBdr>
        <w:top w:val="none" w:sz="0" w:space="0" w:color="auto"/>
        <w:left w:val="none" w:sz="0" w:space="0" w:color="auto"/>
        <w:bottom w:val="none" w:sz="0" w:space="0" w:color="auto"/>
        <w:right w:val="none" w:sz="0" w:space="0" w:color="auto"/>
      </w:divBdr>
    </w:div>
    <w:div w:id="1834300319">
      <w:bodyDiv w:val="1"/>
      <w:marLeft w:val="0"/>
      <w:marRight w:val="0"/>
      <w:marTop w:val="0"/>
      <w:marBottom w:val="0"/>
      <w:divBdr>
        <w:top w:val="none" w:sz="0" w:space="0" w:color="auto"/>
        <w:left w:val="none" w:sz="0" w:space="0" w:color="auto"/>
        <w:bottom w:val="none" w:sz="0" w:space="0" w:color="auto"/>
        <w:right w:val="none" w:sz="0" w:space="0" w:color="auto"/>
      </w:divBdr>
      <w:divsChild>
        <w:div w:id="894466410">
          <w:marLeft w:val="0"/>
          <w:marRight w:val="0"/>
          <w:marTop w:val="0"/>
          <w:marBottom w:val="0"/>
          <w:divBdr>
            <w:top w:val="none" w:sz="0" w:space="0" w:color="auto"/>
            <w:left w:val="none" w:sz="0" w:space="0" w:color="auto"/>
            <w:bottom w:val="none" w:sz="0" w:space="0" w:color="auto"/>
            <w:right w:val="none" w:sz="0" w:space="0" w:color="auto"/>
          </w:divBdr>
        </w:div>
        <w:div w:id="4719002">
          <w:marLeft w:val="0"/>
          <w:marRight w:val="0"/>
          <w:marTop w:val="0"/>
          <w:marBottom w:val="0"/>
          <w:divBdr>
            <w:top w:val="none" w:sz="0" w:space="0" w:color="auto"/>
            <w:left w:val="none" w:sz="0" w:space="0" w:color="auto"/>
            <w:bottom w:val="none" w:sz="0" w:space="0" w:color="auto"/>
            <w:right w:val="none" w:sz="0" w:space="0" w:color="auto"/>
          </w:divBdr>
        </w:div>
        <w:div w:id="2052267115">
          <w:marLeft w:val="0"/>
          <w:marRight w:val="0"/>
          <w:marTop w:val="0"/>
          <w:marBottom w:val="0"/>
          <w:divBdr>
            <w:top w:val="none" w:sz="0" w:space="0" w:color="auto"/>
            <w:left w:val="none" w:sz="0" w:space="0" w:color="auto"/>
            <w:bottom w:val="none" w:sz="0" w:space="0" w:color="auto"/>
            <w:right w:val="none" w:sz="0" w:space="0" w:color="auto"/>
          </w:divBdr>
        </w:div>
        <w:div w:id="924338628">
          <w:marLeft w:val="0"/>
          <w:marRight w:val="0"/>
          <w:marTop w:val="0"/>
          <w:marBottom w:val="0"/>
          <w:divBdr>
            <w:top w:val="none" w:sz="0" w:space="0" w:color="auto"/>
            <w:left w:val="none" w:sz="0" w:space="0" w:color="auto"/>
            <w:bottom w:val="none" w:sz="0" w:space="0" w:color="auto"/>
            <w:right w:val="none" w:sz="0" w:space="0" w:color="auto"/>
          </w:divBdr>
        </w:div>
        <w:div w:id="357198743">
          <w:marLeft w:val="0"/>
          <w:marRight w:val="0"/>
          <w:marTop w:val="0"/>
          <w:marBottom w:val="0"/>
          <w:divBdr>
            <w:top w:val="none" w:sz="0" w:space="0" w:color="auto"/>
            <w:left w:val="none" w:sz="0" w:space="0" w:color="auto"/>
            <w:bottom w:val="none" w:sz="0" w:space="0" w:color="auto"/>
            <w:right w:val="none" w:sz="0" w:space="0" w:color="auto"/>
          </w:divBdr>
        </w:div>
        <w:div w:id="878667297">
          <w:marLeft w:val="0"/>
          <w:marRight w:val="0"/>
          <w:marTop w:val="0"/>
          <w:marBottom w:val="0"/>
          <w:divBdr>
            <w:top w:val="none" w:sz="0" w:space="0" w:color="auto"/>
            <w:left w:val="none" w:sz="0" w:space="0" w:color="auto"/>
            <w:bottom w:val="none" w:sz="0" w:space="0" w:color="auto"/>
            <w:right w:val="none" w:sz="0" w:space="0" w:color="auto"/>
          </w:divBdr>
        </w:div>
        <w:div w:id="572396916">
          <w:marLeft w:val="0"/>
          <w:marRight w:val="0"/>
          <w:marTop w:val="0"/>
          <w:marBottom w:val="0"/>
          <w:divBdr>
            <w:top w:val="none" w:sz="0" w:space="0" w:color="auto"/>
            <w:left w:val="none" w:sz="0" w:space="0" w:color="auto"/>
            <w:bottom w:val="none" w:sz="0" w:space="0" w:color="auto"/>
            <w:right w:val="none" w:sz="0" w:space="0" w:color="auto"/>
          </w:divBdr>
        </w:div>
        <w:div w:id="491718120">
          <w:marLeft w:val="0"/>
          <w:marRight w:val="0"/>
          <w:marTop w:val="0"/>
          <w:marBottom w:val="0"/>
          <w:divBdr>
            <w:top w:val="none" w:sz="0" w:space="0" w:color="auto"/>
            <w:left w:val="none" w:sz="0" w:space="0" w:color="auto"/>
            <w:bottom w:val="none" w:sz="0" w:space="0" w:color="auto"/>
            <w:right w:val="none" w:sz="0" w:space="0" w:color="auto"/>
          </w:divBdr>
        </w:div>
        <w:div w:id="367414012">
          <w:marLeft w:val="0"/>
          <w:marRight w:val="0"/>
          <w:marTop w:val="0"/>
          <w:marBottom w:val="0"/>
          <w:divBdr>
            <w:top w:val="none" w:sz="0" w:space="0" w:color="auto"/>
            <w:left w:val="none" w:sz="0" w:space="0" w:color="auto"/>
            <w:bottom w:val="none" w:sz="0" w:space="0" w:color="auto"/>
            <w:right w:val="none" w:sz="0" w:space="0" w:color="auto"/>
          </w:divBdr>
        </w:div>
        <w:div w:id="1242254712">
          <w:marLeft w:val="0"/>
          <w:marRight w:val="0"/>
          <w:marTop w:val="0"/>
          <w:marBottom w:val="0"/>
          <w:divBdr>
            <w:top w:val="none" w:sz="0" w:space="0" w:color="auto"/>
            <w:left w:val="none" w:sz="0" w:space="0" w:color="auto"/>
            <w:bottom w:val="none" w:sz="0" w:space="0" w:color="auto"/>
            <w:right w:val="none" w:sz="0" w:space="0" w:color="auto"/>
          </w:divBdr>
        </w:div>
        <w:div w:id="180509190">
          <w:marLeft w:val="0"/>
          <w:marRight w:val="0"/>
          <w:marTop w:val="0"/>
          <w:marBottom w:val="0"/>
          <w:divBdr>
            <w:top w:val="none" w:sz="0" w:space="0" w:color="auto"/>
            <w:left w:val="none" w:sz="0" w:space="0" w:color="auto"/>
            <w:bottom w:val="none" w:sz="0" w:space="0" w:color="auto"/>
            <w:right w:val="none" w:sz="0" w:space="0" w:color="auto"/>
          </w:divBdr>
        </w:div>
        <w:div w:id="689453108">
          <w:marLeft w:val="0"/>
          <w:marRight w:val="0"/>
          <w:marTop w:val="0"/>
          <w:marBottom w:val="0"/>
          <w:divBdr>
            <w:top w:val="none" w:sz="0" w:space="0" w:color="auto"/>
            <w:left w:val="none" w:sz="0" w:space="0" w:color="auto"/>
            <w:bottom w:val="none" w:sz="0" w:space="0" w:color="auto"/>
            <w:right w:val="none" w:sz="0" w:space="0" w:color="auto"/>
          </w:divBdr>
        </w:div>
        <w:div w:id="1220288754">
          <w:marLeft w:val="0"/>
          <w:marRight w:val="0"/>
          <w:marTop w:val="0"/>
          <w:marBottom w:val="0"/>
          <w:divBdr>
            <w:top w:val="none" w:sz="0" w:space="0" w:color="auto"/>
            <w:left w:val="none" w:sz="0" w:space="0" w:color="auto"/>
            <w:bottom w:val="none" w:sz="0" w:space="0" w:color="auto"/>
            <w:right w:val="none" w:sz="0" w:space="0" w:color="auto"/>
          </w:divBdr>
        </w:div>
        <w:div w:id="1699810900">
          <w:marLeft w:val="0"/>
          <w:marRight w:val="0"/>
          <w:marTop w:val="0"/>
          <w:marBottom w:val="0"/>
          <w:divBdr>
            <w:top w:val="none" w:sz="0" w:space="0" w:color="auto"/>
            <w:left w:val="none" w:sz="0" w:space="0" w:color="auto"/>
            <w:bottom w:val="none" w:sz="0" w:space="0" w:color="auto"/>
            <w:right w:val="none" w:sz="0" w:space="0" w:color="auto"/>
          </w:divBdr>
        </w:div>
        <w:div w:id="1030182487">
          <w:marLeft w:val="0"/>
          <w:marRight w:val="0"/>
          <w:marTop w:val="0"/>
          <w:marBottom w:val="0"/>
          <w:divBdr>
            <w:top w:val="none" w:sz="0" w:space="0" w:color="auto"/>
            <w:left w:val="none" w:sz="0" w:space="0" w:color="auto"/>
            <w:bottom w:val="none" w:sz="0" w:space="0" w:color="auto"/>
            <w:right w:val="none" w:sz="0" w:space="0" w:color="auto"/>
          </w:divBdr>
        </w:div>
        <w:div w:id="1950354051">
          <w:marLeft w:val="0"/>
          <w:marRight w:val="0"/>
          <w:marTop w:val="0"/>
          <w:marBottom w:val="0"/>
          <w:divBdr>
            <w:top w:val="none" w:sz="0" w:space="0" w:color="auto"/>
            <w:left w:val="none" w:sz="0" w:space="0" w:color="auto"/>
            <w:bottom w:val="none" w:sz="0" w:space="0" w:color="auto"/>
            <w:right w:val="none" w:sz="0" w:space="0" w:color="auto"/>
          </w:divBdr>
        </w:div>
        <w:div w:id="1269850814">
          <w:marLeft w:val="0"/>
          <w:marRight w:val="0"/>
          <w:marTop w:val="0"/>
          <w:marBottom w:val="0"/>
          <w:divBdr>
            <w:top w:val="none" w:sz="0" w:space="0" w:color="auto"/>
            <w:left w:val="none" w:sz="0" w:space="0" w:color="auto"/>
            <w:bottom w:val="none" w:sz="0" w:space="0" w:color="auto"/>
            <w:right w:val="none" w:sz="0" w:space="0" w:color="auto"/>
          </w:divBdr>
        </w:div>
        <w:div w:id="810707711">
          <w:marLeft w:val="0"/>
          <w:marRight w:val="0"/>
          <w:marTop w:val="0"/>
          <w:marBottom w:val="0"/>
          <w:divBdr>
            <w:top w:val="none" w:sz="0" w:space="0" w:color="auto"/>
            <w:left w:val="none" w:sz="0" w:space="0" w:color="auto"/>
            <w:bottom w:val="none" w:sz="0" w:space="0" w:color="auto"/>
            <w:right w:val="none" w:sz="0" w:space="0" w:color="auto"/>
          </w:divBdr>
        </w:div>
      </w:divsChild>
    </w:div>
    <w:div w:id="1927108445">
      <w:bodyDiv w:val="1"/>
      <w:marLeft w:val="0"/>
      <w:marRight w:val="0"/>
      <w:marTop w:val="0"/>
      <w:marBottom w:val="0"/>
      <w:divBdr>
        <w:top w:val="none" w:sz="0" w:space="0" w:color="auto"/>
        <w:left w:val="none" w:sz="0" w:space="0" w:color="auto"/>
        <w:bottom w:val="none" w:sz="0" w:space="0" w:color="auto"/>
        <w:right w:val="none" w:sz="0" w:space="0" w:color="auto"/>
      </w:divBdr>
    </w:div>
    <w:div w:id="1985694661">
      <w:bodyDiv w:val="1"/>
      <w:marLeft w:val="0"/>
      <w:marRight w:val="0"/>
      <w:marTop w:val="0"/>
      <w:marBottom w:val="0"/>
      <w:divBdr>
        <w:top w:val="none" w:sz="0" w:space="0" w:color="auto"/>
        <w:left w:val="none" w:sz="0" w:space="0" w:color="auto"/>
        <w:bottom w:val="none" w:sz="0" w:space="0" w:color="auto"/>
        <w:right w:val="none" w:sz="0" w:space="0" w:color="auto"/>
      </w:divBdr>
      <w:divsChild>
        <w:div w:id="188370598">
          <w:marLeft w:val="0"/>
          <w:marRight w:val="0"/>
          <w:marTop w:val="0"/>
          <w:marBottom w:val="0"/>
          <w:divBdr>
            <w:top w:val="none" w:sz="0" w:space="0" w:color="auto"/>
            <w:left w:val="none" w:sz="0" w:space="0" w:color="auto"/>
            <w:bottom w:val="none" w:sz="0" w:space="0" w:color="auto"/>
            <w:right w:val="none" w:sz="0" w:space="0" w:color="auto"/>
          </w:divBdr>
        </w:div>
        <w:div w:id="1368720294">
          <w:marLeft w:val="0"/>
          <w:marRight w:val="0"/>
          <w:marTop w:val="0"/>
          <w:marBottom w:val="0"/>
          <w:divBdr>
            <w:top w:val="none" w:sz="0" w:space="0" w:color="auto"/>
            <w:left w:val="none" w:sz="0" w:space="0" w:color="auto"/>
            <w:bottom w:val="none" w:sz="0" w:space="0" w:color="auto"/>
            <w:right w:val="none" w:sz="0" w:space="0" w:color="auto"/>
          </w:divBdr>
        </w:div>
        <w:div w:id="2039961612">
          <w:marLeft w:val="0"/>
          <w:marRight w:val="0"/>
          <w:marTop w:val="0"/>
          <w:marBottom w:val="0"/>
          <w:divBdr>
            <w:top w:val="none" w:sz="0" w:space="0" w:color="auto"/>
            <w:left w:val="none" w:sz="0" w:space="0" w:color="auto"/>
            <w:bottom w:val="none" w:sz="0" w:space="0" w:color="auto"/>
            <w:right w:val="none" w:sz="0" w:space="0" w:color="auto"/>
          </w:divBdr>
        </w:div>
        <w:div w:id="1624580835">
          <w:marLeft w:val="0"/>
          <w:marRight w:val="0"/>
          <w:marTop w:val="0"/>
          <w:marBottom w:val="0"/>
          <w:divBdr>
            <w:top w:val="none" w:sz="0" w:space="0" w:color="auto"/>
            <w:left w:val="none" w:sz="0" w:space="0" w:color="auto"/>
            <w:bottom w:val="none" w:sz="0" w:space="0" w:color="auto"/>
            <w:right w:val="none" w:sz="0" w:space="0" w:color="auto"/>
          </w:divBdr>
        </w:div>
        <w:div w:id="1800880844">
          <w:marLeft w:val="0"/>
          <w:marRight w:val="0"/>
          <w:marTop w:val="0"/>
          <w:marBottom w:val="0"/>
          <w:divBdr>
            <w:top w:val="none" w:sz="0" w:space="0" w:color="auto"/>
            <w:left w:val="none" w:sz="0" w:space="0" w:color="auto"/>
            <w:bottom w:val="none" w:sz="0" w:space="0" w:color="auto"/>
            <w:right w:val="none" w:sz="0" w:space="0" w:color="auto"/>
          </w:divBdr>
        </w:div>
        <w:div w:id="759372340">
          <w:marLeft w:val="0"/>
          <w:marRight w:val="0"/>
          <w:marTop w:val="0"/>
          <w:marBottom w:val="0"/>
          <w:divBdr>
            <w:top w:val="none" w:sz="0" w:space="0" w:color="auto"/>
            <w:left w:val="none" w:sz="0" w:space="0" w:color="auto"/>
            <w:bottom w:val="none" w:sz="0" w:space="0" w:color="auto"/>
            <w:right w:val="none" w:sz="0" w:space="0" w:color="auto"/>
          </w:divBdr>
        </w:div>
        <w:div w:id="1383285577">
          <w:marLeft w:val="0"/>
          <w:marRight w:val="0"/>
          <w:marTop w:val="0"/>
          <w:marBottom w:val="0"/>
          <w:divBdr>
            <w:top w:val="none" w:sz="0" w:space="0" w:color="auto"/>
            <w:left w:val="none" w:sz="0" w:space="0" w:color="auto"/>
            <w:bottom w:val="none" w:sz="0" w:space="0" w:color="auto"/>
            <w:right w:val="none" w:sz="0" w:space="0" w:color="auto"/>
          </w:divBdr>
        </w:div>
        <w:div w:id="1693607874">
          <w:marLeft w:val="0"/>
          <w:marRight w:val="0"/>
          <w:marTop w:val="0"/>
          <w:marBottom w:val="0"/>
          <w:divBdr>
            <w:top w:val="none" w:sz="0" w:space="0" w:color="auto"/>
            <w:left w:val="none" w:sz="0" w:space="0" w:color="auto"/>
            <w:bottom w:val="none" w:sz="0" w:space="0" w:color="auto"/>
            <w:right w:val="none" w:sz="0" w:space="0" w:color="auto"/>
          </w:divBdr>
        </w:div>
        <w:div w:id="303703388">
          <w:marLeft w:val="0"/>
          <w:marRight w:val="0"/>
          <w:marTop w:val="0"/>
          <w:marBottom w:val="0"/>
          <w:divBdr>
            <w:top w:val="none" w:sz="0" w:space="0" w:color="auto"/>
            <w:left w:val="none" w:sz="0" w:space="0" w:color="auto"/>
            <w:bottom w:val="none" w:sz="0" w:space="0" w:color="auto"/>
            <w:right w:val="none" w:sz="0" w:space="0" w:color="auto"/>
          </w:divBdr>
        </w:div>
        <w:div w:id="1058480956">
          <w:marLeft w:val="0"/>
          <w:marRight w:val="0"/>
          <w:marTop w:val="0"/>
          <w:marBottom w:val="0"/>
          <w:divBdr>
            <w:top w:val="none" w:sz="0" w:space="0" w:color="auto"/>
            <w:left w:val="none" w:sz="0" w:space="0" w:color="auto"/>
            <w:bottom w:val="none" w:sz="0" w:space="0" w:color="auto"/>
            <w:right w:val="none" w:sz="0" w:space="0" w:color="auto"/>
          </w:divBdr>
        </w:div>
        <w:div w:id="1197474109">
          <w:marLeft w:val="0"/>
          <w:marRight w:val="0"/>
          <w:marTop w:val="0"/>
          <w:marBottom w:val="0"/>
          <w:divBdr>
            <w:top w:val="none" w:sz="0" w:space="0" w:color="auto"/>
            <w:left w:val="none" w:sz="0" w:space="0" w:color="auto"/>
            <w:bottom w:val="none" w:sz="0" w:space="0" w:color="auto"/>
            <w:right w:val="none" w:sz="0" w:space="0" w:color="auto"/>
          </w:divBdr>
        </w:div>
      </w:divsChild>
    </w:div>
    <w:div w:id="2004694420">
      <w:bodyDiv w:val="1"/>
      <w:marLeft w:val="0"/>
      <w:marRight w:val="0"/>
      <w:marTop w:val="0"/>
      <w:marBottom w:val="0"/>
      <w:divBdr>
        <w:top w:val="none" w:sz="0" w:space="0" w:color="auto"/>
        <w:left w:val="none" w:sz="0" w:space="0" w:color="auto"/>
        <w:bottom w:val="none" w:sz="0" w:space="0" w:color="auto"/>
        <w:right w:val="none" w:sz="0" w:space="0" w:color="auto"/>
      </w:divBdr>
    </w:div>
    <w:div w:id="2120103729">
      <w:bodyDiv w:val="1"/>
      <w:marLeft w:val="0"/>
      <w:marRight w:val="0"/>
      <w:marTop w:val="0"/>
      <w:marBottom w:val="0"/>
      <w:divBdr>
        <w:top w:val="none" w:sz="0" w:space="0" w:color="auto"/>
        <w:left w:val="none" w:sz="0" w:space="0" w:color="auto"/>
        <w:bottom w:val="none" w:sz="0" w:space="0" w:color="auto"/>
        <w:right w:val="none" w:sz="0" w:space="0" w:color="auto"/>
      </w:divBdr>
    </w:div>
    <w:div w:id="213752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oi.org/10.1016/j.jpubeco.2015.09.001"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urfitrianahamsyi/Documents/ME/PROFITA/template_artikel_profi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C74A8F-4E4F-491E-93D2-B990AEBE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template_artikel_profita.dotx</Template>
  <TotalTime>135</TotalTime>
  <Pages>12</Pages>
  <Words>16211</Words>
  <Characters>92407</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Profita: Komunikasi Ilmiah Akuntansi dan Perpajakan</vt:lpstr>
    </vt:vector>
  </TitlesOfParts>
  <Company/>
  <LinksUpToDate>false</LinksUpToDate>
  <CharactersWithSpaces>108402</CharactersWithSpaces>
  <SharedDoc>false</SharedDoc>
  <HLinks>
    <vt:vector size="24" baseType="variant">
      <vt:variant>
        <vt:i4>2162739</vt:i4>
      </vt:variant>
      <vt:variant>
        <vt:i4>51</vt:i4>
      </vt:variant>
      <vt:variant>
        <vt:i4>0</vt:i4>
      </vt:variant>
      <vt:variant>
        <vt:i4>5</vt:i4>
      </vt:variant>
      <vt:variant>
        <vt:lpwstr>http://www.google.com/</vt:lpwstr>
      </vt:variant>
      <vt:variant>
        <vt:lpwstr/>
      </vt:variant>
      <vt:variant>
        <vt:i4>1638408</vt:i4>
      </vt:variant>
      <vt:variant>
        <vt:i4>48</vt:i4>
      </vt:variant>
      <vt:variant>
        <vt:i4>0</vt:i4>
      </vt:variant>
      <vt:variant>
        <vt:i4>5</vt:i4>
      </vt:variant>
      <vt:variant>
        <vt:lpwstr>http://www.lps.go.id/</vt:lpwstr>
      </vt:variant>
      <vt:variant>
        <vt:lpwstr/>
      </vt:variant>
      <vt:variant>
        <vt:i4>4915223</vt:i4>
      </vt:variant>
      <vt:variant>
        <vt:i4>24</vt:i4>
      </vt:variant>
      <vt:variant>
        <vt:i4>0</vt:i4>
      </vt:variant>
      <vt:variant>
        <vt:i4>5</vt:i4>
      </vt:variant>
      <vt:variant>
        <vt:lpwstr>http://www.bi.go.id/2015</vt:lpwstr>
      </vt:variant>
      <vt:variant>
        <vt:lpwstr/>
      </vt:variant>
      <vt:variant>
        <vt:i4>4915223</vt:i4>
      </vt:variant>
      <vt:variant>
        <vt:i4>0</vt:i4>
      </vt:variant>
      <vt:variant>
        <vt:i4>0</vt:i4>
      </vt:variant>
      <vt:variant>
        <vt:i4>5</vt:i4>
      </vt:variant>
      <vt:variant>
        <vt:lpwstr>http://www.bi.go.id/2015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Profita: Komunikasi Ilmiah Akuntansi dan Perpajakan</dc:title>
  <dc:creator>Microsoft Office User</dc:creator>
  <cp:lastModifiedBy>NUR FITRIANA HAMSYI</cp:lastModifiedBy>
  <cp:revision>49</cp:revision>
  <cp:lastPrinted>2017-01-26T11:37:00Z</cp:lastPrinted>
  <dcterms:created xsi:type="dcterms:W3CDTF">2021-01-30T01:39:00Z</dcterms:created>
  <dcterms:modified xsi:type="dcterms:W3CDTF">2021-01-31T08:55:00Z</dcterms:modified>
</cp:coreProperties>
</file>