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BF3C4F" w:rsidRPr="00643F5C" w:rsidRDefault="00BF3C4F" w:rsidP="00BF3C4F">
      <w:pPr>
        <w:pStyle w:val="NormalWeb"/>
        <w:adjustRightInd w:val="0"/>
        <w:snapToGrid w:val="0"/>
        <w:spacing w:before="0" w:beforeAutospacing="0" w:after="0" w:afterAutospacing="0"/>
        <w:jc w:val="center"/>
        <w:rPr>
          <w:b/>
          <w:bCs/>
          <w:color w:val="222222"/>
          <w:sz w:val="28"/>
          <w:szCs w:val="28"/>
          <w:lang w:val="en"/>
        </w:rPr>
      </w:pPr>
      <w:r w:rsidRPr="00643F5C">
        <w:rPr>
          <w:b/>
          <w:bCs/>
          <w:color w:val="222222"/>
          <w:sz w:val="28"/>
          <w:szCs w:val="28"/>
          <w:lang w:val="en"/>
        </w:rPr>
        <w:t xml:space="preserve">Flypaper Effect </w:t>
      </w:r>
      <w:r w:rsidR="009044BB">
        <w:rPr>
          <w:b/>
          <w:bCs/>
          <w:color w:val="222222"/>
          <w:sz w:val="28"/>
          <w:szCs w:val="28"/>
          <w:lang w:val="en"/>
        </w:rPr>
        <w:t>on</w:t>
      </w:r>
      <w:r w:rsidR="00643F5C" w:rsidRPr="00643F5C">
        <w:rPr>
          <w:b/>
          <w:bCs/>
          <w:color w:val="222222"/>
          <w:sz w:val="28"/>
          <w:szCs w:val="28"/>
          <w:lang w:val="en"/>
        </w:rPr>
        <w:t xml:space="preserve"> </w:t>
      </w:r>
      <w:r w:rsidRPr="00643F5C">
        <w:rPr>
          <w:b/>
          <w:bCs/>
          <w:color w:val="222222"/>
          <w:sz w:val="28"/>
          <w:szCs w:val="28"/>
          <w:lang w:val="en"/>
        </w:rPr>
        <w:t xml:space="preserve">Local Government Expenditure </w:t>
      </w:r>
    </w:p>
    <w:p w:rsidR="00BF3C4F" w:rsidRPr="00643F5C" w:rsidRDefault="00BF3C4F" w:rsidP="00BF3C4F">
      <w:pPr>
        <w:pStyle w:val="NormalWeb"/>
        <w:adjustRightInd w:val="0"/>
        <w:snapToGrid w:val="0"/>
        <w:spacing w:before="0" w:beforeAutospacing="0" w:after="0" w:afterAutospacing="0"/>
        <w:jc w:val="center"/>
        <w:rPr>
          <w:b/>
          <w:bCs/>
          <w:color w:val="222222"/>
          <w:sz w:val="28"/>
          <w:szCs w:val="28"/>
          <w:lang w:val="en"/>
        </w:rPr>
      </w:pPr>
      <w:r w:rsidRPr="00643F5C">
        <w:rPr>
          <w:b/>
          <w:bCs/>
          <w:color w:val="222222"/>
          <w:sz w:val="28"/>
          <w:szCs w:val="28"/>
          <w:lang w:val="en"/>
        </w:rPr>
        <w:t>in West Kalimantan Province</w:t>
      </w:r>
    </w:p>
    <w:p w:rsidR="009B32A1" w:rsidRDefault="009B32A1" w:rsidP="009B32A1">
      <w:pPr>
        <w:tabs>
          <w:tab w:val="left" w:pos="5730"/>
        </w:tabs>
        <w:jc w:val="both"/>
        <w:rPr>
          <w:b/>
          <w:i/>
        </w:rPr>
      </w:pPr>
      <w:r>
        <w:rPr>
          <w:b/>
          <w:i/>
        </w:rPr>
        <w:tab/>
      </w:r>
    </w:p>
    <w:p w:rsidR="009B32A1" w:rsidRPr="00BF3C4F" w:rsidRDefault="00BF3C4F" w:rsidP="009B32A1">
      <w:pPr>
        <w:jc w:val="both"/>
        <w:rPr>
          <w:b/>
          <w:i/>
          <w:iCs/>
        </w:rPr>
      </w:pPr>
      <w:r w:rsidRPr="00BF3C4F">
        <w:rPr>
          <w:b/>
          <w:i/>
          <w:iCs/>
        </w:rPr>
        <w:t xml:space="preserve">Nur Fitriana </w:t>
      </w:r>
      <w:proofErr w:type="spellStart"/>
      <w:r w:rsidRPr="00BF3C4F">
        <w:rPr>
          <w:b/>
          <w:i/>
          <w:iCs/>
        </w:rPr>
        <w:t>Hamsyi</w:t>
      </w:r>
      <w:proofErr w:type="spellEnd"/>
      <w:r w:rsidRPr="00BF3C4F">
        <w:rPr>
          <w:b/>
          <w:i/>
          <w:iCs/>
          <w:vertAlign w:val="superscript"/>
        </w:rPr>
        <w:t xml:space="preserve"> </w:t>
      </w:r>
      <w:r w:rsidR="009B32A1" w:rsidRPr="00BF3C4F">
        <w:rPr>
          <w:b/>
          <w:i/>
          <w:iCs/>
          <w:vertAlign w:val="superscript"/>
        </w:rPr>
        <w:t>1)</w:t>
      </w:r>
      <w:r w:rsidR="009B32A1" w:rsidRPr="00BF3C4F">
        <w:rPr>
          <w:b/>
          <w:i/>
          <w:iCs/>
        </w:rPr>
        <w:t xml:space="preserve">; </w:t>
      </w:r>
      <w:r w:rsidRPr="00BF3C4F">
        <w:rPr>
          <w:b/>
          <w:i/>
          <w:iCs/>
        </w:rPr>
        <w:t>Fitriyani</w:t>
      </w:r>
      <w:r w:rsidRPr="00BF3C4F">
        <w:rPr>
          <w:b/>
          <w:i/>
          <w:iCs/>
          <w:vertAlign w:val="superscript"/>
        </w:rPr>
        <w:t xml:space="preserve"> </w:t>
      </w:r>
      <w:r w:rsidR="009B32A1" w:rsidRPr="00BF3C4F">
        <w:rPr>
          <w:b/>
          <w:i/>
          <w:iCs/>
          <w:vertAlign w:val="superscript"/>
        </w:rPr>
        <w:t>2)</w:t>
      </w:r>
    </w:p>
    <w:p w:rsidR="009B32A1" w:rsidRPr="00BF3C4F" w:rsidRDefault="009B32A1" w:rsidP="009B32A1">
      <w:pPr>
        <w:jc w:val="both"/>
        <w:rPr>
          <w:b/>
          <w:bCs/>
          <w:i/>
          <w:iCs/>
          <w:vertAlign w:val="superscript"/>
        </w:rPr>
      </w:pPr>
    </w:p>
    <w:p w:rsidR="009B32A1" w:rsidRPr="00D64FE4" w:rsidRDefault="009B32A1" w:rsidP="009B32A1">
      <w:pPr>
        <w:jc w:val="both"/>
        <w:rPr>
          <w:sz w:val="18"/>
          <w:szCs w:val="18"/>
        </w:rPr>
      </w:pPr>
      <w:r w:rsidRPr="003B13AE">
        <w:rPr>
          <w:b/>
          <w:bCs/>
          <w:sz w:val="18"/>
          <w:szCs w:val="18"/>
          <w:vertAlign w:val="superscript"/>
        </w:rPr>
        <w:t>1)</w:t>
      </w:r>
      <w:r w:rsidRPr="009958A3">
        <w:rPr>
          <w:b/>
          <w:bCs/>
          <w:sz w:val="18"/>
          <w:szCs w:val="18"/>
        </w:rPr>
        <w:t xml:space="preserve"> </w:t>
      </w:r>
      <w:r w:rsidR="00BF3C4F">
        <w:rPr>
          <w:b/>
          <w:bCs/>
          <w:sz w:val="18"/>
          <w:szCs w:val="18"/>
        </w:rPr>
        <w:t>nur.fitrianah@ekonomi.untan.ac.id</w:t>
      </w:r>
      <w:r>
        <w:rPr>
          <w:b/>
          <w:bCs/>
          <w:sz w:val="18"/>
          <w:szCs w:val="18"/>
        </w:rPr>
        <w:t xml:space="preserve">, </w:t>
      </w:r>
      <w:proofErr w:type="spellStart"/>
      <w:r w:rsidR="00BF3C4F" w:rsidRPr="00816970">
        <w:rPr>
          <w:b/>
          <w:bCs/>
          <w:sz w:val="18"/>
          <w:szCs w:val="18"/>
        </w:rPr>
        <w:t>Faculty</w:t>
      </w:r>
      <w:proofErr w:type="spellEnd"/>
      <w:r w:rsidR="00BF3C4F" w:rsidRPr="00816970">
        <w:rPr>
          <w:b/>
          <w:bCs/>
          <w:sz w:val="18"/>
          <w:szCs w:val="18"/>
        </w:rPr>
        <w:t xml:space="preserve"> </w:t>
      </w:r>
      <w:proofErr w:type="spellStart"/>
      <w:r w:rsidR="00BF3C4F" w:rsidRPr="00816970">
        <w:rPr>
          <w:b/>
          <w:bCs/>
          <w:sz w:val="18"/>
          <w:szCs w:val="18"/>
        </w:rPr>
        <w:t>of</w:t>
      </w:r>
      <w:proofErr w:type="spellEnd"/>
      <w:r w:rsidR="00BF3C4F" w:rsidRPr="00816970">
        <w:rPr>
          <w:b/>
          <w:bCs/>
          <w:sz w:val="18"/>
          <w:szCs w:val="18"/>
        </w:rPr>
        <w:t xml:space="preserve"> </w:t>
      </w:r>
      <w:proofErr w:type="spellStart"/>
      <w:r w:rsidR="00BF3C4F" w:rsidRPr="00816970">
        <w:rPr>
          <w:b/>
          <w:bCs/>
          <w:sz w:val="18"/>
          <w:szCs w:val="18"/>
        </w:rPr>
        <w:t>Economics</w:t>
      </w:r>
      <w:proofErr w:type="spellEnd"/>
      <w:r w:rsidR="00BF3C4F" w:rsidRPr="00816970">
        <w:rPr>
          <w:b/>
          <w:bCs/>
          <w:sz w:val="18"/>
          <w:szCs w:val="18"/>
        </w:rPr>
        <w:t xml:space="preserve"> </w:t>
      </w:r>
      <w:proofErr w:type="spellStart"/>
      <w:r w:rsidR="00BF3C4F" w:rsidRPr="00816970">
        <w:rPr>
          <w:b/>
          <w:bCs/>
          <w:sz w:val="18"/>
          <w:szCs w:val="18"/>
        </w:rPr>
        <w:t>and</w:t>
      </w:r>
      <w:proofErr w:type="spellEnd"/>
      <w:r w:rsidR="00BF3C4F" w:rsidRPr="00816970">
        <w:rPr>
          <w:b/>
          <w:bCs/>
          <w:sz w:val="18"/>
          <w:szCs w:val="18"/>
        </w:rPr>
        <w:t xml:space="preserve"> Business, Universitas </w:t>
      </w:r>
      <w:proofErr w:type="spellStart"/>
      <w:r w:rsidR="00BF3C4F" w:rsidRPr="00816970">
        <w:rPr>
          <w:b/>
          <w:bCs/>
          <w:sz w:val="18"/>
          <w:szCs w:val="18"/>
        </w:rPr>
        <w:t>Tanjungpura</w:t>
      </w:r>
      <w:proofErr w:type="spellEnd"/>
    </w:p>
    <w:p w:rsidR="009B32A1" w:rsidRPr="00816970" w:rsidRDefault="009B32A1" w:rsidP="00816970">
      <w:pPr>
        <w:spacing w:line="480" w:lineRule="auto"/>
        <w:jc w:val="both"/>
        <w:rPr>
          <w:b/>
          <w:bCs/>
          <w:sz w:val="18"/>
          <w:szCs w:val="18"/>
        </w:rPr>
      </w:pPr>
      <w:r w:rsidRPr="003B13AE">
        <w:rPr>
          <w:b/>
          <w:bCs/>
          <w:sz w:val="18"/>
          <w:szCs w:val="18"/>
          <w:vertAlign w:val="superscript"/>
        </w:rPr>
        <w:t>2)</w:t>
      </w:r>
      <w:r w:rsidRPr="00536498">
        <w:rPr>
          <w:b/>
          <w:bCs/>
          <w:sz w:val="18"/>
          <w:szCs w:val="18"/>
        </w:rPr>
        <w:t xml:space="preserve"> </w:t>
      </w:r>
      <w:r w:rsidR="00816970">
        <w:rPr>
          <w:b/>
          <w:bCs/>
          <w:sz w:val="18"/>
          <w:szCs w:val="18"/>
        </w:rPr>
        <w:t xml:space="preserve">fitriyani@unsyiah.ac.id </w:t>
      </w:r>
      <w:r>
        <w:rPr>
          <w:b/>
          <w:bCs/>
          <w:sz w:val="18"/>
          <w:szCs w:val="18"/>
        </w:rPr>
        <w:t xml:space="preserve">, </w:t>
      </w:r>
      <w:proofErr w:type="spellStart"/>
      <w:r w:rsidR="00816970" w:rsidRPr="00816970">
        <w:rPr>
          <w:b/>
          <w:bCs/>
          <w:sz w:val="18"/>
          <w:szCs w:val="18"/>
        </w:rPr>
        <w:t>Faculty</w:t>
      </w:r>
      <w:proofErr w:type="spellEnd"/>
      <w:r w:rsidR="00816970" w:rsidRPr="00816970">
        <w:rPr>
          <w:b/>
          <w:bCs/>
          <w:sz w:val="18"/>
          <w:szCs w:val="18"/>
        </w:rPr>
        <w:t xml:space="preserve"> </w:t>
      </w:r>
      <w:proofErr w:type="spellStart"/>
      <w:r w:rsidR="00816970" w:rsidRPr="00816970">
        <w:rPr>
          <w:b/>
          <w:bCs/>
          <w:sz w:val="18"/>
          <w:szCs w:val="18"/>
        </w:rPr>
        <w:t>of</w:t>
      </w:r>
      <w:proofErr w:type="spellEnd"/>
      <w:r w:rsidR="00816970" w:rsidRPr="00816970">
        <w:rPr>
          <w:b/>
          <w:bCs/>
          <w:sz w:val="18"/>
          <w:szCs w:val="18"/>
        </w:rPr>
        <w:t xml:space="preserve"> </w:t>
      </w:r>
      <w:proofErr w:type="spellStart"/>
      <w:r w:rsidR="00816970" w:rsidRPr="00816970">
        <w:rPr>
          <w:b/>
          <w:bCs/>
          <w:sz w:val="18"/>
          <w:szCs w:val="18"/>
        </w:rPr>
        <w:t>Economics</w:t>
      </w:r>
      <w:proofErr w:type="spellEnd"/>
      <w:r w:rsidR="00816970" w:rsidRPr="00816970">
        <w:rPr>
          <w:b/>
          <w:bCs/>
          <w:sz w:val="18"/>
          <w:szCs w:val="18"/>
        </w:rPr>
        <w:t xml:space="preserve"> </w:t>
      </w:r>
      <w:proofErr w:type="spellStart"/>
      <w:r w:rsidR="00816970" w:rsidRPr="00816970">
        <w:rPr>
          <w:b/>
          <w:bCs/>
          <w:sz w:val="18"/>
          <w:szCs w:val="18"/>
        </w:rPr>
        <w:t>and</w:t>
      </w:r>
      <w:proofErr w:type="spellEnd"/>
      <w:r w:rsidR="00816970" w:rsidRPr="00816970">
        <w:rPr>
          <w:b/>
          <w:bCs/>
          <w:sz w:val="18"/>
          <w:szCs w:val="18"/>
        </w:rPr>
        <w:t xml:space="preserve"> Business, Universitas Syiah Kual</w:t>
      </w:r>
      <w:r w:rsidR="00816970" w:rsidRPr="00816970">
        <w:rPr>
          <w:rFonts w:ascii="Century" w:hAnsi="Century"/>
          <w:b/>
          <w:bCs/>
          <w:sz w:val="18"/>
          <w:szCs w:val="18"/>
        </w:rPr>
        <w:t>a</w:t>
      </w:r>
    </w:p>
    <w:p w:rsidR="009B32A1" w:rsidRPr="00CA11CB" w:rsidRDefault="009B32A1" w:rsidP="009B32A1">
      <w:pPr>
        <w:jc w:val="both"/>
        <w:rPr>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547"/>
        <w:gridCol w:w="6520"/>
      </w:tblGrid>
      <w:tr w:rsidR="009B32A1" w:rsidRPr="003B13AE" w:rsidTr="00A84AA6">
        <w:tc>
          <w:tcPr>
            <w:tcW w:w="2547" w:type="dxa"/>
            <w:tcBorders>
              <w:top w:val="single" w:sz="8" w:space="0" w:color="auto"/>
              <w:bottom w:val="single" w:sz="8" w:space="0" w:color="auto"/>
            </w:tcBorders>
            <w:shd w:val="clear" w:color="auto" w:fill="auto"/>
          </w:tcPr>
          <w:p w:rsidR="009B32A1" w:rsidRPr="00FD5BDB" w:rsidRDefault="009B32A1" w:rsidP="00A84AA6">
            <w:pPr>
              <w:jc w:val="both"/>
              <w:rPr>
                <w:b/>
                <w:i/>
                <w:sz w:val="18"/>
                <w:szCs w:val="18"/>
              </w:rPr>
            </w:pPr>
          </w:p>
          <w:p w:rsidR="009B32A1" w:rsidRPr="00FD5BDB" w:rsidRDefault="009B32A1" w:rsidP="00A84AA6">
            <w:pPr>
              <w:ind w:right="170"/>
              <w:jc w:val="both"/>
              <w:rPr>
                <w:b/>
                <w:i/>
              </w:rPr>
            </w:pPr>
            <w:r w:rsidRPr="00FD5BDB">
              <w:rPr>
                <w:b/>
                <w:i/>
              </w:rPr>
              <w:t>Article Info:</w:t>
            </w:r>
          </w:p>
          <w:p w:rsidR="009B32A1" w:rsidRPr="00FD5BDB" w:rsidRDefault="009B32A1" w:rsidP="00A84AA6">
            <w:pPr>
              <w:pBdr>
                <w:bottom w:val="single" w:sz="8" w:space="1" w:color="auto"/>
              </w:pBdr>
              <w:ind w:right="170"/>
              <w:jc w:val="both"/>
              <w:rPr>
                <w:b/>
                <w:i/>
                <w:sz w:val="18"/>
                <w:szCs w:val="18"/>
              </w:rPr>
            </w:pPr>
          </w:p>
          <w:p w:rsidR="009B32A1" w:rsidRPr="00FD5BDB" w:rsidRDefault="009B32A1" w:rsidP="00A84AA6">
            <w:pPr>
              <w:ind w:right="170"/>
              <w:jc w:val="both"/>
              <w:rPr>
                <w:b/>
                <w:i/>
                <w:sz w:val="18"/>
                <w:szCs w:val="18"/>
              </w:rPr>
            </w:pPr>
          </w:p>
          <w:p w:rsidR="009B32A1" w:rsidRPr="00FD5BDB" w:rsidRDefault="009B32A1" w:rsidP="00A84AA6">
            <w:pPr>
              <w:pBdr>
                <w:bottom w:val="single" w:sz="8" w:space="1" w:color="auto"/>
              </w:pBdr>
              <w:ind w:right="170"/>
              <w:jc w:val="both"/>
              <w:rPr>
                <w:b/>
                <w:bCs/>
                <w:sz w:val="14"/>
                <w:szCs w:val="14"/>
              </w:rPr>
            </w:pPr>
            <w:r w:rsidRPr="00FD5BDB">
              <w:rPr>
                <w:b/>
                <w:bCs/>
                <w:sz w:val="14"/>
                <w:szCs w:val="14"/>
              </w:rPr>
              <w:t xml:space="preserve">Keywords: </w:t>
            </w:r>
          </w:p>
          <w:p w:rsidR="009B32A1" w:rsidRPr="00FD5BDB" w:rsidRDefault="009E2CC9" w:rsidP="00A84AA6">
            <w:pPr>
              <w:pBdr>
                <w:bottom w:val="single" w:sz="8" w:space="1" w:color="auto"/>
              </w:pBdr>
              <w:ind w:right="170"/>
              <w:jc w:val="both"/>
              <w:rPr>
                <w:b/>
                <w:bCs/>
                <w:sz w:val="14"/>
                <w:szCs w:val="14"/>
              </w:rPr>
            </w:pPr>
            <w:r>
              <w:rPr>
                <w:b/>
                <w:bCs/>
                <w:sz w:val="14"/>
                <w:szCs w:val="14"/>
              </w:rPr>
              <w:t>Flypaper Effect</w:t>
            </w:r>
            <w:r w:rsidR="00D50408">
              <w:rPr>
                <w:b/>
                <w:bCs/>
                <w:sz w:val="14"/>
                <w:szCs w:val="14"/>
              </w:rPr>
              <w:t>;</w:t>
            </w:r>
            <w:r w:rsidR="009B32A1" w:rsidRPr="00FD5BDB">
              <w:rPr>
                <w:b/>
                <w:bCs/>
                <w:sz w:val="14"/>
                <w:szCs w:val="14"/>
              </w:rPr>
              <w:t xml:space="preserve"> </w:t>
            </w:r>
          </w:p>
          <w:p w:rsidR="00D50408" w:rsidRDefault="009E2CC9" w:rsidP="00A84AA6">
            <w:pPr>
              <w:pBdr>
                <w:bottom w:val="single" w:sz="8" w:space="1" w:color="auto"/>
              </w:pBdr>
              <w:ind w:right="170"/>
              <w:jc w:val="both"/>
              <w:rPr>
                <w:b/>
                <w:bCs/>
                <w:sz w:val="14"/>
                <w:szCs w:val="14"/>
              </w:rPr>
            </w:pPr>
            <w:r w:rsidRPr="009E2CC9">
              <w:rPr>
                <w:b/>
                <w:bCs/>
                <w:sz w:val="14"/>
                <w:szCs w:val="14"/>
              </w:rPr>
              <w:t>Original Local Government Revenue</w:t>
            </w:r>
            <w:r>
              <w:rPr>
                <w:b/>
                <w:bCs/>
                <w:sz w:val="14"/>
                <w:szCs w:val="14"/>
              </w:rPr>
              <w:t>; General Allocation Fund</w:t>
            </w:r>
            <w:r w:rsidR="00D50408" w:rsidRPr="009E2CC9">
              <w:rPr>
                <w:b/>
                <w:bCs/>
                <w:sz w:val="14"/>
                <w:szCs w:val="14"/>
              </w:rPr>
              <w:t>;</w:t>
            </w:r>
          </w:p>
          <w:p w:rsidR="009E2CC9" w:rsidRDefault="009E2CC9" w:rsidP="00A84AA6">
            <w:pPr>
              <w:pBdr>
                <w:bottom w:val="single" w:sz="8" w:space="1" w:color="auto"/>
              </w:pBdr>
              <w:ind w:right="170"/>
              <w:jc w:val="both"/>
              <w:rPr>
                <w:b/>
                <w:bCs/>
                <w:sz w:val="14"/>
                <w:szCs w:val="14"/>
              </w:rPr>
            </w:pPr>
            <w:r>
              <w:rPr>
                <w:b/>
                <w:bCs/>
                <w:sz w:val="14"/>
                <w:szCs w:val="14"/>
              </w:rPr>
              <w:t>Special Allocation Fund</w:t>
            </w:r>
            <w:r w:rsidRPr="009E2CC9">
              <w:rPr>
                <w:b/>
                <w:bCs/>
                <w:sz w:val="14"/>
                <w:szCs w:val="14"/>
              </w:rPr>
              <w:t>;</w:t>
            </w:r>
          </w:p>
          <w:p w:rsidR="009E2CC9" w:rsidRPr="009E2CC9" w:rsidRDefault="009E2CC9" w:rsidP="00A84AA6">
            <w:pPr>
              <w:pBdr>
                <w:bottom w:val="single" w:sz="8" w:space="1" w:color="auto"/>
              </w:pBdr>
              <w:ind w:right="170"/>
              <w:jc w:val="both"/>
              <w:rPr>
                <w:b/>
                <w:bCs/>
                <w:sz w:val="14"/>
                <w:szCs w:val="14"/>
              </w:rPr>
            </w:pPr>
            <w:r>
              <w:rPr>
                <w:b/>
                <w:bCs/>
                <w:sz w:val="14"/>
                <w:szCs w:val="14"/>
              </w:rPr>
              <w:t>Sharing Fund</w:t>
            </w:r>
          </w:p>
          <w:p w:rsidR="00D50408" w:rsidRPr="009E2CC9" w:rsidRDefault="009E2CC9" w:rsidP="00A84AA6">
            <w:pPr>
              <w:pBdr>
                <w:bottom w:val="single" w:sz="8" w:space="1" w:color="auto"/>
              </w:pBdr>
              <w:ind w:right="170"/>
              <w:jc w:val="both"/>
              <w:rPr>
                <w:b/>
                <w:bCs/>
                <w:sz w:val="14"/>
                <w:szCs w:val="14"/>
              </w:rPr>
            </w:pPr>
            <w:r w:rsidRPr="009E2CC9">
              <w:rPr>
                <w:b/>
                <w:bCs/>
                <w:sz w:val="14"/>
                <w:szCs w:val="14"/>
              </w:rPr>
              <w:t>Local government expenditure</w:t>
            </w:r>
            <w:r w:rsidR="00D50408" w:rsidRPr="009E2CC9">
              <w:rPr>
                <w:b/>
                <w:bCs/>
                <w:sz w:val="14"/>
                <w:szCs w:val="14"/>
              </w:rPr>
              <w:t xml:space="preserve">; </w:t>
            </w:r>
          </w:p>
          <w:p w:rsidR="009B32A1" w:rsidRPr="00FD5BDB" w:rsidRDefault="009B32A1" w:rsidP="00A84AA6">
            <w:pPr>
              <w:pBdr>
                <w:bottom w:val="single" w:sz="8" w:space="1" w:color="auto"/>
              </w:pBdr>
              <w:ind w:right="170"/>
              <w:jc w:val="both"/>
              <w:rPr>
                <w:b/>
                <w:i/>
                <w:sz w:val="14"/>
                <w:szCs w:val="14"/>
              </w:rPr>
            </w:pPr>
          </w:p>
          <w:p w:rsidR="009B32A1" w:rsidRPr="00FD5BDB" w:rsidRDefault="009B32A1" w:rsidP="00A84AA6">
            <w:pPr>
              <w:ind w:right="170"/>
              <w:jc w:val="both"/>
              <w:rPr>
                <w:b/>
                <w:i/>
                <w:sz w:val="14"/>
                <w:szCs w:val="14"/>
              </w:rPr>
            </w:pPr>
          </w:p>
          <w:p w:rsidR="009B32A1" w:rsidRPr="00FD5BDB" w:rsidRDefault="009B32A1" w:rsidP="00A84AA6">
            <w:pPr>
              <w:ind w:right="170"/>
              <w:jc w:val="both"/>
              <w:rPr>
                <w:b/>
                <w:i/>
                <w:sz w:val="14"/>
                <w:szCs w:val="14"/>
              </w:rPr>
            </w:pPr>
            <w:r w:rsidRPr="00FD5BDB">
              <w:rPr>
                <w:b/>
                <w:i/>
                <w:sz w:val="14"/>
                <w:szCs w:val="14"/>
              </w:rPr>
              <w:t>Article History:</w:t>
            </w:r>
          </w:p>
          <w:p w:rsidR="009B32A1" w:rsidRPr="00FD5BDB" w:rsidRDefault="009B32A1" w:rsidP="00A84AA6">
            <w:pPr>
              <w:tabs>
                <w:tab w:val="left" w:pos="1134"/>
              </w:tabs>
              <w:ind w:right="170"/>
              <w:rPr>
                <w:i/>
                <w:iCs/>
                <w:sz w:val="14"/>
                <w:szCs w:val="14"/>
              </w:rPr>
            </w:pPr>
            <w:r w:rsidRPr="00FD5BDB">
              <w:rPr>
                <w:i/>
                <w:iCs/>
                <w:sz w:val="14"/>
                <w:szCs w:val="14"/>
              </w:rPr>
              <w:t>Received</w:t>
            </w:r>
            <w:r w:rsidRPr="00FD5BDB">
              <w:rPr>
                <w:i/>
                <w:sz w:val="14"/>
                <w:szCs w:val="14"/>
              </w:rPr>
              <w:tab/>
              <w:t xml:space="preserve">: </w:t>
            </w:r>
          </w:p>
          <w:p w:rsidR="009B32A1" w:rsidRPr="00FD5BDB" w:rsidRDefault="009B32A1" w:rsidP="00A84AA6">
            <w:pPr>
              <w:tabs>
                <w:tab w:val="left" w:pos="1134"/>
              </w:tabs>
              <w:ind w:right="170"/>
              <w:rPr>
                <w:i/>
                <w:iCs/>
                <w:sz w:val="14"/>
                <w:szCs w:val="14"/>
              </w:rPr>
            </w:pPr>
            <w:r w:rsidRPr="00FD5BDB">
              <w:rPr>
                <w:i/>
                <w:iCs/>
                <w:sz w:val="14"/>
                <w:szCs w:val="14"/>
              </w:rPr>
              <w:t xml:space="preserve">Revised </w:t>
            </w:r>
            <w:r w:rsidRPr="00FD5BDB">
              <w:rPr>
                <w:i/>
                <w:sz w:val="14"/>
                <w:szCs w:val="14"/>
              </w:rPr>
              <w:tab/>
              <w:t xml:space="preserve">: </w:t>
            </w:r>
          </w:p>
          <w:p w:rsidR="009B32A1" w:rsidRPr="00FD5BDB" w:rsidRDefault="009B32A1" w:rsidP="00A84AA6">
            <w:pPr>
              <w:tabs>
                <w:tab w:val="left" w:pos="1134"/>
              </w:tabs>
              <w:ind w:right="170"/>
              <w:rPr>
                <w:i/>
                <w:iCs/>
                <w:sz w:val="14"/>
                <w:szCs w:val="14"/>
              </w:rPr>
            </w:pPr>
            <w:r w:rsidRPr="00FD5BDB">
              <w:rPr>
                <w:i/>
                <w:iCs/>
                <w:sz w:val="14"/>
                <w:szCs w:val="14"/>
              </w:rPr>
              <w:t xml:space="preserve">Accepted </w:t>
            </w:r>
            <w:r w:rsidRPr="00FD5BDB">
              <w:rPr>
                <w:i/>
                <w:sz w:val="14"/>
                <w:szCs w:val="14"/>
              </w:rPr>
              <w:tab/>
              <w:t xml:space="preserve">: </w:t>
            </w:r>
          </w:p>
          <w:p w:rsidR="009B32A1" w:rsidRPr="00FD5BDB" w:rsidRDefault="009B32A1" w:rsidP="00A84AA6">
            <w:pPr>
              <w:pBdr>
                <w:bottom w:val="single" w:sz="8" w:space="1" w:color="auto"/>
              </w:pBdr>
              <w:ind w:right="170"/>
              <w:jc w:val="both"/>
              <w:rPr>
                <w:b/>
                <w:i/>
                <w:sz w:val="14"/>
                <w:szCs w:val="14"/>
              </w:rPr>
            </w:pPr>
          </w:p>
          <w:p w:rsidR="009B32A1" w:rsidRPr="00FD5BDB" w:rsidRDefault="009B32A1" w:rsidP="00A84AA6">
            <w:pPr>
              <w:ind w:right="170"/>
              <w:jc w:val="both"/>
              <w:rPr>
                <w:b/>
                <w:i/>
                <w:sz w:val="14"/>
                <w:szCs w:val="14"/>
              </w:rPr>
            </w:pPr>
          </w:p>
          <w:p w:rsidR="009B32A1" w:rsidRPr="00FD5BDB" w:rsidRDefault="009B32A1" w:rsidP="00A84AA6">
            <w:pPr>
              <w:ind w:right="170"/>
              <w:jc w:val="both"/>
              <w:rPr>
                <w:b/>
                <w:i/>
                <w:sz w:val="14"/>
                <w:szCs w:val="14"/>
              </w:rPr>
            </w:pPr>
            <w:r w:rsidRPr="00FD5BDB">
              <w:rPr>
                <w:b/>
                <w:i/>
                <w:sz w:val="14"/>
                <w:szCs w:val="14"/>
              </w:rPr>
              <w:t>Article Doi:</w:t>
            </w:r>
          </w:p>
          <w:p w:rsidR="009B32A1" w:rsidRPr="00FD5BDB" w:rsidRDefault="009B32A1" w:rsidP="00816970">
            <w:pPr>
              <w:ind w:right="170"/>
              <w:jc w:val="both"/>
              <w:rPr>
                <w:b/>
                <w:i/>
                <w:sz w:val="18"/>
                <w:szCs w:val="18"/>
              </w:rPr>
            </w:pPr>
          </w:p>
        </w:tc>
        <w:tc>
          <w:tcPr>
            <w:tcW w:w="6520" w:type="dxa"/>
            <w:tcBorders>
              <w:top w:val="single" w:sz="8" w:space="0" w:color="auto"/>
              <w:bottom w:val="single" w:sz="8" w:space="0" w:color="auto"/>
            </w:tcBorders>
            <w:shd w:val="clear" w:color="auto" w:fill="auto"/>
          </w:tcPr>
          <w:p w:rsidR="009B32A1" w:rsidRPr="00FD5BDB" w:rsidRDefault="009B32A1" w:rsidP="00A84AA6">
            <w:pPr>
              <w:jc w:val="both"/>
              <w:rPr>
                <w:b/>
                <w:i/>
                <w:sz w:val="18"/>
                <w:szCs w:val="18"/>
              </w:rPr>
            </w:pPr>
          </w:p>
          <w:p w:rsidR="009B32A1" w:rsidRPr="005A7C47" w:rsidRDefault="009B32A1" w:rsidP="00A84AA6">
            <w:pPr>
              <w:ind w:left="170"/>
              <w:jc w:val="both"/>
              <w:rPr>
                <w:b/>
                <w:i/>
                <w:iCs/>
              </w:rPr>
            </w:pPr>
            <w:r w:rsidRPr="005A7C47">
              <w:rPr>
                <w:b/>
                <w:bCs/>
                <w:i/>
                <w:iCs/>
                <w:lang w:val="en"/>
              </w:rPr>
              <w:t>Abstract</w:t>
            </w:r>
            <w:r w:rsidR="00F778DE" w:rsidRPr="005A7C47">
              <w:rPr>
                <w:b/>
                <w:bCs/>
                <w:i/>
                <w:iCs/>
                <w:lang w:val="en"/>
              </w:rPr>
              <w:t xml:space="preserve"> </w:t>
            </w:r>
          </w:p>
          <w:p w:rsidR="009B32A1" w:rsidRPr="00FD5BDB" w:rsidRDefault="009B32A1" w:rsidP="00A84AA6">
            <w:pPr>
              <w:pBdr>
                <w:bottom w:val="single" w:sz="8" w:space="1" w:color="auto"/>
              </w:pBdr>
              <w:ind w:left="170"/>
              <w:jc w:val="both"/>
              <w:rPr>
                <w:b/>
                <w:i/>
                <w:sz w:val="18"/>
                <w:szCs w:val="18"/>
              </w:rPr>
            </w:pPr>
          </w:p>
          <w:p w:rsidR="009B32A1" w:rsidRPr="00FD5BDB" w:rsidRDefault="009B32A1" w:rsidP="00A84AA6">
            <w:pPr>
              <w:ind w:left="170"/>
              <w:jc w:val="both"/>
              <w:rPr>
                <w:b/>
                <w:i/>
                <w:sz w:val="18"/>
                <w:szCs w:val="18"/>
              </w:rPr>
            </w:pPr>
          </w:p>
          <w:p w:rsidR="009B32A1" w:rsidRPr="009E2CC9" w:rsidRDefault="00816970" w:rsidP="00816970">
            <w:pPr>
              <w:pStyle w:val="DaftarParagraf"/>
              <w:spacing w:after="120" w:line="240" w:lineRule="auto"/>
              <w:ind w:left="0"/>
              <w:jc w:val="both"/>
              <w:rPr>
                <w:rFonts w:ascii="Times New Roman" w:hAnsi="Times New Roman" w:cs="Times New Roman"/>
              </w:rPr>
            </w:pPr>
            <w:r w:rsidRPr="009E2CC9">
              <w:rPr>
                <w:rFonts w:ascii="Times New Roman" w:hAnsi="Times New Roman" w:cs="Times New Roman"/>
              </w:rPr>
              <w:t xml:space="preserve">This research attempts to test whether a flypaper effect on the relationship between original local government revenue and a balanced budget on local government expenditure in West Kalimantan Province. The data obtained were 14 regencies and cities in the period 2013-2018. The data model used in this study is panel with analysis using Stata software. The result is that the flypaper effect phenomenon occurs in general allocation funds and special allocation funds for local government expenditure management. This study also finds that general and special allocation funds positively affect local government expenditure, whereas the original local government revenue and sharing funds do not affect local government expenditure. It proves that local governments are still highly dependent on central government transfer funds rather than increasing their original local government revenue. </w:t>
            </w:r>
          </w:p>
          <w:p w:rsidR="009B32A1" w:rsidRPr="00FD5BDB" w:rsidRDefault="009B32A1" w:rsidP="00A84AA6">
            <w:pPr>
              <w:ind w:left="171" w:right="166"/>
              <w:jc w:val="both"/>
              <w:rPr>
                <w:b/>
                <w:i/>
                <w:sz w:val="18"/>
                <w:szCs w:val="18"/>
              </w:rPr>
            </w:pPr>
          </w:p>
        </w:tc>
      </w:tr>
    </w:tbl>
    <w:p w:rsidR="009B32A1" w:rsidRPr="00460851" w:rsidRDefault="009B32A1" w:rsidP="009B32A1">
      <w:pPr>
        <w:jc w:val="both"/>
        <w:rPr>
          <w:b/>
          <w:i/>
        </w:rPr>
      </w:pPr>
    </w:p>
    <w:p w:rsidR="009B32A1" w:rsidRPr="00BE15AD" w:rsidRDefault="009B32A1" w:rsidP="009B32A1">
      <w:pPr>
        <w:pStyle w:val="StyleAuthorBold"/>
        <w:spacing w:before="0" w:after="0"/>
        <w:rPr>
          <w:sz w:val="20"/>
          <w:szCs w:val="20"/>
          <w:lang w:val="id-ID"/>
        </w:rPr>
      </w:pPr>
      <w:r w:rsidRPr="00BE15AD">
        <w:rPr>
          <w:sz w:val="20"/>
          <w:szCs w:val="20"/>
          <w:lang w:val="id-ID"/>
        </w:rPr>
        <w:t xml:space="preserve">Abstrak </w:t>
      </w:r>
    </w:p>
    <w:p w:rsidR="009B32A1" w:rsidRPr="00BE15AD" w:rsidRDefault="00E034E7" w:rsidP="009B32A1">
      <w:pPr>
        <w:pStyle w:val="abstrak"/>
        <w:rPr>
          <w:szCs w:val="20"/>
          <w:lang w:val="id-ID"/>
        </w:rPr>
      </w:pPr>
      <w:proofErr w:type="spellStart"/>
      <w:r w:rsidRPr="00E034E7">
        <w:rPr>
          <w:szCs w:val="20"/>
        </w:rPr>
        <w:t>Penelitian</w:t>
      </w:r>
      <w:proofErr w:type="spellEnd"/>
      <w:r w:rsidRPr="00E034E7">
        <w:rPr>
          <w:szCs w:val="20"/>
        </w:rPr>
        <w:t xml:space="preserve"> </w:t>
      </w:r>
      <w:proofErr w:type="spellStart"/>
      <w:r w:rsidRPr="00E034E7">
        <w:rPr>
          <w:szCs w:val="20"/>
        </w:rPr>
        <w:t>ini</w:t>
      </w:r>
      <w:proofErr w:type="spellEnd"/>
      <w:r w:rsidRPr="00E034E7">
        <w:rPr>
          <w:szCs w:val="20"/>
        </w:rPr>
        <w:t xml:space="preserve"> </w:t>
      </w:r>
      <w:proofErr w:type="spellStart"/>
      <w:r w:rsidRPr="00E034E7">
        <w:rPr>
          <w:szCs w:val="20"/>
        </w:rPr>
        <w:t>mencoba</w:t>
      </w:r>
      <w:proofErr w:type="spellEnd"/>
      <w:r w:rsidRPr="00E034E7">
        <w:rPr>
          <w:szCs w:val="20"/>
        </w:rPr>
        <w:t xml:space="preserve"> </w:t>
      </w:r>
      <w:proofErr w:type="spellStart"/>
      <w:r w:rsidRPr="00E034E7">
        <w:rPr>
          <w:szCs w:val="20"/>
        </w:rPr>
        <w:t>menguji</w:t>
      </w:r>
      <w:proofErr w:type="spellEnd"/>
      <w:r w:rsidRPr="00E034E7">
        <w:rPr>
          <w:szCs w:val="20"/>
        </w:rPr>
        <w:t xml:space="preserve"> </w:t>
      </w:r>
      <w:proofErr w:type="spellStart"/>
      <w:r w:rsidRPr="00E034E7">
        <w:rPr>
          <w:szCs w:val="20"/>
        </w:rPr>
        <w:t>apakah</w:t>
      </w:r>
      <w:proofErr w:type="spellEnd"/>
      <w:r w:rsidRPr="00E034E7">
        <w:rPr>
          <w:szCs w:val="20"/>
        </w:rPr>
        <w:t xml:space="preserve"> flypaper </w:t>
      </w:r>
      <w:proofErr w:type="spellStart"/>
      <w:r w:rsidRPr="00E034E7">
        <w:rPr>
          <w:szCs w:val="20"/>
        </w:rPr>
        <w:t>berpengaruh</w:t>
      </w:r>
      <w:proofErr w:type="spellEnd"/>
      <w:r w:rsidRPr="00E034E7">
        <w:rPr>
          <w:szCs w:val="20"/>
        </w:rPr>
        <w:t xml:space="preserve"> </w:t>
      </w:r>
      <w:proofErr w:type="spellStart"/>
      <w:r w:rsidRPr="00E034E7">
        <w:rPr>
          <w:szCs w:val="20"/>
        </w:rPr>
        <w:t>terhadap</w:t>
      </w:r>
      <w:proofErr w:type="spellEnd"/>
      <w:r w:rsidRPr="00E034E7">
        <w:rPr>
          <w:szCs w:val="20"/>
        </w:rPr>
        <w:t xml:space="preserve"> </w:t>
      </w:r>
      <w:proofErr w:type="spellStart"/>
      <w:r w:rsidRPr="00E034E7">
        <w:rPr>
          <w:szCs w:val="20"/>
        </w:rPr>
        <w:t>hubungan</w:t>
      </w:r>
      <w:proofErr w:type="spellEnd"/>
      <w:r w:rsidRPr="00E034E7">
        <w:rPr>
          <w:szCs w:val="20"/>
        </w:rPr>
        <w:t xml:space="preserve"> </w:t>
      </w:r>
      <w:proofErr w:type="spellStart"/>
      <w:r w:rsidRPr="00E034E7">
        <w:rPr>
          <w:szCs w:val="20"/>
        </w:rPr>
        <w:t>antara</w:t>
      </w:r>
      <w:proofErr w:type="spellEnd"/>
      <w:r w:rsidRPr="00E034E7">
        <w:rPr>
          <w:szCs w:val="20"/>
        </w:rPr>
        <w:t xml:space="preserve"> </w:t>
      </w:r>
      <w:proofErr w:type="spellStart"/>
      <w:r w:rsidRPr="00E034E7">
        <w:rPr>
          <w:szCs w:val="20"/>
        </w:rPr>
        <w:t>pendapatan</w:t>
      </w:r>
      <w:proofErr w:type="spellEnd"/>
      <w:r w:rsidRPr="00E034E7">
        <w:rPr>
          <w:szCs w:val="20"/>
        </w:rPr>
        <w:t xml:space="preserve"> </w:t>
      </w:r>
      <w:proofErr w:type="spellStart"/>
      <w:r w:rsidRPr="00E034E7">
        <w:rPr>
          <w:szCs w:val="20"/>
        </w:rPr>
        <w:t>asli</w:t>
      </w:r>
      <w:proofErr w:type="spellEnd"/>
      <w:r w:rsidRPr="00E034E7">
        <w:rPr>
          <w:szCs w:val="20"/>
        </w:rPr>
        <w:t xml:space="preserve"> </w:t>
      </w:r>
      <w:proofErr w:type="spellStart"/>
      <w:r w:rsidRPr="00E034E7">
        <w:rPr>
          <w:szCs w:val="20"/>
        </w:rPr>
        <w:t>daerah</w:t>
      </w:r>
      <w:proofErr w:type="spellEnd"/>
      <w:r w:rsidRPr="00E034E7">
        <w:rPr>
          <w:szCs w:val="20"/>
        </w:rPr>
        <w:t xml:space="preserve"> dan </w:t>
      </w:r>
      <w:proofErr w:type="spellStart"/>
      <w:r w:rsidRPr="00E034E7">
        <w:rPr>
          <w:szCs w:val="20"/>
        </w:rPr>
        <w:t>anggaran</w:t>
      </w:r>
      <w:proofErr w:type="spellEnd"/>
      <w:r w:rsidRPr="00E034E7">
        <w:rPr>
          <w:szCs w:val="20"/>
        </w:rPr>
        <w:t xml:space="preserve"> </w:t>
      </w:r>
      <w:proofErr w:type="spellStart"/>
      <w:r w:rsidRPr="00E034E7">
        <w:rPr>
          <w:szCs w:val="20"/>
        </w:rPr>
        <w:t>berimbang</w:t>
      </w:r>
      <w:proofErr w:type="spellEnd"/>
      <w:r w:rsidRPr="00E034E7">
        <w:rPr>
          <w:szCs w:val="20"/>
        </w:rPr>
        <w:t xml:space="preserve"> </w:t>
      </w:r>
      <w:proofErr w:type="spellStart"/>
      <w:r w:rsidRPr="00E034E7">
        <w:rPr>
          <w:szCs w:val="20"/>
        </w:rPr>
        <w:t>terhadap</w:t>
      </w:r>
      <w:proofErr w:type="spellEnd"/>
      <w:r w:rsidRPr="00E034E7">
        <w:rPr>
          <w:szCs w:val="20"/>
        </w:rPr>
        <w:t xml:space="preserve"> </w:t>
      </w:r>
      <w:proofErr w:type="spellStart"/>
      <w:r w:rsidRPr="00E034E7">
        <w:rPr>
          <w:szCs w:val="20"/>
        </w:rPr>
        <w:t>pengeluaran</w:t>
      </w:r>
      <w:proofErr w:type="spellEnd"/>
      <w:r w:rsidRPr="00E034E7">
        <w:rPr>
          <w:szCs w:val="20"/>
        </w:rPr>
        <w:t xml:space="preserve"> </w:t>
      </w:r>
      <w:proofErr w:type="spellStart"/>
      <w:r w:rsidRPr="00E034E7">
        <w:rPr>
          <w:szCs w:val="20"/>
        </w:rPr>
        <w:t>pemerintah</w:t>
      </w:r>
      <w:proofErr w:type="spellEnd"/>
      <w:r w:rsidRPr="00E034E7">
        <w:rPr>
          <w:szCs w:val="20"/>
        </w:rPr>
        <w:t xml:space="preserve"> </w:t>
      </w:r>
      <w:proofErr w:type="spellStart"/>
      <w:r w:rsidRPr="00E034E7">
        <w:rPr>
          <w:szCs w:val="20"/>
        </w:rPr>
        <w:t>daerah</w:t>
      </w:r>
      <w:proofErr w:type="spellEnd"/>
      <w:r w:rsidRPr="00E034E7">
        <w:rPr>
          <w:szCs w:val="20"/>
        </w:rPr>
        <w:t xml:space="preserve"> di </w:t>
      </w:r>
      <w:proofErr w:type="spellStart"/>
      <w:r w:rsidRPr="00E034E7">
        <w:rPr>
          <w:szCs w:val="20"/>
        </w:rPr>
        <w:t>Provinsi</w:t>
      </w:r>
      <w:proofErr w:type="spellEnd"/>
      <w:r w:rsidRPr="00E034E7">
        <w:rPr>
          <w:szCs w:val="20"/>
        </w:rPr>
        <w:t xml:space="preserve"> Kalimantan Barat. Data yang </w:t>
      </w:r>
      <w:proofErr w:type="spellStart"/>
      <w:r w:rsidRPr="00E034E7">
        <w:rPr>
          <w:szCs w:val="20"/>
        </w:rPr>
        <w:t>diperoleh</w:t>
      </w:r>
      <w:proofErr w:type="spellEnd"/>
      <w:r w:rsidRPr="00E034E7">
        <w:rPr>
          <w:szCs w:val="20"/>
        </w:rPr>
        <w:t xml:space="preserve"> </w:t>
      </w:r>
      <w:proofErr w:type="spellStart"/>
      <w:r w:rsidRPr="00E034E7">
        <w:rPr>
          <w:szCs w:val="20"/>
        </w:rPr>
        <w:t>adalah</w:t>
      </w:r>
      <w:proofErr w:type="spellEnd"/>
      <w:r w:rsidRPr="00E034E7">
        <w:rPr>
          <w:szCs w:val="20"/>
        </w:rPr>
        <w:t xml:space="preserve"> 14 </w:t>
      </w:r>
      <w:proofErr w:type="spellStart"/>
      <w:r w:rsidRPr="00E034E7">
        <w:rPr>
          <w:szCs w:val="20"/>
        </w:rPr>
        <w:t>kabupaten</w:t>
      </w:r>
      <w:proofErr w:type="spellEnd"/>
      <w:r w:rsidRPr="00E034E7">
        <w:rPr>
          <w:szCs w:val="20"/>
        </w:rPr>
        <w:t xml:space="preserve"> dan </w:t>
      </w:r>
      <w:proofErr w:type="spellStart"/>
      <w:r w:rsidRPr="00E034E7">
        <w:rPr>
          <w:szCs w:val="20"/>
        </w:rPr>
        <w:t>kota</w:t>
      </w:r>
      <w:proofErr w:type="spellEnd"/>
      <w:r w:rsidRPr="00E034E7">
        <w:rPr>
          <w:szCs w:val="20"/>
        </w:rPr>
        <w:t xml:space="preserve"> pada </w:t>
      </w:r>
      <w:proofErr w:type="spellStart"/>
      <w:r w:rsidRPr="00E034E7">
        <w:rPr>
          <w:szCs w:val="20"/>
        </w:rPr>
        <w:t>periode</w:t>
      </w:r>
      <w:proofErr w:type="spellEnd"/>
      <w:r w:rsidRPr="00E034E7">
        <w:rPr>
          <w:szCs w:val="20"/>
        </w:rPr>
        <w:t xml:space="preserve"> 2013-2018. Model data yang </w:t>
      </w:r>
      <w:proofErr w:type="spellStart"/>
      <w:r w:rsidRPr="00E034E7">
        <w:rPr>
          <w:szCs w:val="20"/>
        </w:rPr>
        <w:t>digunakan</w:t>
      </w:r>
      <w:proofErr w:type="spellEnd"/>
      <w:r w:rsidRPr="00E034E7">
        <w:rPr>
          <w:szCs w:val="20"/>
        </w:rPr>
        <w:t xml:space="preserve"> </w:t>
      </w:r>
      <w:proofErr w:type="spellStart"/>
      <w:r w:rsidRPr="00E034E7">
        <w:rPr>
          <w:szCs w:val="20"/>
        </w:rPr>
        <w:t>dalam</w:t>
      </w:r>
      <w:proofErr w:type="spellEnd"/>
      <w:r w:rsidRPr="00E034E7">
        <w:rPr>
          <w:szCs w:val="20"/>
        </w:rPr>
        <w:t xml:space="preserve"> </w:t>
      </w:r>
      <w:proofErr w:type="spellStart"/>
      <w:r w:rsidRPr="00E034E7">
        <w:rPr>
          <w:szCs w:val="20"/>
        </w:rPr>
        <w:t>penelitian</w:t>
      </w:r>
      <w:proofErr w:type="spellEnd"/>
      <w:r w:rsidRPr="00E034E7">
        <w:rPr>
          <w:szCs w:val="20"/>
        </w:rPr>
        <w:t xml:space="preserve"> </w:t>
      </w:r>
      <w:proofErr w:type="spellStart"/>
      <w:r w:rsidRPr="00E034E7">
        <w:rPr>
          <w:szCs w:val="20"/>
        </w:rPr>
        <w:t>ini</w:t>
      </w:r>
      <w:proofErr w:type="spellEnd"/>
      <w:r w:rsidRPr="00E034E7">
        <w:rPr>
          <w:szCs w:val="20"/>
        </w:rPr>
        <w:t xml:space="preserve"> </w:t>
      </w:r>
      <w:proofErr w:type="spellStart"/>
      <w:r w:rsidRPr="00E034E7">
        <w:rPr>
          <w:szCs w:val="20"/>
        </w:rPr>
        <w:t>adalah</w:t>
      </w:r>
      <w:proofErr w:type="spellEnd"/>
      <w:r w:rsidRPr="00E034E7">
        <w:rPr>
          <w:szCs w:val="20"/>
        </w:rPr>
        <w:t xml:space="preserve"> panel </w:t>
      </w:r>
      <w:proofErr w:type="spellStart"/>
      <w:r w:rsidRPr="00E034E7">
        <w:rPr>
          <w:szCs w:val="20"/>
        </w:rPr>
        <w:t>dengan</w:t>
      </w:r>
      <w:proofErr w:type="spellEnd"/>
      <w:r w:rsidRPr="00E034E7">
        <w:rPr>
          <w:szCs w:val="20"/>
        </w:rPr>
        <w:t xml:space="preserve"> </w:t>
      </w:r>
      <w:proofErr w:type="spellStart"/>
      <w:r w:rsidRPr="00E034E7">
        <w:rPr>
          <w:szCs w:val="20"/>
        </w:rPr>
        <w:t>analisis</w:t>
      </w:r>
      <w:proofErr w:type="spellEnd"/>
      <w:r w:rsidRPr="00E034E7">
        <w:rPr>
          <w:szCs w:val="20"/>
        </w:rPr>
        <w:t xml:space="preserve"> </w:t>
      </w:r>
      <w:proofErr w:type="spellStart"/>
      <w:r w:rsidRPr="00E034E7">
        <w:rPr>
          <w:szCs w:val="20"/>
        </w:rPr>
        <w:t>menggunakan</w:t>
      </w:r>
      <w:proofErr w:type="spellEnd"/>
      <w:r w:rsidRPr="00E034E7">
        <w:rPr>
          <w:szCs w:val="20"/>
        </w:rPr>
        <w:t xml:space="preserve"> software Stata. </w:t>
      </w:r>
      <w:proofErr w:type="spellStart"/>
      <w:r w:rsidRPr="00E034E7">
        <w:rPr>
          <w:szCs w:val="20"/>
        </w:rPr>
        <w:t>Hasilnya</w:t>
      </w:r>
      <w:proofErr w:type="spellEnd"/>
      <w:r w:rsidRPr="00E034E7">
        <w:rPr>
          <w:szCs w:val="20"/>
        </w:rPr>
        <w:t xml:space="preserve">, </w:t>
      </w:r>
      <w:proofErr w:type="spellStart"/>
      <w:r w:rsidRPr="00E034E7">
        <w:rPr>
          <w:szCs w:val="20"/>
        </w:rPr>
        <w:t>fenomena</w:t>
      </w:r>
      <w:proofErr w:type="spellEnd"/>
      <w:r w:rsidRPr="00E034E7">
        <w:rPr>
          <w:szCs w:val="20"/>
        </w:rPr>
        <w:t xml:space="preserve"> flypaper effect </w:t>
      </w:r>
      <w:proofErr w:type="spellStart"/>
      <w:r w:rsidRPr="00E034E7">
        <w:rPr>
          <w:szCs w:val="20"/>
        </w:rPr>
        <w:t>terjadi</w:t>
      </w:r>
      <w:proofErr w:type="spellEnd"/>
      <w:r w:rsidRPr="00E034E7">
        <w:rPr>
          <w:szCs w:val="20"/>
        </w:rPr>
        <w:t xml:space="preserve"> pada dana </w:t>
      </w:r>
      <w:proofErr w:type="spellStart"/>
      <w:r w:rsidRPr="00E034E7">
        <w:rPr>
          <w:szCs w:val="20"/>
        </w:rPr>
        <w:t>alokasi</w:t>
      </w:r>
      <w:proofErr w:type="spellEnd"/>
      <w:r w:rsidRPr="00E034E7">
        <w:rPr>
          <w:szCs w:val="20"/>
        </w:rPr>
        <w:t xml:space="preserve"> </w:t>
      </w:r>
      <w:proofErr w:type="spellStart"/>
      <w:r w:rsidRPr="00E034E7">
        <w:rPr>
          <w:szCs w:val="20"/>
        </w:rPr>
        <w:t>umum</w:t>
      </w:r>
      <w:proofErr w:type="spellEnd"/>
      <w:r w:rsidRPr="00E034E7">
        <w:rPr>
          <w:szCs w:val="20"/>
        </w:rPr>
        <w:t xml:space="preserve"> dan dana </w:t>
      </w:r>
      <w:proofErr w:type="spellStart"/>
      <w:r w:rsidRPr="00E034E7">
        <w:rPr>
          <w:szCs w:val="20"/>
        </w:rPr>
        <w:t>alokasi</w:t>
      </w:r>
      <w:proofErr w:type="spellEnd"/>
      <w:r w:rsidRPr="00E034E7">
        <w:rPr>
          <w:szCs w:val="20"/>
        </w:rPr>
        <w:t xml:space="preserve"> </w:t>
      </w:r>
      <w:proofErr w:type="spellStart"/>
      <w:r w:rsidRPr="00E034E7">
        <w:rPr>
          <w:szCs w:val="20"/>
        </w:rPr>
        <w:t>khusus</w:t>
      </w:r>
      <w:proofErr w:type="spellEnd"/>
      <w:r w:rsidRPr="00E034E7">
        <w:rPr>
          <w:szCs w:val="20"/>
        </w:rPr>
        <w:t xml:space="preserve"> </w:t>
      </w:r>
      <w:proofErr w:type="spellStart"/>
      <w:r w:rsidRPr="00E034E7">
        <w:rPr>
          <w:szCs w:val="20"/>
        </w:rPr>
        <w:t>untuk</w:t>
      </w:r>
      <w:proofErr w:type="spellEnd"/>
      <w:r w:rsidRPr="00E034E7">
        <w:rPr>
          <w:szCs w:val="20"/>
        </w:rPr>
        <w:t xml:space="preserve"> </w:t>
      </w:r>
      <w:proofErr w:type="spellStart"/>
      <w:r w:rsidRPr="00E034E7">
        <w:rPr>
          <w:szCs w:val="20"/>
        </w:rPr>
        <w:t>pengelolaan</w:t>
      </w:r>
      <w:proofErr w:type="spellEnd"/>
      <w:r w:rsidRPr="00E034E7">
        <w:rPr>
          <w:szCs w:val="20"/>
        </w:rPr>
        <w:t xml:space="preserve"> </w:t>
      </w:r>
      <w:proofErr w:type="spellStart"/>
      <w:r w:rsidRPr="00E034E7">
        <w:rPr>
          <w:szCs w:val="20"/>
        </w:rPr>
        <w:t>belanja</w:t>
      </w:r>
      <w:proofErr w:type="spellEnd"/>
      <w:r w:rsidRPr="00E034E7">
        <w:rPr>
          <w:szCs w:val="20"/>
        </w:rPr>
        <w:t xml:space="preserve"> </w:t>
      </w:r>
      <w:proofErr w:type="spellStart"/>
      <w:r w:rsidRPr="00E034E7">
        <w:rPr>
          <w:szCs w:val="20"/>
        </w:rPr>
        <w:t>pemerintah</w:t>
      </w:r>
      <w:proofErr w:type="spellEnd"/>
      <w:r w:rsidRPr="00E034E7">
        <w:rPr>
          <w:szCs w:val="20"/>
        </w:rPr>
        <w:t xml:space="preserve"> </w:t>
      </w:r>
      <w:proofErr w:type="spellStart"/>
      <w:r w:rsidRPr="00E034E7">
        <w:rPr>
          <w:szCs w:val="20"/>
        </w:rPr>
        <w:t>daerah</w:t>
      </w:r>
      <w:proofErr w:type="spellEnd"/>
      <w:r w:rsidRPr="00E034E7">
        <w:rPr>
          <w:szCs w:val="20"/>
        </w:rPr>
        <w:t xml:space="preserve">. </w:t>
      </w:r>
      <w:proofErr w:type="spellStart"/>
      <w:r w:rsidRPr="00E034E7">
        <w:rPr>
          <w:szCs w:val="20"/>
        </w:rPr>
        <w:t>Studi</w:t>
      </w:r>
      <w:proofErr w:type="spellEnd"/>
      <w:r w:rsidRPr="00E034E7">
        <w:rPr>
          <w:szCs w:val="20"/>
        </w:rPr>
        <w:t xml:space="preserve"> </w:t>
      </w:r>
      <w:proofErr w:type="spellStart"/>
      <w:r w:rsidRPr="00E034E7">
        <w:rPr>
          <w:szCs w:val="20"/>
        </w:rPr>
        <w:t>ini</w:t>
      </w:r>
      <w:proofErr w:type="spellEnd"/>
      <w:r w:rsidRPr="00E034E7">
        <w:rPr>
          <w:szCs w:val="20"/>
        </w:rPr>
        <w:t xml:space="preserve"> juga </w:t>
      </w:r>
      <w:proofErr w:type="spellStart"/>
      <w:r w:rsidRPr="00E034E7">
        <w:rPr>
          <w:szCs w:val="20"/>
        </w:rPr>
        <w:t>menemukan</w:t>
      </w:r>
      <w:proofErr w:type="spellEnd"/>
      <w:r w:rsidRPr="00E034E7">
        <w:rPr>
          <w:szCs w:val="20"/>
        </w:rPr>
        <w:t xml:space="preserve"> </w:t>
      </w:r>
      <w:proofErr w:type="spellStart"/>
      <w:r w:rsidRPr="00E034E7">
        <w:rPr>
          <w:szCs w:val="20"/>
        </w:rPr>
        <w:t>bahwa</w:t>
      </w:r>
      <w:proofErr w:type="spellEnd"/>
      <w:r w:rsidRPr="00E034E7">
        <w:rPr>
          <w:szCs w:val="20"/>
        </w:rPr>
        <w:t xml:space="preserve"> dana </w:t>
      </w:r>
      <w:proofErr w:type="spellStart"/>
      <w:r w:rsidRPr="00E034E7">
        <w:rPr>
          <w:szCs w:val="20"/>
        </w:rPr>
        <w:t>alokasi</w:t>
      </w:r>
      <w:proofErr w:type="spellEnd"/>
      <w:r w:rsidRPr="00E034E7">
        <w:rPr>
          <w:szCs w:val="20"/>
        </w:rPr>
        <w:t xml:space="preserve"> </w:t>
      </w:r>
      <w:proofErr w:type="spellStart"/>
      <w:r w:rsidRPr="00E034E7">
        <w:rPr>
          <w:szCs w:val="20"/>
        </w:rPr>
        <w:t>umum</w:t>
      </w:r>
      <w:proofErr w:type="spellEnd"/>
      <w:r w:rsidRPr="00E034E7">
        <w:rPr>
          <w:szCs w:val="20"/>
        </w:rPr>
        <w:t xml:space="preserve"> dan </w:t>
      </w:r>
      <w:proofErr w:type="spellStart"/>
      <w:r w:rsidRPr="00E034E7">
        <w:rPr>
          <w:szCs w:val="20"/>
        </w:rPr>
        <w:t>khusus</w:t>
      </w:r>
      <w:proofErr w:type="spellEnd"/>
      <w:r w:rsidRPr="00E034E7">
        <w:rPr>
          <w:szCs w:val="20"/>
        </w:rPr>
        <w:t xml:space="preserve"> </w:t>
      </w:r>
      <w:proofErr w:type="spellStart"/>
      <w:r w:rsidRPr="00E034E7">
        <w:rPr>
          <w:szCs w:val="20"/>
        </w:rPr>
        <w:t>berpengaruh</w:t>
      </w:r>
      <w:proofErr w:type="spellEnd"/>
      <w:r w:rsidRPr="00E034E7">
        <w:rPr>
          <w:szCs w:val="20"/>
        </w:rPr>
        <w:t xml:space="preserve"> </w:t>
      </w:r>
      <w:proofErr w:type="spellStart"/>
      <w:r w:rsidRPr="00E034E7">
        <w:rPr>
          <w:szCs w:val="20"/>
        </w:rPr>
        <w:t>positif</w:t>
      </w:r>
      <w:proofErr w:type="spellEnd"/>
      <w:r w:rsidRPr="00E034E7">
        <w:rPr>
          <w:szCs w:val="20"/>
        </w:rPr>
        <w:t xml:space="preserve"> </w:t>
      </w:r>
      <w:proofErr w:type="spellStart"/>
      <w:r w:rsidRPr="00E034E7">
        <w:rPr>
          <w:szCs w:val="20"/>
        </w:rPr>
        <w:t>terhadap</w:t>
      </w:r>
      <w:proofErr w:type="spellEnd"/>
      <w:r w:rsidRPr="00E034E7">
        <w:rPr>
          <w:szCs w:val="20"/>
        </w:rPr>
        <w:t xml:space="preserve"> </w:t>
      </w:r>
      <w:proofErr w:type="spellStart"/>
      <w:r w:rsidRPr="00E034E7">
        <w:rPr>
          <w:szCs w:val="20"/>
        </w:rPr>
        <w:t>belanja</w:t>
      </w:r>
      <w:proofErr w:type="spellEnd"/>
      <w:r w:rsidRPr="00E034E7">
        <w:rPr>
          <w:szCs w:val="20"/>
        </w:rPr>
        <w:t xml:space="preserve"> </w:t>
      </w:r>
      <w:proofErr w:type="spellStart"/>
      <w:r w:rsidRPr="00E034E7">
        <w:rPr>
          <w:szCs w:val="20"/>
        </w:rPr>
        <w:t>pemerintah</w:t>
      </w:r>
      <w:proofErr w:type="spellEnd"/>
      <w:r w:rsidRPr="00E034E7">
        <w:rPr>
          <w:szCs w:val="20"/>
        </w:rPr>
        <w:t xml:space="preserve"> </w:t>
      </w:r>
      <w:proofErr w:type="spellStart"/>
      <w:r w:rsidRPr="00E034E7">
        <w:rPr>
          <w:szCs w:val="20"/>
        </w:rPr>
        <w:t>daerah</w:t>
      </w:r>
      <w:proofErr w:type="spellEnd"/>
      <w:r w:rsidRPr="00E034E7">
        <w:rPr>
          <w:szCs w:val="20"/>
        </w:rPr>
        <w:t xml:space="preserve">, </w:t>
      </w:r>
      <w:proofErr w:type="spellStart"/>
      <w:r w:rsidRPr="00E034E7">
        <w:rPr>
          <w:szCs w:val="20"/>
        </w:rPr>
        <w:t>sedangkan</w:t>
      </w:r>
      <w:proofErr w:type="spellEnd"/>
      <w:r w:rsidRPr="00E034E7">
        <w:rPr>
          <w:szCs w:val="20"/>
        </w:rPr>
        <w:t xml:space="preserve"> </w:t>
      </w:r>
      <w:proofErr w:type="spellStart"/>
      <w:r w:rsidRPr="00E034E7">
        <w:rPr>
          <w:szCs w:val="20"/>
        </w:rPr>
        <w:t>pendapatan</w:t>
      </w:r>
      <w:proofErr w:type="spellEnd"/>
      <w:r w:rsidRPr="00E034E7">
        <w:rPr>
          <w:szCs w:val="20"/>
        </w:rPr>
        <w:t xml:space="preserve"> </w:t>
      </w:r>
      <w:proofErr w:type="spellStart"/>
      <w:r w:rsidRPr="00E034E7">
        <w:rPr>
          <w:szCs w:val="20"/>
        </w:rPr>
        <w:t>asli</w:t>
      </w:r>
      <w:proofErr w:type="spellEnd"/>
      <w:r w:rsidRPr="00E034E7">
        <w:rPr>
          <w:szCs w:val="20"/>
        </w:rPr>
        <w:t xml:space="preserve"> </w:t>
      </w:r>
      <w:proofErr w:type="spellStart"/>
      <w:r w:rsidRPr="00E034E7">
        <w:rPr>
          <w:szCs w:val="20"/>
        </w:rPr>
        <w:t>daerah</w:t>
      </w:r>
      <w:proofErr w:type="spellEnd"/>
      <w:r w:rsidRPr="00E034E7">
        <w:rPr>
          <w:szCs w:val="20"/>
        </w:rPr>
        <w:t xml:space="preserve"> dan dana </w:t>
      </w:r>
      <w:proofErr w:type="spellStart"/>
      <w:r w:rsidRPr="00E034E7">
        <w:rPr>
          <w:szCs w:val="20"/>
        </w:rPr>
        <w:t>bagi</w:t>
      </w:r>
      <w:proofErr w:type="spellEnd"/>
      <w:r w:rsidRPr="00E034E7">
        <w:rPr>
          <w:szCs w:val="20"/>
        </w:rPr>
        <w:t xml:space="preserve"> </w:t>
      </w:r>
      <w:proofErr w:type="spellStart"/>
      <w:r w:rsidRPr="00E034E7">
        <w:rPr>
          <w:szCs w:val="20"/>
        </w:rPr>
        <w:t>hasil</w:t>
      </w:r>
      <w:proofErr w:type="spellEnd"/>
      <w:r w:rsidRPr="00E034E7">
        <w:rPr>
          <w:szCs w:val="20"/>
        </w:rPr>
        <w:t xml:space="preserve"> </w:t>
      </w:r>
      <w:proofErr w:type="spellStart"/>
      <w:r w:rsidRPr="00E034E7">
        <w:rPr>
          <w:szCs w:val="20"/>
        </w:rPr>
        <w:t>tidak</w:t>
      </w:r>
      <w:proofErr w:type="spellEnd"/>
      <w:r w:rsidRPr="00E034E7">
        <w:rPr>
          <w:szCs w:val="20"/>
        </w:rPr>
        <w:t xml:space="preserve"> </w:t>
      </w:r>
      <w:proofErr w:type="spellStart"/>
      <w:r w:rsidRPr="00E034E7">
        <w:rPr>
          <w:szCs w:val="20"/>
        </w:rPr>
        <w:t>mempengaruhi</w:t>
      </w:r>
      <w:proofErr w:type="spellEnd"/>
      <w:r w:rsidRPr="00E034E7">
        <w:rPr>
          <w:szCs w:val="20"/>
        </w:rPr>
        <w:t xml:space="preserve"> </w:t>
      </w:r>
      <w:proofErr w:type="spellStart"/>
      <w:r w:rsidRPr="00E034E7">
        <w:rPr>
          <w:szCs w:val="20"/>
        </w:rPr>
        <w:t>belanja</w:t>
      </w:r>
      <w:proofErr w:type="spellEnd"/>
      <w:r w:rsidRPr="00E034E7">
        <w:rPr>
          <w:szCs w:val="20"/>
        </w:rPr>
        <w:t xml:space="preserve"> </w:t>
      </w:r>
      <w:proofErr w:type="spellStart"/>
      <w:r w:rsidRPr="00E034E7">
        <w:rPr>
          <w:szCs w:val="20"/>
        </w:rPr>
        <w:t>pemerintah</w:t>
      </w:r>
      <w:proofErr w:type="spellEnd"/>
      <w:r w:rsidRPr="00E034E7">
        <w:rPr>
          <w:szCs w:val="20"/>
        </w:rPr>
        <w:t xml:space="preserve"> </w:t>
      </w:r>
      <w:proofErr w:type="spellStart"/>
      <w:r w:rsidRPr="00E034E7">
        <w:rPr>
          <w:szCs w:val="20"/>
        </w:rPr>
        <w:t>daerah</w:t>
      </w:r>
      <w:proofErr w:type="spellEnd"/>
      <w:r w:rsidRPr="00E034E7">
        <w:rPr>
          <w:szCs w:val="20"/>
        </w:rPr>
        <w:t xml:space="preserve">. Hal </w:t>
      </w:r>
      <w:proofErr w:type="spellStart"/>
      <w:r w:rsidRPr="00E034E7">
        <w:rPr>
          <w:szCs w:val="20"/>
        </w:rPr>
        <w:t>itu</w:t>
      </w:r>
      <w:proofErr w:type="spellEnd"/>
      <w:r w:rsidRPr="00E034E7">
        <w:rPr>
          <w:szCs w:val="20"/>
        </w:rPr>
        <w:t xml:space="preserve"> </w:t>
      </w:r>
      <w:proofErr w:type="spellStart"/>
      <w:r w:rsidRPr="00E034E7">
        <w:rPr>
          <w:szCs w:val="20"/>
        </w:rPr>
        <w:t>membuktikan</w:t>
      </w:r>
      <w:proofErr w:type="spellEnd"/>
      <w:r w:rsidRPr="00E034E7">
        <w:rPr>
          <w:szCs w:val="20"/>
        </w:rPr>
        <w:t xml:space="preserve"> </w:t>
      </w:r>
      <w:proofErr w:type="spellStart"/>
      <w:r w:rsidRPr="00E034E7">
        <w:rPr>
          <w:szCs w:val="20"/>
        </w:rPr>
        <w:t>bahwa</w:t>
      </w:r>
      <w:proofErr w:type="spellEnd"/>
      <w:r w:rsidRPr="00E034E7">
        <w:rPr>
          <w:szCs w:val="20"/>
        </w:rPr>
        <w:t xml:space="preserve"> </w:t>
      </w:r>
      <w:proofErr w:type="spellStart"/>
      <w:r w:rsidRPr="00E034E7">
        <w:rPr>
          <w:szCs w:val="20"/>
        </w:rPr>
        <w:t>pemerintah</w:t>
      </w:r>
      <w:proofErr w:type="spellEnd"/>
      <w:r w:rsidRPr="00E034E7">
        <w:rPr>
          <w:szCs w:val="20"/>
        </w:rPr>
        <w:t xml:space="preserve"> </w:t>
      </w:r>
      <w:proofErr w:type="spellStart"/>
      <w:r w:rsidRPr="00E034E7">
        <w:rPr>
          <w:szCs w:val="20"/>
        </w:rPr>
        <w:t>daerah</w:t>
      </w:r>
      <w:proofErr w:type="spellEnd"/>
      <w:r w:rsidRPr="00E034E7">
        <w:rPr>
          <w:szCs w:val="20"/>
        </w:rPr>
        <w:t xml:space="preserve"> </w:t>
      </w:r>
      <w:proofErr w:type="spellStart"/>
      <w:r w:rsidRPr="00E034E7">
        <w:rPr>
          <w:szCs w:val="20"/>
        </w:rPr>
        <w:t>masih</w:t>
      </w:r>
      <w:proofErr w:type="spellEnd"/>
      <w:r w:rsidRPr="00E034E7">
        <w:rPr>
          <w:szCs w:val="20"/>
        </w:rPr>
        <w:t xml:space="preserve"> </w:t>
      </w:r>
      <w:proofErr w:type="spellStart"/>
      <w:r w:rsidRPr="00E034E7">
        <w:rPr>
          <w:szCs w:val="20"/>
        </w:rPr>
        <w:t>sangat</w:t>
      </w:r>
      <w:proofErr w:type="spellEnd"/>
      <w:r w:rsidRPr="00E034E7">
        <w:rPr>
          <w:szCs w:val="20"/>
        </w:rPr>
        <w:t xml:space="preserve"> </w:t>
      </w:r>
      <w:proofErr w:type="spellStart"/>
      <w:r w:rsidRPr="00E034E7">
        <w:rPr>
          <w:szCs w:val="20"/>
        </w:rPr>
        <w:t>bergantung</w:t>
      </w:r>
      <w:proofErr w:type="spellEnd"/>
      <w:r w:rsidRPr="00E034E7">
        <w:rPr>
          <w:szCs w:val="20"/>
        </w:rPr>
        <w:t xml:space="preserve"> pada dana transfer </w:t>
      </w:r>
      <w:proofErr w:type="spellStart"/>
      <w:r w:rsidRPr="00E034E7">
        <w:rPr>
          <w:szCs w:val="20"/>
        </w:rPr>
        <w:t>pemerintah</w:t>
      </w:r>
      <w:proofErr w:type="spellEnd"/>
      <w:r w:rsidRPr="00E034E7">
        <w:rPr>
          <w:szCs w:val="20"/>
        </w:rPr>
        <w:t xml:space="preserve"> </w:t>
      </w:r>
      <w:proofErr w:type="spellStart"/>
      <w:r w:rsidRPr="00E034E7">
        <w:rPr>
          <w:szCs w:val="20"/>
        </w:rPr>
        <w:t>pusat</w:t>
      </w:r>
      <w:proofErr w:type="spellEnd"/>
      <w:r w:rsidRPr="00E034E7">
        <w:rPr>
          <w:szCs w:val="20"/>
        </w:rPr>
        <w:t xml:space="preserve"> </w:t>
      </w:r>
      <w:proofErr w:type="spellStart"/>
      <w:r w:rsidRPr="00E034E7">
        <w:rPr>
          <w:szCs w:val="20"/>
        </w:rPr>
        <w:t>daripada</w:t>
      </w:r>
      <w:proofErr w:type="spellEnd"/>
      <w:r w:rsidRPr="00E034E7">
        <w:rPr>
          <w:szCs w:val="20"/>
        </w:rPr>
        <w:t xml:space="preserve"> </w:t>
      </w:r>
      <w:proofErr w:type="spellStart"/>
      <w:r w:rsidRPr="00E034E7">
        <w:rPr>
          <w:szCs w:val="20"/>
        </w:rPr>
        <w:t>meningkatkan</w:t>
      </w:r>
      <w:proofErr w:type="spellEnd"/>
      <w:r w:rsidRPr="00E034E7">
        <w:rPr>
          <w:szCs w:val="20"/>
        </w:rPr>
        <w:t xml:space="preserve"> </w:t>
      </w:r>
      <w:proofErr w:type="spellStart"/>
      <w:r w:rsidRPr="00E034E7">
        <w:rPr>
          <w:szCs w:val="20"/>
        </w:rPr>
        <w:t>pendapatan</w:t>
      </w:r>
      <w:proofErr w:type="spellEnd"/>
      <w:r w:rsidRPr="00E034E7">
        <w:rPr>
          <w:szCs w:val="20"/>
        </w:rPr>
        <w:t xml:space="preserve"> </w:t>
      </w:r>
      <w:proofErr w:type="spellStart"/>
      <w:r w:rsidRPr="00E034E7">
        <w:rPr>
          <w:szCs w:val="20"/>
        </w:rPr>
        <w:t>asli</w:t>
      </w:r>
      <w:proofErr w:type="spellEnd"/>
      <w:r w:rsidRPr="00E034E7">
        <w:rPr>
          <w:szCs w:val="20"/>
        </w:rPr>
        <w:t xml:space="preserve"> </w:t>
      </w:r>
      <w:proofErr w:type="spellStart"/>
      <w:r w:rsidRPr="00E034E7">
        <w:rPr>
          <w:szCs w:val="20"/>
        </w:rPr>
        <w:t>daerahnya</w:t>
      </w:r>
      <w:proofErr w:type="spellEnd"/>
      <w:r w:rsidRPr="00E034E7">
        <w:rPr>
          <w:szCs w:val="20"/>
        </w:rPr>
        <w:t xml:space="preserve">. </w:t>
      </w:r>
    </w:p>
    <w:p w:rsidR="009B32A1" w:rsidRPr="005A7C47" w:rsidRDefault="009B32A1" w:rsidP="005A7C47">
      <w:pPr>
        <w:pStyle w:val="abstrak"/>
        <w:ind w:left="1701" w:hanging="1134"/>
        <w:rPr>
          <w:b/>
          <w:szCs w:val="20"/>
        </w:rPr>
      </w:pPr>
      <w:r w:rsidRPr="00BE15AD">
        <w:rPr>
          <w:b/>
          <w:szCs w:val="20"/>
          <w:lang w:val="id-ID"/>
        </w:rPr>
        <w:t xml:space="preserve">Kata Kunci: </w:t>
      </w:r>
      <w:r w:rsidR="005A7C47">
        <w:rPr>
          <w:b/>
          <w:szCs w:val="20"/>
        </w:rPr>
        <w:t xml:space="preserve">Flypaper Effect, </w:t>
      </w:r>
      <w:proofErr w:type="spellStart"/>
      <w:r w:rsidR="005A7C47">
        <w:rPr>
          <w:b/>
          <w:szCs w:val="20"/>
        </w:rPr>
        <w:t>Pendapatan</w:t>
      </w:r>
      <w:proofErr w:type="spellEnd"/>
      <w:r w:rsidR="005A7C47">
        <w:rPr>
          <w:b/>
          <w:szCs w:val="20"/>
        </w:rPr>
        <w:t xml:space="preserve"> Asli Daerah, Dana </w:t>
      </w:r>
      <w:proofErr w:type="spellStart"/>
      <w:r w:rsidR="005A7C47">
        <w:rPr>
          <w:b/>
          <w:szCs w:val="20"/>
        </w:rPr>
        <w:t>Alokasi</w:t>
      </w:r>
      <w:proofErr w:type="spellEnd"/>
      <w:r w:rsidR="005A7C47">
        <w:rPr>
          <w:b/>
          <w:szCs w:val="20"/>
        </w:rPr>
        <w:t xml:space="preserve"> </w:t>
      </w:r>
      <w:proofErr w:type="spellStart"/>
      <w:r w:rsidR="005A7C47">
        <w:rPr>
          <w:b/>
          <w:szCs w:val="20"/>
        </w:rPr>
        <w:t>Umum</w:t>
      </w:r>
      <w:proofErr w:type="spellEnd"/>
      <w:r w:rsidR="005A7C47">
        <w:rPr>
          <w:b/>
          <w:szCs w:val="20"/>
        </w:rPr>
        <w:t xml:space="preserve">, Dana </w:t>
      </w:r>
      <w:proofErr w:type="spellStart"/>
      <w:r w:rsidR="005A7C47">
        <w:rPr>
          <w:b/>
          <w:szCs w:val="20"/>
        </w:rPr>
        <w:t>Alokasi</w:t>
      </w:r>
      <w:proofErr w:type="spellEnd"/>
      <w:r w:rsidR="005A7C47">
        <w:rPr>
          <w:b/>
          <w:szCs w:val="20"/>
        </w:rPr>
        <w:t xml:space="preserve">  </w:t>
      </w:r>
      <w:proofErr w:type="spellStart"/>
      <w:r w:rsidR="005A7C47">
        <w:rPr>
          <w:b/>
          <w:szCs w:val="20"/>
        </w:rPr>
        <w:t>Khusus</w:t>
      </w:r>
      <w:proofErr w:type="spellEnd"/>
      <w:r w:rsidR="005A7C47">
        <w:rPr>
          <w:b/>
          <w:szCs w:val="20"/>
        </w:rPr>
        <w:t xml:space="preserve">, Dana </w:t>
      </w:r>
      <w:proofErr w:type="spellStart"/>
      <w:r w:rsidR="005A7C47">
        <w:rPr>
          <w:b/>
          <w:szCs w:val="20"/>
        </w:rPr>
        <w:t>Bagi</w:t>
      </w:r>
      <w:proofErr w:type="spellEnd"/>
      <w:r w:rsidR="005A7C47">
        <w:rPr>
          <w:b/>
          <w:szCs w:val="20"/>
        </w:rPr>
        <w:t xml:space="preserve"> Hasil, dan </w:t>
      </w:r>
      <w:proofErr w:type="spellStart"/>
      <w:r w:rsidR="005A7C47">
        <w:rPr>
          <w:b/>
          <w:szCs w:val="20"/>
        </w:rPr>
        <w:t>Belanja</w:t>
      </w:r>
      <w:proofErr w:type="spellEnd"/>
      <w:r w:rsidR="005A7C47">
        <w:rPr>
          <w:b/>
          <w:szCs w:val="20"/>
        </w:rPr>
        <w:t xml:space="preserve"> Daerah</w:t>
      </w:r>
    </w:p>
    <w:p w:rsidR="00EB28C9" w:rsidRPr="00F73A74" w:rsidRDefault="009B32A1" w:rsidP="00D50408">
      <w:pPr>
        <w:jc w:val="both"/>
        <w:rPr>
          <w:b/>
          <w:i/>
          <w:sz w:val="22"/>
          <w:szCs w:val="22"/>
        </w:rPr>
      </w:pPr>
      <w:r w:rsidRPr="00BE15AD">
        <w:tab/>
      </w:r>
      <w:bookmarkStart w:id="0" w:name="_Hlk12773479"/>
    </w:p>
    <w:bookmarkEnd w:id="0"/>
    <w:p w:rsidR="009E2CC9" w:rsidRDefault="009E2CC9" w:rsidP="009E2CC9">
      <w:pPr>
        <w:adjustRightInd w:val="0"/>
        <w:snapToGrid w:val="0"/>
        <w:spacing w:after="120" w:line="276" w:lineRule="auto"/>
        <w:jc w:val="both"/>
        <w:rPr>
          <w:rFonts w:ascii="Century" w:hAnsi="Century"/>
          <w:b/>
          <w:bCs/>
        </w:rPr>
      </w:pPr>
    </w:p>
    <w:p w:rsidR="009E2CC9" w:rsidRPr="00ED330C" w:rsidRDefault="009E2CC9" w:rsidP="009E2CC9">
      <w:pPr>
        <w:adjustRightInd w:val="0"/>
        <w:snapToGrid w:val="0"/>
        <w:spacing w:after="120" w:line="276" w:lineRule="auto"/>
        <w:jc w:val="both"/>
        <w:rPr>
          <w:b/>
          <w:bCs/>
        </w:rPr>
      </w:pPr>
      <w:r w:rsidRPr="00ED330C">
        <w:rPr>
          <w:b/>
          <w:bCs/>
        </w:rPr>
        <w:t>INTRODUCTION</w:t>
      </w:r>
    </w:p>
    <w:p w:rsidR="0027072F" w:rsidRPr="00ED330C" w:rsidRDefault="0027072F" w:rsidP="0027072F">
      <w:pPr>
        <w:spacing w:after="120"/>
        <w:ind w:firstLine="709"/>
        <w:jc w:val="both"/>
      </w:pPr>
      <w:r w:rsidRPr="00ED330C">
        <w:t>The Reformation has brought several changes to Indonesia's government system, one of which was the decentralization system. Several regulations regarding local government have been drafted to support the running of the system. As the implementation of the regional government system develops, Law No. 32 of 2004 changed to Law No. 23 of 2014 and further regulated in Law No. 2 of 2015. The law emphasizes that the implementation of regional government is carried out following the principles of regional autonomy. Regional autonomy is a form of implementation of the decentralized system. It is hoped that local governments will be more independent in developing their resources and can play an active role in advancing their regions.</w:t>
      </w:r>
    </w:p>
    <w:p w:rsidR="0027072F" w:rsidRPr="00ED330C" w:rsidRDefault="0027072F" w:rsidP="00F11C26">
      <w:pPr>
        <w:adjustRightInd w:val="0"/>
        <w:snapToGrid w:val="0"/>
        <w:ind w:firstLine="709"/>
        <w:jc w:val="both"/>
      </w:pPr>
      <w:r w:rsidRPr="00ED330C">
        <w:lastRenderedPageBreak/>
        <w:t xml:space="preserve">Decentralization transfers political power from the central government to regional governments, but the fiscal policy also includes where subnational governments get financial transfers from the central government </w:t>
      </w:r>
      <w:r w:rsidRPr="00ED330C">
        <w:fldChar w:fldCharType="begin" w:fldLock="1"/>
      </w:r>
      <w:r w:rsidRPr="00ED330C">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ED330C">
        <w:fldChar w:fldCharType="separate"/>
      </w:r>
      <w:r w:rsidRPr="00ED330C">
        <w:rPr>
          <w:noProof/>
        </w:rPr>
        <w:t>(Suyanto, 2010)</w:t>
      </w:r>
      <w:r w:rsidRPr="00ED330C">
        <w:fldChar w:fldCharType="end"/>
      </w:r>
      <w:r w:rsidRPr="00ED330C">
        <w:t xml:space="preserve">. To achieve the goals of decentralization, local governments must explore other income sources optimally so that local revenue can be maximized to lessen dependence on the central government </w:t>
      </w:r>
      <w:r w:rsidRPr="00ED330C">
        <w:fldChar w:fldCharType="begin" w:fldLock="1"/>
      </w:r>
      <w:r w:rsidRPr="00ED330C">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ED330C">
        <w:fldChar w:fldCharType="separate"/>
      </w:r>
      <w:r w:rsidRPr="00ED330C">
        <w:rPr>
          <w:noProof/>
        </w:rPr>
        <w:t>(Inayati &amp; Setiawan, 2012; Nasir, 2019)</w:t>
      </w:r>
      <w:r w:rsidRPr="00ED330C">
        <w:fldChar w:fldCharType="end"/>
      </w:r>
      <w:r w:rsidRPr="00ED330C">
        <w:t xml:space="preserve">. This authority is given because local governments are more familiar with their regions' potentials and needs than the central government. It is an indicator in measuring the success of implementing the decentralized system. The greater the original local government revenue generated by a region, indicating that fiscal decentralization in that region has been implemented well. Thus, the central government's dependence level will also be smaller </w:t>
      </w:r>
      <w:r w:rsidRPr="00ED330C">
        <w:fldChar w:fldCharType="begin" w:fldLock="1"/>
      </w:r>
      <w:r w:rsidRPr="00ED330C">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ED330C">
        <w:fldChar w:fldCharType="separate"/>
      </w:r>
      <w:r w:rsidRPr="00ED330C">
        <w:rPr>
          <w:noProof/>
        </w:rPr>
        <w:t>(Bodman &amp;</w:t>
      </w:r>
      <w:r w:rsidRPr="00ED330C">
        <w:t xml:space="preserve"> Hodge, 2010).</w:t>
      </w:r>
      <w:r w:rsidRPr="00ED330C">
        <w:fldChar w:fldCharType="end"/>
      </w:r>
    </w:p>
    <w:p w:rsidR="0027072F" w:rsidRPr="0027072F" w:rsidRDefault="0027072F" w:rsidP="00F11C26">
      <w:pPr>
        <w:pStyle w:val="DaftarParagraf"/>
        <w:adjustRightInd w:val="0"/>
        <w:snapToGrid w:val="0"/>
        <w:spacing w:after="0" w:line="240" w:lineRule="auto"/>
        <w:ind w:left="0" w:firstLine="709"/>
        <w:jc w:val="both"/>
        <w:rPr>
          <w:rFonts w:ascii="Times New Roman" w:hAnsi="Times New Roman" w:cs="Times New Roman"/>
          <w:i w:val="0"/>
          <w:iCs w:val="0"/>
          <w:sz w:val="24"/>
          <w:szCs w:val="24"/>
        </w:rPr>
      </w:pPr>
      <w:r w:rsidRPr="0027072F">
        <w:rPr>
          <w:rFonts w:ascii="Times New Roman" w:hAnsi="Times New Roman" w:cs="Times New Roman"/>
          <w:i w:val="0"/>
          <w:iCs w:val="0"/>
          <w:sz w:val="24"/>
          <w:szCs w:val="24"/>
        </w:rPr>
        <w:t xml:space="preserve">Based on PMK Number 126/PMK.07/2019 concerning Regional Fiscal Capacity Maps, there are still many regencies or cities in Indonesia with a low level of fiscal capacity, so there is a relatively sizeable fiscal gap. According to </w:t>
      </w:r>
      <w:r w:rsidRPr="0027072F">
        <w:rPr>
          <w:rFonts w:ascii="Times New Roman" w:hAnsi="Times New Roman" w:cs="Times New Roman"/>
          <w:i w:val="0"/>
          <w:iCs w:val="0"/>
          <w:sz w:val="24"/>
          <w:szCs w:val="24"/>
        </w:rPr>
        <w:fldChar w:fldCharType="begin" w:fldLock="1"/>
      </w:r>
      <w:r w:rsidRPr="0027072F">
        <w:rPr>
          <w:rFonts w:ascii="Times New Roman" w:hAnsi="Times New Roman" w:cs="Times New Roman"/>
          <w:i w:val="0"/>
          <w:iCs w:val="0"/>
          <w:sz w:val="24"/>
          <w:szCs w:val="24"/>
        </w:rPr>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27072F">
        <w:rPr>
          <w:rFonts w:ascii="Times New Roman" w:hAnsi="Times New Roman" w:cs="Times New Roman"/>
          <w:i w:val="0"/>
          <w:iCs w:val="0"/>
          <w:sz w:val="24"/>
          <w:szCs w:val="24"/>
        </w:rPr>
        <w:fldChar w:fldCharType="separate"/>
      </w:r>
      <w:r w:rsidRPr="0027072F">
        <w:rPr>
          <w:rFonts w:ascii="Times New Roman" w:hAnsi="Times New Roman" w:cs="Times New Roman"/>
          <w:i w:val="0"/>
          <w:iCs w:val="0"/>
          <w:noProof/>
          <w:sz w:val="24"/>
          <w:szCs w:val="24"/>
        </w:rPr>
        <w:t>Amalia</w:t>
      </w:r>
      <w:r w:rsidRPr="0027072F">
        <w:rPr>
          <w:rFonts w:ascii="Times New Roman" w:hAnsi="Times New Roman" w:cs="Times New Roman"/>
          <w:i w:val="0"/>
          <w:iCs w:val="0"/>
          <w:sz w:val="24"/>
          <w:szCs w:val="24"/>
        </w:rPr>
        <w:t xml:space="preserve"> (2015)</w:t>
      </w:r>
      <w:r w:rsidRPr="0027072F">
        <w:rPr>
          <w:rFonts w:ascii="Times New Roman" w:hAnsi="Times New Roman" w:cs="Times New Roman"/>
          <w:i w:val="0"/>
          <w:iCs w:val="0"/>
          <w:sz w:val="24"/>
          <w:szCs w:val="24"/>
        </w:rPr>
        <w:fldChar w:fldCharType="end"/>
      </w:r>
      <w:r w:rsidRPr="0027072F">
        <w:rPr>
          <w:rFonts w:ascii="Times New Roman" w:hAnsi="Times New Roman" w:cs="Times New Roman"/>
          <w:i w:val="0"/>
          <w:iCs w:val="0"/>
          <w:sz w:val="24"/>
          <w:szCs w:val="24"/>
        </w:rPr>
        <w:t>, several regions have abundant human resources and natural resources but have scarcity in investment opportunities and economic infrastructure. On the other hand, some regions have good management in the financial system even though they have shortcomings in natural resources and human resources, but can maximize their regions' considerable tax potential. Meanwhile, several other regions have experienced limitations in both economic infrastructure and resources. As a consequence, the per capita gross domestic product (GDP) produced varies from province to province. To overcome fiscal imbalances, the central government took steps by transferring the balanced budget to the regions. These funds are sources of funding for the local government and the main source, namely, original local government revenue.</w:t>
      </w:r>
    </w:p>
    <w:p w:rsidR="0027072F" w:rsidRPr="0027072F" w:rsidRDefault="0027072F" w:rsidP="00F11C26">
      <w:pPr>
        <w:pStyle w:val="DaftarParagraf"/>
        <w:adjustRightInd w:val="0"/>
        <w:snapToGrid w:val="0"/>
        <w:spacing w:after="0" w:line="240" w:lineRule="auto"/>
        <w:ind w:left="0" w:firstLine="709"/>
        <w:jc w:val="both"/>
        <w:rPr>
          <w:rFonts w:ascii="Times New Roman" w:hAnsi="Times New Roman" w:cs="Times New Roman"/>
          <w:i w:val="0"/>
          <w:iCs w:val="0"/>
          <w:sz w:val="24"/>
          <w:szCs w:val="24"/>
        </w:rPr>
      </w:pPr>
      <w:r w:rsidRPr="0027072F">
        <w:rPr>
          <w:rFonts w:ascii="Times New Roman" w:hAnsi="Times New Roman" w:cs="Times New Roman"/>
          <w:i w:val="0"/>
          <w:iCs w:val="0"/>
          <w:sz w:val="24"/>
          <w:szCs w:val="24"/>
        </w:rPr>
        <w:t xml:space="preserve">Original local government revenue (PAD) will affect how much the expenditure on local government expenditure. All local revenue obtained, both from local government and central government transfers, is used for </w:t>
      </w:r>
      <w:r w:rsidRPr="0027072F">
        <w:rPr>
          <w:rFonts w:ascii="Times New Roman" w:hAnsi="Times New Roman" w:cs="Times New Roman"/>
          <w:i w:val="0"/>
          <w:iCs w:val="0"/>
          <w:color w:val="222222"/>
          <w:sz w:val="24"/>
          <w:szCs w:val="24"/>
          <w:lang w:val="en"/>
        </w:rPr>
        <w:t>local government expenditure</w:t>
      </w:r>
      <w:r w:rsidRPr="0027072F">
        <w:rPr>
          <w:rFonts w:ascii="Times New Roman" w:hAnsi="Times New Roman" w:cs="Times New Roman"/>
          <w:b/>
          <w:bCs/>
          <w:i w:val="0"/>
          <w:iCs w:val="0"/>
          <w:color w:val="222222"/>
          <w:sz w:val="24"/>
          <w:szCs w:val="24"/>
          <w:lang w:val="en"/>
        </w:rPr>
        <w:t xml:space="preserve"> </w:t>
      </w:r>
      <w:r w:rsidRPr="0027072F">
        <w:rPr>
          <w:rFonts w:ascii="Times New Roman" w:hAnsi="Times New Roman" w:cs="Times New Roman"/>
          <w:i w:val="0"/>
          <w:iCs w:val="0"/>
          <w:sz w:val="24"/>
          <w:szCs w:val="24"/>
        </w:rPr>
        <w:t>to improve community welfare and regional development (</w:t>
      </w:r>
      <w:r w:rsidRPr="0027072F">
        <w:rPr>
          <w:rFonts w:ascii="Times New Roman" w:hAnsi="Times New Roman" w:cs="Times New Roman"/>
          <w:i w:val="0"/>
          <w:iCs w:val="0"/>
          <w:sz w:val="24"/>
          <w:szCs w:val="24"/>
        </w:rPr>
        <w:fldChar w:fldCharType="begin" w:fldLock="1"/>
      </w:r>
      <w:r w:rsidRPr="0027072F">
        <w:rPr>
          <w:rFonts w:ascii="Times New Roman" w:hAnsi="Times New Roman" w:cs="Times New Roman"/>
          <w:i w:val="0"/>
          <w:iCs w:val="0"/>
          <w:sz w:val="24"/>
          <w:szCs w:val="24"/>
        </w:rPr>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27072F">
        <w:rPr>
          <w:rFonts w:ascii="Times New Roman" w:hAnsi="Times New Roman" w:cs="Times New Roman"/>
          <w:i w:val="0"/>
          <w:iCs w:val="0"/>
          <w:sz w:val="24"/>
          <w:szCs w:val="24"/>
        </w:rPr>
        <w:fldChar w:fldCharType="separate"/>
      </w:r>
      <w:r w:rsidRPr="0027072F">
        <w:rPr>
          <w:rFonts w:ascii="Times New Roman" w:hAnsi="Times New Roman" w:cs="Times New Roman"/>
          <w:i w:val="0"/>
          <w:iCs w:val="0"/>
          <w:sz w:val="24"/>
          <w:szCs w:val="24"/>
        </w:rPr>
        <w:t>Aragon, 2013)</w:t>
      </w:r>
      <w:r w:rsidRPr="0027072F">
        <w:rPr>
          <w:rFonts w:ascii="Times New Roman" w:hAnsi="Times New Roman" w:cs="Times New Roman"/>
          <w:i w:val="0"/>
          <w:iCs w:val="0"/>
          <w:sz w:val="24"/>
          <w:szCs w:val="24"/>
        </w:rPr>
        <w:fldChar w:fldCharType="end"/>
      </w:r>
      <w:r w:rsidRPr="0027072F">
        <w:rPr>
          <w:rFonts w:ascii="Times New Roman" w:hAnsi="Times New Roman" w:cs="Times New Roman"/>
          <w:i w:val="0"/>
          <w:iCs w:val="0"/>
          <w:sz w:val="24"/>
          <w:szCs w:val="24"/>
        </w:rPr>
        <w:t>. Of course, each region has different priority needs for public services, so that the expenditure of each region has a fluctuating value.</w:t>
      </w:r>
    </w:p>
    <w:p w:rsidR="0027072F" w:rsidRPr="0027072F" w:rsidRDefault="0027072F" w:rsidP="00F11C26">
      <w:pPr>
        <w:pStyle w:val="NormalWeb"/>
        <w:adjustRightInd w:val="0"/>
        <w:snapToGrid w:val="0"/>
        <w:spacing w:before="0" w:beforeAutospacing="0" w:after="0" w:afterAutospacing="0"/>
        <w:ind w:firstLine="709"/>
        <w:jc w:val="both"/>
        <w:rPr>
          <w:lang w:val="en-US"/>
        </w:rPr>
      </w:pPr>
      <w:r w:rsidRPr="0027072F">
        <w:t xml:space="preserve">The </w:t>
      </w:r>
      <w:proofErr w:type="spellStart"/>
      <w:r w:rsidRPr="0027072F">
        <w:t>budget</w:t>
      </w:r>
      <w:proofErr w:type="spellEnd"/>
      <w:r w:rsidRPr="0027072F">
        <w:t xml:space="preserve"> </w:t>
      </w:r>
      <w:proofErr w:type="spellStart"/>
      <w:r w:rsidRPr="0027072F">
        <w:t>for</w:t>
      </w:r>
      <w:proofErr w:type="spellEnd"/>
      <w:r w:rsidRPr="0027072F">
        <w:t xml:space="preserve"> transfer </w:t>
      </w:r>
      <w:proofErr w:type="spellStart"/>
      <w:r w:rsidRPr="0027072F">
        <w:t>funds</w:t>
      </w:r>
      <w:proofErr w:type="spellEnd"/>
      <w:r w:rsidRPr="0027072F">
        <w:t xml:space="preserve"> </w:t>
      </w:r>
      <w:proofErr w:type="spellStart"/>
      <w:r w:rsidRPr="0027072F">
        <w:t>to</w:t>
      </w:r>
      <w:proofErr w:type="spellEnd"/>
      <w:r w:rsidRPr="0027072F">
        <w:t xml:space="preserve"> </w:t>
      </w:r>
      <w:proofErr w:type="spellStart"/>
      <w:r w:rsidRPr="0027072F">
        <w:t>the</w:t>
      </w:r>
      <w:proofErr w:type="spellEnd"/>
      <w:r w:rsidRPr="0027072F">
        <w:t xml:space="preserve"> </w:t>
      </w:r>
      <w:proofErr w:type="spellStart"/>
      <w:r w:rsidRPr="0027072F">
        <w:t>regions</w:t>
      </w:r>
      <w:proofErr w:type="spellEnd"/>
      <w:r w:rsidRPr="0027072F">
        <w:t xml:space="preserve"> </w:t>
      </w:r>
      <w:proofErr w:type="spellStart"/>
      <w:r w:rsidRPr="0027072F">
        <w:t>is</w:t>
      </w:r>
      <w:proofErr w:type="spellEnd"/>
      <w:r w:rsidRPr="0027072F">
        <w:t xml:space="preserve"> </w:t>
      </w:r>
      <w:proofErr w:type="spellStart"/>
      <w:r w:rsidRPr="0027072F">
        <w:t>increasing</w:t>
      </w:r>
      <w:proofErr w:type="spellEnd"/>
      <w:r w:rsidRPr="0027072F">
        <w:t xml:space="preserve"> </w:t>
      </w:r>
      <w:proofErr w:type="spellStart"/>
      <w:r w:rsidRPr="0027072F">
        <w:t>every</w:t>
      </w:r>
      <w:proofErr w:type="spellEnd"/>
      <w:r w:rsidRPr="0027072F">
        <w:t xml:space="preserve"> </w:t>
      </w:r>
      <w:proofErr w:type="spellStart"/>
      <w:r w:rsidRPr="0027072F">
        <w:t>year</w:t>
      </w:r>
      <w:proofErr w:type="spellEnd"/>
      <w:r w:rsidRPr="0027072F">
        <w:t xml:space="preserve">. </w:t>
      </w:r>
      <w:proofErr w:type="spellStart"/>
      <w:r w:rsidRPr="0027072F">
        <w:t>It</w:t>
      </w:r>
      <w:proofErr w:type="spellEnd"/>
      <w:r w:rsidRPr="0027072F">
        <w:t xml:space="preserve"> </w:t>
      </w:r>
      <w:proofErr w:type="spellStart"/>
      <w:r w:rsidRPr="0027072F">
        <w:t>is</w:t>
      </w:r>
      <w:proofErr w:type="spellEnd"/>
      <w:r w:rsidRPr="0027072F">
        <w:t xml:space="preserve"> </w:t>
      </w:r>
      <w:proofErr w:type="spellStart"/>
      <w:r w:rsidRPr="0027072F">
        <w:t>hoped</w:t>
      </w:r>
      <w:proofErr w:type="spellEnd"/>
      <w:r w:rsidRPr="0027072F">
        <w:t xml:space="preserve"> </w:t>
      </w:r>
      <w:proofErr w:type="spellStart"/>
      <w:r w:rsidRPr="0027072F">
        <w:t>that</w:t>
      </w:r>
      <w:proofErr w:type="spellEnd"/>
      <w:r w:rsidRPr="0027072F">
        <w:t xml:space="preserve"> </w:t>
      </w:r>
      <w:proofErr w:type="spellStart"/>
      <w:r w:rsidRPr="0027072F">
        <w:t>the</w:t>
      </w:r>
      <w:proofErr w:type="spellEnd"/>
      <w:r w:rsidRPr="0027072F">
        <w:t xml:space="preserve"> </w:t>
      </w:r>
      <w:proofErr w:type="spellStart"/>
      <w:r w:rsidRPr="0027072F">
        <w:t>allocation</w:t>
      </w:r>
      <w:proofErr w:type="spellEnd"/>
      <w:r w:rsidRPr="0027072F">
        <w:t xml:space="preserve"> </w:t>
      </w:r>
      <w:proofErr w:type="spellStart"/>
      <w:r w:rsidRPr="0027072F">
        <w:t>of</w:t>
      </w:r>
      <w:proofErr w:type="spellEnd"/>
      <w:r w:rsidRPr="0027072F">
        <w:t xml:space="preserve"> </w:t>
      </w:r>
      <w:proofErr w:type="spellStart"/>
      <w:r w:rsidRPr="0027072F">
        <w:t>balancing</w:t>
      </w:r>
      <w:proofErr w:type="spellEnd"/>
      <w:r w:rsidRPr="0027072F">
        <w:t xml:space="preserve"> </w:t>
      </w:r>
      <w:proofErr w:type="spellStart"/>
      <w:r w:rsidRPr="0027072F">
        <w:t>fund</w:t>
      </w:r>
      <w:proofErr w:type="spellEnd"/>
      <w:r w:rsidRPr="0027072F">
        <w:t xml:space="preserve"> </w:t>
      </w:r>
      <w:proofErr w:type="spellStart"/>
      <w:r w:rsidRPr="0027072F">
        <w:t>transfers</w:t>
      </w:r>
      <w:proofErr w:type="spellEnd"/>
      <w:r w:rsidRPr="0027072F">
        <w:t xml:space="preserve"> </w:t>
      </w:r>
      <w:proofErr w:type="spellStart"/>
      <w:r w:rsidRPr="0027072F">
        <w:t>from</w:t>
      </w:r>
      <w:proofErr w:type="spellEnd"/>
      <w:r w:rsidRPr="0027072F">
        <w:t xml:space="preserve"> </w:t>
      </w:r>
      <w:proofErr w:type="spellStart"/>
      <w:r w:rsidRPr="0027072F">
        <w:t>the</w:t>
      </w:r>
      <w:proofErr w:type="spellEnd"/>
      <w:r w:rsidRPr="0027072F">
        <w:t xml:space="preserve"> </w:t>
      </w:r>
      <w:proofErr w:type="spellStart"/>
      <w:r w:rsidRPr="0027072F">
        <w:t>budgeted</w:t>
      </w:r>
      <w:proofErr w:type="spellEnd"/>
      <w:r w:rsidRPr="0027072F">
        <w:t xml:space="preserve"> </w:t>
      </w:r>
      <w:proofErr w:type="spellStart"/>
      <w:r w:rsidRPr="0027072F">
        <w:t>government</w:t>
      </w:r>
      <w:proofErr w:type="spellEnd"/>
      <w:r w:rsidRPr="0027072F">
        <w:t xml:space="preserve"> </w:t>
      </w:r>
      <w:proofErr w:type="spellStart"/>
      <w:r w:rsidRPr="0027072F">
        <w:t>revenues</w:t>
      </w:r>
      <w:proofErr w:type="spellEnd"/>
      <w:r w:rsidRPr="0027072F">
        <w:t xml:space="preserve"> </w:t>
      </w:r>
      <w:proofErr w:type="spellStart"/>
      <w:r w:rsidRPr="0027072F">
        <w:t>and</w:t>
      </w:r>
      <w:proofErr w:type="spellEnd"/>
      <w:r w:rsidRPr="0027072F">
        <w:t xml:space="preserve"> </w:t>
      </w:r>
      <w:proofErr w:type="spellStart"/>
      <w:r w:rsidRPr="0027072F">
        <w:t>expenditures</w:t>
      </w:r>
      <w:proofErr w:type="spellEnd"/>
      <w:r w:rsidRPr="0027072F">
        <w:t xml:space="preserve"> </w:t>
      </w:r>
      <w:r w:rsidRPr="0027072F">
        <w:rPr>
          <w:lang w:val="en-US"/>
        </w:rPr>
        <w:t>(</w:t>
      </w:r>
      <w:r w:rsidRPr="0027072F">
        <w:t>APBN</w:t>
      </w:r>
      <w:r w:rsidRPr="0027072F">
        <w:rPr>
          <w:lang w:val="en-US"/>
        </w:rPr>
        <w:t>)</w:t>
      </w:r>
      <w:r w:rsidRPr="0027072F">
        <w:t xml:space="preserve"> </w:t>
      </w:r>
      <w:proofErr w:type="spellStart"/>
      <w:r w:rsidRPr="0027072F">
        <w:t>can</w:t>
      </w:r>
      <w:proofErr w:type="spellEnd"/>
      <w:r w:rsidRPr="0027072F">
        <w:t xml:space="preserve"> </w:t>
      </w:r>
      <w:proofErr w:type="spellStart"/>
      <w:r w:rsidRPr="0027072F">
        <w:t>increase</w:t>
      </w:r>
      <w:proofErr w:type="spellEnd"/>
      <w:r w:rsidRPr="0027072F">
        <w:t xml:space="preserve"> regional </w:t>
      </w:r>
      <w:proofErr w:type="spellStart"/>
      <w:r w:rsidRPr="0027072F">
        <w:t>economic</w:t>
      </w:r>
      <w:proofErr w:type="spellEnd"/>
      <w:r w:rsidRPr="0027072F">
        <w:t xml:space="preserve"> </w:t>
      </w:r>
      <w:proofErr w:type="spellStart"/>
      <w:r w:rsidRPr="0027072F">
        <w:t>growth</w:t>
      </w:r>
      <w:proofErr w:type="spellEnd"/>
      <w:r w:rsidRPr="0027072F">
        <w:t xml:space="preserve"> </w:t>
      </w:r>
      <w:proofErr w:type="spellStart"/>
      <w:r w:rsidRPr="0027072F">
        <w:t>and</w:t>
      </w:r>
      <w:proofErr w:type="spellEnd"/>
      <w:r w:rsidRPr="0027072F">
        <w:t xml:space="preserve"> </w:t>
      </w:r>
      <w:proofErr w:type="spellStart"/>
      <w:r w:rsidRPr="0027072F">
        <w:t>reduce</w:t>
      </w:r>
      <w:proofErr w:type="spellEnd"/>
      <w:r w:rsidRPr="0027072F">
        <w:t xml:space="preserve"> </w:t>
      </w:r>
      <w:proofErr w:type="spellStart"/>
      <w:r w:rsidRPr="0027072F">
        <w:t>the</w:t>
      </w:r>
      <w:proofErr w:type="spellEnd"/>
      <w:r w:rsidRPr="0027072F">
        <w:t xml:space="preserve"> </w:t>
      </w:r>
      <w:proofErr w:type="spellStart"/>
      <w:r w:rsidRPr="0027072F">
        <w:t>fiscal</w:t>
      </w:r>
      <w:proofErr w:type="spellEnd"/>
      <w:r w:rsidRPr="0027072F">
        <w:t xml:space="preserve"> gap </w:t>
      </w:r>
      <w:proofErr w:type="spellStart"/>
      <w:r w:rsidRPr="0027072F">
        <w:t>between</w:t>
      </w:r>
      <w:proofErr w:type="spellEnd"/>
      <w:r w:rsidRPr="0027072F">
        <w:t xml:space="preserve"> </w:t>
      </w:r>
      <w:proofErr w:type="spellStart"/>
      <w:r w:rsidRPr="0027072F">
        <w:t>regions</w:t>
      </w:r>
      <w:proofErr w:type="spellEnd"/>
      <w:r w:rsidRPr="0027072F">
        <w:t xml:space="preserve">. </w:t>
      </w:r>
      <w:proofErr w:type="spellStart"/>
      <w:r w:rsidRPr="0027072F">
        <w:t>However</w:t>
      </w:r>
      <w:proofErr w:type="spellEnd"/>
      <w:r w:rsidRPr="0027072F">
        <w:t xml:space="preserve">, </w:t>
      </w:r>
      <w:proofErr w:type="spellStart"/>
      <w:r w:rsidRPr="0027072F">
        <w:t>the</w:t>
      </w:r>
      <w:proofErr w:type="spellEnd"/>
      <w:r w:rsidRPr="0027072F">
        <w:t xml:space="preserve"> </w:t>
      </w:r>
      <w:proofErr w:type="spellStart"/>
      <w:r w:rsidRPr="0027072F">
        <w:t>provision</w:t>
      </w:r>
      <w:proofErr w:type="spellEnd"/>
      <w:r w:rsidRPr="0027072F">
        <w:t xml:space="preserve"> </w:t>
      </w:r>
      <w:proofErr w:type="spellStart"/>
      <w:r w:rsidRPr="0027072F">
        <w:t>of</w:t>
      </w:r>
      <w:proofErr w:type="spellEnd"/>
      <w:r w:rsidRPr="0027072F">
        <w:t xml:space="preserve"> </w:t>
      </w:r>
      <w:proofErr w:type="spellStart"/>
      <w:r w:rsidRPr="0027072F">
        <w:t>these</w:t>
      </w:r>
      <w:proofErr w:type="spellEnd"/>
      <w:r w:rsidRPr="0027072F">
        <w:t xml:space="preserve"> </w:t>
      </w:r>
      <w:proofErr w:type="spellStart"/>
      <w:r w:rsidRPr="0027072F">
        <w:t>funds</w:t>
      </w:r>
      <w:proofErr w:type="spellEnd"/>
      <w:r w:rsidRPr="0027072F">
        <w:t xml:space="preserve"> </w:t>
      </w:r>
      <w:proofErr w:type="spellStart"/>
      <w:r w:rsidRPr="0027072F">
        <w:t>raises</w:t>
      </w:r>
      <w:proofErr w:type="spellEnd"/>
      <w:r w:rsidRPr="0027072F">
        <w:t xml:space="preserve"> a problem </w:t>
      </w:r>
      <w:proofErr w:type="spellStart"/>
      <w:r w:rsidRPr="0027072F">
        <w:t>where</w:t>
      </w:r>
      <w:proofErr w:type="spellEnd"/>
      <w:r w:rsidRPr="0027072F">
        <w:t xml:space="preserve"> </w:t>
      </w:r>
      <w:proofErr w:type="spellStart"/>
      <w:r w:rsidRPr="0027072F">
        <w:t>local</w:t>
      </w:r>
      <w:proofErr w:type="spellEnd"/>
      <w:r w:rsidRPr="0027072F">
        <w:t xml:space="preserve"> </w:t>
      </w:r>
      <w:proofErr w:type="spellStart"/>
      <w:r w:rsidRPr="0027072F">
        <w:t>governments</w:t>
      </w:r>
      <w:proofErr w:type="spellEnd"/>
      <w:r w:rsidRPr="0027072F">
        <w:t xml:space="preserve"> are </w:t>
      </w:r>
      <w:proofErr w:type="spellStart"/>
      <w:r w:rsidRPr="0027072F">
        <w:t>too</w:t>
      </w:r>
      <w:proofErr w:type="spellEnd"/>
      <w:r w:rsidRPr="0027072F">
        <w:t xml:space="preserve"> </w:t>
      </w:r>
      <w:proofErr w:type="spellStart"/>
      <w:r w:rsidRPr="0027072F">
        <w:t>dependent</w:t>
      </w:r>
      <w:proofErr w:type="spellEnd"/>
      <w:r w:rsidRPr="0027072F">
        <w:t xml:space="preserve"> </w:t>
      </w:r>
      <w:proofErr w:type="spellStart"/>
      <w:r w:rsidRPr="0027072F">
        <w:t>on</w:t>
      </w:r>
      <w:proofErr w:type="spellEnd"/>
      <w:r w:rsidRPr="0027072F">
        <w:t xml:space="preserve"> </w:t>
      </w:r>
      <w:r w:rsidRPr="0027072F">
        <w:rPr>
          <w:lang w:val="en-US"/>
        </w:rPr>
        <w:t>balanced budget</w:t>
      </w:r>
      <w:r w:rsidRPr="0027072F">
        <w:t xml:space="preserve"> </w:t>
      </w:r>
      <w:proofErr w:type="spellStart"/>
      <w:r w:rsidRPr="0027072F">
        <w:t>from</w:t>
      </w:r>
      <w:proofErr w:type="spellEnd"/>
      <w:r w:rsidRPr="0027072F">
        <w:t xml:space="preserve"> </w:t>
      </w:r>
      <w:proofErr w:type="spellStart"/>
      <w:r w:rsidRPr="0027072F">
        <w:t>the</w:t>
      </w:r>
      <w:proofErr w:type="spellEnd"/>
      <w:r w:rsidRPr="0027072F">
        <w:t xml:space="preserve"> </w:t>
      </w:r>
      <w:proofErr w:type="spellStart"/>
      <w:r w:rsidRPr="0027072F">
        <w:t>central</w:t>
      </w:r>
      <w:proofErr w:type="spellEnd"/>
      <w:r w:rsidRPr="0027072F">
        <w:t xml:space="preserve"> </w:t>
      </w:r>
      <w:proofErr w:type="spellStart"/>
      <w:r w:rsidRPr="0027072F">
        <w:t>government</w:t>
      </w:r>
      <w:proofErr w:type="spellEnd"/>
      <w:r w:rsidRPr="0027072F">
        <w:t xml:space="preserve"> in </w:t>
      </w:r>
      <w:proofErr w:type="spellStart"/>
      <w:r w:rsidRPr="0027072F">
        <w:t>financing</w:t>
      </w:r>
      <w:proofErr w:type="spellEnd"/>
      <w:r w:rsidRPr="0027072F">
        <w:t xml:space="preserve"> </w:t>
      </w:r>
      <w:r w:rsidRPr="0027072F">
        <w:rPr>
          <w:color w:val="222222"/>
          <w:lang w:val="en"/>
        </w:rPr>
        <w:t xml:space="preserve">local government expenditure </w:t>
      </w:r>
      <w:proofErr w:type="spellStart"/>
      <w:r w:rsidRPr="0027072F">
        <w:t>compared</w:t>
      </w:r>
      <w:proofErr w:type="spellEnd"/>
      <w:r w:rsidRPr="0027072F">
        <w:t xml:space="preserve"> </w:t>
      </w:r>
      <w:proofErr w:type="spellStart"/>
      <w:r w:rsidRPr="0027072F">
        <w:t>to</w:t>
      </w:r>
      <w:proofErr w:type="spellEnd"/>
      <w:r w:rsidRPr="0027072F">
        <w:t xml:space="preserve"> </w:t>
      </w:r>
      <w:proofErr w:type="spellStart"/>
      <w:r w:rsidRPr="0027072F">
        <w:t>optimizing</w:t>
      </w:r>
      <w:proofErr w:type="spellEnd"/>
      <w:r w:rsidRPr="0027072F">
        <w:t xml:space="preserve"> </w:t>
      </w:r>
      <w:proofErr w:type="spellStart"/>
      <w:r w:rsidRPr="0027072F">
        <w:t>their</w:t>
      </w:r>
      <w:proofErr w:type="spellEnd"/>
      <w:r w:rsidRPr="0027072F">
        <w:t xml:space="preserve"> </w:t>
      </w:r>
      <w:proofErr w:type="spellStart"/>
      <w:r w:rsidRPr="0027072F">
        <w:t>original</w:t>
      </w:r>
      <w:proofErr w:type="spellEnd"/>
      <w:r w:rsidRPr="0027072F">
        <w:t xml:space="preserve"> </w:t>
      </w:r>
      <w:proofErr w:type="spellStart"/>
      <w:r w:rsidRPr="0027072F">
        <w:t>local</w:t>
      </w:r>
      <w:proofErr w:type="spellEnd"/>
      <w:r w:rsidRPr="0027072F">
        <w:t xml:space="preserve"> </w:t>
      </w:r>
      <w:proofErr w:type="spellStart"/>
      <w:r w:rsidRPr="0027072F">
        <w:t>government</w:t>
      </w:r>
      <w:proofErr w:type="spellEnd"/>
      <w:r w:rsidRPr="0027072F">
        <w:t xml:space="preserve"> </w:t>
      </w:r>
      <w:proofErr w:type="spellStart"/>
      <w:r w:rsidRPr="0027072F">
        <w:t>revenue</w:t>
      </w:r>
      <w:proofErr w:type="spellEnd"/>
      <w:r w:rsidRPr="0027072F">
        <w:rPr>
          <w:lang w:val="en-US"/>
        </w:rPr>
        <w:t xml:space="preserve">. </w:t>
      </w:r>
      <w:proofErr w:type="spellStart"/>
      <w:r w:rsidRPr="0027072F">
        <w:t>This</w:t>
      </w:r>
      <w:proofErr w:type="spellEnd"/>
      <w:r w:rsidRPr="0027072F">
        <w:t xml:space="preserve"> </w:t>
      </w:r>
      <w:proofErr w:type="spellStart"/>
      <w:r w:rsidRPr="0027072F">
        <w:t>dependence</w:t>
      </w:r>
      <w:proofErr w:type="spellEnd"/>
      <w:r w:rsidRPr="0027072F">
        <w:t xml:space="preserve"> </w:t>
      </w:r>
      <w:proofErr w:type="spellStart"/>
      <w:r w:rsidRPr="0027072F">
        <w:t>gives</w:t>
      </w:r>
      <w:proofErr w:type="spellEnd"/>
      <w:r w:rsidRPr="0027072F">
        <w:t xml:space="preserve"> </w:t>
      </w:r>
      <w:proofErr w:type="spellStart"/>
      <w:r w:rsidRPr="0027072F">
        <w:t>rise</w:t>
      </w:r>
      <w:proofErr w:type="spellEnd"/>
      <w:r w:rsidRPr="0027072F">
        <w:t xml:space="preserve"> </w:t>
      </w:r>
      <w:proofErr w:type="spellStart"/>
      <w:r w:rsidRPr="0027072F">
        <w:t>to</w:t>
      </w:r>
      <w:proofErr w:type="spellEnd"/>
      <w:r w:rsidRPr="0027072F">
        <w:t xml:space="preserve"> </w:t>
      </w:r>
      <w:proofErr w:type="spellStart"/>
      <w:r w:rsidRPr="0027072F">
        <w:t>the</w:t>
      </w:r>
      <w:proofErr w:type="spellEnd"/>
      <w:r w:rsidRPr="0027072F">
        <w:t xml:space="preserve"> </w:t>
      </w:r>
      <w:proofErr w:type="spellStart"/>
      <w:r w:rsidRPr="0027072F">
        <w:t>flypaper</w:t>
      </w:r>
      <w:proofErr w:type="spellEnd"/>
      <w:r w:rsidRPr="0027072F">
        <w:t xml:space="preserve"> </w:t>
      </w:r>
      <w:proofErr w:type="spellStart"/>
      <w:r w:rsidRPr="0027072F">
        <w:t>effect</w:t>
      </w:r>
      <w:proofErr w:type="spellEnd"/>
      <w:r w:rsidRPr="0027072F">
        <w:t xml:space="preserve"> </w:t>
      </w:r>
      <w:proofErr w:type="spellStart"/>
      <w:r w:rsidRPr="0027072F">
        <w:t>phenomenon</w:t>
      </w:r>
      <w:proofErr w:type="spellEnd"/>
      <w:r w:rsidRPr="0027072F">
        <w:t xml:space="preserve">, </w:t>
      </w:r>
      <w:proofErr w:type="spellStart"/>
      <w:r w:rsidRPr="0027072F">
        <w:t>which</w:t>
      </w:r>
      <w:proofErr w:type="spellEnd"/>
      <w:r w:rsidRPr="0027072F">
        <w:t xml:space="preserve"> </w:t>
      </w:r>
      <w:proofErr w:type="spellStart"/>
      <w:r w:rsidRPr="0027072F">
        <w:t>is</w:t>
      </w:r>
      <w:proofErr w:type="spellEnd"/>
      <w:r w:rsidRPr="0027072F">
        <w:t xml:space="preserve"> a </w:t>
      </w:r>
      <w:proofErr w:type="spellStart"/>
      <w:r w:rsidRPr="0027072F">
        <w:t>condition</w:t>
      </w:r>
      <w:proofErr w:type="spellEnd"/>
      <w:r w:rsidRPr="0027072F">
        <w:t xml:space="preserve"> in regional </w:t>
      </w:r>
      <w:proofErr w:type="spellStart"/>
      <w:r w:rsidRPr="0027072F">
        <w:t>spending</w:t>
      </w:r>
      <w:proofErr w:type="spellEnd"/>
      <w:r w:rsidRPr="0027072F">
        <w:t xml:space="preserve"> in </w:t>
      </w:r>
      <w:proofErr w:type="spellStart"/>
      <w:r w:rsidRPr="0027072F">
        <w:t>which</w:t>
      </w:r>
      <w:proofErr w:type="spellEnd"/>
      <w:r w:rsidRPr="0027072F">
        <w:t xml:space="preserve"> </w:t>
      </w:r>
      <w:proofErr w:type="spellStart"/>
      <w:r w:rsidRPr="0027072F">
        <w:t>local</w:t>
      </w:r>
      <w:proofErr w:type="spellEnd"/>
      <w:r w:rsidRPr="0027072F">
        <w:t xml:space="preserve"> </w:t>
      </w:r>
      <w:proofErr w:type="spellStart"/>
      <w:r w:rsidRPr="0027072F">
        <w:t>governments</w:t>
      </w:r>
      <w:proofErr w:type="spellEnd"/>
      <w:r w:rsidRPr="0027072F">
        <w:t xml:space="preserve"> </w:t>
      </w:r>
      <w:proofErr w:type="spellStart"/>
      <w:r w:rsidRPr="0027072F">
        <w:t>give</w:t>
      </w:r>
      <w:proofErr w:type="spellEnd"/>
      <w:r w:rsidRPr="0027072F">
        <w:t xml:space="preserve"> a </w:t>
      </w:r>
      <w:proofErr w:type="spellStart"/>
      <w:r w:rsidRPr="0027072F">
        <w:t>more</w:t>
      </w:r>
      <w:proofErr w:type="spellEnd"/>
      <w:r w:rsidRPr="0027072F">
        <w:t xml:space="preserve"> </w:t>
      </w:r>
      <w:proofErr w:type="spellStart"/>
      <w:r w:rsidRPr="0027072F">
        <w:t>significant</w:t>
      </w:r>
      <w:proofErr w:type="spellEnd"/>
      <w:r w:rsidRPr="0027072F">
        <w:t xml:space="preserve"> </w:t>
      </w:r>
      <w:proofErr w:type="spellStart"/>
      <w:r w:rsidRPr="0027072F">
        <w:t>response</w:t>
      </w:r>
      <w:proofErr w:type="spellEnd"/>
      <w:r w:rsidRPr="0027072F">
        <w:t xml:space="preserve"> </w:t>
      </w:r>
      <w:proofErr w:type="spellStart"/>
      <w:r w:rsidRPr="0027072F">
        <w:t>to</w:t>
      </w:r>
      <w:proofErr w:type="spellEnd"/>
      <w:r w:rsidRPr="0027072F">
        <w:t xml:space="preserve"> transfer </w:t>
      </w:r>
      <w:proofErr w:type="spellStart"/>
      <w:r w:rsidRPr="0027072F">
        <w:t>funds</w:t>
      </w:r>
      <w:proofErr w:type="spellEnd"/>
      <w:r w:rsidRPr="0027072F">
        <w:t xml:space="preserve"> </w:t>
      </w:r>
      <w:proofErr w:type="spellStart"/>
      <w:r w:rsidRPr="0027072F">
        <w:t>than</w:t>
      </w:r>
      <w:proofErr w:type="spellEnd"/>
      <w:r w:rsidRPr="0027072F">
        <w:t xml:space="preserve"> </w:t>
      </w:r>
      <w:proofErr w:type="spellStart"/>
      <w:r w:rsidRPr="0027072F">
        <w:t>their</w:t>
      </w:r>
      <w:proofErr w:type="spellEnd"/>
      <w:r w:rsidRPr="0027072F">
        <w:t xml:space="preserve"> </w:t>
      </w:r>
      <w:proofErr w:type="spellStart"/>
      <w:r w:rsidRPr="0027072F">
        <w:t>original</w:t>
      </w:r>
      <w:proofErr w:type="spellEnd"/>
      <w:r w:rsidRPr="0027072F">
        <w:t xml:space="preserve"> </w:t>
      </w:r>
      <w:proofErr w:type="spellStart"/>
      <w:r w:rsidRPr="0027072F">
        <w:t>local</w:t>
      </w:r>
      <w:proofErr w:type="spellEnd"/>
      <w:r w:rsidRPr="0027072F">
        <w:t xml:space="preserve"> </w:t>
      </w:r>
      <w:proofErr w:type="spellStart"/>
      <w:r w:rsidRPr="0027072F">
        <w:t>government</w:t>
      </w:r>
      <w:proofErr w:type="spellEnd"/>
      <w:r w:rsidRPr="0027072F">
        <w:t xml:space="preserve"> </w:t>
      </w:r>
      <w:proofErr w:type="spellStart"/>
      <w:r w:rsidRPr="0027072F">
        <w:t>revenue</w:t>
      </w:r>
      <w:proofErr w:type="spellEnd"/>
      <w:r w:rsidRPr="0027072F">
        <w:rPr>
          <w:lang w:val="en-US"/>
        </w:rPr>
        <w:t>.</w:t>
      </w:r>
    </w:p>
    <w:p w:rsidR="0027072F" w:rsidRDefault="0027072F" w:rsidP="00F11C26">
      <w:pPr>
        <w:pStyle w:val="DaftarParagraf"/>
        <w:adjustRightInd w:val="0"/>
        <w:snapToGrid w:val="0"/>
        <w:spacing w:after="0" w:line="240" w:lineRule="auto"/>
        <w:ind w:left="0" w:firstLine="709"/>
        <w:jc w:val="both"/>
        <w:rPr>
          <w:rFonts w:ascii="Times New Roman" w:hAnsi="Times New Roman" w:cs="Times New Roman"/>
          <w:i w:val="0"/>
          <w:iCs w:val="0"/>
          <w:sz w:val="24"/>
          <w:szCs w:val="24"/>
        </w:rPr>
      </w:pPr>
      <w:r w:rsidRPr="0027072F">
        <w:rPr>
          <w:rFonts w:ascii="Times New Roman" w:hAnsi="Times New Roman" w:cs="Times New Roman"/>
          <w:i w:val="0"/>
          <w:iCs w:val="0"/>
          <w:sz w:val="24"/>
          <w:szCs w:val="24"/>
        </w:rPr>
        <w:t xml:space="preserve">The current reality is the low contribution of original local government revenue to total regional revenue. </w:t>
      </w:r>
      <w:proofErr w:type="gramStart"/>
      <w:r w:rsidRPr="0027072F">
        <w:rPr>
          <w:rFonts w:ascii="Times New Roman" w:hAnsi="Times New Roman" w:cs="Times New Roman"/>
          <w:i w:val="0"/>
          <w:iCs w:val="0"/>
          <w:sz w:val="24"/>
          <w:szCs w:val="24"/>
        </w:rPr>
        <w:t>Likewise</w:t>
      </w:r>
      <w:proofErr w:type="gramEnd"/>
      <w:r w:rsidRPr="0027072F">
        <w:rPr>
          <w:rFonts w:ascii="Times New Roman" w:hAnsi="Times New Roman" w:cs="Times New Roman"/>
          <w:i w:val="0"/>
          <w:iCs w:val="0"/>
          <w:sz w:val="24"/>
          <w:szCs w:val="24"/>
        </w:rPr>
        <w:t xml:space="preserve"> with conditions that occur in the Regency/City of West Kalimantan Province as presented </w:t>
      </w:r>
      <w:r w:rsidR="00BA297F">
        <w:rPr>
          <w:rFonts w:ascii="Times New Roman" w:hAnsi="Times New Roman" w:cs="Times New Roman"/>
          <w:i w:val="0"/>
          <w:iCs w:val="0"/>
          <w:sz w:val="24"/>
          <w:szCs w:val="24"/>
        </w:rPr>
        <w:t>are as follows</w:t>
      </w:r>
      <w:r w:rsidRPr="0027072F">
        <w:rPr>
          <w:rFonts w:ascii="Times New Roman" w:hAnsi="Times New Roman" w:cs="Times New Roman"/>
          <w:i w:val="0"/>
          <w:iCs w:val="0"/>
          <w:sz w:val="24"/>
          <w:szCs w:val="24"/>
        </w:rPr>
        <w:t>:</w:t>
      </w:r>
    </w:p>
    <w:p w:rsidR="0027072F" w:rsidRDefault="0027072F" w:rsidP="00F11C26">
      <w:pPr>
        <w:pStyle w:val="DaftarParagraf"/>
        <w:adjustRightInd w:val="0"/>
        <w:snapToGrid w:val="0"/>
        <w:spacing w:after="0" w:line="240" w:lineRule="auto"/>
        <w:ind w:left="0"/>
        <w:jc w:val="both"/>
        <w:rPr>
          <w:rFonts w:ascii="Times New Roman" w:hAnsi="Times New Roman" w:cs="Times New Roman"/>
          <w:i w:val="0"/>
          <w:iCs w:val="0"/>
          <w:sz w:val="24"/>
          <w:szCs w:val="24"/>
        </w:rPr>
      </w:pPr>
    </w:p>
    <w:p w:rsidR="0027072F" w:rsidRDefault="0027072F" w:rsidP="00F11C26">
      <w:pPr>
        <w:pStyle w:val="DaftarParagraf"/>
        <w:adjustRightInd w:val="0"/>
        <w:snapToGrid w:val="0"/>
        <w:spacing w:after="0" w:line="240" w:lineRule="auto"/>
        <w:ind w:left="0"/>
        <w:jc w:val="both"/>
        <w:rPr>
          <w:rFonts w:ascii="Times New Roman" w:hAnsi="Times New Roman" w:cs="Times New Roman"/>
          <w:i w:val="0"/>
          <w:iCs w:val="0"/>
          <w:sz w:val="24"/>
          <w:szCs w:val="24"/>
        </w:rPr>
      </w:pPr>
    </w:p>
    <w:p w:rsidR="0027072F" w:rsidRDefault="0027072F" w:rsidP="00F11C26">
      <w:pPr>
        <w:pStyle w:val="DaftarParagraf"/>
        <w:adjustRightInd w:val="0"/>
        <w:snapToGrid w:val="0"/>
        <w:spacing w:after="0" w:line="240" w:lineRule="auto"/>
        <w:ind w:left="0"/>
        <w:jc w:val="both"/>
        <w:rPr>
          <w:rFonts w:ascii="Times New Roman" w:hAnsi="Times New Roman" w:cs="Times New Roman"/>
          <w:i w:val="0"/>
          <w:iCs w:val="0"/>
          <w:sz w:val="24"/>
          <w:szCs w:val="24"/>
        </w:rPr>
      </w:pPr>
    </w:p>
    <w:p w:rsidR="0027072F" w:rsidRDefault="0027072F" w:rsidP="0027072F">
      <w:pPr>
        <w:pStyle w:val="DaftarParagraf"/>
        <w:adjustRightInd w:val="0"/>
        <w:snapToGrid w:val="0"/>
        <w:spacing w:after="120" w:line="240" w:lineRule="auto"/>
        <w:ind w:left="0"/>
        <w:jc w:val="both"/>
        <w:rPr>
          <w:rFonts w:ascii="Times New Roman" w:hAnsi="Times New Roman" w:cs="Times New Roman"/>
          <w:i w:val="0"/>
          <w:iCs w:val="0"/>
          <w:sz w:val="24"/>
          <w:szCs w:val="24"/>
        </w:rPr>
      </w:pPr>
    </w:p>
    <w:p w:rsidR="009044BB" w:rsidRDefault="009044BB" w:rsidP="0027072F">
      <w:pPr>
        <w:pStyle w:val="DaftarParagraf"/>
        <w:adjustRightInd w:val="0"/>
        <w:snapToGrid w:val="0"/>
        <w:spacing w:after="120" w:line="240" w:lineRule="auto"/>
        <w:ind w:left="0"/>
        <w:jc w:val="both"/>
        <w:rPr>
          <w:rFonts w:ascii="Times New Roman" w:hAnsi="Times New Roman" w:cs="Times New Roman"/>
          <w:i w:val="0"/>
          <w:iCs w:val="0"/>
          <w:sz w:val="24"/>
          <w:szCs w:val="24"/>
        </w:rPr>
      </w:pPr>
    </w:p>
    <w:p w:rsidR="009044BB" w:rsidRDefault="009044BB" w:rsidP="0027072F">
      <w:pPr>
        <w:pStyle w:val="DaftarParagraf"/>
        <w:adjustRightInd w:val="0"/>
        <w:snapToGrid w:val="0"/>
        <w:spacing w:after="120" w:line="240" w:lineRule="auto"/>
        <w:ind w:left="0"/>
        <w:jc w:val="both"/>
        <w:rPr>
          <w:rFonts w:ascii="Times New Roman" w:hAnsi="Times New Roman" w:cs="Times New Roman"/>
          <w:i w:val="0"/>
          <w:iCs w:val="0"/>
          <w:sz w:val="24"/>
          <w:szCs w:val="24"/>
        </w:rPr>
      </w:pPr>
    </w:p>
    <w:p w:rsidR="00F11C26" w:rsidRPr="0027072F" w:rsidRDefault="00F11C26" w:rsidP="0027072F">
      <w:pPr>
        <w:pStyle w:val="DaftarParagraf"/>
        <w:adjustRightInd w:val="0"/>
        <w:snapToGrid w:val="0"/>
        <w:spacing w:after="120" w:line="240" w:lineRule="auto"/>
        <w:ind w:left="0"/>
        <w:jc w:val="both"/>
        <w:rPr>
          <w:rFonts w:ascii="Times New Roman" w:hAnsi="Times New Roman" w:cs="Times New Roman"/>
          <w:i w:val="0"/>
          <w:iCs w:val="0"/>
          <w:sz w:val="24"/>
          <w:szCs w:val="24"/>
        </w:rPr>
      </w:pPr>
    </w:p>
    <w:p w:rsidR="0027072F" w:rsidRPr="0027072F" w:rsidRDefault="0027072F" w:rsidP="00804BA7">
      <w:pPr>
        <w:pStyle w:val="DaftarParagraf"/>
        <w:spacing w:after="0" w:line="240" w:lineRule="auto"/>
        <w:ind w:left="0" w:firstLine="720"/>
        <w:jc w:val="center"/>
        <w:rPr>
          <w:rFonts w:ascii="Times New Roman" w:hAnsi="Times New Roman" w:cs="Times New Roman"/>
          <w:b/>
          <w:bCs/>
          <w:i w:val="0"/>
          <w:iCs w:val="0"/>
          <w:sz w:val="24"/>
          <w:szCs w:val="24"/>
        </w:rPr>
      </w:pPr>
      <w:r w:rsidRPr="0027072F">
        <w:rPr>
          <w:rFonts w:ascii="Times New Roman" w:hAnsi="Times New Roman" w:cs="Times New Roman"/>
          <w:b/>
          <w:bCs/>
          <w:i w:val="0"/>
          <w:iCs w:val="0"/>
          <w:sz w:val="24"/>
          <w:szCs w:val="24"/>
        </w:rPr>
        <w:lastRenderedPageBreak/>
        <w:t xml:space="preserve">Table 1. PAD, DAK, DBH, and DAU in </w:t>
      </w:r>
    </w:p>
    <w:p w:rsidR="0027072F" w:rsidRDefault="0027072F" w:rsidP="00804BA7">
      <w:pPr>
        <w:pStyle w:val="DaftarParagraf"/>
        <w:spacing w:after="0" w:line="240" w:lineRule="auto"/>
        <w:ind w:left="0" w:firstLine="720"/>
        <w:jc w:val="center"/>
        <w:rPr>
          <w:rFonts w:ascii="Times New Roman" w:hAnsi="Times New Roman" w:cs="Times New Roman"/>
          <w:b/>
          <w:bCs/>
          <w:i w:val="0"/>
          <w:iCs w:val="0"/>
          <w:sz w:val="24"/>
          <w:szCs w:val="24"/>
        </w:rPr>
      </w:pPr>
      <w:r w:rsidRPr="0027072F">
        <w:rPr>
          <w:rFonts w:ascii="Times New Roman" w:hAnsi="Times New Roman" w:cs="Times New Roman"/>
          <w:b/>
          <w:bCs/>
          <w:i w:val="0"/>
          <w:iCs w:val="0"/>
          <w:sz w:val="24"/>
          <w:szCs w:val="24"/>
        </w:rPr>
        <w:t>Regency/City in West Kalimantan Province, 2013-2018</w:t>
      </w:r>
    </w:p>
    <w:p w:rsidR="00804BA7" w:rsidRPr="0027072F" w:rsidRDefault="00804BA7" w:rsidP="00804BA7">
      <w:pPr>
        <w:pStyle w:val="DaftarParagraf"/>
        <w:spacing w:after="0" w:line="240" w:lineRule="auto"/>
        <w:ind w:left="0" w:firstLine="720"/>
        <w:jc w:val="center"/>
        <w:rPr>
          <w:rFonts w:ascii="Times New Roman" w:hAnsi="Times New Roman" w:cs="Times New Roman"/>
          <w:b/>
          <w:bCs/>
          <w:i w:val="0"/>
          <w:iCs w:val="0"/>
          <w:sz w:val="24"/>
          <w:szCs w:val="24"/>
        </w:rPr>
      </w:pPr>
    </w:p>
    <w:tbl>
      <w:tblPr>
        <w:tblW w:w="8430" w:type="dxa"/>
        <w:jc w:val="center"/>
        <w:tblBorders>
          <w:top w:val="single" w:sz="4" w:space="0" w:color="auto"/>
          <w:bottom w:val="single" w:sz="4" w:space="0" w:color="auto"/>
        </w:tblBorders>
        <w:tblLook w:val="04A0" w:firstRow="1" w:lastRow="0" w:firstColumn="1" w:lastColumn="0" w:noHBand="0" w:noVBand="1"/>
      </w:tblPr>
      <w:tblGrid>
        <w:gridCol w:w="681"/>
        <w:gridCol w:w="1906"/>
        <w:gridCol w:w="2019"/>
        <w:gridCol w:w="2099"/>
        <w:gridCol w:w="1737"/>
      </w:tblGrid>
      <w:tr w:rsidR="0027072F" w:rsidRPr="00D31DFB" w:rsidTr="00F11C26">
        <w:trPr>
          <w:trHeight w:val="300"/>
          <w:jc w:val="center"/>
        </w:trPr>
        <w:tc>
          <w:tcPr>
            <w:tcW w:w="669" w:type="dxa"/>
            <w:tcBorders>
              <w:top w:val="single" w:sz="4" w:space="0" w:color="auto"/>
              <w:bottom w:val="single" w:sz="4" w:space="0" w:color="auto"/>
            </w:tcBorders>
            <w:shd w:val="clear" w:color="auto" w:fill="auto"/>
            <w:noWrap/>
            <w:vAlign w:val="bottom"/>
            <w:hideMark/>
          </w:tcPr>
          <w:p w:rsidR="0027072F" w:rsidRPr="00D31DFB" w:rsidRDefault="0027072F" w:rsidP="00F11C26">
            <w:pPr>
              <w:adjustRightInd w:val="0"/>
              <w:snapToGrid w:val="0"/>
              <w:jc w:val="center"/>
              <w:rPr>
                <w:b/>
                <w:bCs/>
                <w:color w:val="000000"/>
                <w:sz w:val="22"/>
                <w:szCs w:val="22"/>
              </w:rPr>
            </w:pPr>
            <w:r w:rsidRPr="00D31DFB">
              <w:rPr>
                <w:b/>
                <w:bCs/>
                <w:color w:val="000000"/>
                <w:sz w:val="22"/>
                <w:szCs w:val="22"/>
              </w:rPr>
              <w:t>Year</w:t>
            </w:r>
          </w:p>
        </w:tc>
        <w:tc>
          <w:tcPr>
            <w:tcW w:w="1906" w:type="dxa"/>
            <w:tcBorders>
              <w:top w:val="single" w:sz="4" w:space="0" w:color="auto"/>
              <w:bottom w:val="single" w:sz="4" w:space="0" w:color="auto"/>
            </w:tcBorders>
            <w:shd w:val="clear" w:color="auto" w:fill="auto"/>
            <w:noWrap/>
            <w:vAlign w:val="bottom"/>
            <w:hideMark/>
          </w:tcPr>
          <w:p w:rsidR="0027072F" w:rsidRPr="00D31DFB" w:rsidRDefault="0027072F" w:rsidP="00F11C26">
            <w:pPr>
              <w:adjustRightInd w:val="0"/>
              <w:snapToGrid w:val="0"/>
              <w:jc w:val="center"/>
              <w:rPr>
                <w:b/>
                <w:bCs/>
                <w:color w:val="000000"/>
                <w:sz w:val="22"/>
                <w:szCs w:val="22"/>
              </w:rPr>
            </w:pPr>
            <w:r w:rsidRPr="00D31DFB">
              <w:rPr>
                <w:b/>
                <w:bCs/>
                <w:color w:val="000000"/>
                <w:sz w:val="22"/>
                <w:szCs w:val="22"/>
              </w:rPr>
              <w:t>PAD</w:t>
            </w:r>
          </w:p>
        </w:tc>
        <w:tc>
          <w:tcPr>
            <w:tcW w:w="2019" w:type="dxa"/>
            <w:tcBorders>
              <w:top w:val="single" w:sz="4" w:space="0" w:color="auto"/>
              <w:bottom w:val="single" w:sz="4" w:space="0" w:color="auto"/>
            </w:tcBorders>
            <w:shd w:val="clear" w:color="auto" w:fill="auto"/>
            <w:noWrap/>
            <w:vAlign w:val="bottom"/>
            <w:hideMark/>
          </w:tcPr>
          <w:p w:rsidR="0027072F" w:rsidRPr="00D31DFB" w:rsidRDefault="0027072F" w:rsidP="00F11C26">
            <w:pPr>
              <w:adjustRightInd w:val="0"/>
              <w:snapToGrid w:val="0"/>
              <w:jc w:val="center"/>
              <w:rPr>
                <w:b/>
                <w:bCs/>
                <w:color w:val="000000"/>
                <w:sz w:val="22"/>
                <w:szCs w:val="22"/>
              </w:rPr>
            </w:pPr>
            <w:r w:rsidRPr="00D31DFB">
              <w:rPr>
                <w:b/>
                <w:bCs/>
                <w:color w:val="000000"/>
                <w:sz w:val="22"/>
                <w:szCs w:val="22"/>
              </w:rPr>
              <w:t>DAU</w:t>
            </w:r>
          </w:p>
        </w:tc>
        <w:tc>
          <w:tcPr>
            <w:tcW w:w="2099" w:type="dxa"/>
            <w:tcBorders>
              <w:top w:val="single" w:sz="4" w:space="0" w:color="auto"/>
              <w:bottom w:val="single" w:sz="4" w:space="0" w:color="auto"/>
            </w:tcBorders>
            <w:shd w:val="clear" w:color="auto" w:fill="auto"/>
            <w:noWrap/>
            <w:vAlign w:val="bottom"/>
            <w:hideMark/>
          </w:tcPr>
          <w:p w:rsidR="0027072F" w:rsidRPr="00D31DFB" w:rsidRDefault="0027072F" w:rsidP="00F11C26">
            <w:pPr>
              <w:adjustRightInd w:val="0"/>
              <w:snapToGrid w:val="0"/>
              <w:jc w:val="center"/>
              <w:rPr>
                <w:b/>
                <w:bCs/>
                <w:color w:val="000000"/>
                <w:sz w:val="22"/>
                <w:szCs w:val="22"/>
              </w:rPr>
            </w:pPr>
            <w:r w:rsidRPr="00D31DFB">
              <w:rPr>
                <w:b/>
                <w:bCs/>
                <w:color w:val="000000"/>
                <w:sz w:val="22"/>
                <w:szCs w:val="22"/>
              </w:rPr>
              <w:t>DAK</w:t>
            </w:r>
          </w:p>
        </w:tc>
        <w:tc>
          <w:tcPr>
            <w:tcW w:w="1737" w:type="dxa"/>
            <w:tcBorders>
              <w:top w:val="single" w:sz="4" w:space="0" w:color="auto"/>
              <w:bottom w:val="single" w:sz="4" w:space="0" w:color="auto"/>
            </w:tcBorders>
            <w:shd w:val="clear" w:color="auto" w:fill="auto"/>
            <w:noWrap/>
            <w:vAlign w:val="bottom"/>
            <w:hideMark/>
          </w:tcPr>
          <w:p w:rsidR="0027072F" w:rsidRPr="00D31DFB" w:rsidRDefault="0027072F" w:rsidP="00F11C26">
            <w:pPr>
              <w:adjustRightInd w:val="0"/>
              <w:snapToGrid w:val="0"/>
              <w:jc w:val="center"/>
              <w:rPr>
                <w:b/>
                <w:bCs/>
                <w:color w:val="000000"/>
                <w:sz w:val="22"/>
                <w:szCs w:val="22"/>
              </w:rPr>
            </w:pPr>
            <w:r w:rsidRPr="00D31DFB">
              <w:rPr>
                <w:b/>
                <w:bCs/>
                <w:color w:val="000000"/>
                <w:sz w:val="22"/>
                <w:szCs w:val="22"/>
              </w:rPr>
              <w:t xml:space="preserve">DBH </w:t>
            </w:r>
          </w:p>
        </w:tc>
      </w:tr>
      <w:tr w:rsidR="0027072F" w:rsidRPr="00D31DFB" w:rsidTr="00F11C26">
        <w:trPr>
          <w:trHeight w:val="300"/>
          <w:jc w:val="center"/>
        </w:trPr>
        <w:tc>
          <w:tcPr>
            <w:tcW w:w="669" w:type="dxa"/>
            <w:tcBorders>
              <w:top w:val="single" w:sz="4" w:space="0" w:color="auto"/>
            </w:tcBorders>
            <w:shd w:val="clear" w:color="auto" w:fill="auto"/>
            <w:noWrap/>
            <w:vAlign w:val="bottom"/>
            <w:hideMark/>
          </w:tcPr>
          <w:p w:rsidR="0027072F" w:rsidRPr="00D31DFB" w:rsidRDefault="0027072F" w:rsidP="00F11C26">
            <w:pPr>
              <w:adjustRightInd w:val="0"/>
              <w:snapToGrid w:val="0"/>
              <w:jc w:val="center"/>
              <w:rPr>
                <w:color w:val="000000"/>
                <w:sz w:val="22"/>
                <w:szCs w:val="22"/>
              </w:rPr>
            </w:pPr>
            <w:r w:rsidRPr="00D31DFB">
              <w:rPr>
                <w:color w:val="000000"/>
                <w:sz w:val="22"/>
                <w:szCs w:val="22"/>
              </w:rPr>
              <w:t>2013</w:t>
            </w:r>
          </w:p>
        </w:tc>
        <w:tc>
          <w:tcPr>
            <w:tcW w:w="1906" w:type="dxa"/>
            <w:tcBorders>
              <w:top w:val="single" w:sz="4" w:space="0" w:color="auto"/>
            </w:tcBorders>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881.621.587.520</w:t>
            </w:r>
          </w:p>
        </w:tc>
        <w:tc>
          <w:tcPr>
            <w:tcW w:w="2019" w:type="dxa"/>
            <w:tcBorders>
              <w:top w:val="single" w:sz="4" w:space="0" w:color="auto"/>
            </w:tcBorders>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8.162.096.541.000</w:t>
            </w:r>
          </w:p>
        </w:tc>
        <w:tc>
          <w:tcPr>
            <w:tcW w:w="2099" w:type="dxa"/>
            <w:tcBorders>
              <w:top w:val="single" w:sz="4" w:space="0" w:color="auto"/>
            </w:tcBorders>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1.155.999.941.000</w:t>
            </w:r>
          </w:p>
        </w:tc>
        <w:tc>
          <w:tcPr>
            <w:tcW w:w="1737" w:type="dxa"/>
            <w:tcBorders>
              <w:top w:val="single" w:sz="4" w:space="0" w:color="auto"/>
            </w:tcBorders>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686.536.192.448</w:t>
            </w:r>
          </w:p>
        </w:tc>
      </w:tr>
      <w:tr w:rsidR="0027072F" w:rsidRPr="00D31DFB" w:rsidTr="00F11C26">
        <w:trPr>
          <w:trHeight w:val="300"/>
          <w:jc w:val="center"/>
        </w:trPr>
        <w:tc>
          <w:tcPr>
            <w:tcW w:w="669" w:type="dxa"/>
            <w:shd w:val="clear" w:color="auto" w:fill="auto"/>
            <w:noWrap/>
            <w:vAlign w:val="bottom"/>
            <w:hideMark/>
          </w:tcPr>
          <w:p w:rsidR="0027072F" w:rsidRPr="00D31DFB" w:rsidRDefault="0027072F" w:rsidP="00F11C26">
            <w:pPr>
              <w:adjustRightInd w:val="0"/>
              <w:snapToGrid w:val="0"/>
              <w:jc w:val="center"/>
              <w:rPr>
                <w:color w:val="000000"/>
                <w:sz w:val="22"/>
                <w:szCs w:val="22"/>
              </w:rPr>
            </w:pPr>
            <w:r w:rsidRPr="00D31DFB">
              <w:rPr>
                <w:color w:val="000000"/>
                <w:sz w:val="22"/>
                <w:szCs w:val="22"/>
              </w:rPr>
              <w:t>2014</w:t>
            </w:r>
          </w:p>
        </w:tc>
        <w:tc>
          <w:tcPr>
            <w:tcW w:w="1906"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1.209.896.028.900</w:t>
            </w:r>
          </w:p>
        </w:tc>
        <w:tc>
          <w:tcPr>
            <w:tcW w:w="2019"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9.003.893.687.000</w:t>
            </w:r>
          </w:p>
        </w:tc>
        <w:tc>
          <w:tcPr>
            <w:tcW w:w="2099"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1.193.812.650.000</w:t>
            </w:r>
          </w:p>
        </w:tc>
        <w:tc>
          <w:tcPr>
            <w:tcW w:w="1737"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701.735.983.560</w:t>
            </w:r>
          </w:p>
        </w:tc>
      </w:tr>
      <w:tr w:rsidR="0027072F" w:rsidRPr="00D31DFB" w:rsidTr="00F11C26">
        <w:trPr>
          <w:trHeight w:val="300"/>
          <w:jc w:val="center"/>
        </w:trPr>
        <w:tc>
          <w:tcPr>
            <w:tcW w:w="669" w:type="dxa"/>
            <w:shd w:val="clear" w:color="auto" w:fill="auto"/>
            <w:noWrap/>
            <w:vAlign w:val="bottom"/>
            <w:hideMark/>
          </w:tcPr>
          <w:p w:rsidR="0027072F" w:rsidRPr="00D31DFB" w:rsidRDefault="0027072F" w:rsidP="00F11C26">
            <w:pPr>
              <w:adjustRightInd w:val="0"/>
              <w:snapToGrid w:val="0"/>
              <w:jc w:val="center"/>
              <w:rPr>
                <w:color w:val="000000"/>
                <w:sz w:val="22"/>
                <w:szCs w:val="22"/>
              </w:rPr>
            </w:pPr>
            <w:r w:rsidRPr="00D31DFB">
              <w:rPr>
                <w:color w:val="000000"/>
                <w:sz w:val="22"/>
                <w:szCs w:val="22"/>
              </w:rPr>
              <w:t>2015</w:t>
            </w:r>
          </w:p>
        </w:tc>
        <w:tc>
          <w:tcPr>
            <w:tcW w:w="1906"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1.179.038.326.330</w:t>
            </w:r>
          </w:p>
        </w:tc>
        <w:tc>
          <w:tcPr>
            <w:tcW w:w="2019"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9.422.549.308.000</w:t>
            </w:r>
          </w:p>
        </w:tc>
        <w:tc>
          <w:tcPr>
            <w:tcW w:w="2099"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1.701.356.508.000</w:t>
            </w:r>
          </w:p>
        </w:tc>
        <w:tc>
          <w:tcPr>
            <w:tcW w:w="1737"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620.004.776.190</w:t>
            </w:r>
          </w:p>
        </w:tc>
      </w:tr>
      <w:tr w:rsidR="0027072F" w:rsidRPr="00D31DFB" w:rsidTr="00F11C26">
        <w:trPr>
          <w:trHeight w:val="300"/>
          <w:jc w:val="center"/>
        </w:trPr>
        <w:tc>
          <w:tcPr>
            <w:tcW w:w="669" w:type="dxa"/>
            <w:shd w:val="clear" w:color="auto" w:fill="auto"/>
            <w:noWrap/>
            <w:vAlign w:val="bottom"/>
            <w:hideMark/>
          </w:tcPr>
          <w:p w:rsidR="0027072F" w:rsidRPr="00D31DFB" w:rsidRDefault="0027072F" w:rsidP="00F11C26">
            <w:pPr>
              <w:adjustRightInd w:val="0"/>
              <w:snapToGrid w:val="0"/>
              <w:jc w:val="center"/>
              <w:rPr>
                <w:color w:val="000000"/>
                <w:sz w:val="22"/>
                <w:szCs w:val="22"/>
              </w:rPr>
            </w:pPr>
            <w:r w:rsidRPr="00D31DFB">
              <w:rPr>
                <w:color w:val="000000"/>
                <w:sz w:val="22"/>
                <w:szCs w:val="22"/>
              </w:rPr>
              <w:t>2016</w:t>
            </w:r>
          </w:p>
        </w:tc>
        <w:tc>
          <w:tcPr>
            <w:tcW w:w="1906"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1.346.239.806.977</w:t>
            </w:r>
          </w:p>
        </w:tc>
        <w:tc>
          <w:tcPr>
            <w:tcW w:w="2019"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10.160.916.598.000</w:t>
            </w:r>
          </w:p>
        </w:tc>
        <w:tc>
          <w:tcPr>
            <w:tcW w:w="2099"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3.005.578.791.664</w:t>
            </w:r>
          </w:p>
        </w:tc>
        <w:tc>
          <w:tcPr>
            <w:tcW w:w="1737"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580.263.461.698</w:t>
            </w:r>
          </w:p>
        </w:tc>
      </w:tr>
      <w:tr w:rsidR="0027072F" w:rsidRPr="00D31DFB" w:rsidTr="00F11C26">
        <w:trPr>
          <w:trHeight w:val="300"/>
          <w:jc w:val="center"/>
        </w:trPr>
        <w:tc>
          <w:tcPr>
            <w:tcW w:w="669" w:type="dxa"/>
            <w:shd w:val="clear" w:color="auto" w:fill="auto"/>
            <w:noWrap/>
            <w:vAlign w:val="bottom"/>
            <w:hideMark/>
          </w:tcPr>
          <w:p w:rsidR="0027072F" w:rsidRPr="00D31DFB" w:rsidRDefault="0027072F" w:rsidP="00F11C26">
            <w:pPr>
              <w:adjustRightInd w:val="0"/>
              <w:snapToGrid w:val="0"/>
              <w:jc w:val="center"/>
              <w:rPr>
                <w:color w:val="000000"/>
                <w:sz w:val="22"/>
                <w:szCs w:val="22"/>
              </w:rPr>
            </w:pPr>
            <w:r w:rsidRPr="00D31DFB">
              <w:rPr>
                <w:color w:val="000000"/>
                <w:sz w:val="22"/>
                <w:szCs w:val="22"/>
              </w:rPr>
              <w:t>2017</w:t>
            </w:r>
          </w:p>
        </w:tc>
        <w:tc>
          <w:tcPr>
            <w:tcW w:w="1906"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1.975.023.900.860</w:t>
            </w:r>
          </w:p>
        </w:tc>
        <w:tc>
          <w:tcPr>
            <w:tcW w:w="2019"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10.073.735.391.000</w:t>
            </w:r>
          </w:p>
        </w:tc>
        <w:tc>
          <w:tcPr>
            <w:tcW w:w="2099"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3.617.520.146.100</w:t>
            </w:r>
          </w:p>
        </w:tc>
        <w:tc>
          <w:tcPr>
            <w:tcW w:w="1737"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479.720.280.130</w:t>
            </w:r>
          </w:p>
        </w:tc>
      </w:tr>
      <w:tr w:rsidR="0027072F" w:rsidRPr="00D31DFB" w:rsidTr="00F11C26">
        <w:trPr>
          <w:trHeight w:val="300"/>
          <w:jc w:val="center"/>
        </w:trPr>
        <w:tc>
          <w:tcPr>
            <w:tcW w:w="669" w:type="dxa"/>
            <w:shd w:val="clear" w:color="auto" w:fill="auto"/>
            <w:noWrap/>
            <w:vAlign w:val="bottom"/>
            <w:hideMark/>
          </w:tcPr>
          <w:p w:rsidR="0027072F" w:rsidRPr="00D31DFB" w:rsidRDefault="0027072F" w:rsidP="00F11C26">
            <w:pPr>
              <w:adjustRightInd w:val="0"/>
              <w:snapToGrid w:val="0"/>
              <w:jc w:val="center"/>
              <w:rPr>
                <w:color w:val="000000"/>
                <w:sz w:val="22"/>
                <w:szCs w:val="22"/>
              </w:rPr>
            </w:pPr>
            <w:r w:rsidRPr="00D31DFB">
              <w:rPr>
                <w:color w:val="000000"/>
                <w:sz w:val="22"/>
                <w:szCs w:val="22"/>
              </w:rPr>
              <w:t>2018</w:t>
            </w:r>
          </w:p>
        </w:tc>
        <w:tc>
          <w:tcPr>
            <w:tcW w:w="1906"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1.840.200.868.680</w:t>
            </w:r>
          </w:p>
        </w:tc>
        <w:tc>
          <w:tcPr>
            <w:tcW w:w="2019"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10.095.490.363.000</w:t>
            </w:r>
          </w:p>
        </w:tc>
        <w:tc>
          <w:tcPr>
            <w:tcW w:w="2099"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3.349.572.463.340</w:t>
            </w:r>
          </w:p>
        </w:tc>
        <w:tc>
          <w:tcPr>
            <w:tcW w:w="1737" w:type="dxa"/>
            <w:shd w:val="clear" w:color="auto" w:fill="auto"/>
            <w:noWrap/>
            <w:vAlign w:val="bottom"/>
            <w:hideMark/>
          </w:tcPr>
          <w:p w:rsidR="0027072F" w:rsidRPr="00D31DFB" w:rsidRDefault="0027072F" w:rsidP="00F11C26">
            <w:pPr>
              <w:adjustRightInd w:val="0"/>
              <w:snapToGrid w:val="0"/>
              <w:jc w:val="right"/>
              <w:rPr>
                <w:color w:val="000000"/>
                <w:sz w:val="22"/>
                <w:szCs w:val="22"/>
              </w:rPr>
            </w:pPr>
            <w:r w:rsidRPr="00D31DFB">
              <w:rPr>
                <w:color w:val="000000"/>
                <w:sz w:val="22"/>
                <w:szCs w:val="22"/>
              </w:rPr>
              <w:t>535.151.662.350</w:t>
            </w:r>
          </w:p>
        </w:tc>
      </w:tr>
    </w:tbl>
    <w:p w:rsidR="0027072F" w:rsidRPr="00D31DFB" w:rsidRDefault="00D31DFB" w:rsidP="00D31DFB">
      <w:pPr>
        <w:jc w:val="both"/>
      </w:pPr>
      <w:r w:rsidRPr="00D31DFB">
        <w:t>Source : Statistics Indonesia (2018)</w:t>
      </w:r>
    </w:p>
    <w:p w:rsidR="00D31DFB" w:rsidRPr="00D31DFB" w:rsidRDefault="00D31DFB" w:rsidP="00F11C26">
      <w:pPr>
        <w:jc w:val="both"/>
      </w:pPr>
    </w:p>
    <w:p w:rsidR="0027072F" w:rsidRPr="00D31DFB" w:rsidRDefault="0027072F" w:rsidP="00F11C26">
      <w:pPr>
        <w:adjustRightInd w:val="0"/>
        <w:snapToGrid w:val="0"/>
        <w:ind w:firstLine="720"/>
        <w:jc w:val="both"/>
        <w:rPr>
          <w:color w:val="000000"/>
        </w:rPr>
      </w:pPr>
      <w:proofErr w:type="spellStart"/>
      <w:r w:rsidRPr="00D31DFB">
        <w:t>Table</w:t>
      </w:r>
      <w:proofErr w:type="spellEnd"/>
      <w:r w:rsidRPr="00D31DFB">
        <w:t xml:space="preserve"> 1 </w:t>
      </w:r>
      <w:r w:rsidR="00643F5C">
        <w:rPr>
          <w:lang w:val="en-US"/>
        </w:rPr>
        <w:t>shows</w:t>
      </w:r>
      <w:r w:rsidRPr="00D31DFB">
        <w:t xml:space="preserve"> </w:t>
      </w:r>
      <w:proofErr w:type="spellStart"/>
      <w:r w:rsidRPr="00D31DFB">
        <w:t>that</w:t>
      </w:r>
      <w:proofErr w:type="spellEnd"/>
      <w:r w:rsidRPr="00D31DFB">
        <w:t xml:space="preserve"> in 2013-2018, </w:t>
      </w:r>
      <w:proofErr w:type="spellStart"/>
      <w:r w:rsidRPr="00D31DFB">
        <w:t>the</w:t>
      </w:r>
      <w:proofErr w:type="spellEnd"/>
      <w:r w:rsidRPr="00D31DFB">
        <w:t xml:space="preserve"> </w:t>
      </w:r>
      <w:proofErr w:type="spellStart"/>
      <w:r w:rsidRPr="00D31DFB">
        <w:t>realization</w:t>
      </w:r>
      <w:proofErr w:type="spellEnd"/>
      <w:r w:rsidRPr="00D31DFB">
        <w:t xml:space="preserve"> </w:t>
      </w:r>
      <w:proofErr w:type="spellStart"/>
      <w:r w:rsidRPr="00D31DFB">
        <w:t>of</w:t>
      </w:r>
      <w:proofErr w:type="spellEnd"/>
      <w:r w:rsidRPr="00D31DFB">
        <w:t xml:space="preserve"> </w:t>
      </w:r>
      <w:proofErr w:type="spellStart"/>
      <w:r w:rsidRPr="00D31DFB">
        <w:t>original</w:t>
      </w:r>
      <w:proofErr w:type="spellEnd"/>
      <w:r w:rsidRPr="00D31DFB">
        <w:t xml:space="preserve"> </w:t>
      </w:r>
      <w:proofErr w:type="spellStart"/>
      <w:r w:rsidRPr="00D31DFB">
        <w:t>local</w:t>
      </w:r>
      <w:proofErr w:type="spellEnd"/>
      <w:r w:rsidRPr="00D31DFB">
        <w:t xml:space="preserve"> </w:t>
      </w:r>
      <w:proofErr w:type="spellStart"/>
      <w:r w:rsidRPr="00D31DFB">
        <w:t>government</w:t>
      </w:r>
      <w:proofErr w:type="spellEnd"/>
      <w:r w:rsidRPr="00D31DFB">
        <w:t xml:space="preserve"> </w:t>
      </w:r>
      <w:proofErr w:type="spellStart"/>
      <w:r w:rsidRPr="00D31DFB">
        <w:t>revenue</w:t>
      </w:r>
      <w:proofErr w:type="spellEnd"/>
      <w:r w:rsidRPr="00D31DFB">
        <w:t xml:space="preserve"> </w:t>
      </w:r>
      <w:proofErr w:type="spellStart"/>
      <w:r w:rsidRPr="00D31DFB">
        <w:t>was</w:t>
      </w:r>
      <w:proofErr w:type="spellEnd"/>
      <w:r w:rsidRPr="00D31DFB">
        <w:t xml:space="preserve"> </w:t>
      </w:r>
      <w:proofErr w:type="spellStart"/>
      <w:r w:rsidRPr="00D31DFB">
        <w:t>about</w:t>
      </w:r>
      <w:proofErr w:type="spellEnd"/>
      <w:r w:rsidRPr="00D31DFB">
        <w:t xml:space="preserve"> Rp </w:t>
      </w:r>
      <w:r w:rsidRPr="00D31DFB">
        <w:rPr>
          <w:color w:val="000000"/>
        </w:rPr>
        <w:t xml:space="preserve">8.432.020.519.267 </w:t>
      </w:r>
      <w:proofErr w:type="spellStart"/>
      <w:r w:rsidRPr="00D31DFB">
        <w:t>while</w:t>
      </w:r>
      <w:proofErr w:type="spellEnd"/>
      <w:r w:rsidRPr="00D31DFB">
        <w:t xml:space="preserve"> </w:t>
      </w:r>
      <w:proofErr w:type="spellStart"/>
      <w:r w:rsidRPr="00D31DFB">
        <w:t>the</w:t>
      </w:r>
      <w:proofErr w:type="spellEnd"/>
      <w:r w:rsidRPr="00D31DFB">
        <w:t xml:space="preserve"> total </w:t>
      </w:r>
      <w:proofErr w:type="spellStart"/>
      <w:r w:rsidRPr="00D31DFB">
        <w:t>of</w:t>
      </w:r>
      <w:proofErr w:type="spellEnd"/>
      <w:r w:rsidRPr="00D31DFB">
        <w:t xml:space="preserve"> </w:t>
      </w:r>
      <w:proofErr w:type="spellStart"/>
      <w:r w:rsidRPr="00D31DFB">
        <w:t>balanced</w:t>
      </w:r>
      <w:proofErr w:type="spellEnd"/>
      <w:r w:rsidRPr="00D31DFB">
        <w:t xml:space="preserve"> </w:t>
      </w:r>
      <w:proofErr w:type="spellStart"/>
      <w:r w:rsidRPr="00D31DFB">
        <w:t>budget</w:t>
      </w:r>
      <w:proofErr w:type="spellEnd"/>
      <w:r w:rsidRPr="00D31DFB">
        <w:t xml:space="preserve"> </w:t>
      </w:r>
      <w:proofErr w:type="spellStart"/>
      <w:r w:rsidRPr="00D31DFB">
        <w:t>was</w:t>
      </w:r>
      <w:proofErr w:type="spellEnd"/>
      <w:r w:rsidRPr="00D31DFB">
        <w:t xml:space="preserve"> </w:t>
      </w:r>
      <w:proofErr w:type="spellStart"/>
      <w:r w:rsidRPr="00D31DFB">
        <w:t>greater</w:t>
      </w:r>
      <w:proofErr w:type="spellEnd"/>
      <w:r w:rsidRPr="00D31DFB">
        <w:t xml:space="preserve"> </w:t>
      </w:r>
      <w:proofErr w:type="spellStart"/>
      <w:r w:rsidRPr="00D31DFB">
        <w:t>than</w:t>
      </w:r>
      <w:proofErr w:type="spellEnd"/>
      <w:r w:rsidRPr="00D31DFB">
        <w:t xml:space="preserve"> PAD, </w:t>
      </w:r>
      <w:proofErr w:type="spellStart"/>
      <w:r w:rsidRPr="00D31DFB">
        <w:t>namely</w:t>
      </w:r>
      <w:proofErr w:type="spellEnd"/>
      <w:r w:rsidRPr="00D31DFB">
        <w:t xml:space="preserve"> Rp</w:t>
      </w:r>
      <w:r w:rsidRPr="00D31DFB">
        <w:rPr>
          <w:color w:val="000000"/>
        </w:rPr>
        <w:t>74.545.934.744.480</w:t>
      </w:r>
      <w:r w:rsidRPr="00D31DFB">
        <w:t xml:space="preserve">. The PAD generated only contributes 8,58% of total regional revenue. This value is much smaller than the proportion of the central government’s balanced budget, which reached 75,89%. It shows that the regional government in the Regency/City of West Kalimantan Province has not maximized potential regional income sources. With the number of balanced budgets that are much more responsive to </w:t>
      </w:r>
      <w:r w:rsidRPr="00D31DFB">
        <w:rPr>
          <w:color w:val="222222"/>
          <w:lang w:val="en"/>
        </w:rPr>
        <w:t xml:space="preserve">local government expenditure </w:t>
      </w:r>
      <w:r w:rsidRPr="00D31DFB">
        <w:t>than PAD, it indicates a high degree of dependence on transfer funds from the central government, thus enabling the flypaper effect phenomenon. This phenomenon contrasts with the original objectives of decentralization and regional autonomy, which demand local governments’ independence.</w:t>
      </w:r>
    </w:p>
    <w:p w:rsidR="00C769AA" w:rsidRPr="00D31DFB" w:rsidRDefault="0027072F" w:rsidP="00F11C26">
      <w:pPr>
        <w:adjustRightInd w:val="0"/>
        <w:snapToGrid w:val="0"/>
        <w:ind w:firstLine="720"/>
        <w:jc w:val="both"/>
      </w:pPr>
      <w:r w:rsidRPr="00D31DFB">
        <w:t xml:space="preserve">Research on the flypaper effect phenomenon has been conducted before in several countries and provinces in Indonesia. However, only a few studies have focused on the West Kalimantan region. </w:t>
      </w:r>
      <w:r w:rsidR="00F11C26" w:rsidRPr="00D31DFB">
        <w:t>T</w:t>
      </w:r>
      <w:r w:rsidRPr="00D31DFB">
        <w:t xml:space="preserve">he variables studied are original local government revenue, balanced budget consisting of general allocation funds, special allocation funds, sharing funds and </w:t>
      </w:r>
      <w:r w:rsidRPr="00D31DFB">
        <w:rPr>
          <w:color w:val="222222"/>
          <w:lang w:val="en"/>
        </w:rPr>
        <w:t xml:space="preserve">local government expenditure </w:t>
      </w:r>
      <w:r w:rsidRPr="00D31DFB">
        <w:t>with the 2013-2018 research period. Data processing was performed using STATA analysis tools. This study aims to see whether the flypaper effect phenomenon occurs in original local government revenue and budget balanced of local government expenditure in Regencies/Cities in West Kalimantan Province. This study's results are expected to contribute to the central and regional governments in evaluating their regional financial performance so that fiscal decentralization can be realized.</w:t>
      </w:r>
    </w:p>
    <w:p w:rsidR="00DA26AF" w:rsidRPr="00D31DFB" w:rsidRDefault="00DA26AF" w:rsidP="00A84AA6">
      <w:pPr>
        <w:adjustRightInd w:val="0"/>
        <w:snapToGrid w:val="0"/>
        <w:jc w:val="both"/>
        <w:rPr>
          <w:b/>
        </w:rPr>
      </w:pPr>
    </w:p>
    <w:p w:rsidR="00DA26AF" w:rsidRPr="00D31DFB" w:rsidRDefault="00DA26AF" w:rsidP="00A84AA6">
      <w:pPr>
        <w:adjustRightInd w:val="0"/>
        <w:snapToGrid w:val="0"/>
        <w:jc w:val="both"/>
        <w:rPr>
          <w:b/>
        </w:rPr>
      </w:pPr>
    </w:p>
    <w:p w:rsidR="00F11C26" w:rsidRPr="00D31DFB" w:rsidRDefault="00A84AA6" w:rsidP="00A84AA6">
      <w:pPr>
        <w:adjustRightInd w:val="0"/>
        <w:snapToGrid w:val="0"/>
        <w:jc w:val="both"/>
        <w:rPr>
          <w:b/>
        </w:rPr>
      </w:pPr>
      <w:r w:rsidRPr="00D31DFB">
        <w:rPr>
          <w:b/>
        </w:rPr>
        <w:t>LITERATURE</w:t>
      </w:r>
      <w:r w:rsidR="00F11C26" w:rsidRPr="00D31DFB">
        <w:rPr>
          <w:b/>
        </w:rPr>
        <w:t xml:space="preserve"> REVIEW</w:t>
      </w:r>
    </w:p>
    <w:p w:rsidR="00F11C26" w:rsidRPr="00D31DFB" w:rsidRDefault="00F11C26" w:rsidP="00A84AA6">
      <w:pPr>
        <w:adjustRightInd w:val="0"/>
        <w:snapToGrid w:val="0"/>
        <w:jc w:val="both"/>
        <w:rPr>
          <w:b/>
        </w:rPr>
      </w:pPr>
      <w:r w:rsidRPr="00D31DFB">
        <w:rPr>
          <w:b/>
          <w:bCs/>
        </w:rPr>
        <w:t xml:space="preserve">Original Local Government Revenue </w:t>
      </w:r>
    </w:p>
    <w:p w:rsidR="00F11C26" w:rsidRPr="00D31DFB" w:rsidRDefault="00F11C26" w:rsidP="00A84AA6">
      <w:pPr>
        <w:pStyle w:val="NormalWeb"/>
        <w:adjustRightInd w:val="0"/>
        <w:snapToGrid w:val="0"/>
        <w:spacing w:before="0" w:beforeAutospacing="0" w:after="0" w:afterAutospacing="0"/>
        <w:ind w:firstLine="709"/>
        <w:jc w:val="both"/>
        <w:rPr>
          <w:bCs/>
          <w:lang w:val="en-US"/>
        </w:rPr>
      </w:pPr>
      <w:proofErr w:type="spellStart"/>
      <w:r w:rsidRPr="00D31DFB">
        <w:rPr>
          <w:bCs/>
        </w:rPr>
        <w:t>Original</w:t>
      </w:r>
      <w:proofErr w:type="spellEnd"/>
      <w:r w:rsidRPr="00D31DFB">
        <w:rPr>
          <w:bCs/>
        </w:rPr>
        <w:t xml:space="preserve"> </w:t>
      </w:r>
      <w:proofErr w:type="spellStart"/>
      <w:r w:rsidRPr="00D31DFB">
        <w:rPr>
          <w:bCs/>
        </w:rPr>
        <w:t>local</w:t>
      </w:r>
      <w:proofErr w:type="spellEnd"/>
      <w:r w:rsidRPr="00D31DFB">
        <w:rPr>
          <w:bCs/>
        </w:rPr>
        <w:t xml:space="preserve"> </w:t>
      </w:r>
      <w:proofErr w:type="spellStart"/>
      <w:r w:rsidRPr="00D31DFB">
        <w:rPr>
          <w:bCs/>
        </w:rPr>
        <w:t>government</w:t>
      </w:r>
      <w:proofErr w:type="spellEnd"/>
      <w:r w:rsidRPr="00D31DFB">
        <w:rPr>
          <w:bCs/>
        </w:rPr>
        <w:t xml:space="preserve"> </w:t>
      </w:r>
      <w:proofErr w:type="spellStart"/>
      <w:r w:rsidRPr="00D31DFB">
        <w:rPr>
          <w:bCs/>
        </w:rPr>
        <w:t>revenue</w:t>
      </w:r>
      <w:proofErr w:type="spellEnd"/>
      <w:r w:rsidRPr="00D31DFB">
        <w:rPr>
          <w:bCs/>
        </w:rPr>
        <w:t xml:space="preserve"> </w:t>
      </w:r>
      <w:proofErr w:type="spellStart"/>
      <w:r w:rsidRPr="00D31DFB">
        <w:rPr>
          <w:bCs/>
        </w:rPr>
        <w:t>is</w:t>
      </w:r>
      <w:proofErr w:type="spellEnd"/>
      <w:r w:rsidRPr="00D31DFB">
        <w:rPr>
          <w:bCs/>
        </w:rPr>
        <w:t xml:space="preserve"> a </w:t>
      </w:r>
      <w:proofErr w:type="spellStart"/>
      <w:r w:rsidRPr="00D31DFB">
        <w:rPr>
          <w:bCs/>
        </w:rPr>
        <w:t>revenue</w:t>
      </w:r>
      <w:proofErr w:type="spellEnd"/>
      <w:r w:rsidRPr="00D31DFB">
        <w:rPr>
          <w:bCs/>
        </w:rPr>
        <w:t xml:space="preserve"> </w:t>
      </w:r>
      <w:proofErr w:type="spellStart"/>
      <w:r w:rsidRPr="00D31DFB">
        <w:rPr>
          <w:bCs/>
        </w:rPr>
        <w:t>source</w:t>
      </w:r>
      <w:proofErr w:type="spellEnd"/>
      <w:r w:rsidRPr="00D31DFB">
        <w:rPr>
          <w:bCs/>
        </w:rPr>
        <w:t xml:space="preserve"> </w:t>
      </w:r>
      <w:proofErr w:type="spellStart"/>
      <w:r w:rsidRPr="00D31DFB">
        <w:rPr>
          <w:bCs/>
        </w:rPr>
        <w:t>obtained</w:t>
      </w:r>
      <w:proofErr w:type="spellEnd"/>
      <w:r w:rsidRPr="00D31DFB">
        <w:rPr>
          <w:bCs/>
        </w:rPr>
        <w:t xml:space="preserve"> </w:t>
      </w:r>
      <w:proofErr w:type="spellStart"/>
      <w:r w:rsidRPr="00D31DFB">
        <w:rPr>
          <w:bCs/>
        </w:rPr>
        <w:t>from</w:t>
      </w:r>
      <w:proofErr w:type="spellEnd"/>
      <w:r w:rsidRPr="00D31DFB">
        <w:rPr>
          <w:bCs/>
        </w:rPr>
        <w:t xml:space="preserve"> </w:t>
      </w:r>
      <w:proofErr w:type="spellStart"/>
      <w:r w:rsidRPr="00D31DFB">
        <w:rPr>
          <w:bCs/>
        </w:rPr>
        <w:t>various</w:t>
      </w:r>
      <w:proofErr w:type="spellEnd"/>
      <w:r w:rsidRPr="00D31DFB">
        <w:rPr>
          <w:bCs/>
        </w:rPr>
        <w:t xml:space="preserve"> </w:t>
      </w:r>
      <w:proofErr w:type="spellStart"/>
      <w:r w:rsidRPr="00D31DFB">
        <w:rPr>
          <w:bCs/>
        </w:rPr>
        <w:t>potentials</w:t>
      </w:r>
      <w:proofErr w:type="spellEnd"/>
      <w:r w:rsidRPr="00D31DFB">
        <w:rPr>
          <w:bCs/>
        </w:rPr>
        <w:t xml:space="preserve"> </w:t>
      </w:r>
      <w:proofErr w:type="spellStart"/>
      <w:r w:rsidRPr="00D31DFB">
        <w:rPr>
          <w:bCs/>
        </w:rPr>
        <w:t>owned</w:t>
      </w:r>
      <w:proofErr w:type="spellEnd"/>
      <w:r w:rsidRPr="00D31DFB">
        <w:rPr>
          <w:bCs/>
        </w:rPr>
        <w:t xml:space="preserve"> </w:t>
      </w:r>
      <w:proofErr w:type="spellStart"/>
      <w:r w:rsidRPr="00D31DFB">
        <w:rPr>
          <w:bCs/>
        </w:rPr>
        <w:t>by</w:t>
      </w:r>
      <w:proofErr w:type="spellEnd"/>
      <w:r w:rsidRPr="00D31DFB">
        <w:rPr>
          <w:bCs/>
        </w:rPr>
        <w:t xml:space="preserve"> </w:t>
      </w:r>
      <w:proofErr w:type="spellStart"/>
      <w:r w:rsidRPr="00D31DFB">
        <w:rPr>
          <w:bCs/>
        </w:rPr>
        <w:t>the</w:t>
      </w:r>
      <w:proofErr w:type="spellEnd"/>
      <w:r w:rsidRPr="00D31DFB">
        <w:rPr>
          <w:bCs/>
        </w:rPr>
        <w:t xml:space="preserve"> area, </w:t>
      </w:r>
      <w:proofErr w:type="spellStart"/>
      <w:r w:rsidRPr="00D31DFB">
        <w:rPr>
          <w:bCs/>
        </w:rPr>
        <w:t>which</w:t>
      </w:r>
      <w:proofErr w:type="spellEnd"/>
      <w:r w:rsidRPr="00D31DFB">
        <w:rPr>
          <w:bCs/>
        </w:rPr>
        <w:t xml:space="preserve"> </w:t>
      </w:r>
      <w:proofErr w:type="spellStart"/>
      <w:r w:rsidRPr="00D31DFB">
        <w:rPr>
          <w:bCs/>
        </w:rPr>
        <w:t>is</w:t>
      </w:r>
      <w:proofErr w:type="spellEnd"/>
      <w:r w:rsidRPr="00D31DFB">
        <w:rPr>
          <w:bCs/>
        </w:rPr>
        <w:t xml:space="preserve"> </w:t>
      </w:r>
      <w:proofErr w:type="spellStart"/>
      <w:r w:rsidRPr="00D31DFB">
        <w:rPr>
          <w:bCs/>
        </w:rPr>
        <w:t>collected</w:t>
      </w:r>
      <w:proofErr w:type="spellEnd"/>
      <w:r w:rsidRPr="00D31DFB">
        <w:rPr>
          <w:bCs/>
        </w:rPr>
        <w:t xml:space="preserve"> </w:t>
      </w:r>
      <w:proofErr w:type="spellStart"/>
      <w:r w:rsidRPr="00D31DFB">
        <w:rPr>
          <w:bCs/>
        </w:rPr>
        <w:t>based</w:t>
      </w:r>
      <w:proofErr w:type="spellEnd"/>
      <w:r w:rsidRPr="00D31DFB">
        <w:rPr>
          <w:bCs/>
        </w:rPr>
        <w:t xml:space="preserve"> </w:t>
      </w:r>
      <w:proofErr w:type="spellStart"/>
      <w:r w:rsidRPr="00D31DFB">
        <w:rPr>
          <w:bCs/>
        </w:rPr>
        <w:t>on</w:t>
      </w:r>
      <w:proofErr w:type="spellEnd"/>
      <w:r w:rsidRPr="00D31DFB">
        <w:rPr>
          <w:bCs/>
        </w:rPr>
        <w:t xml:space="preserve"> </w:t>
      </w:r>
      <w:proofErr w:type="spellStart"/>
      <w:r w:rsidRPr="00D31DFB">
        <w:rPr>
          <w:bCs/>
        </w:rPr>
        <w:t>applicable</w:t>
      </w:r>
      <w:proofErr w:type="spellEnd"/>
      <w:r w:rsidRPr="00D31DFB">
        <w:rPr>
          <w:bCs/>
        </w:rPr>
        <w:t xml:space="preserve"> </w:t>
      </w:r>
      <w:proofErr w:type="spellStart"/>
      <w:r w:rsidRPr="00D31DFB">
        <w:rPr>
          <w:bCs/>
        </w:rPr>
        <w:t>regulations</w:t>
      </w:r>
      <w:proofErr w:type="spellEnd"/>
      <w:r w:rsidR="00CF0C7D">
        <w:rPr>
          <w:bCs/>
          <w:lang w:val="en-US"/>
        </w:rPr>
        <w:t xml:space="preserve"> (</w:t>
      </w:r>
      <w:r w:rsidR="00CF0C7D" w:rsidRPr="00D31DFB">
        <w:fldChar w:fldCharType="begin" w:fldLock="1"/>
      </w:r>
      <w:r w:rsidR="00CF0C7D" w:rsidRPr="00D31DFB">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00CF0C7D" w:rsidRPr="00D31DFB">
        <w:fldChar w:fldCharType="separate"/>
      </w:r>
      <w:r w:rsidR="00CF0C7D" w:rsidRPr="00D31DFB">
        <w:rPr>
          <w:noProof/>
          <w:lang w:val="en-US"/>
        </w:rPr>
        <w:t>Iskandar</w:t>
      </w:r>
      <w:r w:rsidR="00CF0C7D">
        <w:rPr>
          <w:lang w:val="en-US"/>
        </w:rPr>
        <w:t xml:space="preserve">, </w:t>
      </w:r>
      <w:r w:rsidR="00CF0C7D" w:rsidRPr="00D31DFB">
        <w:t>201</w:t>
      </w:r>
      <w:r w:rsidR="00CF0C7D" w:rsidRPr="00D31DFB">
        <w:rPr>
          <w:lang w:val="en-US"/>
        </w:rPr>
        <w:t>2),</w:t>
      </w:r>
      <w:r w:rsidR="00CF0C7D" w:rsidRPr="00D31DFB">
        <w:fldChar w:fldCharType="end"/>
      </w:r>
      <w:r w:rsidRPr="00D31DFB">
        <w:rPr>
          <w:bCs/>
        </w:rPr>
        <w:t xml:space="preserve">. </w:t>
      </w:r>
      <w:r w:rsidRPr="00D31DFB">
        <w:rPr>
          <w:bCs/>
          <w:lang w:val="en-US"/>
        </w:rPr>
        <w:t>It</w:t>
      </w:r>
      <w:r w:rsidRPr="00D31DFB">
        <w:rPr>
          <w:bCs/>
        </w:rPr>
        <w:t xml:space="preserve"> </w:t>
      </w:r>
      <w:proofErr w:type="spellStart"/>
      <w:r w:rsidRPr="00D31DFB">
        <w:rPr>
          <w:bCs/>
        </w:rPr>
        <w:t>is</w:t>
      </w:r>
      <w:proofErr w:type="spellEnd"/>
      <w:r w:rsidRPr="00D31DFB">
        <w:rPr>
          <w:bCs/>
        </w:rPr>
        <w:t xml:space="preserve"> </w:t>
      </w:r>
      <w:proofErr w:type="spellStart"/>
      <w:r w:rsidRPr="00D31DFB">
        <w:rPr>
          <w:bCs/>
        </w:rPr>
        <w:t>intended</w:t>
      </w:r>
      <w:proofErr w:type="spellEnd"/>
      <w:r w:rsidRPr="00D31DFB">
        <w:rPr>
          <w:bCs/>
        </w:rPr>
        <w:t xml:space="preserve"> </w:t>
      </w:r>
      <w:proofErr w:type="spellStart"/>
      <w:r w:rsidRPr="00D31DFB">
        <w:rPr>
          <w:bCs/>
        </w:rPr>
        <w:t>to</w:t>
      </w:r>
      <w:proofErr w:type="spellEnd"/>
      <w:r w:rsidRPr="00D31DFB">
        <w:rPr>
          <w:bCs/>
        </w:rPr>
        <w:t xml:space="preserve"> </w:t>
      </w:r>
      <w:proofErr w:type="spellStart"/>
      <w:r w:rsidRPr="00D31DFB">
        <w:rPr>
          <w:bCs/>
        </w:rPr>
        <w:t>finance</w:t>
      </w:r>
      <w:proofErr w:type="spellEnd"/>
      <w:r w:rsidRPr="00D31DFB">
        <w:rPr>
          <w:bCs/>
        </w:rPr>
        <w:t xml:space="preserve"> regional </w:t>
      </w:r>
      <w:proofErr w:type="spellStart"/>
      <w:r w:rsidRPr="00D31DFB">
        <w:rPr>
          <w:bCs/>
        </w:rPr>
        <w:t>expenditures</w:t>
      </w:r>
      <w:proofErr w:type="spellEnd"/>
      <w:r w:rsidRPr="00D31DFB">
        <w:rPr>
          <w:bCs/>
        </w:rPr>
        <w:t xml:space="preserve"> in </w:t>
      </w:r>
      <w:proofErr w:type="spellStart"/>
      <w:r w:rsidRPr="00D31DFB">
        <w:rPr>
          <w:bCs/>
        </w:rPr>
        <w:t>implementing</w:t>
      </w:r>
      <w:proofErr w:type="spellEnd"/>
      <w:r w:rsidRPr="00D31DFB">
        <w:rPr>
          <w:bCs/>
        </w:rPr>
        <w:t xml:space="preserve"> regional </w:t>
      </w:r>
      <w:proofErr w:type="spellStart"/>
      <w:r w:rsidRPr="00D31DFB">
        <w:rPr>
          <w:bCs/>
        </w:rPr>
        <w:t>development</w:t>
      </w:r>
      <w:proofErr w:type="spellEnd"/>
      <w:r w:rsidRPr="00D31DFB">
        <w:rPr>
          <w:bCs/>
        </w:rPr>
        <w:t xml:space="preserve"> </w:t>
      </w:r>
      <w:proofErr w:type="spellStart"/>
      <w:r w:rsidRPr="00D31DFB">
        <w:rPr>
          <w:bCs/>
        </w:rPr>
        <w:t>and</w:t>
      </w:r>
      <w:proofErr w:type="spellEnd"/>
      <w:r w:rsidRPr="00D31DFB">
        <w:rPr>
          <w:bCs/>
        </w:rPr>
        <w:t xml:space="preserve"> </w:t>
      </w:r>
      <w:proofErr w:type="spellStart"/>
      <w:r w:rsidRPr="00D31DFB">
        <w:rPr>
          <w:bCs/>
        </w:rPr>
        <w:t>improving</w:t>
      </w:r>
      <w:proofErr w:type="spellEnd"/>
      <w:r w:rsidRPr="00D31DFB">
        <w:rPr>
          <w:bCs/>
        </w:rPr>
        <w:t xml:space="preserve"> </w:t>
      </w:r>
      <w:proofErr w:type="spellStart"/>
      <w:r w:rsidRPr="00D31DFB">
        <w:rPr>
          <w:bCs/>
        </w:rPr>
        <w:t>the</w:t>
      </w:r>
      <w:proofErr w:type="spellEnd"/>
      <w:r w:rsidRPr="00D31DFB">
        <w:rPr>
          <w:bCs/>
        </w:rPr>
        <w:t xml:space="preserve"> </w:t>
      </w:r>
      <w:proofErr w:type="spellStart"/>
      <w:r w:rsidRPr="00D31DFB">
        <w:rPr>
          <w:bCs/>
        </w:rPr>
        <w:t>quality</w:t>
      </w:r>
      <w:proofErr w:type="spellEnd"/>
      <w:r w:rsidRPr="00D31DFB">
        <w:rPr>
          <w:bCs/>
        </w:rPr>
        <w:t xml:space="preserve"> </w:t>
      </w:r>
      <w:proofErr w:type="spellStart"/>
      <w:r w:rsidRPr="00D31DFB">
        <w:rPr>
          <w:bCs/>
        </w:rPr>
        <w:t>of</w:t>
      </w:r>
      <w:proofErr w:type="spellEnd"/>
      <w:r w:rsidRPr="00D31DFB">
        <w:rPr>
          <w:bCs/>
        </w:rPr>
        <w:t xml:space="preserve"> </w:t>
      </w:r>
      <w:proofErr w:type="spellStart"/>
      <w:r w:rsidRPr="00D31DFB">
        <w:rPr>
          <w:bCs/>
        </w:rPr>
        <w:t>public</w:t>
      </w:r>
      <w:proofErr w:type="spellEnd"/>
      <w:r w:rsidRPr="00D31DFB">
        <w:rPr>
          <w:bCs/>
        </w:rPr>
        <w:t xml:space="preserve"> </w:t>
      </w:r>
      <w:proofErr w:type="spellStart"/>
      <w:r w:rsidRPr="00D31DFB">
        <w:rPr>
          <w:bCs/>
        </w:rPr>
        <w:t>services</w:t>
      </w:r>
      <w:proofErr w:type="spellEnd"/>
      <w:r w:rsidRPr="00D31DFB">
        <w:rPr>
          <w:bCs/>
        </w:rPr>
        <w:t xml:space="preserve">. The </w:t>
      </w:r>
      <w:proofErr w:type="spellStart"/>
      <w:r w:rsidRPr="00D31DFB">
        <w:rPr>
          <w:bCs/>
        </w:rPr>
        <w:t>original</w:t>
      </w:r>
      <w:proofErr w:type="spellEnd"/>
      <w:r w:rsidRPr="00D31DFB">
        <w:rPr>
          <w:bCs/>
        </w:rPr>
        <w:t xml:space="preserve"> </w:t>
      </w:r>
      <w:proofErr w:type="spellStart"/>
      <w:r w:rsidRPr="00D31DFB">
        <w:rPr>
          <w:bCs/>
        </w:rPr>
        <w:t>local</w:t>
      </w:r>
      <w:proofErr w:type="spellEnd"/>
      <w:r w:rsidRPr="00D31DFB">
        <w:rPr>
          <w:bCs/>
        </w:rPr>
        <w:t xml:space="preserve"> </w:t>
      </w:r>
      <w:proofErr w:type="spellStart"/>
      <w:r w:rsidRPr="00D31DFB">
        <w:rPr>
          <w:bCs/>
        </w:rPr>
        <w:t>government</w:t>
      </w:r>
      <w:proofErr w:type="spellEnd"/>
      <w:r w:rsidRPr="00D31DFB">
        <w:rPr>
          <w:bCs/>
        </w:rPr>
        <w:t xml:space="preserve"> </w:t>
      </w:r>
      <w:proofErr w:type="spellStart"/>
      <w:r w:rsidRPr="00D31DFB">
        <w:rPr>
          <w:bCs/>
        </w:rPr>
        <w:t>revenue</w:t>
      </w:r>
      <w:proofErr w:type="spellEnd"/>
      <w:r w:rsidRPr="00D31DFB">
        <w:rPr>
          <w:bCs/>
          <w:lang w:val="en-US"/>
        </w:rPr>
        <w:t xml:space="preserve"> </w:t>
      </w:r>
      <w:proofErr w:type="spellStart"/>
      <w:r w:rsidRPr="00D31DFB">
        <w:rPr>
          <w:bCs/>
        </w:rPr>
        <w:t>generated</w:t>
      </w:r>
      <w:proofErr w:type="spellEnd"/>
      <w:r w:rsidRPr="00D31DFB">
        <w:rPr>
          <w:bCs/>
        </w:rPr>
        <w:t xml:space="preserve"> </w:t>
      </w:r>
      <w:proofErr w:type="spellStart"/>
      <w:r w:rsidRPr="00D31DFB">
        <w:rPr>
          <w:bCs/>
        </w:rPr>
        <w:t>will</w:t>
      </w:r>
      <w:proofErr w:type="spellEnd"/>
      <w:r w:rsidRPr="00D31DFB">
        <w:rPr>
          <w:bCs/>
        </w:rPr>
        <w:t xml:space="preserve"> </w:t>
      </w:r>
      <w:proofErr w:type="spellStart"/>
      <w:r w:rsidRPr="00D31DFB">
        <w:rPr>
          <w:bCs/>
        </w:rPr>
        <w:t>show</w:t>
      </w:r>
      <w:proofErr w:type="spellEnd"/>
      <w:r w:rsidRPr="00D31DFB">
        <w:rPr>
          <w:bCs/>
        </w:rPr>
        <w:t xml:space="preserve"> </w:t>
      </w:r>
      <w:proofErr w:type="spellStart"/>
      <w:r w:rsidRPr="00D31DFB">
        <w:rPr>
          <w:bCs/>
        </w:rPr>
        <w:t>the</w:t>
      </w:r>
      <w:proofErr w:type="spellEnd"/>
      <w:r w:rsidRPr="00D31DFB">
        <w:rPr>
          <w:bCs/>
        </w:rPr>
        <w:t xml:space="preserve"> </w:t>
      </w:r>
      <w:proofErr w:type="spellStart"/>
      <w:r w:rsidRPr="00D31DFB">
        <w:rPr>
          <w:bCs/>
        </w:rPr>
        <w:t>extent</w:t>
      </w:r>
      <w:proofErr w:type="spellEnd"/>
      <w:r w:rsidRPr="00D31DFB">
        <w:rPr>
          <w:bCs/>
        </w:rPr>
        <w:t xml:space="preserve"> </w:t>
      </w:r>
      <w:proofErr w:type="spellStart"/>
      <w:r w:rsidRPr="00D31DFB">
        <w:rPr>
          <w:bCs/>
        </w:rPr>
        <w:t>to</w:t>
      </w:r>
      <w:proofErr w:type="spellEnd"/>
      <w:r w:rsidRPr="00D31DFB">
        <w:rPr>
          <w:bCs/>
        </w:rPr>
        <w:t xml:space="preserve"> </w:t>
      </w:r>
      <w:proofErr w:type="spellStart"/>
      <w:r w:rsidRPr="00D31DFB">
        <w:rPr>
          <w:bCs/>
        </w:rPr>
        <w:t>which</w:t>
      </w:r>
      <w:proofErr w:type="spellEnd"/>
      <w:r w:rsidRPr="00D31DFB">
        <w:rPr>
          <w:bCs/>
        </w:rPr>
        <w:t xml:space="preserve"> </w:t>
      </w:r>
      <w:proofErr w:type="spellStart"/>
      <w:r w:rsidRPr="00D31DFB">
        <w:rPr>
          <w:bCs/>
        </w:rPr>
        <w:t>local</w:t>
      </w:r>
      <w:proofErr w:type="spellEnd"/>
      <w:r w:rsidRPr="00D31DFB">
        <w:rPr>
          <w:bCs/>
        </w:rPr>
        <w:t xml:space="preserve"> </w:t>
      </w:r>
      <w:proofErr w:type="spellStart"/>
      <w:r w:rsidRPr="00D31DFB">
        <w:rPr>
          <w:bCs/>
        </w:rPr>
        <w:t>governments</w:t>
      </w:r>
      <w:proofErr w:type="spellEnd"/>
      <w:r w:rsidRPr="00D31DFB">
        <w:rPr>
          <w:bCs/>
        </w:rPr>
        <w:t xml:space="preserve"> </w:t>
      </w:r>
      <w:proofErr w:type="spellStart"/>
      <w:r w:rsidRPr="00D31DFB">
        <w:rPr>
          <w:bCs/>
        </w:rPr>
        <w:t>have</w:t>
      </w:r>
      <w:proofErr w:type="spellEnd"/>
      <w:r w:rsidRPr="00D31DFB">
        <w:rPr>
          <w:bCs/>
        </w:rPr>
        <w:t xml:space="preserve"> </w:t>
      </w:r>
      <w:proofErr w:type="spellStart"/>
      <w:r w:rsidRPr="00D31DFB">
        <w:rPr>
          <w:bCs/>
        </w:rPr>
        <w:t>succeeded</w:t>
      </w:r>
      <w:proofErr w:type="spellEnd"/>
      <w:r w:rsidRPr="00D31DFB">
        <w:rPr>
          <w:bCs/>
        </w:rPr>
        <w:t xml:space="preserve"> in </w:t>
      </w:r>
      <w:proofErr w:type="spellStart"/>
      <w:r w:rsidRPr="00D31DFB">
        <w:rPr>
          <w:bCs/>
        </w:rPr>
        <w:t>exploring</w:t>
      </w:r>
      <w:proofErr w:type="spellEnd"/>
      <w:r w:rsidRPr="00D31DFB">
        <w:rPr>
          <w:bCs/>
        </w:rPr>
        <w:t xml:space="preserve"> </w:t>
      </w:r>
      <w:proofErr w:type="spellStart"/>
      <w:r w:rsidRPr="00D31DFB">
        <w:rPr>
          <w:bCs/>
        </w:rPr>
        <w:t>the</w:t>
      </w:r>
      <w:proofErr w:type="spellEnd"/>
      <w:r w:rsidRPr="00D31DFB">
        <w:rPr>
          <w:bCs/>
        </w:rPr>
        <w:t xml:space="preserve"> </w:t>
      </w:r>
      <w:proofErr w:type="spellStart"/>
      <w:r w:rsidRPr="00D31DFB">
        <w:rPr>
          <w:bCs/>
        </w:rPr>
        <w:t>sources</w:t>
      </w:r>
      <w:proofErr w:type="spellEnd"/>
      <w:r w:rsidRPr="00D31DFB">
        <w:rPr>
          <w:bCs/>
        </w:rPr>
        <w:t xml:space="preserve"> </w:t>
      </w:r>
      <w:proofErr w:type="spellStart"/>
      <w:r w:rsidRPr="00D31DFB">
        <w:rPr>
          <w:bCs/>
        </w:rPr>
        <w:t>of</w:t>
      </w:r>
      <w:proofErr w:type="spellEnd"/>
      <w:r w:rsidRPr="00D31DFB">
        <w:rPr>
          <w:bCs/>
        </w:rPr>
        <w:t xml:space="preserve"> </w:t>
      </w:r>
      <w:proofErr w:type="spellStart"/>
      <w:r w:rsidRPr="00D31DFB">
        <w:rPr>
          <w:bCs/>
        </w:rPr>
        <w:t>revenue</w:t>
      </w:r>
      <w:proofErr w:type="spellEnd"/>
      <w:r w:rsidRPr="00D31DFB">
        <w:rPr>
          <w:bCs/>
        </w:rPr>
        <w:t xml:space="preserve"> </w:t>
      </w:r>
      <w:proofErr w:type="spellStart"/>
      <w:r w:rsidRPr="00D31DFB">
        <w:rPr>
          <w:bCs/>
        </w:rPr>
        <w:t>they</w:t>
      </w:r>
      <w:proofErr w:type="spellEnd"/>
      <w:r w:rsidRPr="00D31DFB">
        <w:rPr>
          <w:bCs/>
        </w:rPr>
        <w:t xml:space="preserve"> </w:t>
      </w:r>
      <w:proofErr w:type="spellStart"/>
      <w:r w:rsidRPr="00D31DFB">
        <w:rPr>
          <w:bCs/>
        </w:rPr>
        <w:t>have</w:t>
      </w:r>
      <w:proofErr w:type="spellEnd"/>
      <w:r w:rsidRPr="00D31DFB">
        <w:rPr>
          <w:bCs/>
        </w:rPr>
        <w:t xml:space="preserve">. If </w:t>
      </w:r>
      <w:proofErr w:type="spellStart"/>
      <w:r w:rsidRPr="00D31DFB">
        <w:rPr>
          <w:bCs/>
        </w:rPr>
        <w:t>the</w:t>
      </w:r>
      <w:proofErr w:type="spellEnd"/>
      <w:r w:rsidRPr="00D31DFB">
        <w:rPr>
          <w:bCs/>
        </w:rPr>
        <w:t xml:space="preserve"> </w:t>
      </w:r>
      <w:proofErr w:type="spellStart"/>
      <w:r w:rsidRPr="00D31DFB">
        <w:rPr>
          <w:bCs/>
        </w:rPr>
        <w:t>income</w:t>
      </w:r>
      <w:proofErr w:type="spellEnd"/>
      <w:r w:rsidRPr="00D31DFB">
        <w:rPr>
          <w:bCs/>
        </w:rPr>
        <w:t xml:space="preserve"> </w:t>
      </w:r>
      <w:proofErr w:type="spellStart"/>
      <w:r w:rsidRPr="00D31DFB">
        <w:rPr>
          <w:bCs/>
        </w:rPr>
        <w:t>value</w:t>
      </w:r>
      <w:proofErr w:type="spellEnd"/>
      <w:r w:rsidRPr="00D31DFB">
        <w:rPr>
          <w:bCs/>
        </w:rPr>
        <w:t xml:space="preserve"> </w:t>
      </w:r>
      <w:proofErr w:type="spellStart"/>
      <w:r w:rsidRPr="00D31DFB">
        <w:rPr>
          <w:bCs/>
        </w:rPr>
        <w:t>is</w:t>
      </w:r>
      <w:proofErr w:type="spellEnd"/>
      <w:r w:rsidRPr="00D31DFB">
        <w:rPr>
          <w:bCs/>
        </w:rPr>
        <w:t xml:space="preserve"> </w:t>
      </w:r>
      <w:r w:rsidRPr="00D31DFB">
        <w:rPr>
          <w:bCs/>
          <w:lang w:val="en-US"/>
        </w:rPr>
        <w:t>enormous</w:t>
      </w:r>
      <w:r w:rsidRPr="00D31DFB">
        <w:rPr>
          <w:bCs/>
        </w:rPr>
        <w:t xml:space="preserve">, </w:t>
      </w:r>
      <w:proofErr w:type="spellStart"/>
      <w:r w:rsidRPr="00D31DFB">
        <w:rPr>
          <w:bCs/>
        </w:rPr>
        <w:t>the</w:t>
      </w:r>
      <w:proofErr w:type="spellEnd"/>
      <w:r w:rsidRPr="00D31DFB">
        <w:rPr>
          <w:bCs/>
        </w:rPr>
        <w:t xml:space="preserve"> level </w:t>
      </w:r>
      <w:proofErr w:type="spellStart"/>
      <w:r w:rsidRPr="00D31DFB">
        <w:rPr>
          <w:bCs/>
        </w:rPr>
        <w:t>of</w:t>
      </w:r>
      <w:proofErr w:type="spellEnd"/>
      <w:r w:rsidRPr="00D31DFB">
        <w:rPr>
          <w:bCs/>
        </w:rPr>
        <w:t xml:space="preserve"> </w:t>
      </w:r>
      <w:proofErr w:type="spellStart"/>
      <w:r w:rsidRPr="00D31DFB">
        <w:rPr>
          <w:bCs/>
        </w:rPr>
        <w:t>decentralization</w:t>
      </w:r>
      <w:proofErr w:type="spellEnd"/>
      <w:r w:rsidRPr="00D31DFB">
        <w:rPr>
          <w:bCs/>
        </w:rPr>
        <w:t xml:space="preserve"> </w:t>
      </w:r>
      <w:proofErr w:type="spellStart"/>
      <w:r w:rsidRPr="00D31DFB">
        <w:rPr>
          <w:bCs/>
        </w:rPr>
        <w:t>will</w:t>
      </w:r>
      <w:proofErr w:type="spellEnd"/>
      <w:r w:rsidRPr="00D31DFB">
        <w:rPr>
          <w:bCs/>
        </w:rPr>
        <w:t xml:space="preserve"> </w:t>
      </w:r>
      <w:proofErr w:type="spellStart"/>
      <w:r w:rsidRPr="00D31DFB">
        <w:rPr>
          <w:bCs/>
        </w:rPr>
        <w:t>also</w:t>
      </w:r>
      <w:proofErr w:type="spellEnd"/>
      <w:r w:rsidRPr="00D31DFB">
        <w:rPr>
          <w:bCs/>
        </w:rPr>
        <w:t xml:space="preserve"> </w:t>
      </w:r>
      <w:proofErr w:type="spellStart"/>
      <w:r w:rsidRPr="00D31DFB">
        <w:rPr>
          <w:bCs/>
        </w:rPr>
        <w:t>increase</w:t>
      </w:r>
      <w:proofErr w:type="spellEnd"/>
      <w:r w:rsidRPr="00D31DFB">
        <w:rPr>
          <w:bCs/>
        </w:rPr>
        <w:t xml:space="preserve">, </w:t>
      </w:r>
      <w:proofErr w:type="spellStart"/>
      <w:r w:rsidRPr="00D31DFB">
        <w:rPr>
          <w:bCs/>
        </w:rPr>
        <w:t>and</w:t>
      </w:r>
      <w:proofErr w:type="spellEnd"/>
      <w:r w:rsidRPr="00D31DFB">
        <w:rPr>
          <w:bCs/>
        </w:rPr>
        <w:t xml:space="preserve"> </w:t>
      </w:r>
      <w:proofErr w:type="spellStart"/>
      <w:r w:rsidRPr="00D31DFB">
        <w:rPr>
          <w:bCs/>
        </w:rPr>
        <w:t>vice</w:t>
      </w:r>
      <w:proofErr w:type="spellEnd"/>
      <w:r w:rsidRPr="00D31DFB">
        <w:rPr>
          <w:bCs/>
        </w:rPr>
        <w:t xml:space="preserve"> </w:t>
      </w:r>
      <w:proofErr w:type="spellStart"/>
      <w:r w:rsidRPr="00D31DFB">
        <w:rPr>
          <w:bCs/>
        </w:rPr>
        <w:t>versa</w:t>
      </w:r>
      <w:proofErr w:type="spellEnd"/>
      <w:r w:rsidRPr="00D31DFB">
        <w:rPr>
          <w:bCs/>
        </w:rPr>
        <w:t xml:space="preserve"> </w:t>
      </w:r>
      <w:r w:rsidRPr="00D31DFB">
        <w:fldChar w:fldCharType="begin" w:fldLock="1"/>
      </w:r>
      <w:r w:rsidRPr="00D31DFB">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D31DFB">
        <w:fldChar w:fldCharType="separate"/>
      </w:r>
      <w:r w:rsidRPr="00D31DFB">
        <w:rPr>
          <w:noProof/>
        </w:rPr>
        <w:t>(</w:t>
      </w:r>
      <w:r w:rsidRPr="00D31DFB">
        <w:rPr>
          <w:noProof/>
          <w:lang w:val="en-US"/>
        </w:rPr>
        <w:t>Bodman &amp;</w:t>
      </w:r>
      <w:r w:rsidRPr="00D31DFB">
        <w:t xml:space="preserve"> Hodge, 2010</w:t>
      </w:r>
      <w:r w:rsidRPr="00D31DFB">
        <w:rPr>
          <w:lang w:val="en-US"/>
        </w:rPr>
        <w:t>).</w:t>
      </w:r>
      <w:r w:rsidRPr="00D31DFB">
        <w:fldChar w:fldCharType="end"/>
      </w:r>
      <w:r w:rsidRPr="00D31DFB">
        <w:rPr>
          <w:lang w:val="en-US"/>
        </w:rPr>
        <w:t xml:space="preserve"> </w:t>
      </w:r>
      <w:r w:rsidRPr="00D31DFB">
        <w:rPr>
          <w:bCs/>
        </w:rPr>
        <w:t xml:space="preserve">The </w:t>
      </w:r>
      <w:proofErr w:type="spellStart"/>
      <w:r w:rsidRPr="00D31DFB">
        <w:rPr>
          <w:bCs/>
        </w:rPr>
        <w:t>components</w:t>
      </w:r>
      <w:proofErr w:type="spellEnd"/>
      <w:r w:rsidRPr="00D31DFB">
        <w:rPr>
          <w:bCs/>
        </w:rPr>
        <w:t xml:space="preserve"> </w:t>
      </w:r>
      <w:proofErr w:type="spellStart"/>
      <w:r w:rsidRPr="00D31DFB">
        <w:rPr>
          <w:bCs/>
        </w:rPr>
        <w:t>of</w:t>
      </w:r>
      <w:proofErr w:type="spellEnd"/>
      <w:r w:rsidRPr="00D31DFB">
        <w:rPr>
          <w:bCs/>
        </w:rPr>
        <w:t xml:space="preserve"> </w:t>
      </w:r>
      <w:proofErr w:type="spellStart"/>
      <w:r w:rsidRPr="00D31DFB">
        <w:t>original</w:t>
      </w:r>
      <w:proofErr w:type="spellEnd"/>
      <w:r w:rsidRPr="00D31DFB">
        <w:t xml:space="preserve"> </w:t>
      </w:r>
      <w:proofErr w:type="spellStart"/>
      <w:r w:rsidRPr="00D31DFB">
        <w:t>local</w:t>
      </w:r>
      <w:proofErr w:type="spellEnd"/>
      <w:r w:rsidRPr="00D31DFB">
        <w:t xml:space="preserve"> </w:t>
      </w:r>
      <w:proofErr w:type="spellStart"/>
      <w:r w:rsidRPr="00D31DFB">
        <w:t>government</w:t>
      </w:r>
      <w:proofErr w:type="spellEnd"/>
      <w:r w:rsidRPr="00D31DFB">
        <w:t xml:space="preserve"> </w:t>
      </w:r>
      <w:proofErr w:type="spellStart"/>
      <w:r w:rsidRPr="00D31DFB">
        <w:t>revenue</w:t>
      </w:r>
      <w:proofErr w:type="spellEnd"/>
      <w:r w:rsidRPr="00D31DFB">
        <w:rPr>
          <w:bCs/>
        </w:rPr>
        <w:t xml:space="preserve"> </w:t>
      </w:r>
      <w:r w:rsidRPr="00D31DFB">
        <w:rPr>
          <w:bCs/>
          <w:lang w:val="en-US"/>
        </w:rPr>
        <w:t>within</w:t>
      </w:r>
      <w:r w:rsidRPr="00D31DFB">
        <w:rPr>
          <w:bCs/>
        </w:rPr>
        <w:t xml:space="preserve"> </w:t>
      </w:r>
      <w:proofErr w:type="spellStart"/>
      <w:r w:rsidRPr="00D31DFB">
        <w:rPr>
          <w:bCs/>
        </w:rPr>
        <w:t>West</w:t>
      </w:r>
      <w:proofErr w:type="spellEnd"/>
      <w:r w:rsidRPr="00D31DFB">
        <w:rPr>
          <w:bCs/>
        </w:rPr>
        <w:t xml:space="preserve"> Kalimantan </w:t>
      </w:r>
      <w:proofErr w:type="spellStart"/>
      <w:r w:rsidRPr="00D31DFB">
        <w:rPr>
          <w:bCs/>
        </w:rPr>
        <w:t>Province</w:t>
      </w:r>
      <w:proofErr w:type="spellEnd"/>
      <w:r w:rsidRPr="00D31DFB">
        <w:rPr>
          <w:bCs/>
        </w:rPr>
        <w:t xml:space="preserve"> </w:t>
      </w:r>
      <w:proofErr w:type="spellStart"/>
      <w:r w:rsidRPr="00D31DFB">
        <w:rPr>
          <w:bCs/>
        </w:rPr>
        <w:t>consist</w:t>
      </w:r>
      <w:proofErr w:type="spellEnd"/>
      <w:r w:rsidRPr="00D31DFB">
        <w:rPr>
          <w:bCs/>
        </w:rPr>
        <w:t xml:space="preserve"> </w:t>
      </w:r>
      <w:proofErr w:type="spellStart"/>
      <w:r w:rsidRPr="00D31DFB">
        <w:rPr>
          <w:bCs/>
        </w:rPr>
        <w:t>of</w:t>
      </w:r>
      <w:proofErr w:type="spellEnd"/>
      <w:r w:rsidRPr="00D31DFB">
        <w:rPr>
          <w:bCs/>
          <w:lang w:val="en-US"/>
        </w:rPr>
        <w:t xml:space="preserve"> : (1) local</w:t>
      </w:r>
      <w:r w:rsidRPr="00D31DFB">
        <w:rPr>
          <w:bCs/>
        </w:rPr>
        <w:t xml:space="preserve"> </w:t>
      </w:r>
      <w:proofErr w:type="spellStart"/>
      <w:r w:rsidRPr="00D31DFB">
        <w:rPr>
          <w:bCs/>
        </w:rPr>
        <w:t>taxes</w:t>
      </w:r>
      <w:proofErr w:type="spellEnd"/>
      <w:r w:rsidRPr="00D31DFB">
        <w:rPr>
          <w:bCs/>
        </w:rPr>
        <w:t xml:space="preserve">, </w:t>
      </w:r>
      <w:proofErr w:type="spellStart"/>
      <w:r w:rsidRPr="00D31DFB">
        <w:rPr>
          <w:bCs/>
        </w:rPr>
        <w:t>which</w:t>
      </w:r>
      <w:proofErr w:type="spellEnd"/>
      <w:r w:rsidRPr="00D31DFB">
        <w:rPr>
          <w:bCs/>
        </w:rPr>
        <w:t xml:space="preserve"> </w:t>
      </w:r>
      <w:proofErr w:type="spellStart"/>
      <w:r w:rsidRPr="00D31DFB">
        <w:rPr>
          <w:bCs/>
        </w:rPr>
        <w:t>provide</w:t>
      </w:r>
      <w:proofErr w:type="spellEnd"/>
      <w:r w:rsidRPr="00D31DFB">
        <w:rPr>
          <w:bCs/>
        </w:rPr>
        <w:t xml:space="preserve"> </w:t>
      </w:r>
      <w:proofErr w:type="spellStart"/>
      <w:r w:rsidRPr="00D31DFB">
        <w:rPr>
          <w:bCs/>
        </w:rPr>
        <w:t>the</w:t>
      </w:r>
      <w:proofErr w:type="spellEnd"/>
      <w:r w:rsidRPr="00D31DFB">
        <w:rPr>
          <w:bCs/>
        </w:rPr>
        <w:t xml:space="preserve"> </w:t>
      </w:r>
      <w:proofErr w:type="spellStart"/>
      <w:r w:rsidRPr="00D31DFB">
        <w:rPr>
          <w:bCs/>
        </w:rPr>
        <w:t>most</w:t>
      </w:r>
      <w:proofErr w:type="spellEnd"/>
      <w:r w:rsidRPr="00D31DFB">
        <w:rPr>
          <w:bCs/>
        </w:rPr>
        <w:t xml:space="preserve"> </w:t>
      </w:r>
      <w:proofErr w:type="spellStart"/>
      <w:r w:rsidRPr="00D31DFB">
        <w:rPr>
          <w:bCs/>
        </w:rPr>
        <w:t>considerable</w:t>
      </w:r>
      <w:proofErr w:type="spellEnd"/>
      <w:r w:rsidRPr="00D31DFB">
        <w:rPr>
          <w:bCs/>
        </w:rPr>
        <w:t xml:space="preserve"> </w:t>
      </w:r>
      <w:proofErr w:type="spellStart"/>
      <w:r w:rsidRPr="00D31DFB">
        <w:rPr>
          <w:bCs/>
        </w:rPr>
        <w:t>contribution</w:t>
      </w:r>
      <w:proofErr w:type="spellEnd"/>
      <w:r w:rsidRPr="00D31DFB">
        <w:rPr>
          <w:bCs/>
        </w:rPr>
        <w:t xml:space="preserve"> </w:t>
      </w:r>
      <w:proofErr w:type="spellStart"/>
      <w:r w:rsidRPr="00D31DFB">
        <w:rPr>
          <w:bCs/>
        </w:rPr>
        <w:t>to</w:t>
      </w:r>
      <w:proofErr w:type="spellEnd"/>
      <w:r w:rsidRPr="00D31DFB">
        <w:rPr>
          <w:bCs/>
        </w:rPr>
        <w:t xml:space="preserve"> PAD,</w:t>
      </w:r>
      <w:r w:rsidRPr="00D31DFB">
        <w:rPr>
          <w:bCs/>
          <w:lang w:val="en-US"/>
        </w:rPr>
        <w:t xml:space="preserve"> (2) retributions</w:t>
      </w:r>
      <w:r w:rsidRPr="00D31DFB">
        <w:rPr>
          <w:bCs/>
        </w:rPr>
        <w:t xml:space="preserve">, </w:t>
      </w:r>
      <w:proofErr w:type="spellStart"/>
      <w:r w:rsidRPr="00D31DFB">
        <w:rPr>
          <w:bCs/>
        </w:rPr>
        <w:t>with</w:t>
      </w:r>
      <w:proofErr w:type="spellEnd"/>
      <w:r w:rsidRPr="00D31DFB">
        <w:rPr>
          <w:bCs/>
        </w:rPr>
        <w:t xml:space="preserve"> </w:t>
      </w:r>
      <w:proofErr w:type="spellStart"/>
      <w:r w:rsidRPr="00D31DFB">
        <w:rPr>
          <w:bCs/>
        </w:rPr>
        <w:t>the</w:t>
      </w:r>
      <w:proofErr w:type="spellEnd"/>
      <w:r w:rsidRPr="00D31DFB">
        <w:rPr>
          <w:bCs/>
        </w:rPr>
        <w:t xml:space="preserve"> </w:t>
      </w:r>
      <w:proofErr w:type="spellStart"/>
      <w:r w:rsidRPr="00D31DFB">
        <w:rPr>
          <w:bCs/>
        </w:rPr>
        <w:t>most</w:t>
      </w:r>
      <w:proofErr w:type="spellEnd"/>
      <w:r w:rsidRPr="00D31DFB">
        <w:rPr>
          <w:bCs/>
        </w:rPr>
        <w:t xml:space="preserve"> </w:t>
      </w:r>
      <w:proofErr w:type="spellStart"/>
      <w:r w:rsidRPr="00D31DFB">
        <w:rPr>
          <w:bCs/>
        </w:rPr>
        <w:t>considerable</w:t>
      </w:r>
      <w:proofErr w:type="spellEnd"/>
      <w:r w:rsidRPr="00D31DFB">
        <w:rPr>
          <w:bCs/>
        </w:rPr>
        <w:t xml:space="preserve"> </w:t>
      </w:r>
      <w:proofErr w:type="spellStart"/>
      <w:r w:rsidRPr="00D31DFB">
        <w:rPr>
          <w:bCs/>
        </w:rPr>
        <w:t>portion</w:t>
      </w:r>
      <w:proofErr w:type="spellEnd"/>
      <w:r w:rsidRPr="00D31DFB">
        <w:rPr>
          <w:bCs/>
        </w:rPr>
        <w:t xml:space="preserve"> in </w:t>
      </w:r>
      <w:proofErr w:type="spellStart"/>
      <w:r w:rsidRPr="00D31DFB">
        <w:rPr>
          <w:bCs/>
        </w:rPr>
        <w:t>public</w:t>
      </w:r>
      <w:proofErr w:type="spellEnd"/>
      <w:r w:rsidRPr="00D31DFB">
        <w:rPr>
          <w:bCs/>
        </w:rPr>
        <w:t xml:space="preserve"> </w:t>
      </w:r>
      <w:proofErr w:type="spellStart"/>
      <w:r w:rsidRPr="00D31DFB">
        <w:rPr>
          <w:bCs/>
        </w:rPr>
        <w:t>service</w:t>
      </w:r>
      <w:proofErr w:type="spellEnd"/>
      <w:r w:rsidRPr="00D31DFB">
        <w:rPr>
          <w:bCs/>
        </w:rPr>
        <w:t xml:space="preserve"> </w:t>
      </w:r>
      <w:proofErr w:type="spellStart"/>
      <w:r w:rsidRPr="00D31DFB">
        <w:rPr>
          <w:bCs/>
        </w:rPr>
        <w:t>fees</w:t>
      </w:r>
      <w:proofErr w:type="spellEnd"/>
      <w:r w:rsidRPr="00D31DFB">
        <w:rPr>
          <w:bCs/>
        </w:rPr>
        <w:t>,</w:t>
      </w:r>
      <w:r w:rsidRPr="00D31DFB">
        <w:rPr>
          <w:bCs/>
          <w:lang w:val="en-US"/>
        </w:rPr>
        <w:t xml:space="preserve"> (3) the </w:t>
      </w:r>
      <w:proofErr w:type="spellStart"/>
      <w:r w:rsidRPr="00D31DFB">
        <w:t>income</w:t>
      </w:r>
      <w:proofErr w:type="spellEnd"/>
      <w:r w:rsidRPr="00D31DFB">
        <w:t xml:space="preserve"> </w:t>
      </w:r>
      <w:proofErr w:type="spellStart"/>
      <w:r w:rsidRPr="00D31DFB">
        <w:t>of</w:t>
      </w:r>
      <w:proofErr w:type="spellEnd"/>
      <w:r w:rsidRPr="00D31DFB">
        <w:t xml:space="preserve"> regional </w:t>
      </w:r>
      <w:proofErr w:type="spellStart"/>
      <w:r w:rsidRPr="00D31DFB">
        <w:t>government</w:t>
      </w:r>
      <w:proofErr w:type="spellEnd"/>
      <w:r w:rsidRPr="00D31DFB">
        <w:t xml:space="preserve"> </w:t>
      </w:r>
      <w:proofErr w:type="spellStart"/>
      <w:r w:rsidRPr="00D31DFB">
        <w:t>corporate</w:t>
      </w:r>
      <w:proofErr w:type="spellEnd"/>
      <w:r w:rsidRPr="00D31DFB">
        <w:t xml:space="preserve"> </w:t>
      </w:r>
      <w:proofErr w:type="spellStart"/>
      <w:r w:rsidRPr="00D31DFB">
        <w:t>and</w:t>
      </w:r>
      <w:proofErr w:type="spellEnd"/>
      <w:r w:rsidRPr="00D31DFB">
        <w:t xml:space="preserve"> </w:t>
      </w:r>
      <w:proofErr w:type="spellStart"/>
      <w:r w:rsidRPr="00D31DFB">
        <w:t>management</w:t>
      </w:r>
      <w:proofErr w:type="spellEnd"/>
      <w:r w:rsidRPr="00D31DFB">
        <w:t xml:space="preserve"> </w:t>
      </w:r>
      <w:proofErr w:type="spellStart"/>
      <w:r w:rsidRPr="00D31DFB">
        <w:t>of</w:t>
      </w:r>
      <w:proofErr w:type="spellEnd"/>
      <w:r w:rsidRPr="00D31DFB">
        <w:t xml:space="preserve"> </w:t>
      </w:r>
      <w:proofErr w:type="spellStart"/>
      <w:r w:rsidRPr="00D31DFB">
        <w:t>separated</w:t>
      </w:r>
      <w:proofErr w:type="spellEnd"/>
      <w:r w:rsidRPr="00D31DFB">
        <w:t xml:space="preserve"> </w:t>
      </w:r>
      <w:r w:rsidRPr="00D31DFB">
        <w:lastRenderedPageBreak/>
        <w:t xml:space="preserve">regional </w:t>
      </w:r>
      <w:proofErr w:type="spellStart"/>
      <w:r w:rsidRPr="00D31DFB">
        <w:t>government</w:t>
      </w:r>
      <w:proofErr w:type="spellEnd"/>
      <w:r w:rsidRPr="00D31DFB">
        <w:t xml:space="preserve"> </w:t>
      </w:r>
      <w:proofErr w:type="spellStart"/>
      <w:r w:rsidRPr="00D31DFB">
        <w:t>wealth</w:t>
      </w:r>
      <w:proofErr w:type="spellEnd"/>
      <w:r w:rsidRPr="00D31DFB">
        <w:rPr>
          <w:lang w:val="en-US"/>
        </w:rPr>
        <w:t>; (4) moreover,</w:t>
      </w:r>
      <w:r w:rsidRPr="00D31DFB">
        <w:t xml:space="preserve"> </w:t>
      </w:r>
      <w:r w:rsidRPr="00D31DFB">
        <w:rPr>
          <w:lang w:val="en-US"/>
        </w:rPr>
        <w:t>an</w:t>
      </w:r>
      <w:proofErr w:type="spellStart"/>
      <w:r w:rsidRPr="00D31DFB">
        <w:t>other</w:t>
      </w:r>
      <w:proofErr w:type="spellEnd"/>
      <w:r w:rsidRPr="00D31DFB">
        <w:t xml:space="preserve"> </w:t>
      </w:r>
      <w:proofErr w:type="spellStart"/>
      <w:r w:rsidRPr="00D31DFB">
        <w:t>local</w:t>
      </w:r>
      <w:proofErr w:type="spellEnd"/>
      <w:r w:rsidRPr="00D31DFB">
        <w:t xml:space="preserve"> </w:t>
      </w:r>
      <w:proofErr w:type="spellStart"/>
      <w:r w:rsidRPr="00D31DFB">
        <w:t>government</w:t>
      </w:r>
      <w:proofErr w:type="spellEnd"/>
      <w:r w:rsidRPr="00D31DFB">
        <w:t xml:space="preserve"> </w:t>
      </w:r>
      <w:proofErr w:type="spellStart"/>
      <w:r w:rsidRPr="00D31DFB">
        <w:t>revenue</w:t>
      </w:r>
      <w:proofErr w:type="spellEnd"/>
      <w:r w:rsidRPr="00D31DFB">
        <w:rPr>
          <w:lang w:val="en-US"/>
        </w:rPr>
        <w:t xml:space="preserve"> </w:t>
      </w:r>
      <w:proofErr w:type="spellStart"/>
      <w:r w:rsidRPr="00D31DFB">
        <w:rPr>
          <w:bCs/>
        </w:rPr>
        <w:t>provides</w:t>
      </w:r>
      <w:proofErr w:type="spellEnd"/>
      <w:r w:rsidRPr="00D31DFB">
        <w:rPr>
          <w:bCs/>
        </w:rPr>
        <w:t xml:space="preserve"> </w:t>
      </w:r>
      <w:proofErr w:type="spellStart"/>
      <w:r w:rsidRPr="00D31DFB">
        <w:rPr>
          <w:bCs/>
        </w:rPr>
        <w:t>the</w:t>
      </w:r>
      <w:proofErr w:type="spellEnd"/>
      <w:r w:rsidRPr="00D31DFB">
        <w:rPr>
          <w:bCs/>
        </w:rPr>
        <w:t xml:space="preserve"> </w:t>
      </w:r>
      <w:proofErr w:type="spellStart"/>
      <w:r w:rsidRPr="00D31DFB">
        <w:rPr>
          <w:bCs/>
        </w:rPr>
        <w:t>second-largest</w:t>
      </w:r>
      <w:proofErr w:type="spellEnd"/>
      <w:r w:rsidRPr="00D31DFB">
        <w:rPr>
          <w:bCs/>
        </w:rPr>
        <w:t xml:space="preserve"> </w:t>
      </w:r>
      <w:proofErr w:type="spellStart"/>
      <w:r w:rsidRPr="00D31DFB">
        <w:rPr>
          <w:bCs/>
        </w:rPr>
        <w:t>contribution</w:t>
      </w:r>
      <w:proofErr w:type="spellEnd"/>
      <w:r w:rsidRPr="00D31DFB">
        <w:rPr>
          <w:bCs/>
        </w:rPr>
        <w:t xml:space="preserve"> </w:t>
      </w:r>
      <w:proofErr w:type="spellStart"/>
      <w:r w:rsidRPr="00D31DFB">
        <w:rPr>
          <w:bCs/>
        </w:rPr>
        <w:t>after</w:t>
      </w:r>
      <w:proofErr w:type="spellEnd"/>
      <w:r w:rsidRPr="00D31DFB">
        <w:rPr>
          <w:bCs/>
        </w:rPr>
        <w:t xml:space="preserve"> </w:t>
      </w:r>
      <w:proofErr w:type="spellStart"/>
      <w:r w:rsidRPr="00D31DFB">
        <w:rPr>
          <w:bCs/>
        </w:rPr>
        <w:t>taxes</w:t>
      </w:r>
      <w:proofErr w:type="spellEnd"/>
      <w:r w:rsidRPr="00D31DFB">
        <w:rPr>
          <w:bCs/>
        </w:rPr>
        <w:t xml:space="preserve"> </w:t>
      </w:r>
      <w:proofErr w:type="spellStart"/>
      <w:r w:rsidRPr="00D31DFB">
        <w:rPr>
          <w:bCs/>
        </w:rPr>
        <w:t>on</w:t>
      </w:r>
      <w:proofErr w:type="spellEnd"/>
      <w:r w:rsidRPr="00D31DFB">
        <w:rPr>
          <w:bCs/>
        </w:rPr>
        <w:t xml:space="preserve"> PAD</w:t>
      </w:r>
      <w:r w:rsidRPr="00D31DFB">
        <w:rPr>
          <w:bCs/>
          <w:lang w:val="en-US"/>
        </w:rPr>
        <w:t xml:space="preserve"> </w:t>
      </w:r>
      <w:r w:rsidRPr="00D31DFB">
        <w:fldChar w:fldCharType="begin" w:fldLock="1"/>
      </w:r>
      <w:r w:rsidRPr="00D31DFB">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D31DFB">
        <w:fldChar w:fldCharType="separate"/>
      </w:r>
      <w:r w:rsidRPr="00D31DFB">
        <w:rPr>
          <w:noProof/>
        </w:rPr>
        <w:t>(Nasir, 2019)</w:t>
      </w:r>
      <w:r w:rsidRPr="00D31DFB">
        <w:fldChar w:fldCharType="end"/>
      </w:r>
      <w:r w:rsidRPr="00D31DFB">
        <w:rPr>
          <w:bCs/>
          <w:lang w:val="en-US"/>
        </w:rPr>
        <w:t>.</w:t>
      </w:r>
    </w:p>
    <w:p w:rsidR="00A84AA6" w:rsidRPr="00D31DFB" w:rsidRDefault="00A84AA6" w:rsidP="00A84AA6">
      <w:pPr>
        <w:pStyle w:val="NormalWeb"/>
        <w:adjustRightInd w:val="0"/>
        <w:snapToGrid w:val="0"/>
        <w:spacing w:before="0" w:beforeAutospacing="0" w:after="0" w:afterAutospacing="0"/>
        <w:jc w:val="both"/>
        <w:rPr>
          <w:bCs/>
          <w:lang w:val="en-US"/>
        </w:rPr>
      </w:pPr>
    </w:p>
    <w:p w:rsidR="00F11C26" w:rsidRPr="00D31DFB" w:rsidRDefault="00F11C26" w:rsidP="00A84AA6">
      <w:pPr>
        <w:adjustRightInd w:val="0"/>
        <w:snapToGrid w:val="0"/>
        <w:jc w:val="both"/>
        <w:rPr>
          <w:b/>
          <w:bCs/>
        </w:rPr>
      </w:pPr>
      <w:r w:rsidRPr="00D31DFB">
        <w:rPr>
          <w:b/>
          <w:bCs/>
        </w:rPr>
        <w:t xml:space="preserve">Balanced Budget </w:t>
      </w:r>
    </w:p>
    <w:p w:rsidR="00F11C26" w:rsidRPr="00D31DFB" w:rsidRDefault="00F11C26" w:rsidP="00A84AA6">
      <w:pPr>
        <w:adjustRightInd w:val="0"/>
        <w:snapToGrid w:val="0"/>
        <w:ind w:firstLine="709"/>
        <w:jc w:val="both"/>
        <w:rPr>
          <w:bCs/>
        </w:rPr>
      </w:pPr>
      <w:r w:rsidRPr="00D31DFB">
        <w:t xml:space="preserve">Balanced </w:t>
      </w:r>
      <w:proofErr w:type="spellStart"/>
      <w:r w:rsidRPr="00D31DFB">
        <w:t>budgets</w:t>
      </w:r>
      <w:proofErr w:type="spellEnd"/>
      <w:r w:rsidRPr="00D31DFB">
        <w:rPr>
          <w:bCs/>
        </w:rPr>
        <w:t xml:space="preserve"> are </w:t>
      </w:r>
      <w:proofErr w:type="spellStart"/>
      <w:r w:rsidRPr="00D31DFB">
        <w:rPr>
          <w:bCs/>
        </w:rPr>
        <w:t>funding</w:t>
      </w:r>
      <w:proofErr w:type="spellEnd"/>
      <w:r w:rsidRPr="00D31DFB">
        <w:rPr>
          <w:bCs/>
        </w:rPr>
        <w:t xml:space="preserve"> </w:t>
      </w:r>
      <w:proofErr w:type="spellStart"/>
      <w:r w:rsidRPr="00D31DFB">
        <w:rPr>
          <w:bCs/>
        </w:rPr>
        <w:t>assistance</w:t>
      </w:r>
      <w:proofErr w:type="spellEnd"/>
      <w:r w:rsidRPr="00D31DFB">
        <w:rPr>
          <w:bCs/>
        </w:rPr>
        <w:t xml:space="preserve"> </w:t>
      </w:r>
      <w:proofErr w:type="spellStart"/>
      <w:r w:rsidRPr="00D31DFB">
        <w:rPr>
          <w:bCs/>
        </w:rPr>
        <w:t>from</w:t>
      </w:r>
      <w:proofErr w:type="spellEnd"/>
      <w:r w:rsidRPr="00D31DFB">
        <w:rPr>
          <w:bCs/>
        </w:rPr>
        <w:t xml:space="preserve"> APBN </w:t>
      </w:r>
      <w:proofErr w:type="spellStart"/>
      <w:r w:rsidRPr="00D31DFB">
        <w:rPr>
          <w:bCs/>
        </w:rPr>
        <w:t>revenues</w:t>
      </w:r>
      <w:proofErr w:type="spellEnd"/>
      <w:r w:rsidRPr="00D31DFB">
        <w:rPr>
          <w:bCs/>
        </w:rPr>
        <w:t xml:space="preserve"> </w:t>
      </w:r>
      <w:proofErr w:type="spellStart"/>
      <w:r w:rsidRPr="00D31DFB">
        <w:rPr>
          <w:bCs/>
        </w:rPr>
        <w:t>transferred</w:t>
      </w:r>
      <w:proofErr w:type="spellEnd"/>
      <w:r w:rsidRPr="00D31DFB">
        <w:rPr>
          <w:bCs/>
        </w:rPr>
        <w:t xml:space="preserve"> </w:t>
      </w:r>
      <w:proofErr w:type="spellStart"/>
      <w:r w:rsidRPr="00D31DFB">
        <w:rPr>
          <w:bCs/>
        </w:rPr>
        <w:t>to</w:t>
      </w:r>
      <w:proofErr w:type="spellEnd"/>
      <w:r w:rsidRPr="00D31DFB">
        <w:rPr>
          <w:bCs/>
        </w:rPr>
        <w:t xml:space="preserve"> </w:t>
      </w:r>
      <w:proofErr w:type="spellStart"/>
      <w:r w:rsidRPr="00D31DFB">
        <w:rPr>
          <w:bCs/>
        </w:rPr>
        <w:t>local</w:t>
      </w:r>
      <w:proofErr w:type="spellEnd"/>
      <w:r w:rsidRPr="00D31DFB">
        <w:rPr>
          <w:bCs/>
        </w:rPr>
        <w:t xml:space="preserve"> </w:t>
      </w:r>
      <w:proofErr w:type="spellStart"/>
      <w:r w:rsidRPr="00D31DFB">
        <w:rPr>
          <w:bCs/>
        </w:rPr>
        <w:t>governments</w:t>
      </w:r>
      <w:proofErr w:type="spellEnd"/>
      <w:r w:rsidRPr="00D31DFB">
        <w:rPr>
          <w:bCs/>
        </w:rPr>
        <w:t xml:space="preserve">. The aim is to address financial gaps caused by differences in potential sources of income for each region. With this, it is hoped that it can assist regions in financing their needs to facilitate regions in realizing decentralization. A </w:t>
      </w:r>
      <w:r w:rsidRPr="00D31DFB">
        <w:t>balanced budget</w:t>
      </w:r>
      <w:r w:rsidRPr="00D31DFB">
        <w:rPr>
          <w:bCs/>
        </w:rPr>
        <w:t xml:space="preserve"> consists of the first, namely sharing funds (DBH), whose sources come from taxes and not taxes or natural resources. It is a fund from APBN revenue sharing provided by the central government to local governments with a specific state revenue percentage. The DBH allocation is given based on two principles, namely by origin, where a larger percentage is given to regions that contribute to generating state revenue, and other regions are divided based on equalization. In contrast, by actual, the distribution is based on actual revenue, both tax, and non-tax.</w:t>
      </w:r>
    </w:p>
    <w:p w:rsidR="00F11C26" w:rsidRPr="00D31DFB" w:rsidRDefault="00F11C26" w:rsidP="00A84AA6">
      <w:pPr>
        <w:adjustRightInd w:val="0"/>
        <w:snapToGrid w:val="0"/>
        <w:ind w:firstLine="709"/>
        <w:jc w:val="both"/>
        <w:rPr>
          <w:bCs/>
        </w:rPr>
      </w:pPr>
      <w:r w:rsidRPr="00D31DFB">
        <w:rPr>
          <w:bCs/>
        </w:rPr>
        <w:t xml:space="preserve">The second is the general allocation fund, which is the most considerable portion of the transfer funds given to local governments to all autonomous regions. DAU is entirely left to the regions and is mostly used to finance general routine expenditures. DAU is given to fill the fiscal gap caused by an imbalance between each region's capacity and fiscal needs. So that with the DAU, it is expected that financial capacity is evenly distributed between each region. According to </w:t>
      </w:r>
      <w:r w:rsidRPr="00D31DFB">
        <w:fldChar w:fldCharType="begin" w:fldLock="1"/>
      </w:r>
      <w:r w:rsidRPr="00D31DFB">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D31DFB">
        <w:fldChar w:fldCharType="separate"/>
      </w:r>
      <w:r w:rsidRPr="00D31DFB">
        <w:rPr>
          <w:noProof/>
        </w:rPr>
        <w:t>Inayati &amp; Setiawan (2012)</w:t>
      </w:r>
      <w:r w:rsidRPr="00D31DFB">
        <w:fldChar w:fldCharType="end"/>
      </w:r>
      <w:r w:rsidRPr="00D31DFB">
        <w:rPr>
          <w:bCs/>
        </w:rPr>
        <w:t>, the fiscal gap's size determines the amount of DAU disbursement to a region. The fiscal gap is obtained from reducing the needs of regions with regional potential.</w:t>
      </w:r>
    </w:p>
    <w:p w:rsidR="00F11C26" w:rsidRPr="00D31DFB" w:rsidRDefault="00F11C26" w:rsidP="00A84AA6">
      <w:pPr>
        <w:adjustRightInd w:val="0"/>
        <w:snapToGrid w:val="0"/>
        <w:ind w:firstLine="709"/>
        <w:jc w:val="both"/>
        <w:rPr>
          <w:bCs/>
        </w:rPr>
      </w:pPr>
      <w:r w:rsidRPr="00D31DFB">
        <w:rPr>
          <w:bCs/>
        </w:rPr>
        <w:t>The last component of the balanced budget is the special allocation fund, which is funds allocated to specific regions, either province, regencies, or cities to assist in funding special needs, which are included in national priorities and become part of regional government affairs. Several criteria need to be considered in the provision of DAK, namely: (1) regional fiscal capacity in funding regional development needs as reflected in the APBD, known as general criteria; (2) Characteristics and specificities of an area such as food security areas, border areas, coastal areas, islands, remote, underdeveloped, and prone to natural disasters, are stipulated as unique criteria; and (3) the condition of facilities and infrastructure for each activity to be financed by DAK is based on technical ministries or ministries’ indicators where these are designated as technical criteria.</w:t>
      </w:r>
    </w:p>
    <w:p w:rsidR="00A84AA6" w:rsidRPr="00D31DFB" w:rsidRDefault="00A84AA6" w:rsidP="00A84AA6">
      <w:pPr>
        <w:adjustRightInd w:val="0"/>
        <w:snapToGrid w:val="0"/>
        <w:ind w:firstLine="709"/>
        <w:jc w:val="both"/>
        <w:rPr>
          <w:bCs/>
        </w:rPr>
      </w:pPr>
    </w:p>
    <w:p w:rsidR="00F11C26" w:rsidRPr="00D31DFB" w:rsidRDefault="00F11C26" w:rsidP="00A84AA6">
      <w:pPr>
        <w:pStyle w:val="NormalWeb"/>
        <w:adjustRightInd w:val="0"/>
        <w:snapToGrid w:val="0"/>
        <w:spacing w:before="0" w:beforeAutospacing="0" w:after="0" w:afterAutospacing="0"/>
        <w:jc w:val="both"/>
        <w:rPr>
          <w:b/>
          <w:bCs/>
          <w:color w:val="222222"/>
          <w:lang w:val="en"/>
        </w:rPr>
      </w:pPr>
      <w:r w:rsidRPr="00D31DFB">
        <w:rPr>
          <w:b/>
          <w:bCs/>
          <w:color w:val="222222"/>
          <w:lang w:val="en"/>
        </w:rPr>
        <w:t xml:space="preserve">Local Government Expenditure </w:t>
      </w:r>
    </w:p>
    <w:p w:rsidR="00A84AA6" w:rsidRPr="00D31DFB" w:rsidRDefault="00F11C26" w:rsidP="00A84AA6">
      <w:pPr>
        <w:pStyle w:val="NormalWeb"/>
        <w:adjustRightInd w:val="0"/>
        <w:snapToGrid w:val="0"/>
        <w:spacing w:before="0" w:beforeAutospacing="0" w:after="0" w:afterAutospacing="0"/>
        <w:ind w:firstLine="720"/>
        <w:jc w:val="both"/>
        <w:rPr>
          <w:lang w:val="en-US"/>
        </w:rPr>
      </w:pPr>
      <w:r w:rsidRPr="00D31DFB">
        <w:rPr>
          <w:color w:val="222222"/>
          <w:lang w:val="en"/>
        </w:rPr>
        <w:t>Local government expenditure is the regional government's total expenditure in financing its government affairs following the stipulated provisions.</w:t>
      </w:r>
      <w:r w:rsidRPr="00D31DFB">
        <w:rPr>
          <w:lang w:val="en-US"/>
        </w:rPr>
        <w:t xml:space="preserve"> It is classified into two types of classifications, namely: (1) based on government affairs, which consists of spending on the implementation of mandatory and optional affairs; (2) based on programs and activities, which include indirect spending and direct spending. Regional revenue and regional expenditure have an interrelated relationship. </w:t>
      </w:r>
      <w:r w:rsidRPr="00D31DFB">
        <w:rPr>
          <w:color w:val="222222"/>
          <w:lang w:val="en"/>
        </w:rPr>
        <w:t xml:space="preserve">Local government expenditure </w:t>
      </w:r>
      <w:r w:rsidRPr="00D31DFB">
        <w:rPr>
          <w:lang w:val="en-US"/>
        </w:rPr>
        <w:t>plays an essential role in increasing the income of a region. Regional income is the source used by local governments to carry out regional spending. An increase in the gross regional domestic product will increase the region's amount of revenue to impact increasing spending to finance regional development.</w:t>
      </w:r>
    </w:p>
    <w:p w:rsidR="00A84AA6" w:rsidRPr="00D31DFB" w:rsidRDefault="00A84AA6" w:rsidP="00A84AA6">
      <w:pPr>
        <w:pStyle w:val="NormalWeb"/>
        <w:adjustRightInd w:val="0"/>
        <w:snapToGrid w:val="0"/>
        <w:spacing w:before="0" w:beforeAutospacing="0" w:after="0" w:afterAutospacing="0"/>
        <w:ind w:firstLine="720"/>
        <w:jc w:val="both"/>
        <w:rPr>
          <w:lang w:val="en-US"/>
        </w:rPr>
      </w:pPr>
    </w:p>
    <w:p w:rsidR="00F11C26" w:rsidRPr="00A84AA6" w:rsidRDefault="00F11C26" w:rsidP="00A84AA6">
      <w:pPr>
        <w:pStyle w:val="NormalWeb"/>
        <w:adjustRightInd w:val="0"/>
        <w:snapToGrid w:val="0"/>
        <w:spacing w:before="0" w:beforeAutospacing="0" w:after="0" w:afterAutospacing="0"/>
        <w:jc w:val="both"/>
        <w:rPr>
          <w:lang w:val="en-US"/>
        </w:rPr>
      </w:pPr>
      <w:r w:rsidRPr="00A84AA6">
        <w:rPr>
          <w:b/>
          <w:bCs/>
          <w:lang w:val="en-US"/>
        </w:rPr>
        <w:t>Flypaper Effect</w:t>
      </w:r>
    </w:p>
    <w:p w:rsidR="00F11C26" w:rsidRPr="00A84AA6" w:rsidRDefault="00F11C26" w:rsidP="00A84AA6">
      <w:pPr>
        <w:pStyle w:val="NormalWeb"/>
        <w:adjustRightInd w:val="0"/>
        <w:snapToGrid w:val="0"/>
        <w:spacing w:before="0" w:beforeAutospacing="0" w:after="0" w:afterAutospacing="0"/>
        <w:ind w:firstLine="709"/>
        <w:jc w:val="both"/>
        <w:rPr>
          <w:b/>
          <w:bCs/>
          <w:lang w:val="en-US"/>
        </w:rPr>
      </w:pPr>
      <w:r w:rsidRPr="00A84AA6">
        <w:rPr>
          <w:lang w:val="en-US"/>
        </w:rPr>
        <w:t xml:space="preserve">The flypaper effect is a condition in which local governments tend to be responsive to assistance funds provided by the central government or better known as transfer funds, rather </w:t>
      </w:r>
      <w:r w:rsidRPr="00A84AA6">
        <w:rPr>
          <w:lang w:val="en-US"/>
        </w:rPr>
        <w:lastRenderedPageBreak/>
        <w:t>than the original regional income itself in financing regional expenditures (</w:t>
      </w:r>
      <w:r w:rsidRPr="00A84AA6">
        <w:fldChar w:fldCharType="begin" w:fldLock="1"/>
      </w:r>
      <w:r w:rsidRPr="00A84AA6">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A84AA6">
        <w:fldChar w:fldCharType="separate"/>
      </w:r>
      <w:r w:rsidRPr="00A84AA6">
        <w:rPr>
          <w:noProof/>
          <w:lang w:val="en-US"/>
        </w:rPr>
        <w:t xml:space="preserve">Aragon, </w:t>
      </w:r>
      <w:r w:rsidRPr="00A84AA6">
        <w:rPr>
          <w:noProof/>
        </w:rPr>
        <w:t>201</w:t>
      </w:r>
      <w:r w:rsidRPr="00A84AA6">
        <w:rPr>
          <w:noProof/>
          <w:lang w:val="en-US"/>
        </w:rPr>
        <w:t xml:space="preserve">3; </w:t>
      </w:r>
      <w:r w:rsidRPr="00A84AA6">
        <w:rPr>
          <w:lang w:val="en-US"/>
        </w:rPr>
        <w:t>Vegh &amp; Vuletin, 2015</w:t>
      </w:r>
      <w:r w:rsidRPr="00A84AA6">
        <w:rPr>
          <w:noProof/>
          <w:lang w:val="en-US"/>
        </w:rPr>
        <w:t xml:space="preserve"> </w:t>
      </w:r>
      <w:r w:rsidRPr="00A84AA6">
        <w:rPr>
          <w:noProof/>
        </w:rPr>
        <w:t>)</w:t>
      </w:r>
      <w:r w:rsidRPr="00A84AA6">
        <w:fldChar w:fldCharType="end"/>
      </w:r>
      <w:r w:rsidRPr="00A84AA6">
        <w:rPr>
          <w:bCs/>
          <w:lang w:val="en-US"/>
        </w:rPr>
        <w:t xml:space="preserve">. </w:t>
      </w:r>
      <w:r w:rsidRPr="00A84AA6">
        <w:rPr>
          <w:lang w:val="en-US"/>
        </w:rPr>
        <w:t xml:space="preserve">The flypaper effect can occur if </w:t>
      </w:r>
      <w:r w:rsidRPr="00A84AA6">
        <w:rPr>
          <w:color w:val="222222"/>
          <w:lang w:val="en"/>
        </w:rPr>
        <w:t>local government expenditure</w:t>
      </w:r>
      <w:r w:rsidRPr="00A84AA6">
        <w:rPr>
          <w:lang w:val="en-US"/>
        </w:rPr>
        <w:t xml:space="preserve"> has a smaller coefficient value than the effect of transfer funds on regional spending. </w:t>
      </w:r>
      <w:r w:rsidRPr="00A84AA6">
        <w:fldChar w:fldCharType="begin" w:fldLock="1"/>
      </w:r>
      <w:r w:rsidRPr="00A84AA6">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A84AA6">
        <w:fldChar w:fldCharType="separate"/>
      </w:r>
      <w:r w:rsidRPr="00A84AA6">
        <w:rPr>
          <w:lang w:val="en-US"/>
        </w:rPr>
        <w:t>Sag ̆bas &amp; Saruc (2004)</w:t>
      </w:r>
      <w:r w:rsidRPr="00A84AA6">
        <w:rPr>
          <w:noProof/>
          <w:lang w:val="en-US"/>
        </w:rPr>
        <w:t xml:space="preserve"> </w:t>
      </w:r>
      <w:r w:rsidRPr="00A84AA6">
        <w:fldChar w:fldCharType="end"/>
      </w:r>
      <w:r w:rsidRPr="00A84AA6">
        <w:rPr>
          <w:lang w:val="en-US"/>
        </w:rPr>
        <w:t>have examined the flypaper effect in Turkey. According to him, two theories underlie the flypaper effect, namely the fiscal illusion, where residents do not understand and misperceptions about financing and cost-sharing of public goods, and the bureaucratic model, which considers flypaper to occur because the behavior of bureaucrats is more comfortable to spend transfer funds in maximizing the budget-compared to attempts to raise taxes. The study results reveal that the bureaucratic model is more capable of tracking the flypaper effect phenomenon.</w:t>
      </w:r>
    </w:p>
    <w:p w:rsidR="00F11C26" w:rsidRPr="00A84AA6" w:rsidRDefault="00F11C26" w:rsidP="00A84AA6">
      <w:pPr>
        <w:pStyle w:val="NormalWeb"/>
        <w:adjustRightInd w:val="0"/>
        <w:snapToGrid w:val="0"/>
        <w:spacing w:before="0" w:beforeAutospacing="0" w:after="0" w:afterAutospacing="0"/>
        <w:ind w:firstLine="709"/>
        <w:jc w:val="both"/>
        <w:rPr>
          <w:lang w:val="en-US"/>
        </w:rPr>
      </w:pPr>
      <w:r w:rsidRPr="00A84AA6">
        <w:rPr>
          <w:lang w:val="en-US"/>
        </w:rPr>
        <w:t xml:space="preserve">The flypaper effect phenomenon has occurred in several countries. </w:t>
      </w:r>
      <w:r w:rsidRPr="00A84AA6">
        <w:fldChar w:fldCharType="begin" w:fldLock="1"/>
      </w:r>
      <w:r w:rsidRPr="00A84AA6">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A84AA6">
        <w:fldChar w:fldCharType="separate"/>
      </w:r>
      <w:r w:rsidRPr="00A84AA6">
        <w:rPr>
          <w:noProof/>
          <w:lang w:val="en-US"/>
        </w:rPr>
        <w:t>Aragon (</w:t>
      </w:r>
      <w:r w:rsidRPr="00A84AA6">
        <w:rPr>
          <w:noProof/>
        </w:rPr>
        <w:t>201</w:t>
      </w:r>
      <w:r w:rsidRPr="00A84AA6">
        <w:rPr>
          <w:noProof/>
          <w:lang w:val="en-US"/>
        </w:rPr>
        <w:t>3</w:t>
      </w:r>
      <w:r w:rsidRPr="00A84AA6">
        <w:rPr>
          <w:noProof/>
        </w:rPr>
        <w:t>)</w:t>
      </w:r>
      <w:r w:rsidRPr="00A84AA6">
        <w:fldChar w:fldCharType="end"/>
      </w:r>
      <w:r w:rsidRPr="00A84AA6">
        <w:rPr>
          <w:lang w:val="en-US"/>
        </w:rPr>
        <w:t xml:space="preserve"> has conducted research on local expenditure, transfers, and taxes in Peruvian cities. The results prove strongly that central government grants have a more significant stimulating effect than local taxes collected by local governments. </w:t>
      </w:r>
      <w:r w:rsidR="009044BB">
        <w:rPr>
          <w:lang w:val="en-US"/>
        </w:rPr>
        <w:t>The</w:t>
      </w:r>
      <w:r w:rsidRPr="00A84AA6">
        <w:rPr>
          <w:lang w:val="en-US"/>
        </w:rPr>
        <w:t xml:space="preserve"> expensive local taxes can explain the flypaper effect. Furthermore, in Mexico, </w:t>
      </w:r>
      <w:r w:rsidRPr="00A84AA6">
        <w:fldChar w:fldCharType="begin" w:fldLock="1"/>
      </w:r>
      <w:r w:rsidRPr="00A84AA6">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A84AA6">
        <w:fldChar w:fldCharType="separate"/>
      </w:r>
      <w:r w:rsidRPr="00A84AA6">
        <w:rPr>
          <w:noProof/>
          <w:lang w:val="en-US"/>
        </w:rPr>
        <w:t>Sour</w:t>
      </w:r>
      <w:r w:rsidRPr="00A84AA6">
        <w:rPr>
          <w:lang w:val="en-US"/>
        </w:rPr>
        <w:t xml:space="preserve"> (2013</w:t>
      </w:r>
      <w:r w:rsidRPr="00A84AA6">
        <w:rPr>
          <w:noProof/>
        </w:rPr>
        <w:t>)</w:t>
      </w:r>
      <w:r w:rsidRPr="00A84AA6">
        <w:fldChar w:fldCharType="end"/>
      </w:r>
      <w:r w:rsidRPr="00A84AA6">
        <w:rPr>
          <w:lang w:val="en-US"/>
        </w:rPr>
        <w:t xml:space="preserve"> discusses the flypaper effect on local governments with panel data for 17 years, from 1990 to 2007. The results prove a flypaper effect shown in local government spending, which is driven more by increasing unconditional transfers from the government than an increase in the income of members of that community.</w:t>
      </w:r>
    </w:p>
    <w:p w:rsidR="00F11C26" w:rsidRPr="00A84AA6" w:rsidRDefault="00F11C26" w:rsidP="00A84AA6">
      <w:pPr>
        <w:pStyle w:val="NormalWeb"/>
        <w:adjustRightInd w:val="0"/>
        <w:snapToGrid w:val="0"/>
        <w:spacing w:before="0" w:beforeAutospacing="0" w:after="0" w:afterAutospacing="0"/>
        <w:ind w:firstLine="709"/>
        <w:jc w:val="both"/>
        <w:rPr>
          <w:lang w:val="en-US"/>
        </w:rPr>
      </w:pPr>
      <w:r w:rsidRPr="00A84AA6">
        <w:fldChar w:fldCharType="begin" w:fldLock="1"/>
      </w:r>
      <w:r w:rsidRPr="00A84AA6">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A84AA6">
        <w:fldChar w:fldCharType="separate"/>
      </w:r>
      <w:r w:rsidRPr="00A84AA6">
        <w:rPr>
          <w:lang w:val="en-US"/>
        </w:rPr>
        <w:t>Cruz &amp; Silva</w:t>
      </w:r>
      <w:r w:rsidRPr="00A84AA6">
        <w:rPr>
          <w:noProof/>
          <w:lang w:val="en-US"/>
        </w:rPr>
        <w:t xml:space="preserve"> (</w:t>
      </w:r>
      <w:r w:rsidRPr="00A84AA6">
        <w:rPr>
          <w:lang w:val="en-US"/>
        </w:rPr>
        <w:t>2020</w:t>
      </w:r>
      <w:r w:rsidRPr="00A84AA6">
        <w:rPr>
          <w:noProof/>
        </w:rPr>
        <w:t>)</w:t>
      </w:r>
      <w:r w:rsidRPr="00A84AA6">
        <w:fldChar w:fldCharType="end"/>
      </w:r>
      <w:r w:rsidRPr="00A84AA6">
        <w:rPr>
          <w:lang w:val="en-US"/>
        </w:rPr>
        <w:t xml:space="preserve"> have examined the flypaper effect of intergovernmental transfers in Brazil's education sector. The results found that the elasticity of education costs for funds from federal government transfers is significantly greater than the elasticity of the government's responses to local income, thus indicating that there has been a flypaper effect. However, this study is not in line with </w:t>
      </w:r>
      <w:r w:rsidRPr="00A84AA6">
        <w:fldChar w:fldCharType="begin" w:fldLock="1"/>
      </w:r>
      <w:r w:rsidRPr="00A84AA6">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A84AA6">
        <w:fldChar w:fldCharType="separate"/>
      </w:r>
      <w:r w:rsidRPr="00A84AA6">
        <w:rPr>
          <w:lang w:val="en-US"/>
        </w:rPr>
        <w:t xml:space="preserve"> Thornton's</w:t>
      </w:r>
      <w:r w:rsidRPr="00A84AA6">
        <w:rPr>
          <w:noProof/>
          <w:lang w:val="en-US"/>
        </w:rPr>
        <w:t xml:space="preserve"> (</w:t>
      </w:r>
      <w:r w:rsidRPr="00A84AA6">
        <w:rPr>
          <w:lang w:val="en-US"/>
        </w:rPr>
        <w:t>2011</w:t>
      </w:r>
      <w:r w:rsidRPr="00A84AA6">
        <w:rPr>
          <w:noProof/>
        </w:rPr>
        <w:t>)</w:t>
      </w:r>
      <w:r w:rsidRPr="00A84AA6">
        <w:fldChar w:fldCharType="end"/>
      </w:r>
      <w:r w:rsidRPr="00A84AA6">
        <w:rPr>
          <w:lang w:val="en-US"/>
        </w:rPr>
        <w:t xml:space="preserve"> study, which examines the effect of grants from the federal government with a sample of non-profit companies. The results showed that no flypaper effect was found in non-profit companies.</w:t>
      </w:r>
    </w:p>
    <w:p w:rsidR="00F11C26" w:rsidRPr="00A84AA6" w:rsidRDefault="00F11C26" w:rsidP="00A84AA6">
      <w:pPr>
        <w:pStyle w:val="NormalWeb"/>
        <w:adjustRightInd w:val="0"/>
        <w:snapToGrid w:val="0"/>
        <w:spacing w:before="0" w:beforeAutospacing="0" w:after="0" w:afterAutospacing="0"/>
        <w:ind w:firstLine="709"/>
        <w:jc w:val="both"/>
        <w:rPr>
          <w:lang w:val="en-US"/>
        </w:rPr>
      </w:pPr>
      <w:r w:rsidRPr="00A84AA6">
        <w:rPr>
          <w:lang w:val="en-US"/>
        </w:rPr>
        <w:t>Meanwhile, in Indonesia,</w:t>
      </w:r>
      <w:r w:rsidRPr="00A84AA6">
        <w:fldChar w:fldCharType="begin" w:fldLock="1"/>
      </w:r>
      <w:r w:rsidRPr="00A84AA6">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A84AA6">
        <w:fldChar w:fldCharType="separate"/>
      </w:r>
      <w:r w:rsidRPr="00A84AA6">
        <w:rPr>
          <w:lang w:val="en-US"/>
        </w:rPr>
        <w:t xml:space="preserve"> Amalia</w:t>
      </w:r>
      <w:r w:rsidRPr="00A84AA6">
        <w:rPr>
          <w:noProof/>
          <w:lang w:val="en-US"/>
        </w:rPr>
        <w:t xml:space="preserve"> (</w:t>
      </w:r>
      <w:r w:rsidRPr="00A84AA6">
        <w:rPr>
          <w:lang w:val="en-US"/>
        </w:rPr>
        <w:t>2017</w:t>
      </w:r>
      <w:r w:rsidRPr="00A84AA6">
        <w:rPr>
          <w:noProof/>
        </w:rPr>
        <w:t>)</w:t>
      </w:r>
      <w:r w:rsidRPr="00A84AA6">
        <w:fldChar w:fldCharType="end"/>
      </w:r>
      <w:r w:rsidRPr="00A84AA6">
        <w:rPr>
          <w:lang w:val="en-US"/>
        </w:rPr>
        <w:t xml:space="preserve"> has examined the effect of the flypaper effect on regional spending and its impact on regional inequality in Indonesia</w:t>
      </w:r>
      <w:r w:rsidR="005C56B0">
        <w:rPr>
          <w:lang w:val="en-US"/>
        </w:rPr>
        <w:t xml:space="preserve"> </w:t>
      </w:r>
      <w:r w:rsidRPr="00A84AA6">
        <w:rPr>
          <w:lang w:val="en-US"/>
        </w:rPr>
        <w:t xml:space="preserve">from 2008-2013. By using multiple regression analysis, it is found that the </w:t>
      </w:r>
      <w:proofErr w:type="spellStart"/>
      <w:r w:rsidRPr="00A84AA6">
        <w:t>original</w:t>
      </w:r>
      <w:proofErr w:type="spellEnd"/>
      <w:r w:rsidRPr="00A84AA6">
        <w:t xml:space="preserve"> </w:t>
      </w:r>
      <w:proofErr w:type="spellStart"/>
      <w:r w:rsidRPr="00A84AA6">
        <w:t>local</w:t>
      </w:r>
      <w:proofErr w:type="spellEnd"/>
      <w:r w:rsidRPr="00A84AA6">
        <w:t xml:space="preserve"> </w:t>
      </w:r>
      <w:proofErr w:type="spellStart"/>
      <w:r w:rsidRPr="00A84AA6">
        <w:t>government</w:t>
      </w:r>
      <w:proofErr w:type="spellEnd"/>
      <w:r w:rsidRPr="00A84AA6">
        <w:t xml:space="preserve"> </w:t>
      </w:r>
      <w:proofErr w:type="spellStart"/>
      <w:r w:rsidRPr="00A84AA6">
        <w:t>revenue</w:t>
      </w:r>
      <w:proofErr w:type="spellEnd"/>
      <w:r w:rsidRPr="00A84AA6">
        <w:t xml:space="preserve"> </w:t>
      </w:r>
      <w:r w:rsidRPr="00A84AA6">
        <w:rPr>
          <w:lang w:val="en-US"/>
        </w:rPr>
        <w:t xml:space="preserve">and general allocation funds significantly affect regional spending and regional disparities in the provinces of East and West Indonesia, so it can be concluded that there has been a flypaper effect in these areas. </w:t>
      </w:r>
      <w:r w:rsidRPr="00A84AA6">
        <w:fldChar w:fldCharType="begin" w:fldLock="1"/>
      </w:r>
      <w:r w:rsidRPr="00A84AA6">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A84AA6">
        <w:fldChar w:fldCharType="separate"/>
      </w:r>
      <w:r w:rsidRPr="00A84AA6">
        <w:rPr>
          <w:lang w:val="en-US"/>
        </w:rPr>
        <w:t xml:space="preserve"> Armawaddin, Rumbia, &amp; Afiat</w:t>
      </w:r>
      <w:r w:rsidRPr="00A84AA6">
        <w:rPr>
          <w:noProof/>
          <w:lang w:val="en-US"/>
        </w:rPr>
        <w:t xml:space="preserve"> (</w:t>
      </w:r>
      <w:r w:rsidRPr="00A84AA6">
        <w:rPr>
          <w:lang w:val="en-US"/>
        </w:rPr>
        <w:t>2017</w:t>
      </w:r>
      <w:r w:rsidRPr="00A84AA6">
        <w:rPr>
          <w:noProof/>
        </w:rPr>
        <w:t>)</w:t>
      </w:r>
      <w:r w:rsidRPr="00A84AA6">
        <w:fldChar w:fldCharType="end"/>
      </w:r>
      <w:r w:rsidRPr="00A84AA6">
        <w:rPr>
          <w:lang w:val="en-US"/>
        </w:rPr>
        <w:t xml:space="preserve"> </w:t>
      </w:r>
      <w:r w:rsidRPr="00A84AA6">
        <w:rPr>
          <w:noProof/>
        </w:rPr>
        <w:t xml:space="preserve"> </w:t>
      </w:r>
      <w:r w:rsidRPr="00A84AA6">
        <w:rPr>
          <w:lang w:val="en-US"/>
        </w:rPr>
        <w:t>also revealed that the flypaper effect in Sulawesi's regencies and cities originated from DAK, during DAU and DBH.</w:t>
      </w:r>
    </w:p>
    <w:p w:rsidR="00F11C26" w:rsidRPr="00A84AA6" w:rsidRDefault="00F11C26" w:rsidP="00A84AA6">
      <w:pPr>
        <w:pStyle w:val="NormalWeb"/>
        <w:adjustRightInd w:val="0"/>
        <w:snapToGrid w:val="0"/>
        <w:spacing w:before="0" w:beforeAutospacing="0" w:after="0" w:afterAutospacing="0"/>
        <w:ind w:firstLine="709"/>
        <w:jc w:val="both"/>
        <w:rPr>
          <w:lang w:val="en-US"/>
        </w:rPr>
      </w:pPr>
      <w:r w:rsidRPr="00A84AA6">
        <w:rPr>
          <w:lang w:val="en-US"/>
        </w:rPr>
        <w:t xml:space="preserve">Different research results were conducted by </w:t>
      </w:r>
      <w:r w:rsidRPr="00A84AA6">
        <w:fldChar w:fldCharType="begin" w:fldLock="1"/>
      </w:r>
      <w:r w:rsidRPr="00A84AA6">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A84AA6">
        <w:fldChar w:fldCharType="separate"/>
      </w:r>
      <w:r w:rsidRPr="00A84AA6">
        <w:rPr>
          <w:lang w:val="en-US"/>
        </w:rPr>
        <w:t>Iskandar</w:t>
      </w:r>
      <w:r w:rsidRPr="00A84AA6">
        <w:t xml:space="preserve"> </w:t>
      </w:r>
      <w:r w:rsidRPr="00A84AA6">
        <w:rPr>
          <w:lang w:val="en-US"/>
        </w:rPr>
        <w:t>(</w:t>
      </w:r>
      <w:r w:rsidRPr="00A84AA6">
        <w:t>201</w:t>
      </w:r>
      <w:r w:rsidRPr="00A84AA6">
        <w:rPr>
          <w:lang w:val="en-US"/>
        </w:rPr>
        <w:t>2)</w:t>
      </w:r>
      <w:r w:rsidRPr="00A84AA6">
        <w:fldChar w:fldCharType="end"/>
      </w:r>
      <w:r w:rsidRPr="00A84AA6">
        <w:rPr>
          <w:lang w:val="en-US"/>
        </w:rPr>
        <w:t>,</w:t>
      </w:r>
      <w:r w:rsidRPr="00A84AA6">
        <w:rPr>
          <w:bCs/>
          <w:lang w:val="en-US"/>
        </w:rPr>
        <w:t xml:space="preserve"> </w:t>
      </w:r>
      <w:r w:rsidRPr="00A84AA6">
        <w:rPr>
          <w:lang w:val="en-US"/>
        </w:rPr>
        <w:t xml:space="preserve">who examined the flypaper effect on unconditional grants in West Java province. A total of 13 regencies and six cities became the population in this study. The result is that the PAD coefficient value is more significant than unconditional grants, so there is no flypaper effect in the province. </w:t>
      </w:r>
      <w:r w:rsidRPr="00A84AA6">
        <w:fldChar w:fldCharType="begin" w:fldLock="1"/>
      </w:r>
      <w:r w:rsidRPr="00A84AA6">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A84AA6">
        <w:fldChar w:fldCharType="separate"/>
      </w:r>
      <w:r w:rsidRPr="00A84AA6">
        <w:rPr>
          <w:lang w:val="en-US"/>
        </w:rPr>
        <w:t>Nugoho</w:t>
      </w:r>
      <w:r w:rsidRPr="00A84AA6">
        <w:t xml:space="preserve"> </w:t>
      </w:r>
      <w:r w:rsidRPr="00A84AA6">
        <w:rPr>
          <w:lang w:val="en-US"/>
        </w:rPr>
        <w:t>(</w:t>
      </w:r>
      <w:r w:rsidRPr="00A84AA6">
        <w:t>201</w:t>
      </w:r>
      <w:r w:rsidRPr="00A84AA6">
        <w:rPr>
          <w:lang w:val="en-US"/>
        </w:rPr>
        <w:t>7)</w:t>
      </w:r>
      <w:r w:rsidRPr="00A84AA6">
        <w:fldChar w:fldCharType="end"/>
      </w:r>
      <w:r w:rsidRPr="00A84AA6">
        <w:rPr>
          <w:lang w:val="en-US"/>
        </w:rPr>
        <w:t xml:space="preserve"> focuses his research by identifying the flypaper effect on regional expenditure with samples obtained by five regencies and cities in Yogyakarta Province during the 2006-2015 period. The results found were that there was no flypaper effect on expenditures on goods and services because the government tended to meet expenditures on goods and services. </w:t>
      </w:r>
    </w:p>
    <w:p w:rsidR="00F11C26" w:rsidRPr="00A84AA6" w:rsidRDefault="00F11C26" w:rsidP="00A84AA6">
      <w:pPr>
        <w:pStyle w:val="NormalWeb"/>
        <w:adjustRightInd w:val="0"/>
        <w:snapToGrid w:val="0"/>
        <w:spacing w:before="0" w:beforeAutospacing="0" w:after="0" w:afterAutospacing="0"/>
        <w:jc w:val="both"/>
        <w:rPr>
          <w:lang w:val="en-US"/>
        </w:rPr>
      </w:pPr>
    </w:p>
    <w:p w:rsidR="00F11C26" w:rsidRPr="00A84AA6" w:rsidRDefault="00F11C26" w:rsidP="00A84AA6">
      <w:pPr>
        <w:pStyle w:val="NormalWeb"/>
        <w:adjustRightInd w:val="0"/>
        <w:snapToGrid w:val="0"/>
        <w:spacing w:before="0" w:beforeAutospacing="0" w:after="0" w:afterAutospacing="0"/>
        <w:jc w:val="both"/>
        <w:rPr>
          <w:b/>
          <w:bCs/>
          <w:lang w:val="en-US"/>
        </w:rPr>
      </w:pPr>
      <w:r w:rsidRPr="00A84AA6">
        <w:rPr>
          <w:b/>
          <w:bCs/>
          <w:lang w:val="en-US"/>
        </w:rPr>
        <w:t xml:space="preserve">Hypothesis </w:t>
      </w:r>
    </w:p>
    <w:p w:rsidR="000022C9" w:rsidRPr="00D31DFB" w:rsidRDefault="00F11C26" w:rsidP="00A84AA6">
      <w:pPr>
        <w:tabs>
          <w:tab w:val="left" w:pos="0"/>
        </w:tabs>
        <w:adjustRightInd w:val="0"/>
        <w:snapToGrid w:val="0"/>
        <w:ind w:left="567" w:hanging="567"/>
        <w:jc w:val="both"/>
      </w:pPr>
      <w:r w:rsidRPr="00D31DFB">
        <w:t xml:space="preserve">H1: </w:t>
      </w:r>
      <w:proofErr w:type="spellStart"/>
      <w:r w:rsidRPr="00D31DFB">
        <w:t>There</w:t>
      </w:r>
      <w:proofErr w:type="spellEnd"/>
      <w:r w:rsidRPr="00D31DFB">
        <w:t xml:space="preserve"> </w:t>
      </w:r>
      <w:proofErr w:type="spellStart"/>
      <w:r w:rsidRPr="00D31DFB">
        <w:t>is</w:t>
      </w:r>
      <w:proofErr w:type="spellEnd"/>
      <w:r w:rsidRPr="00D31DFB">
        <w:t xml:space="preserve"> a </w:t>
      </w:r>
      <w:proofErr w:type="spellStart"/>
      <w:r w:rsidRPr="00D31DFB">
        <w:t>flypaper</w:t>
      </w:r>
      <w:proofErr w:type="spellEnd"/>
      <w:r w:rsidRPr="00D31DFB">
        <w:t xml:space="preserve"> effect on the relationship between original local government revenue and a balanced budget on local government expenditure in West Kalimantan Province.</w:t>
      </w:r>
    </w:p>
    <w:p w:rsidR="00DA26AF" w:rsidRDefault="00DA26AF" w:rsidP="00A84AA6">
      <w:pPr>
        <w:adjustRightInd w:val="0"/>
        <w:snapToGrid w:val="0"/>
      </w:pPr>
    </w:p>
    <w:p w:rsidR="005C56B0" w:rsidRDefault="005C56B0" w:rsidP="00A84AA6">
      <w:pPr>
        <w:adjustRightInd w:val="0"/>
        <w:snapToGrid w:val="0"/>
      </w:pPr>
    </w:p>
    <w:p w:rsidR="00BA297F" w:rsidRDefault="00BA297F" w:rsidP="00A84AA6">
      <w:pPr>
        <w:adjustRightInd w:val="0"/>
        <w:snapToGrid w:val="0"/>
      </w:pPr>
    </w:p>
    <w:p w:rsidR="00BA297F" w:rsidRPr="00D31DFB" w:rsidRDefault="00BA297F" w:rsidP="00A84AA6">
      <w:pPr>
        <w:adjustRightInd w:val="0"/>
        <w:snapToGrid w:val="0"/>
      </w:pPr>
    </w:p>
    <w:p w:rsidR="00A84AA6" w:rsidRPr="00D31DFB" w:rsidRDefault="00A84AA6" w:rsidP="00A84AA6">
      <w:pPr>
        <w:adjustRightInd w:val="0"/>
        <w:snapToGrid w:val="0"/>
        <w:rPr>
          <w:b/>
          <w:bCs/>
        </w:rPr>
      </w:pPr>
      <w:r w:rsidRPr="00D31DFB">
        <w:rPr>
          <w:b/>
          <w:bCs/>
        </w:rPr>
        <w:lastRenderedPageBreak/>
        <w:t xml:space="preserve">METHODOLOGY </w:t>
      </w:r>
    </w:p>
    <w:p w:rsidR="00A84AA6" w:rsidRPr="00D31DFB" w:rsidRDefault="00A84AA6" w:rsidP="00A84AA6">
      <w:pPr>
        <w:tabs>
          <w:tab w:val="left" w:pos="567"/>
          <w:tab w:val="left" w:pos="709"/>
        </w:tabs>
        <w:adjustRightInd w:val="0"/>
        <w:snapToGrid w:val="0"/>
        <w:jc w:val="both"/>
      </w:pPr>
      <w:r w:rsidRPr="00D31DFB">
        <w:tab/>
      </w:r>
      <w:r w:rsidRPr="00D31DFB">
        <w:tab/>
        <w:t xml:space="preserve">The data in this study are </w:t>
      </w:r>
      <w:proofErr w:type="spellStart"/>
      <w:r w:rsidRPr="00D31DFB">
        <w:t>annually</w:t>
      </w:r>
      <w:proofErr w:type="spellEnd"/>
      <w:r w:rsidRPr="00D31DFB">
        <w:t xml:space="preserve"> </w:t>
      </w:r>
      <w:proofErr w:type="spellStart"/>
      <w:r w:rsidRPr="00D31DFB">
        <w:t>secondary</w:t>
      </w:r>
      <w:proofErr w:type="spellEnd"/>
      <w:r w:rsidRPr="00D31DFB">
        <w:t xml:space="preserve"> data </w:t>
      </w:r>
      <w:proofErr w:type="spellStart"/>
      <w:r w:rsidRPr="00D31DFB">
        <w:t>covers</w:t>
      </w:r>
      <w:proofErr w:type="spellEnd"/>
      <w:r w:rsidRPr="00D31DFB">
        <w:t xml:space="preserve"> 14 </w:t>
      </w:r>
      <w:proofErr w:type="spellStart"/>
      <w:r w:rsidRPr="00D31DFB">
        <w:t>regions</w:t>
      </w:r>
      <w:proofErr w:type="spellEnd"/>
      <w:r w:rsidRPr="00D31DFB">
        <w:t xml:space="preserve">, </w:t>
      </w:r>
      <w:proofErr w:type="spellStart"/>
      <w:r w:rsidRPr="00D31DFB">
        <w:t>namely</w:t>
      </w:r>
      <w:proofErr w:type="spellEnd"/>
      <w:r w:rsidRPr="00D31DFB">
        <w:t xml:space="preserve"> Sambas, Bengkayang, Landak, Mempawah, Sanggau, Ketapang, Sintang, Kapuas Hulu, Sekadau, Melawi, </w:t>
      </w:r>
      <w:proofErr w:type="spellStart"/>
      <w:r w:rsidRPr="00D31DFB">
        <w:t>Kayong</w:t>
      </w:r>
      <w:proofErr w:type="spellEnd"/>
      <w:r w:rsidRPr="00D31DFB">
        <w:t xml:space="preserve"> Utara, Kubu Raya, Pontianak, </w:t>
      </w:r>
      <w:proofErr w:type="spellStart"/>
      <w:r w:rsidRPr="00D31DFB">
        <w:t>and</w:t>
      </w:r>
      <w:proofErr w:type="spellEnd"/>
      <w:r w:rsidRPr="00D31DFB">
        <w:t xml:space="preserve"> Singkawang </w:t>
      </w:r>
      <w:proofErr w:type="spellStart"/>
      <w:r w:rsidRPr="00D31DFB">
        <w:t>from</w:t>
      </w:r>
      <w:proofErr w:type="spellEnd"/>
      <w:r w:rsidRPr="00D31DFB">
        <w:t xml:space="preserve"> </w:t>
      </w:r>
      <w:proofErr w:type="spellStart"/>
      <w:r w:rsidRPr="00D31DFB">
        <w:t>West</w:t>
      </w:r>
      <w:proofErr w:type="spellEnd"/>
      <w:r w:rsidRPr="00D31DFB">
        <w:t xml:space="preserve"> Kalimantan Province obtained from Indonesian Statistic Publication and Finance Ministry Publication between 2013 and 2018. This research focuses on examining the effect of original local government revenue and a balanced Budget on local government expenditure in West Kalimantan Province.</w:t>
      </w:r>
    </w:p>
    <w:p w:rsidR="00A84AA6" w:rsidRPr="00D31DFB" w:rsidRDefault="00A84AA6" w:rsidP="00A84AA6">
      <w:pPr>
        <w:adjustRightInd w:val="0"/>
        <w:snapToGrid w:val="0"/>
        <w:ind w:firstLine="720"/>
        <w:jc w:val="both"/>
      </w:pPr>
      <w:r w:rsidRPr="00D31DFB">
        <w:t xml:space="preserve">This study's dependent variable is government spending, defined as each region's total spending in Indonesian rupiah (IDR). In contrast, the explanatory variables are original local government revenue (PAD), the total amount of general allocation fund (DAU), special allocation fund (DAK), and sharing fund (DBH) by each region in the Indonesian Rupiah (IDR), respectively. This research uses panel regression to analyze to utilize this objective. </w:t>
      </w:r>
    </w:p>
    <w:p w:rsidR="00A84AA6" w:rsidRPr="00D31DFB" w:rsidRDefault="00A84AA6" w:rsidP="00A84AA6">
      <w:pPr>
        <w:adjustRightInd w:val="0"/>
        <w:snapToGrid w:val="0"/>
        <w:ind w:firstLine="720"/>
        <w:jc w:val="both"/>
      </w:pPr>
      <w:r w:rsidRPr="00D31DFB">
        <w:t xml:space="preserve">Several advantages are using panel data. Firstly, using panel data can give a large number of observations and increase the degree of freedom. Second, it also benefits to reduce the collinearity within the independent variables, therefore, improve the estimation of the variables. Third, panel data controls the individual heterogeneity. </w:t>
      </w:r>
      <w:proofErr w:type="spellStart"/>
      <w:r w:rsidRPr="00D31DFB">
        <w:t>Fourth</w:t>
      </w:r>
      <w:proofErr w:type="spellEnd"/>
      <w:r w:rsidRPr="00D31DFB">
        <w:t xml:space="preserve">, Panel data are better able to study the dynamics of adjustment. Fifth, It can identify and measure effects that could not be better detected in pure time series or cross-sectional data. It allows us to build and test more complex behavioral models. Sixth, the data generated in panel data makes it possible to obtain more precise predictions for individual results than time-series data alone. However, panel data also has some disadvantages: heterogeneity bias, selectivity bias, and cross-section dependence </w:t>
      </w:r>
      <w:r w:rsidRPr="00D31DFB">
        <w:fldChar w:fldCharType="begin" w:fldLock="1"/>
      </w:r>
      <w:r w:rsidRPr="00D31DFB">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Data","type":"book"},"uris":["http://www.mendeley.com/documents/?uuid=c69e4336-0bf7-40f0-891a-4053312552e8"]},{"id":"ITEM-2","itemData":{"DOI":"10.1016/0014-2921(89)90131-1","ISSN":"00142921","author":[{"dropping-particle":"","family":"Klevmarken","given":"N. Anders","non-dropping-particle":"","parse-names":false,"suffix":""}],"container-title":"European Economic Review","id":"ITEM-2","issue":"2-3","issued":{"date-parts":[["1989","3","1"]]},"page":"523-529","publisher":"North-Holland","title":"Panel Studies: What We Can Learn from them? Introduction","type":"article-journal","volume":"33"},"uris":["http://www.mendeley.com/documents/?uuid=0b209aaa-8f1c-3c5c-b497-22df6dc99d5a"]},{"id":"ITEM-3","itemData":{"DOI":"10.5771/9783845289892-15","ISBN":"1566396581","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approach.","author":[{"dropping-particle":"","family":"Hsiao","given":"Cheng","non-dropping-particle":"","parse-names":false,"suffix":""}],"container-title":"Cambridge University Press","id":"ITEM-3","issued":{"date-parts":[["2003"]]},"title":"Analysis of Panel Data Second Edition","type":"book"},"uris":["http://www.mendeley.com/documents/?uuid=cdc7d8d1-38d5-4548-80ff-c1afffcf29e5"]}],"mendeley":{"formattedCitation":"(Baltagi, 2005; Hsiao, 2003; Klevmarken, 1989)","plainTextFormattedCitation":"(Baltagi, 2005; Hsiao, 2003; Klevmarken, 1989)","previouslyFormattedCitation":"(Baltagi, 2005; Hsiao, 2003; Klevmarken, 1989)"},"properties":{"noteIndex":0},"schema":"https://github.com/citation-style-language/schema/raw/master/csl-citation.json"}</w:instrText>
      </w:r>
      <w:r w:rsidRPr="00D31DFB">
        <w:fldChar w:fldCharType="separate"/>
      </w:r>
      <w:r w:rsidRPr="00D31DFB">
        <w:rPr>
          <w:noProof/>
        </w:rPr>
        <w:t>(Klevmarken, 1989; Hsiao, 2003; Baltagi, 2005)</w:t>
      </w:r>
      <w:r w:rsidRPr="00D31DFB">
        <w:fldChar w:fldCharType="end"/>
      </w:r>
      <w:r w:rsidRPr="00D31DFB">
        <w:t xml:space="preserve">. Although it has some limitations, panel data is the most suitable for used in this model as it combines both cross-section and time-series to analyze the objective. </w:t>
      </w:r>
    </w:p>
    <w:p w:rsidR="00A84AA6" w:rsidRPr="00D31DFB" w:rsidRDefault="00A84AA6" w:rsidP="00A84AA6">
      <w:pPr>
        <w:adjustRightInd w:val="0"/>
        <w:snapToGrid w:val="0"/>
        <w:jc w:val="both"/>
      </w:pPr>
    </w:p>
    <w:p w:rsidR="00A84AA6" w:rsidRPr="00D31DFB" w:rsidRDefault="00A84AA6" w:rsidP="00A84AA6">
      <w:pPr>
        <w:adjustRightInd w:val="0"/>
        <w:snapToGrid w:val="0"/>
        <w:jc w:val="both"/>
        <w:rPr>
          <w:b/>
          <w:bCs/>
        </w:rPr>
      </w:pPr>
      <w:r w:rsidRPr="00D31DFB">
        <w:rPr>
          <w:b/>
          <w:bCs/>
        </w:rPr>
        <w:t xml:space="preserve">Panel Regression Model </w:t>
      </w:r>
    </w:p>
    <w:p w:rsidR="00A84AA6" w:rsidRPr="00D31DFB" w:rsidRDefault="00A84AA6" w:rsidP="00A84AA6">
      <w:pPr>
        <w:adjustRightInd w:val="0"/>
        <w:snapToGrid w:val="0"/>
        <w:jc w:val="both"/>
      </w:pPr>
      <w:r w:rsidRPr="00D31DFB">
        <w:fldChar w:fldCharType="begin" w:fldLock="1"/>
      </w:r>
      <w:r w:rsidRPr="00D31DFB">
        <w:instrText>ADDIN CSL_CITATION {"citationItems":[{"id":"ITEM-1","itemData":{"abstract":"Pannel data","author":[{"dropping-particle":"","family":"Oscar","given":"Torres-reyna","non-dropping-particle":"","parse-names":false,"suffix":""}],"container-title":"Data and Statistical Services","id":"ITEM-1","issue":"December","issued":{"date-parts":[["2010"]]},"page":"1-40","title":"Panel data analysis fixed and random effects using Stata","type":"article-journal","volume":"3"},"uris":["http://www.mendeley.com/documents/?uuid=01236149-8206-4d61-ac13-628ff1f08d12"]},{"id":"ITEM-2","itemData":{"DOI":"10.5923/j.statistics.20170706.01","author":[{"dropping-particle":"","family":"Nwakuya","given":"M T","non-dropping-particle":"","parse-names":false,"suffix":""},{"dropping-particle":"","family":"Ijomah","given":"M A","non-dropping-particle":"","parse-names":false,"suffix":""}],"container-title":"International Journal of Statistics and Applications","id":"ITEM-2","issue":"6","issued":{"date-parts":[["2017"]]},"page":"275-279","title":"Fixed Effect Versus Random Effects Modeling in a Panel Data Analysis; A Consideration of Economic and Political Indicators in Six African Countries","type":"article-journal","volume":"7"},"uris":["http://www.mendeley.com/documents/?uuid=db5d8ba2-e558-4731-b651-036bd86154a2"]},{"id":"ITEM-3","itemData":{"DOI":"10.7232/iems.2019.18.3.495","ISSN":"22346473","abstract":"Poverty and income inequality are being one of the most challenging issues in many developing countries, including Indonesia. Considering the higher level of the poverty rate in Indonesia, the study about poverty reduction is crucial and currently under discussion in previous studies. Thus, this study is written to examine what is education and health budgets could be reducing the poverty rate in Indonesia. The study utilizes annual data gathered from the Central Bureau of Statistics over the 2007-2017 period and analyzed using panel data by assisting the Eviews-10. The empirical result finds that the budget allocated for education and health significantly reduce the poverty rate in Indonesia. Therefore, it is suggested that to further reduce the poverty level, the government should allocate more budget of education and health for the poor and there is a need to monitor the public service performance with the aim the allocation of expenditure can be more efficient and effective. Besides, it is necessary to increase the number of pro-poor programs such as free public health and education insurance to fulfill the basic needs of the poor.","author":[{"dropping-particle":"","family":"Muhammad","given":"Said","non-dropping-particle":"","parse-names":false,"suffix":""},{"dropping-particle":"","family":"Zulham","given":"T.","non-dropping-particle":"","parse-names":false,"suffix":""},{"dropping-particle":"","family":"Sapha","given":"Diana","non-dropping-particle":"","parse-names":false,"suffix":""},{"dropping-particle":"","family":"Fitriyani","given":"","non-dropping-particle":"","parse-names":false,"suffix":""},{"dropping-particle":"","family":"Saputra","given":"Jumadil","non-dropping-particle":"","parse-names":false,"suffix":""}],"container-title":"Industrial Engineering and Management Systems","id":"ITEM-3","issue":"3","issued":{"date-parts":[["2019"]]},"page":"495-500","title":"Investigating the public spending and economical growth on the poverty reduction in Indonesia","type":"article-journal","volume":"18"},"uris":["http://www.mendeley.com/documents/?uuid=89433772-fc21-4da3-8ef7-5d8d378729bc"]}],"mendeley":{"formattedCitation":"(Muhammad et al., 2019; Nwakuya &amp; Ijomah, 2017; Oscar, 2010)","manualFormatting":"(Baltagi, 2005)","plainTextFormattedCitation":"(Muhammad et al., 2019; Nwakuya &amp; Ijomah, 2017; Oscar, 2010)","previouslyFormattedCitation":"(Muhammad et al., 2019; Nwakuya &amp; Ijomah, 2017; Oscar, 2010)"},"properties":{"noteIndex":0},"schema":"https://github.com/citation-style-language/schema/raw/master/csl-citation.json"}</w:instrText>
      </w:r>
      <w:r w:rsidRPr="00D31DFB">
        <w:fldChar w:fldCharType="separate"/>
      </w:r>
      <w:r w:rsidRPr="00D31DFB">
        <w:rPr>
          <w:noProof/>
        </w:rPr>
        <w:t>Baltagi, (2005)</w:t>
      </w:r>
      <w:r w:rsidRPr="00D31DFB">
        <w:fldChar w:fldCharType="end"/>
      </w:r>
      <w:r w:rsidRPr="00D31DFB">
        <w:t xml:space="preserve"> described the panel regression model which can be written as: </w:t>
      </w:r>
    </w:p>
    <w:p w:rsidR="00A84AA6" w:rsidRPr="00D31DFB" w:rsidRDefault="00172CBF" w:rsidP="005A7C47">
      <w:pPr>
        <w:adjustRightInd w:val="0"/>
        <w:snapToGrid w:val="0"/>
        <w:ind w:firstLine="1560"/>
        <w:jc w:val="both"/>
        <w:rPr>
          <w:rFonts w:eastAsiaTheme="minorEastAsia"/>
        </w:rPr>
      </w:pP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1it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2it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n</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it</m:t>
            </m:r>
          </m:sub>
        </m:sSub>
        <m:r>
          <m:rPr>
            <m:sty m:val="p"/>
          </m:rPr>
          <w:rPr>
            <w:rFonts w:ascii="Cambria Math" w:hAnsi="Cambria Math"/>
          </w:rPr>
          <m:t>~IID</m:t>
        </m:r>
        <m:r>
          <m:rPr>
            <m:sty m:val="p"/>
          </m:rPr>
          <w:rPr>
            <w:rFonts w:ascii="Cambria Math" w:eastAsiaTheme="minorEastAsia" w:hAnsi="Cambria Math"/>
          </w:rPr>
          <m:t>(0, s2u)</m:t>
        </m:r>
      </m:oMath>
      <w:r w:rsidR="005A7C47" w:rsidRPr="00D31DFB">
        <w:rPr>
          <w:rFonts w:eastAsiaTheme="minorEastAsia"/>
        </w:rPr>
        <w:tab/>
      </w:r>
      <w:r w:rsidR="005A7C47" w:rsidRPr="00D31DFB">
        <w:rPr>
          <w:rFonts w:eastAsiaTheme="minorEastAsia"/>
        </w:rPr>
        <w:tab/>
        <w:t xml:space="preserve">  (1)</w:t>
      </w:r>
    </w:p>
    <w:p w:rsidR="00A84AA6" w:rsidRPr="00D31DFB" w:rsidRDefault="00A84AA6" w:rsidP="00A84AA6">
      <w:pPr>
        <w:adjustRightInd w:val="0"/>
        <w:snapToGrid w:val="0"/>
        <w:jc w:val="both"/>
      </w:pPr>
      <w:r w:rsidRPr="00D31DFB">
        <w:t>Panel data in this study can be inscribed as:</w:t>
      </w:r>
    </w:p>
    <w:p w:rsidR="00A84AA6" w:rsidRPr="00D31DFB" w:rsidRDefault="00D31DFB" w:rsidP="002471A3">
      <w:pPr>
        <w:adjustRightInd w:val="0"/>
        <w:snapToGrid w:val="0"/>
        <w:ind w:firstLine="1276"/>
        <w:jc w:val="both"/>
        <w:rPr>
          <w:rFonts w:eastAsiaTheme="minorEastAsia"/>
        </w:rPr>
      </w:pPr>
      <m:oMath>
        <m:r>
          <m:rPr>
            <m:sty m:val="p"/>
          </m:rPr>
          <w:rPr>
            <w:rFonts w:ascii="Cambria Math" w:hAnsi="Cambria Math"/>
          </w:rPr>
          <m:t xml:space="preserve">Gov= </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PAD</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1it</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DAU</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2it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DAK</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3it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DBH</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3it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it</m:t>
            </m:r>
          </m:sub>
        </m:sSub>
      </m:oMath>
      <w:r w:rsidR="002471A3" w:rsidRPr="00D31DFB">
        <w:rPr>
          <w:rFonts w:eastAsiaTheme="minorEastAsia"/>
        </w:rPr>
        <w:tab/>
        <w:t xml:space="preserve">           </w:t>
      </w:r>
      <w:r w:rsidR="002471A3" w:rsidRPr="00D31DFB">
        <w:rPr>
          <w:rFonts w:eastAsiaTheme="minorEastAsia"/>
        </w:rPr>
        <w:tab/>
        <w:t xml:space="preserve">  (2)</w:t>
      </w:r>
    </w:p>
    <w:p w:rsidR="002471A3" w:rsidRPr="00D31DFB" w:rsidRDefault="002471A3" w:rsidP="002471A3">
      <w:pPr>
        <w:adjustRightInd w:val="0"/>
        <w:snapToGrid w:val="0"/>
        <w:ind w:firstLine="1276"/>
        <w:jc w:val="both"/>
        <w:rPr>
          <w:rFonts w:eastAsiaTheme="minorEastAsia"/>
        </w:rPr>
      </w:pPr>
    </w:p>
    <w:p w:rsidR="00A84AA6" w:rsidRPr="00D31DFB" w:rsidRDefault="00A84AA6" w:rsidP="00A84AA6">
      <w:pPr>
        <w:adjustRightInd w:val="0"/>
        <w:snapToGrid w:val="0"/>
        <w:jc w:val="both"/>
      </w:pPr>
      <w:r w:rsidRPr="00D31DFB">
        <w:t xml:space="preserve">Explanation: </w:t>
      </w:r>
    </w:p>
    <w:p w:rsidR="00A84AA6" w:rsidRPr="00D31DFB" w:rsidRDefault="00A84AA6" w:rsidP="00A84AA6">
      <w:pPr>
        <w:adjustRightInd w:val="0"/>
        <w:snapToGrid w:val="0"/>
        <w:jc w:val="both"/>
      </w:pPr>
      <w:r w:rsidRPr="00D31DFB">
        <w:t xml:space="preserve">Gov </w:t>
      </w:r>
      <w:r w:rsidRPr="00D31DFB">
        <w:tab/>
        <w:t xml:space="preserve">: the total of government spending </w:t>
      </w:r>
    </w:p>
    <w:p w:rsidR="00A84AA6" w:rsidRPr="00B54640" w:rsidRDefault="00A84AA6" w:rsidP="00A84AA6">
      <w:pPr>
        <w:adjustRightInd w:val="0"/>
        <w:snapToGrid w:val="0"/>
        <w:jc w:val="both"/>
        <w:rPr>
          <w:lang w:val="en-US"/>
        </w:rPr>
      </w:pPr>
      <w:r w:rsidRPr="00D31DFB">
        <w:t xml:space="preserve">PAD </w:t>
      </w:r>
      <w:r w:rsidRPr="00D31DFB">
        <w:tab/>
        <w:t xml:space="preserve">: </w:t>
      </w:r>
      <w:r w:rsidR="00B54640">
        <w:rPr>
          <w:lang w:val="en-US"/>
        </w:rPr>
        <w:t>original local government revenue</w:t>
      </w:r>
    </w:p>
    <w:p w:rsidR="00A84AA6" w:rsidRPr="00D31DFB" w:rsidRDefault="00A84AA6" w:rsidP="00A84AA6">
      <w:pPr>
        <w:adjustRightInd w:val="0"/>
        <w:snapToGrid w:val="0"/>
        <w:jc w:val="both"/>
      </w:pPr>
      <w:r w:rsidRPr="00D31DFB">
        <w:t xml:space="preserve">DAU </w:t>
      </w:r>
      <w:r w:rsidRPr="00D31DFB">
        <w:tab/>
        <w:t xml:space="preserve">: </w:t>
      </w:r>
      <w:proofErr w:type="spellStart"/>
      <w:r w:rsidRPr="00D31DFB">
        <w:t>general</w:t>
      </w:r>
      <w:proofErr w:type="spellEnd"/>
      <w:r w:rsidRPr="00D31DFB">
        <w:t xml:space="preserve"> </w:t>
      </w:r>
      <w:proofErr w:type="spellStart"/>
      <w:r w:rsidRPr="00D31DFB">
        <w:t>allocation</w:t>
      </w:r>
      <w:proofErr w:type="spellEnd"/>
      <w:r w:rsidRPr="00D31DFB">
        <w:t xml:space="preserve"> </w:t>
      </w:r>
      <w:proofErr w:type="spellStart"/>
      <w:r w:rsidRPr="00D31DFB">
        <w:t>fund</w:t>
      </w:r>
      <w:proofErr w:type="spellEnd"/>
    </w:p>
    <w:p w:rsidR="00A84AA6" w:rsidRPr="00D31DFB" w:rsidRDefault="00A84AA6" w:rsidP="00A84AA6">
      <w:pPr>
        <w:adjustRightInd w:val="0"/>
        <w:snapToGrid w:val="0"/>
        <w:jc w:val="both"/>
      </w:pPr>
      <w:r w:rsidRPr="00D31DFB">
        <w:t xml:space="preserve">DAK </w:t>
      </w:r>
      <w:r w:rsidRPr="00D31DFB">
        <w:tab/>
        <w:t>: specific allocation fund</w:t>
      </w:r>
    </w:p>
    <w:p w:rsidR="00A84AA6" w:rsidRPr="00D31DFB" w:rsidRDefault="00A84AA6" w:rsidP="00A84AA6">
      <w:pPr>
        <w:adjustRightInd w:val="0"/>
        <w:snapToGrid w:val="0"/>
        <w:jc w:val="both"/>
      </w:pPr>
      <w:r w:rsidRPr="00D31DFB">
        <w:t xml:space="preserve">DBH </w:t>
      </w:r>
      <w:r w:rsidRPr="00D31DFB">
        <w:tab/>
        <w:t>: the revenue sharing fund, respectively</w:t>
      </w:r>
    </w:p>
    <w:p w:rsidR="00A84AA6" w:rsidRPr="00D31DFB" w:rsidRDefault="00A84AA6" w:rsidP="00A84AA6">
      <w:pPr>
        <w:adjustRightInd w:val="0"/>
        <w:snapToGrid w:val="0"/>
        <w:jc w:val="both"/>
      </w:pPr>
      <w:r w:rsidRPr="00D31DFB">
        <w:t xml:space="preserve">i </w:t>
      </w:r>
      <w:r w:rsidRPr="00D31DFB">
        <w:tab/>
        <w:t>: I 15 regions in West Kalimantan, Indonesia (i = 1, ..., 15)</w:t>
      </w:r>
    </w:p>
    <w:p w:rsidR="00A84AA6" w:rsidRPr="00D31DFB" w:rsidRDefault="00A84AA6" w:rsidP="00A84AA6">
      <w:pPr>
        <w:adjustRightInd w:val="0"/>
        <w:snapToGrid w:val="0"/>
        <w:jc w:val="both"/>
      </w:pPr>
      <w:r w:rsidRPr="00D31DFB">
        <w:t xml:space="preserve">t </w:t>
      </w:r>
      <w:r w:rsidRPr="00D31DFB">
        <w:tab/>
        <w:t xml:space="preserve">: </w:t>
      </w:r>
      <w:proofErr w:type="spellStart"/>
      <w:r w:rsidRPr="00D31DFB">
        <w:t>t</w:t>
      </w:r>
      <w:r w:rsidRPr="00D31DFB">
        <w:rPr>
          <w:vertAlign w:val="superscript"/>
        </w:rPr>
        <w:t>th</w:t>
      </w:r>
      <w:proofErr w:type="spellEnd"/>
      <w:r w:rsidRPr="00D31DFB">
        <w:t xml:space="preserve"> </w:t>
      </w:r>
      <w:proofErr w:type="spellStart"/>
      <w:r w:rsidRPr="00D31DFB">
        <w:t>time</w:t>
      </w:r>
      <w:proofErr w:type="spellEnd"/>
      <w:r w:rsidRPr="00D31DFB">
        <w:t xml:space="preserve"> </w:t>
      </w:r>
      <w:proofErr w:type="spellStart"/>
      <w:r w:rsidRPr="00D31DFB">
        <w:t>period</w:t>
      </w:r>
      <w:proofErr w:type="spellEnd"/>
      <w:r w:rsidRPr="00D31DFB">
        <w:t>, i = 1, ..,t (2013-2018).</w:t>
      </w:r>
    </w:p>
    <w:p w:rsidR="00A84AA6" w:rsidRPr="00D31DFB" w:rsidRDefault="00A84AA6" w:rsidP="00A84AA6">
      <w:pPr>
        <w:adjustRightInd w:val="0"/>
        <w:snapToGrid w:val="0"/>
        <w:jc w:val="both"/>
      </w:pPr>
    </w:p>
    <w:p w:rsidR="00A84AA6" w:rsidRPr="00D31DFB" w:rsidRDefault="00A84AA6" w:rsidP="00A84AA6">
      <w:pPr>
        <w:adjustRightInd w:val="0"/>
        <w:snapToGrid w:val="0"/>
        <w:jc w:val="both"/>
        <w:rPr>
          <w:b/>
          <w:bCs/>
        </w:rPr>
      </w:pPr>
      <w:r w:rsidRPr="00D31DFB">
        <w:rPr>
          <w:b/>
          <w:bCs/>
        </w:rPr>
        <w:t>Fixed and Random Effect Models</w:t>
      </w:r>
    </w:p>
    <w:p w:rsidR="00A84AA6" w:rsidRPr="00D31DFB" w:rsidRDefault="00A84AA6" w:rsidP="00A84AA6">
      <w:pPr>
        <w:adjustRightInd w:val="0"/>
        <w:snapToGrid w:val="0"/>
        <w:jc w:val="both"/>
      </w:pPr>
      <w:r w:rsidRPr="00D31DFB">
        <w:t>Panel data differs from a regular time-series or cross-section regression, where needed to used several estimations to address the inference problems (heteroscedasticity and autocorrelation) because of a c</w:t>
      </w:r>
      <w:r w:rsidRPr="00D31DFB">
        <w:rPr>
          <w:spacing w:val="-1"/>
          <w:shd w:val="clear" w:color="auto" w:fill="FFFFFF"/>
        </w:rPr>
        <w:t xml:space="preserve">ombination of time series and cross-section. There are several estimations used, which are the </w:t>
      </w:r>
      <w:r w:rsidRPr="00D31DFB">
        <w:t xml:space="preserve">fixed effects model (FEM) or the least-squares dummy variable (LSDV) model and the random-effects model (REM) or error components model </w:t>
      </w:r>
      <w:r w:rsidRPr="00D31DFB">
        <w:fldChar w:fldCharType="begin" w:fldLock="1"/>
      </w:r>
      <w:r w:rsidRPr="00D31DFB">
        <w:instrText>ADDIN CSL_CITATION {"citationItems":[{"id":"ITEM-1","itemData":{"DOI":"10.7232/iems.2019.18.3.495","ISSN":"22346473","abstract":"Poverty and income inequality are being one of the most challenging issues in many developing countries, including Indonesia. Considering the higher level of the poverty rate in Indonesia, the study about poverty reduction is crucial and currently under discussion in previous studies. Thus, this study is written to examine what is education and health budgets could be reducing the poverty rate in Indonesia. The study utilizes annual data gathered from the Central Bureau of Statistics over the 2007-2017 period and analyzed using panel data by assisting the Eviews-10. The empirical result finds that the budget allocated for education and health significantly reduce the poverty rate in Indonesia. Therefore, it is suggested that to further reduce the poverty level, the government should allocate more budget of education and health for the poor and there is a need to monitor the public service performance with the aim the allocation of expenditure can be more efficient and effective. Besides, it is necessary to increase the number of pro-poor programs such as free public health and education insurance to fulfill the basic needs of the poor.","author":[{"dropping-particle":"","family":"Muhammad","given":"Said","non-dropping-particle":"","parse-names":false,"suffix":""},{"dropping-particle":"","family":"Zulham","given":"T.","non-dropping-particle":"","parse-names":false,"suffix":""},{"dropping-particle":"","family":"Sapha","given":"Diana","non-dropping-particle":"","parse-names":false,"suffix":""},{"dropping-particle":"","family":"Fitriyani","given":"","non-dropping-particle":"","parse-names":false,"suffix":""},{"dropping-particle":"","family":"Saputra","given":"Jumadil","non-dropping-particle":"","parse-names":false,"suffix":""}],"container-title":"Industrial Engineering and Management Systems","id":"ITEM-1","issue":"3","issued":{"date-parts":[["2019"]]},"page":"495-500","title":"Investigating the public spending and economical growth on the poverty reduction in Indonesia","type":"article-journal","volume":"18"},"uris":["http://www.mendeley.com/documents/?uuid=89433772-fc21-4da3-8ef7-5d8d378729bc"]},{"id":"ITEM-2","itemData":{"DOI":"10.1186/1478-7954-4-13","ISBN":"1548-7660","ISSN":"1548-7660","PMID":"17076901","abstract":"Panel data econometrics is obviously one of the main fields in the profession, but most of the models used are difficult to estimate with R. plm is a package for R which intends to make the estimation of linear panel models straightforward. plm provides functions to estimate a wide variety of models and to make (robust) inference.","author":[{"dropping-particle":"","family":"Croissant","given":"Y","non-dropping-particle":"","parse-names":false,"suffix":""},{"dropping-particle":"","family":"Millo","given":"G","non-dropping-particle":"","parse-names":false,"suffix":""}],"container-title":"Journal of Statistical Software","id":"ITEM-2","issue":"2","issued":{"date-parts":[["2008"]]},"page":"1-43","title":"Panel data econometrics in R: The plum package","type":"article-journal","volume":"27"},"uris":["http://www.mendeley.com/documents/?uuid=53b5fae8-80cf-49fd-a967-30cff5d0f23a"]}],"mendeley":{"formattedCitation":"(Croissant &amp; Millo, 2008; Muhammad et al., 2019)","plainTextFormattedCitation":"(Croissant &amp; Millo, 2008; Muhammad et al., 2019)","previouslyFormattedCitation":"(Croissant &amp; Millo, 2008; Muhammad et al., 2019)"},"properties":{"noteIndex":0},"schema":"https://github.com/citation-style-language/schema/raw/master/csl-citation.json"}</w:instrText>
      </w:r>
      <w:r w:rsidRPr="00D31DFB">
        <w:fldChar w:fldCharType="separate"/>
      </w:r>
      <w:r w:rsidRPr="00D31DFB">
        <w:rPr>
          <w:noProof/>
        </w:rPr>
        <w:t>(Croissant &amp; Millo, 2008; Muhammad et al., 2019)</w:t>
      </w:r>
      <w:r w:rsidRPr="00D31DFB">
        <w:fldChar w:fldCharType="end"/>
      </w:r>
      <w:r w:rsidRPr="00D31DFB">
        <w:t>.</w:t>
      </w:r>
    </w:p>
    <w:p w:rsidR="00A84AA6" w:rsidRPr="00D31DFB" w:rsidRDefault="00A84AA6" w:rsidP="00A84AA6">
      <w:pPr>
        <w:adjustRightInd w:val="0"/>
        <w:snapToGrid w:val="0"/>
        <w:ind w:firstLine="720"/>
        <w:jc w:val="both"/>
      </w:pPr>
      <w:r w:rsidRPr="00D31DFB">
        <w:lastRenderedPageBreak/>
        <w:t xml:space="preserve">The fixed-effects model is an appropriate specification if we are focusing on a specific set of observations. Nevertheless, there are too many standards in the fixed effects model, and the </w:t>
      </w:r>
      <w:proofErr w:type="spellStart"/>
      <w:r w:rsidRPr="00D31DFB">
        <w:t>loss</w:t>
      </w:r>
      <w:proofErr w:type="spellEnd"/>
      <w:r w:rsidRPr="00D31DFB">
        <w:t xml:space="preserve"> </w:t>
      </w:r>
      <w:proofErr w:type="spellStart"/>
      <w:r w:rsidRPr="00D31DFB">
        <w:t>of</w:t>
      </w:r>
      <w:proofErr w:type="spellEnd"/>
      <w:r w:rsidRPr="00D31DFB">
        <w:t xml:space="preserve"> </w:t>
      </w:r>
      <w:proofErr w:type="spellStart"/>
      <w:r w:rsidRPr="00D31DFB">
        <w:t>degrees</w:t>
      </w:r>
      <w:proofErr w:type="spellEnd"/>
      <w:r w:rsidRPr="00D31DFB">
        <w:t xml:space="preserve"> </w:t>
      </w:r>
      <w:proofErr w:type="spellStart"/>
      <w:r w:rsidRPr="00D31DFB">
        <w:t>of</w:t>
      </w:r>
      <w:proofErr w:type="spellEnd"/>
      <w:r w:rsidRPr="00D31DFB">
        <w:t xml:space="preserve"> </w:t>
      </w:r>
      <w:proofErr w:type="spellStart"/>
      <w:r w:rsidRPr="00D31DFB">
        <w:t>freedom</w:t>
      </w:r>
      <w:proofErr w:type="spellEnd"/>
      <w:r w:rsidRPr="00D31DFB">
        <w:t xml:space="preserve"> </w:t>
      </w:r>
      <w:proofErr w:type="spellStart"/>
      <w:r w:rsidRPr="00D31DFB">
        <w:t>can</w:t>
      </w:r>
      <w:proofErr w:type="spellEnd"/>
      <w:r w:rsidRPr="00D31DFB">
        <w:t xml:space="preserve"> </w:t>
      </w:r>
      <w:proofErr w:type="spellStart"/>
      <w:r w:rsidRPr="00D31DFB">
        <w:t>be</w:t>
      </w:r>
      <w:proofErr w:type="spellEnd"/>
      <w:r w:rsidRPr="00D31DFB">
        <w:t xml:space="preserve"> </w:t>
      </w:r>
      <w:proofErr w:type="spellStart"/>
      <w:r w:rsidRPr="00D31DFB">
        <w:t>avoided</w:t>
      </w:r>
      <w:proofErr w:type="spellEnd"/>
      <w:r w:rsidRPr="00D31DFB">
        <w:t xml:space="preserve"> </w:t>
      </w:r>
      <w:proofErr w:type="spellStart"/>
      <w:r w:rsidRPr="00D31DFB">
        <w:t>if</w:t>
      </w:r>
      <w:proofErr w:type="spellEnd"/>
      <w:r w:rsidRPr="00D31DFB">
        <w:t xml:space="preserve"> µi, </w:t>
      </w:r>
      <w:proofErr w:type="spellStart"/>
      <w:r w:rsidRPr="00D31DFB">
        <w:t>hence</w:t>
      </w:r>
      <w:proofErr w:type="spellEnd"/>
      <w:r w:rsidRPr="00D31DFB">
        <w:t xml:space="preserve"> a </w:t>
      </w:r>
      <w:proofErr w:type="spellStart"/>
      <w:r w:rsidRPr="00D31DFB">
        <w:t>random</w:t>
      </w:r>
      <w:proofErr w:type="spellEnd"/>
      <w:r w:rsidRPr="00D31DFB">
        <w:t xml:space="preserve"> </w:t>
      </w:r>
      <w:proofErr w:type="spellStart"/>
      <w:r w:rsidRPr="00D31DFB">
        <w:t>effect</w:t>
      </w:r>
      <w:proofErr w:type="spellEnd"/>
      <w:r w:rsidRPr="00D31DFB">
        <w:t xml:space="preserve"> </w:t>
      </w:r>
      <w:proofErr w:type="spellStart"/>
      <w:r w:rsidRPr="00D31DFB">
        <w:t>must</w:t>
      </w:r>
      <w:proofErr w:type="spellEnd"/>
      <w:r w:rsidRPr="00D31DFB">
        <w:t xml:space="preserve"> </w:t>
      </w:r>
      <w:proofErr w:type="spellStart"/>
      <w:r w:rsidRPr="00D31DFB">
        <w:t>be</w:t>
      </w:r>
      <w:proofErr w:type="spellEnd"/>
      <w:r w:rsidRPr="00D31DFB">
        <w:t xml:space="preserve"> assumed </w:t>
      </w:r>
      <w:r w:rsidRPr="00D31DFB">
        <w:fldChar w:fldCharType="begin" w:fldLock="1"/>
      </w:r>
      <w:r w:rsidRPr="00D31DFB">
        <w:instrText>ADDIN CSL_CITATION {"citationItems":[{"id":"ITEM-1","itemData":{"abstract":"The present work is a part of a larger study on panel data. Panel data or longitudinal data (the older terminology) refers to a data set containing observations on multiple phenomena over multiple time periods. Thus it has two dimensions: spatial (cross-sectional) and temporal (time series). The main advantage of panel data comes from its solution to the difficulties involved in interpreting the partial regression coefficients in the framework of a cross-section only or time series only multiple regression. Depending upon the assumptions about the error components of the panel data model, whether they are fixed or random, we have two types of models, fixed effects and random effects. In this paper we explain these models with regression results using a part of a data set from a famous study on investment theory by Yehuda Grunfeld (1958), who tried to analyse the effect of the (previous period) real value of the firm and the (previous period) real capital stock on real gross investment. We consider mainly three types of panel data analytic models: (1) constant coefficients (pooled regression) models, (2) fixed effects models, and (3) random effects models. The fixed effects model is discussed under two assumptions: (1) heterogeneous intercepts and homogeneous slope, and (2) heterogeneous intercepts and slopes. We discuss all the relevant statistical tests in the context of all these models.","author":[{"dropping-particle":"","family":"Pillai","given":"Vijayamohanan","non-dropping-particle":"","parse-names":false,"suffix":""}],"container-title":"Munich Personal RePEc Archive","id":"ITEM-1","issue":"70986","issued":{"date-parts":[["2016"]]},"page":"1-56","title":"Panel Data Analysis with Stata Part 1 Fixed Effects and Random Effects Models","type":"article-journal"},"uris":["http://www.mendeley.com/documents/?uuid=7eb6d14d-a31f-47bd-a06e-720200801556"]}],"mendeley":{"formattedCitation":"(Pillai, 2016)","manualFormatting":"(Pillai, 2016.; Baltagi, 2015)","plainTextFormattedCitation":"(Pillai, 2016)","previouslyFormattedCitation":"(Pillai, 2016)"},"properties":{"noteIndex":0},"schema":"https://github.com/citation-style-language/schema/raw/master/csl-citation.json"}</w:instrText>
      </w:r>
      <w:r w:rsidRPr="00D31DFB">
        <w:fldChar w:fldCharType="separate"/>
      </w:r>
      <w:r w:rsidRPr="00D31DFB">
        <w:rPr>
          <w:noProof/>
        </w:rPr>
        <w:t>(Baltagi, 2015; Pillai, 2016)</w:t>
      </w:r>
      <w:r w:rsidRPr="00D31DFB">
        <w:fldChar w:fldCharType="end"/>
      </w:r>
      <w:r w:rsidRPr="00D31DFB">
        <w:t xml:space="preserve">. Besides, </w:t>
      </w:r>
      <w:r w:rsidRPr="00D31DFB">
        <w:fldChar w:fldCharType="begin" w:fldLock="1"/>
      </w:r>
      <w:r w:rsidRPr="00D31DFB">
        <w:instrText>ADDIN CSL_CITATION {"citationItems":[{"id":"ITEM-1","itemData":{"author":[{"dropping-particle":"","family":"Hausman","given":"J. A.","non-dropping-particle":"","parse-names":false,"suffix":""},{"dropping-particle":"","family":"Taylor","given":"W. E.","non-dropping-particle":"","parse-names":false,"suffix":""}],"container-title":"Econometrica","id":"ITEM-1","issued":{"date-parts":[["1980"]]},"page":"1377-1398","title":"Panel Data and Unobservable Idividual Effects","type":"article-journal"},"uris":["http://www.mendeley.com/documents/?uuid=be38f279-dbff-4304-8ceb-5ca8b84bd786"]}],"mendeley":{"formattedCitation":"(Hausman &amp; Taylor, 1980)","manualFormatting":"(Hausman, 1978)","plainTextFormattedCitation":"(Hausman &amp; Taylor, 1980)","previouslyFormattedCitation":"(Hausman &amp; Taylor, 1980)"},"properties":{"noteIndex":0},"schema":"https://github.com/citation-style-language/schema/raw/master/csl-citation.json"}</w:instrText>
      </w:r>
      <w:r w:rsidRPr="00D31DFB">
        <w:fldChar w:fldCharType="separate"/>
      </w:r>
      <w:r w:rsidRPr="00D31DFB">
        <w:rPr>
          <w:noProof/>
        </w:rPr>
        <w:t>Hausman (1980)</w:t>
      </w:r>
      <w:r w:rsidRPr="00D31DFB">
        <w:fldChar w:fldCharType="end"/>
      </w:r>
      <w:r w:rsidRPr="00D31DFB">
        <w:t xml:space="preserve"> in </w:t>
      </w:r>
      <w:r w:rsidRPr="00D31DFB">
        <w:fldChar w:fldCharType="begin" w:fldLock="1"/>
      </w:r>
      <w:r w:rsidRPr="00D31DFB">
        <w:instrText>ADDIN CSL_CITATION {"citationItems":[{"id":"ITEM-1","itemData":{"author":[{"dropping-particle":"","family":"Hausman","given":"J. A.","non-dropping-particle":"","parse-names":false,"suffix":""},{"dropping-particle":"","family":"Taylor","given":"W. E.","non-dropping-particle":"","parse-names":false,"suffix":""}],"container-title":"Econometrica","id":"ITEM-1","issued":{"date-parts":[["1980"]]},"page":"1377-1398","title":"Panel Data and Unobservable Idividual Effects","type":"article-journal"},"uris":["http://www.mendeley.com/documents/?uuid=be38f279-dbff-4304-8ceb-5ca8b84bd786"]}],"mendeley":{"formattedCitation":"(Hausman &amp; Taylor, 1980)","manualFormatting":"(Hausman, 1978)","plainTextFormattedCitation":"(Hausman &amp; Taylor, 1980)","previouslyFormattedCitation":"(Hausman &amp; Taylor, 1980)"},"properties":{"noteIndex":0},"schema":"https://github.com/citation-style-language/schema/raw/master/csl-citation.json"}</w:instrText>
      </w:r>
      <w:r w:rsidRPr="00D31DFB">
        <w:fldChar w:fldCharType="separate"/>
      </w:r>
      <w:r w:rsidRPr="00D31DFB">
        <w:t>Arellano</w:t>
      </w:r>
      <w:r w:rsidRPr="00D31DFB">
        <w:rPr>
          <w:noProof/>
        </w:rPr>
        <w:t xml:space="preserve"> (1993)</w:t>
      </w:r>
      <w:r w:rsidRPr="00D31DFB">
        <w:fldChar w:fldCharType="end"/>
      </w:r>
      <w:r w:rsidRPr="00D31DFB">
        <w:t xml:space="preserve"> built the Hausman test to select the proper model between fixed and random effects. The model was developed based on the comparison between the within groups and the GLS estimators.</w:t>
      </w:r>
    </w:p>
    <w:p w:rsidR="00A84AA6" w:rsidRPr="00D31DFB" w:rsidRDefault="00A84AA6" w:rsidP="00A84AA6">
      <w:pPr>
        <w:adjustRightInd w:val="0"/>
        <w:snapToGrid w:val="0"/>
        <w:jc w:val="both"/>
      </w:pPr>
    </w:p>
    <w:p w:rsidR="00A84AA6" w:rsidRPr="00D31DFB" w:rsidRDefault="00A84AA6" w:rsidP="00A84AA6">
      <w:pPr>
        <w:adjustRightInd w:val="0"/>
        <w:snapToGrid w:val="0"/>
        <w:jc w:val="both"/>
        <w:rPr>
          <w:b/>
          <w:bCs/>
        </w:rPr>
      </w:pPr>
      <w:r w:rsidRPr="00D31DFB">
        <w:rPr>
          <w:b/>
          <w:bCs/>
        </w:rPr>
        <w:t xml:space="preserve">Flypaper Effect </w:t>
      </w:r>
    </w:p>
    <w:p w:rsidR="00A84AA6" w:rsidRPr="00D31DFB" w:rsidRDefault="00A84AA6" w:rsidP="00A84AA6">
      <w:pPr>
        <w:adjustRightInd w:val="0"/>
        <w:snapToGrid w:val="0"/>
        <w:ind w:firstLine="720"/>
        <w:jc w:val="both"/>
      </w:pPr>
      <w:r w:rsidRPr="00D31DFB">
        <w:t xml:space="preserve">In this study, we also analyze the flypaper effect to calculate whether local government expenditure is more determined by the transfer than the original local government revenue. </w:t>
      </w:r>
      <w:r w:rsidRPr="00D31DFB">
        <w:fldChar w:fldCharType="begin" w:fldLock="1"/>
      </w:r>
      <w:r w:rsidRPr="00D31DFB">
        <w:instrText>ADDIN CSL_CITATION {"citationItems":[{"id":"ITEM-1","itemData":{"author":[{"dropping-particle":"","family":"Dollery, Brian; Worthington","given":"Andrew","non-dropping-particle":"","parse-names":false,"suffix":""}],"container-title":"Всш","id":"ITEM-1","issue":"1","issued":{"date-parts":[["1995"]]},"page":"35-38","title":"Dollery, Brian and Worthington, Andrew (1995) Federal Expenditure And Fiscal Illusion: An Australian Test Of The Flypaper Hypothesis . Publius: The Journal of Federalism 25(1):pp. 23-34. Originally published by Lafayette College, journal now published by","type":"article-journal","volume":"1"},"uris":["http://www.mendeley.com/documents/?uuid=64cb8896-4034-4c08-980c-a23f0cbd83eb"]}],"mendeley":{"formattedCitation":"(Dollery, Brian; Worthington, 1995)","plainTextFormattedCitation":"(Dollery, Brian; Worthington, 1995)","previouslyFormattedCitation":"(Dollery, Brian; Worthington, 1995)"},"properties":{"noteIndex":0},"schema":"https://github.com/citation-style-language/schema/raw/master/csl-citation.json"}</w:instrText>
      </w:r>
      <w:r w:rsidRPr="00D31DFB">
        <w:fldChar w:fldCharType="separate"/>
      </w:r>
      <w:r w:rsidRPr="00D31DFB">
        <w:rPr>
          <w:noProof/>
        </w:rPr>
        <w:t>Dollery &amp; Worthington (1995)</w:t>
      </w:r>
      <w:r w:rsidRPr="00D31DFB">
        <w:fldChar w:fldCharType="end"/>
      </w:r>
      <w:r w:rsidRPr="00D31DFB">
        <w:t xml:space="preserve"> stated that “flypaper effect defined as a decrease in donor (federal) non-grant expenditures as a result of an increase in the tax price of federal expenditures would provide prima facie evidence of fiscal illusion at the level of the recipient (state).”</w:t>
      </w:r>
    </w:p>
    <w:p w:rsidR="00A84AA6" w:rsidRPr="00D31DFB" w:rsidRDefault="00A84AA6" w:rsidP="00A84AA6">
      <w:pPr>
        <w:adjustRightInd w:val="0"/>
        <w:snapToGrid w:val="0"/>
        <w:ind w:firstLine="720"/>
        <w:jc w:val="both"/>
      </w:pPr>
      <w:r w:rsidRPr="00D31DFB">
        <w:t xml:space="preserve">Determined the flypaper effect can be obtained by calculated the coefficient or value of the independent variables. If the balanced fund's value is greater than the original local government revenue, and both are significant, we can assume that the flypaper effect has happened. The flypaper effect also exists if the PAD's p-value is not significant </w:t>
      </w:r>
      <w:r w:rsidRPr="00D31DFB">
        <w:fldChar w:fldCharType="begin" w:fldLock="1"/>
      </w:r>
      <w:r w:rsidRPr="00D31DFB">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2013)","manualFormatting":"(Baltagi, 2005.; Kunst, 2013.; Hsiao, 2003)","plainTextFormattedCitation":"(Baltagi, 2005; Kunst, 2013)","previouslyFormattedCitation":"(Baltagi, 2005; Kunst, 2013)"},"properties":{"noteIndex":0},"schema":"https://github.com/citation-style-language/schema/raw/master/csl-citation.json"}</w:instrText>
      </w:r>
      <w:r w:rsidRPr="00D31DFB">
        <w:fldChar w:fldCharType="separate"/>
      </w:r>
      <w:r w:rsidRPr="00D31DFB">
        <w:t>(Prakosa</w:t>
      </w:r>
      <w:r w:rsidRPr="00D31DFB">
        <w:rPr>
          <w:noProof/>
        </w:rPr>
        <w:t xml:space="preserve">, </w:t>
      </w:r>
      <w:r w:rsidRPr="00D31DFB">
        <w:t>2004; Iskandar, 2012; Solikin, 2016; Amalia, 2017</w:t>
      </w:r>
      <w:r w:rsidRPr="00D31DFB">
        <w:rPr>
          <w:noProof/>
        </w:rPr>
        <w:t>).</w:t>
      </w:r>
      <w:r w:rsidRPr="00D31DFB">
        <w:fldChar w:fldCharType="end"/>
      </w:r>
      <w:r w:rsidRPr="00D31DFB">
        <w:t xml:space="preserve"> </w:t>
      </w:r>
    </w:p>
    <w:p w:rsidR="00DA26AF" w:rsidRPr="00D31DFB" w:rsidRDefault="00DA26AF" w:rsidP="00A84AA6">
      <w:pPr>
        <w:adjustRightInd w:val="0"/>
        <w:snapToGrid w:val="0"/>
        <w:jc w:val="both"/>
      </w:pPr>
    </w:p>
    <w:p w:rsidR="00DA26AF" w:rsidRPr="00D31DFB" w:rsidRDefault="00DA26AF" w:rsidP="00A84AA6">
      <w:pPr>
        <w:adjustRightInd w:val="0"/>
        <w:snapToGrid w:val="0"/>
        <w:jc w:val="both"/>
      </w:pPr>
    </w:p>
    <w:p w:rsidR="00A84AA6" w:rsidRPr="00D31DFB" w:rsidRDefault="00A84AA6" w:rsidP="00A84AA6">
      <w:pPr>
        <w:adjustRightInd w:val="0"/>
        <w:snapToGrid w:val="0"/>
        <w:jc w:val="both"/>
        <w:rPr>
          <w:b/>
          <w:bCs/>
        </w:rPr>
      </w:pPr>
      <w:r w:rsidRPr="00D31DFB">
        <w:rPr>
          <w:b/>
          <w:bCs/>
        </w:rPr>
        <w:t>RESULTS AND DISCUSSION</w:t>
      </w:r>
    </w:p>
    <w:p w:rsidR="00A84AA6" w:rsidRPr="00D31DFB" w:rsidRDefault="00A84AA6" w:rsidP="00A84AA6">
      <w:pPr>
        <w:adjustRightInd w:val="0"/>
        <w:snapToGrid w:val="0"/>
        <w:ind w:firstLine="720"/>
        <w:jc w:val="both"/>
      </w:pPr>
      <w:r w:rsidRPr="00D31DFB">
        <w:t xml:space="preserve">The </w:t>
      </w:r>
      <w:proofErr w:type="spellStart"/>
      <w:r w:rsidRPr="00D31DFB">
        <w:t>first</w:t>
      </w:r>
      <w:proofErr w:type="spellEnd"/>
      <w:r w:rsidRPr="00D31DFB">
        <w:t xml:space="preserve"> </w:t>
      </w:r>
      <w:proofErr w:type="spellStart"/>
      <w:r w:rsidRPr="00D31DFB">
        <w:t>phase</w:t>
      </w:r>
      <w:proofErr w:type="spellEnd"/>
      <w:r w:rsidRPr="00D31DFB">
        <w:t xml:space="preserve"> </w:t>
      </w:r>
      <w:proofErr w:type="spellStart"/>
      <w:r w:rsidRPr="00D31DFB">
        <w:t>of</w:t>
      </w:r>
      <w:proofErr w:type="spellEnd"/>
      <w:r w:rsidRPr="00D31DFB">
        <w:t xml:space="preserve"> </w:t>
      </w:r>
      <w:proofErr w:type="spellStart"/>
      <w:r w:rsidRPr="00D31DFB">
        <w:t>the</w:t>
      </w:r>
      <w:proofErr w:type="spellEnd"/>
      <w:r w:rsidRPr="00D31DFB">
        <w:t xml:space="preserve"> </w:t>
      </w:r>
      <w:proofErr w:type="spellStart"/>
      <w:r w:rsidRPr="00D31DFB">
        <w:t>analysis</w:t>
      </w:r>
      <w:proofErr w:type="spellEnd"/>
      <w:r w:rsidRPr="00D31DFB">
        <w:t xml:space="preserve"> </w:t>
      </w:r>
      <w:proofErr w:type="spellStart"/>
      <w:r w:rsidRPr="00D31DFB">
        <w:t>was</w:t>
      </w:r>
      <w:proofErr w:type="spellEnd"/>
      <w:r w:rsidRPr="00D31DFB">
        <w:t xml:space="preserve"> </w:t>
      </w:r>
      <w:proofErr w:type="spellStart"/>
      <w:r w:rsidRPr="00D31DFB">
        <w:t>to</w:t>
      </w:r>
      <w:proofErr w:type="spellEnd"/>
      <w:r w:rsidRPr="00D31DFB">
        <w:t xml:space="preserve"> </w:t>
      </w:r>
      <w:r w:rsidR="00BA297F">
        <w:rPr>
          <w:lang w:val="en-US"/>
        </w:rPr>
        <w:t>represent</w:t>
      </w:r>
      <w:r w:rsidRPr="00D31DFB">
        <w:t xml:space="preserve"> </w:t>
      </w:r>
      <w:proofErr w:type="spellStart"/>
      <w:r w:rsidRPr="00D31DFB">
        <w:t>the</w:t>
      </w:r>
      <w:proofErr w:type="spellEnd"/>
      <w:r w:rsidRPr="00D31DFB">
        <w:t xml:space="preserve"> </w:t>
      </w:r>
      <w:proofErr w:type="spellStart"/>
      <w:r w:rsidRPr="00D31DFB">
        <w:t>descriptive</w:t>
      </w:r>
      <w:proofErr w:type="spellEnd"/>
      <w:r w:rsidRPr="00D31DFB">
        <w:t xml:space="preserve"> </w:t>
      </w:r>
      <w:proofErr w:type="spellStart"/>
      <w:r w:rsidRPr="00D31DFB">
        <w:t>statistic</w:t>
      </w:r>
      <w:proofErr w:type="spellEnd"/>
      <w:r w:rsidRPr="00D31DFB">
        <w:t xml:space="preserve"> </w:t>
      </w:r>
      <w:proofErr w:type="spellStart"/>
      <w:r w:rsidRPr="00D31DFB">
        <w:t>of</w:t>
      </w:r>
      <w:proofErr w:type="spellEnd"/>
      <w:r w:rsidRPr="00D31DFB">
        <w:t xml:space="preserve"> </w:t>
      </w:r>
      <w:proofErr w:type="spellStart"/>
      <w:r w:rsidRPr="00D31DFB">
        <w:t>all</w:t>
      </w:r>
      <w:proofErr w:type="spellEnd"/>
      <w:r w:rsidRPr="00D31DFB">
        <w:t xml:space="preserve"> </w:t>
      </w:r>
      <w:proofErr w:type="spellStart"/>
      <w:r w:rsidRPr="00D31DFB">
        <w:t>variables</w:t>
      </w:r>
      <w:proofErr w:type="spellEnd"/>
      <w:r w:rsidRPr="00D31DFB">
        <w:t xml:space="preserve"> </w:t>
      </w:r>
      <w:proofErr w:type="spellStart"/>
      <w:r w:rsidRPr="00D31DFB">
        <w:t>used</w:t>
      </w:r>
      <w:proofErr w:type="spellEnd"/>
      <w:r w:rsidRPr="00D31DFB">
        <w:t xml:space="preserve"> in </w:t>
      </w:r>
      <w:proofErr w:type="spellStart"/>
      <w:r w:rsidRPr="00D31DFB">
        <w:t>this</w:t>
      </w:r>
      <w:proofErr w:type="spellEnd"/>
      <w:r w:rsidRPr="00D31DFB">
        <w:t xml:space="preserve"> study. Then it is vital to determine the most suitable panel model in this research by using the Hausman test. Afterward, the panel regression analysis is necessary to be investigated. The results in Table 2 summarize the descriptive statistic about all variables used in this model, which are local government expenditure, PAD, DAU, DAK, and DBH. </w:t>
      </w:r>
    </w:p>
    <w:p w:rsidR="00A84AA6" w:rsidRPr="00D31DFB" w:rsidRDefault="00A84AA6" w:rsidP="00A84AA6">
      <w:pPr>
        <w:adjustRightInd w:val="0"/>
        <w:snapToGrid w:val="0"/>
        <w:ind w:firstLine="720"/>
        <w:jc w:val="both"/>
      </w:pPr>
    </w:p>
    <w:p w:rsidR="00A84AA6" w:rsidRPr="00D31DFB" w:rsidRDefault="00A84AA6" w:rsidP="00A84AA6">
      <w:pPr>
        <w:widowControl w:val="0"/>
        <w:autoSpaceDE w:val="0"/>
        <w:autoSpaceDN w:val="0"/>
        <w:adjustRightInd w:val="0"/>
        <w:snapToGrid w:val="0"/>
        <w:jc w:val="center"/>
        <w:rPr>
          <w:b/>
          <w:bCs/>
          <w:color w:val="000000"/>
          <w:lang w:val="en-ID" w:eastAsia="en-ID"/>
        </w:rPr>
      </w:pPr>
      <w:r w:rsidRPr="00D31DFB">
        <w:rPr>
          <w:b/>
          <w:bCs/>
          <w:color w:val="000000"/>
          <w:lang w:val="en-ID" w:eastAsia="en-ID"/>
        </w:rPr>
        <w:t>Table 2. Descriptive Statistic of Variables</w:t>
      </w:r>
    </w:p>
    <w:p w:rsidR="00804BA7" w:rsidRPr="00D31DFB" w:rsidRDefault="00804BA7" w:rsidP="00A84AA6">
      <w:pPr>
        <w:widowControl w:val="0"/>
        <w:autoSpaceDE w:val="0"/>
        <w:autoSpaceDN w:val="0"/>
        <w:adjustRightInd w:val="0"/>
        <w:snapToGrid w:val="0"/>
        <w:jc w:val="center"/>
        <w:rPr>
          <w:color w:val="000000"/>
          <w:lang w:val="en-ID" w:eastAsia="en-ID"/>
        </w:rPr>
      </w:pPr>
    </w:p>
    <w:tbl>
      <w:tblPr>
        <w:tblW w:w="8789"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410"/>
        <w:gridCol w:w="1305"/>
        <w:gridCol w:w="20"/>
        <w:gridCol w:w="1201"/>
        <w:gridCol w:w="1200"/>
        <w:gridCol w:w="1235"/>
        <w:gridCol w:w="1418"/>
      </w:tblGrid>
      <w:tr w:rsidR="00A84AA6" w:rsidRPr="00D31DFB" w:rsidTr="00A84AA6">
        <w:trPr>
          <w:trHeight w:val="504"/>
          <w:jc w:val="center"/>
        </w:trPr>
        <w:tc>
          <w:tcPr>
            <w:tcW w:w="2410" w:type="dxa"/>
            <w:tcBorders>
              <w:bottom w:val="single" w:sz="4" w:space="0" w:color="auto"/>
            </w:tcBorders>
          </w:tcPr>
          <w:p w:rsidR="00A84AA6" w:rsidRPr="00D31DFB" w:rsidRDefault="00A84AA6" w:rsidP="00A84AA6">
            <w:pPr>
              <w:pStyle w:val="TableParagraph"/>
              <w:adjustRightInd w:val="0"/>
              <w:snapToGrid w:val="0"/>
              <w:rPr>
                <w:rFonts w:ascii="Times New Roman" w:hAnsi="Times New Roman" w:cs="Times New Roman"/>
                <w:b/>
                <w:bCs/>
              </w:rPr>
            </w:pPr>
          </w:p>
          <w:p w:rsidR="00A84AA6" w:rsidRPr="00D31DFB" w:rsidRDefault="00A84AA6" w:rsidP="00A84AA6">
            <w:pPr>
              <w:pStyle w:val="TableParagraph"/>
              <w:adjustRightInd w:val="0"/>
              <w:snapToGrid w:val="0"/>
              <w:ind w:left="381"/>
              <w:rPr>
                <w:rFonts w:ascii="Times New Roman" w:hAnsi="Times New Roman" w:cs="Times New Roman"/>
                <w:b/>
                <w:bCs/>
              </w:rPr>
            </w:pPr>
            <w:r w:rsidRPr="00D31DFB">
              <w:rPr>
                <w:rFonts w:ascii="Times New Roman" w:hAnsi="Times New Roman" w:cs="Times New Roman"/>
                <w:b/>
                <w:bCs/>
              </w:rPr>
              <w:t>Variable</w:t>
            </w:r>
          </w:p>
        </w:tc>
        <w:tc>
          <w:tcPr>
            <w:tcW w:w="1305" w:type="dxa"/>
            <w:tcBorders>
              <w:bottom w:val="single" w:sz="4" w:space="0" w:color="auto"/>
            </w:tcBorders>
          </w:tcPr>
          <w:p w:rsidR="00A84AA6" w:rsidRPr="00D31DFB" w:rsidRDefault="00A84AA6" w:rsidP="00A84AA6">
            <w:pPr>
              <w:pStyle w:val="TableParagraph"/>
              <w:adjustRightInd w:val="0"/>
              <w:snapToGrid w:val="0"/>
              <w:rPr>
                <w:rFonts w:ascii="Times New Roman" w:hAnsi="Times New Roman" w:cs="Times New Roman"/>
                <w:b/>
                <w:bCs/>
              </w:rPr>
            </w:pPr>
          </w:p>
          <w:p w:rsidR="00A84AA6" w:rsidRPr="00D31DFB" w:rsidRDefault="00A84AA6" w:rsidP="00A84AA6">
            <w:pPr>
              <w:pStyle w:val="TableParagraph"/>
              <w:adjustRightInd w:val="0"/>
              <w:snapToGrid w:val="0"/>
              <w:ind w:right="167"/>
              <w:jc w:val="right"/>
              <w:rPr>
                <w:rFonts w:ascii="Times New Roman" w:hAnsi="Times New Roman" w:cs="Times New Roman"/>
                <w:b/>
                <w:bCs/>
              </w:rPr>
            </w:pPr>
            <w:r w:rsidRPr="00D31DFB">
              <w:rPr>
                <w:rFonts w:ascii="Times New Roman" w:hAnsi="Times New Roman" w:cs="Times New Roman"/>
                <w:b/>
                <w:bCs/>
              </w:rPr>
              <w:t>Mean</w:t>
            </w:r>
          </w:p>
        </w:tc>
        <w:tc>
          <w:tcPr>
            <w:tcW w:w="20" w:type="dxa"/>
            <w:tcBorders>
              <w:bottom w:val="single" w:sz="4" w:space="0" w:color="auto"/>
            </w:tcBorders>
          </w:tcPr>
          <w:p w:rsidR="00A84AA6" w:rsidRPr="00D31DFB" w:rsidRDefault="00A84AA6" w:rsidP="00A84AA6">
            <w:pPr>
              <w:pStyle w:val="TableParagraph"/>
              <w:adjustRightInd w:val="0"/>
              <w:snapToGrid w:val="0"/>
              <w:rPr>
                <w:rFonts w:ascii="Times New Roman" w:hAnsi="Times New Roman" w:cs="Times New Roman"/>
                <w:b/>
                <w:bCs/>
              </w:rPr>
            </w:pPr>
          </w:p>
        </w:tc>
        <w:tc>
          <w:tcPr>
            <w:tcW w:w="1201" w:type="dxa"/>
            <w:tcBorders>
              <w:bottom w:val="single" w:sz="4" w:space="0" w:color="auto"/>
            </w:tcBorders>
          </w:tcPr>
          <w:p w:rsidR="00A84AA6" w:rsidRPr="00D31DFB" w:rsidRDefault="00A84AA6" w:rsidP="00A84AA6">
            <w:pPr>
              <w:pStyle w:val="TableParagraph"/>
              <w:adjustRightInd w:val="0"/>
              <w:snapToGrid w:val="0"/>
              <w:rPr>
                <w:rFonts w:ascii="Times New Roman" w:hAnsi="Times New Roman" w:cs="Times New Roman"/>
                <w:b/>
                <w:bCs/>
              </w:rPr>
            </w:pPr>
          </w:p>
          <w:p w:rsidR="00A84AA6" w:rsidRPr="00D31DFB" w:rsidRDefault="00A84AA6" w:rsidP="00A84AA6">
            <w:pPr>
              <w:pStyle w:val="TableParagraph"/>
              <w:adjustRightInd w:val="0"/>
              <w:snapToGrid w:val="0"/>
              <w:ind w:right="56"/>
              <w:jc w:val="right"/>
              <w:rPr>
                <w:rFonts w:ascii="Times New Roman" w:hAnsi="Times New Roman" w:cs="Times New Roman"/>
                <w:b/>
                <w:bCs/>
              </w:rPr>
            </w:pPr>
            <w:r w:rsidRPr="00D31DFB">
              <w:rPr>
                <w:rFonts w:ascii="Times New Roman" w:hAnsi="Times New Roman" w:cs="Times New Roman"/>
                <w:b/>
                <w:bCs/>
              </w:rPr>
              <w:t>Std. Dev.</w:t>
            </w:r>
          </w:p>
        </w:tc>
        <w:tc>
          <w:tcPr>
            <w:tcW w:w="1200" w:type="dxa"/>
            <w:tcBorders>
              <w:bottom w:val="single" w:sz="4" w:space="0" w:color="auto"/>
            </w:tcBorders>
          </w:tcPr>
          <w:p w:rsidR="00A84AA6" w:rsidRPr="00D31DFB" w:rsidRDefault="00A84AA6" w:rsidP="00A84AA6">
            <w:pPr>
              <w:pStyle w:val="TableParagraph"/>
              <w:adjustRightInd w:val="0"/>
              <w:snapToGrid w:val="0"/>
              <w:rPr>
                <w:rFonts w:ascii="Times New Roman" w:hAnsi="Times New Roman" w:cs="Times New Roman"/>
                <w:b/>
                <w:bCs/>
              </w:rPr>
            </w:pPr>
          </w:p>
          <w:p w:rsidR="00A84AA6" w:rsidRPr="00D31DFB" w:rsidRDefault="00A84AA6" w:rsidP="00A84AA6">
            <w:pPr>
              <w:pStyle w:val="TableParagraph"/>
              <w:adjustRightInd w:val="0"/>
              <w:snapToGrid w:val="0"/>
              <w:ind w:right="167"/>
              <w:jc w:val="right"/>
              <w:rPr>
                <w:rFonts w:ascii="Times New Roman" w:hAnsi="Times New Roman" w:cs="Times New Roman"/>
                <w:b/>
                <w:bCs/>
              </w:rPr>
            </w:pPr>
            <w:r w:rsidRPr="00D31DFB">
              <w:rPr>
                <w:rFonts w:ascii="Times New Roman" w:hAnsi="Times New Roman" w:cs="Times New Roman"/>
                <w:b/>
                <w:bCs/>
              </w:rPr>
              <w:t>Min</w:t>
            </w:r>
          </w:p>
        </w:tc>
        <w:tc>
          <w:tcPr>
            <w:tcW w:w="1235" w:type="dxa"/>
            <w:tcBorders>
              <w:bottom w:val="single" w:sz="4" w:space="0" w:color="auto"/>
            </w:tcBorders>
          </w:tcPr>
          <w:p w:rsidR="00A84AA6" w:rsidRPr="00D31DFB" w:rsidRDefault="00A84AA6" w:rsidP="00A84AA6">
            <w:pPr>
              <w:pStyle w:val="TableParagraph"/>
              <w:adjustRightInd w:val="0"/>
              <w:snapToGrid w:val="0"/>
              <w:rPr>
                <w:rFonts w:ascii="Times New Roman" w:hAnsi="Times New Roman" w:cs="Times New Roman"/>
                <w:b/>
                <w:bCs/>
              </w:rPr>
            </w:pPr>
          </w:p>
          <w:p w:rsidR="00A84AA6" w:rsidRPr="00D31DFB" w:rsidRDefault="00A84AA6" w:rsidP="00A84AA6">
            <w:pPr>
              <w:pStyle w:val="TableParagraph"/>
              <w:adjustRightInd w:val="0"/>
              <w:snapToGrid w:val="0"/>
              <w:ind w:right="171"/>
              <w:jc w:val="right"/>
              <w:rPr>
                <w:rFonts w:ascii="Times New Roman" w:hAnsi="Times New Roman" w:cs="Times New Roman"/>
                <w:b/>
                <w:bCs/>
              </w:rPr>
            </w:pPr>
            <w:r w:rsidRPr="00D31DFB">
              <w:rPr>
                <w:rFonts w:ascii="Times New Roman" w:hAnsi="Times New Roman" w:cs="Times New Roman"/>
                <w:b/>
                <w:bCs/>
              </w:rPr>
              <w:t>Max</w:t>
            </w:r>
          </w:p>
        </w:tc>
        <w:tc>
          <w:tcPr>
            <w:tcW w:w="1418" w:type="dxa"/>
            <w:tcBorders>
              <w:bottom w:val="single" w:sz="4" w:space="0" w:color="auto"/>
            </w:tcBorders>
          </w:tcPr>
          <w:p w:rsidR="00A84AA6" w:rsidRPr="00D31DFB" w:rsidRDefault="00A84AA6" w:rsidP="00A84AA6">
            <w:pPr>
              <w:pStyle w:val="TableParagraph"/>
              <w:adjustRightInd w:val="0"/>
              <w:snapToGrid w:val="0"/>
              <w:rPr>
                <w:rFonts w:ascii="Times New Roman" w:hAnsi="Times New Roman" w:cs="Times New Roman"/>
                <w:b/>
                <w:bCs/>
              </w:rPr>
            </w:pPr>
          </w:p>
          <w:p w:rsidR="00A84AA6" w:rsidRPr="00D31DFB" w:rsidRDefault="00A84AA6" w:rsidP="00A84AA6">
            <w:pPr>
              <w:pStyle w:val="TableParagraph"/>
              <w:adjustRightInd w:val="0"/>
              <w:snapToGrid w:val="0"/>
              <w:ind w:right="4"/>
              <w:jc w:val="right"/>
              <w:rPr>
                <w:rFonts w:ascii="Times New Roman" w:hAnsi="Times New Roman" w:cs="Times New Roman"/>
                <w:b/>
                <w:bCs/>
              </w:rPr>
            </w:pPr>
            <w:r w:rsidRPr="00D31DFB">
              <w:rPr>
                <w:rFonts w:ascii="Times New Roman" w:hAnsi="Times New Roman" w:cs="Times New Roman"/>
                <w:b/>
                <w:bCs/>
              </w:rPr>
              <w:t>Observations</w:t>
            </w:r>
          </w:p>
        </w:tc>
      </w:tr>
      <w:tr w:rsidR="00A84AA6" w:rsidRPr="00D31DFB" w:rsidTr="00A84AA6">
        <w:trPr>
          <w:trHeight w:val="583"/>
          <w:jc w:val="center"/>
        </w:trPr>
        <w:tc>
          <w:tcPr>
            <w:tcW w:w="2410" w:type="dxa"/>
            <w:tcBorders>
              <w:top w:val="single" w:sz="4" w:space="0" w:color="auto"/>
              <w:bottom w:val="nil"/>
            </w:tcBorders>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 xml:space="preserve">  </w:t>
            </w:r>
            <w:proofErr w:type="gramStart"/>
            <w:r w:rsidRPr="00D31DFB">
              <w:rPr>
                <w:rFonts w:ascii="Times New Roman" w:hAnsi="Times New Roman" w:cs="Times New Roman"/>
              </w:rPr>
              <w:t>Expenditure  overall</w:t>
            </w:r>
            <w:proofErr w:type="gramEnd"/>
          </w:p>
          <w:p w:rsidR="00A84AA6" w:rsidRPr="00D31DFB" w:rsidRDefault="00A84AA6" w:rsidP="00A84AA6">
            <w:pPr>
              <w:pStyle w:val="TableParagraph"/>
              <w:adjustRightInd w:val="0"/>
              <w:snapToGrid w:val="0"/>
              <w:ind w:left="1374"/>
              <w:rPr>
                <w:rFonts w:ascii="Times New Roman" w:hAnsi="Times New Roman" w:cs="Times New Roman"/>
              </w:rPr>
            </w:pPr>
            <w:r w:rsidRPr="00D31DFB">
              <w:rPr>
                <w:rFonts w:ascii="Times New Roman" w:hAnsi="Times New Roman" w:cs="Times New Roman"/>
              </w:rPr>
              <w:t xml:space="preserve">  between        within</w:t>
            </w:r>
          </w:p>
        </w:tc>
        <w:tc>
          <w:tcPr>
            <w:tcW w:w="1305" w:type="dxa"/>
            <w:tcBorders>
              <w:top w:val="single" w:sz="4" w:space="0" w:color="auto"/>
              <w:bottom w:val="nil"/>
            </w:tcBorders>
          </w:tcPr>
          <w:p w:rsidR="00A84AA6" w:rsidRPr="00D31DFB" w:rsidRDefault="00A84AA6" w:rsidP="00A84AA6">
            <w:pPr>
              <w:pStyle w:val="TableParagraph"/>
              <w:adjustRightInd w:val="0"/>
              <w:snapToGrid w:val="0"/>
              <w:ind w:right="167"/>
              <w:jc w:val="right"/>
              <w:rPr>
                <w:rFonts w:ascii="Times New Roman" w:hAnsi="Times New Roman" w:cs="Times New Roman"/>
              </w:rPr>
            </w:pPr>
            <w:r w:rsidRPr="00D31DFB">
              <w:rPr>
                <w:rFonts w:ascii="Times New Roman" w:hAnsi="Times New Roman" w:cs="Times New Roman"/>
              </w:rPr>
              <w:t>1.19e+12</w:t>
            </w:r>
          </w:p>
        </w:tc>
        <w:tc>
          <w:tcPr>
            <w:tcW w:w="20" w:type="dxa"/>
            <w:tcBorders>
              <w:top w:val="single" w:sz="4" w:space="0" w:color="auto"/>
              <w:bottom w:val="nil"/>
            </w:tcBorders>
          </w:tcPr>
          <w:p w:rsidR="00A84AA6" w:rsidRPr="00D31DFB" w:rsidRDefault="00A84AA6" w:rsidP="00A84AA6">
            <w:pPr>
              <w:pStyle w:val="TableParagraph"/>
              <w:adjustRightInd w:val="0"/>
              <w:snapToGrid w:val="0"/>
              <w:ind w:left="169"/>
              <w:rPr>
                <w:rFonts w:ascii="Times New Roman" w:hAnsi="Times New Roman" w:cs="Times New Roman"/>
                <w:spacing w:val="6"/>
              </w:rPr>
            </w:pPr>
          </w:p>
        </w:tc>
        <w:tc>
          <w:tcPr>
            <w:tcW w:w="1201" w:type="dxa"/>
            <w:tcBorders>
              <w:top w:val="single" w:sz="4" w:space="0" w:color="auto"/>
              <w:bottom w:val="nil"/>
            </w:tcBorders>
          </w:tcPr>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4.13e+11</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3.57e+11</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2.26e+11</w:t>
            </w:r>
          </w:p>
        </w:tc>
        <w:tc>
          <w:tcPr>
            <w:tcW w:w="1200" w:type="dxa"/>
            <w:tcBorders>
              <w:top w:val="single" w:sz="4" w:space="0" w:color="auto"/>
              <w:bottom w:val="nil"/>
            </w:tcBorders>
          </w:tcPr>
          <w:p w:rsidR="00A84AA6" w:rsidRPr="00D31DFB" w:rsidRDefault="00A84AA6" w:rsidP="00A84AA6">
            <w:pPr>
              <w:pStyle w:val="TableParagraph"/>
              <w:adjustRightInd w:val="0"/>
              <w:snapToGrid w:val="0"/>
              <w:ind w:left="168"/>
              <w:rPr>
                <w:rFonts w:ascii="Times New Roman" w:hAnsi="Times New Roman" w:cs="Times New Roman"/>
              </w:rPr>
            </w:pPr>
            <w:r w:rsidRPr="00D31DFB">
              <w:rPr>
                <w:rFonts w:ascii="Times New Roman" w:hAnsi="Times New Roman" w:cs="Times New Roman"/>
                <w:spacing w:val="6"/>
              </w:rPr>
              <w:t>5.06e+11</w:t>
            </w:r>
          </w:p>
          <w:p w:rsidR="00A84AA6" w:rsidRPr="00D31DFB" w:rsidRDefault="00A84AA6" w:rsidP="00A84AA6">
            <w:pPr>
              <w:pStyle w:val="TableParagraph"/>
              <w:adjustRightInd w:val="0"/>
              <w:snapToGrid w:val="0"/>
              <w:ind w:left="168"/>
              <w:rPr>
                <w:rFonts w:ascii="Times New Roman" w:hAnsi="Times New Roman" w:cs="Times New Roman"/>
              </w:rPr>
            </w:pPr>
            <w:r w:rsidRPr="00D31DFB">
              <w:rPr>
                <w:rFonts w:ascii="Times New Roman" w:hAnsi="Times New Roman" w:cs="Times New Roman"/>
                <w:spacing w:val="6"/>
              </w:rPr>
              <w:t>6.49e+11</w:t>
            </w:r>
          </w:p>
          <w:p w:rsidR="00A84AA6" w:rsidRPr="00D31DFB" w:rsidRDefault="00A84AA6" w:rsidP="00A84AA6">
            <w:pPr>
              <w:pStyle w:val="TableParagraph"/>
              <w:adjustRightInd w:val="0"/>
              <w:snapToGrid w:val="0"/>
              <w:ind w:left="168"/>
              <w:rPr>
                <w:rFonts w:ascii="Times New Roman" w:hAnsi="Times New Roman" w:cs="Times New Roman"/>
              </w:rPr>
            </w:pPr>
            <w:r w:rsidRPr="00D31DFB">
              <w:rPr>
                <w:rFonts w:ascii="Times New Roman" w:hAnsi="Times New Roman" w:cs="Times New Roman"/>
                <w:spacing w:val="6"/>
              </w:rPr>
              <w:t>6.87e+11</w:t>
            </w:r>
          </w:p>
        </w:tc>
        <w:tc>
          <w:tcPr>
            <w:tcW w:w="1235" w:type="dxa"/>
            <w:tcBorders>
              <w:top w:val="single" w:sz="4" w:space="0" w:color="auto"/>
              <w:bottom w:val="nil"/>
            </w:tcBorders>
          </w:tcPr>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2.12e+12</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1.82e+12</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1.66e+12</w:t>
            </w:r>
          </w:p>
        </w:tc>
        <w:tc>
          <w:tcPr>
            <w:tcW w:w="1418" w:type="dxa"/>
            <w:tcBorders>
              <w:top w:val="single" w:sz="4" w:space="0" w:color="auto"/>
              <w:bottom w:val="nil"/>
            </w:tcBorders>
          </w:tcPr>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N</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r>
            <w:r w:rsidRPr="00D31DFB">
              <w:rPr>
                <w:rFonts w:ascii="Times New Roman" w:hAnsi="Times New Roman" w:cs="Times New Roman"/>
                <w:spacing w:val="4"/>
              </w:rPr>
              <w:t>84</w:t>
            </w:r>
          </w:p>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n</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r>
            <w:r w:rsidRPr="00D31DFB">
              <w:rPr>
                <w:rFonts w:ascii="Times New Roman" w:hAnsi="Times New Roman" w:cs="Times New Roman"/>
                <w:spacing w:val="4"/>
              </w:rPr>
              <w:t>14</w:t>
            </w:r>
          </w:p>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T</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t>6</w:t>
            </w:r>
          </w:p>
        </w:tc>
      </w:tr>
      <w:tr w:rsidR="00A84AA6" w:rsidRPr="00D31DFB" w:rsidTr="00A84AA6">
        <w:trPr>
          <w:trHeight w:val="583"/>
          <w:jc w:val="center"/>
        </w:trPr>
        <w:tc>
          <w:tcPr>
            <w:tcW w:w="2410" w:type="dxa"/>
            <w:tcBorders>
              <w:top w:val="nil"/>
              <w:bottom w:val="nil"/>
            </w:tcBorders>
          </w:tcPr>
          <w:p w:rsidR="00A84AA6" w:rsidRPr="00D31DFB" w:rsidRDefault="00A84AA6" w:rsidP="00A84AA6">
            <w:pPr>
              <w:pStyle w:val="TableParagraph"/>
              <w:adjustRightInd w:val="0"/>
              <w:snapToGrid w:val="0"/>
              <w:ind w:left="1374" w:right="170" w:hanging="994"/>
              <w:jc w:val="both"/>
              <w:rPr>
                <w:rFonts w:ascii="Times New Roman" w:hAnsi="Times New Roman" w:cs="Times New Roman"/>
              </w:rPr>
            </w:pPr>
            <w:r w:rsidRPr="00D31DFB">
              <w:rPr>
                <w:rFonts w:ascii="Times New Roman" w:hAnsi="Times New Roman" w:cs="Times New Roman"/>
              </w:rPr>
              <w:t>DAU overall between within</w:t>
            </w:r>
          </w:p>
        </w:tc>
        <w:tc>
          <w:tcPr>
            <w:tcW w:w="1305" w:type="dxa"/>
            <w:tcBorders>
              <w:top w:val="nil"/>
              <w:bottom w:val="nil"/>
            </w:tcBorders>
          </w:tcPr>
          <w:p w:rsidR="00A84AA6" w:rsidRPr="00D31DFB" w:rsidRDefault="00A84AA6" w:rsidP="00A84AA6">
            <w:pPr>
              <w:pStyle w:val="TableParagraph"/>
              <w:adjustRightInd w:val="0"/>
              <w:snapToGrid w:val="0"/>
              <w:ind w:right="167"/>
              <w:jc w:val="right"/>
              <w:rPr>
                <w:rFonts w:ascii="Times New Roman" w:hAnsi="Times New Roman" w:cs="Times New Roman"/>
              </w:rPr>
            </w:pPr>
            <w:r w:rsidRPr="00D31DFB">
              <w:rPr>
                <w:rFonts w:ascii="Times New Roman" w:hAnsi="Times New Roman" w:cs="Times New Roman"/>
              </w:rPr>
              <w:t>6.78e+11</w:t>
            </w:r>
          </w:p>
        </w:tc>
        <w:tc>
          <w:tcPr>
            <w:tcW w:w="20" w:type="dxa"/>
            <w:tcBorders>
              <w:top w:val="nil"/>
              <w:bottom w:val="nil"/>
            </w:tcBorders>
          </w:tcPr>
          <w:p w:rsidR="00A84AA6" w:rsidRPr="00D31DFB" w:rsidRDefault="00A84AA6" w:rsidP="00A84AA6">
            <w:pPr>
              <w:pStyle w:val="TableParagraph"/>
              <w:adjustRightInd w:val="0"/>
              <w:snapToGrid w:val="0"/>
              <w:ind w:left="169"/>
              <w:rPr>
                <w:rFonts w:ascii="Times New Roman" w:hAnsi="Times New Roman" w:cs="Times New Roman"/>
                <w:spacing w:val="6"/>
              </w:rPr>
            </w:pPr>
          </w:p>
        </w:tc>
        <w:tc>
          <w:tcPr>
            <w:tcW w:w="1201" w:type="dxa"/>
            <w:tcBorders>
              <w:top w:val="nil"/>
              <w:bottom w:val="nil"/>
            </w:tcBorders>
          </w:tcPr>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1.93e+11</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1.90e+11</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5.52e+10</w:t>
            </w:r>
          </w:p>
        </w:tc>
        <w:tc>
          <w:tcPr>
            <w:tcW w:w="1200" w:type="dxa"/>
            <w:tcBorders>
              <w:top w:val="nil"/>
              <w:bottom w:val="nil"/>
            </w:tcBorders>
          </w:tcPr>
          <w:p w:rsidR="00A84AA6" w:rsidRPr="00D31DFB" w:rsidRDefault="00A84AA6" w:rsidP="00A84AA6">
            <w:pPr>
              <w:pStyle w:val="TableParagraph"/>
              <w:adjustRightInd w:val="0"/>
              <w:snapToGrid w:val="0"/>
              <w:ind w:left="168"/>
              <w:rPr>
                <w:rFonts w:ascii="Times New Roman" w:hAnsi="Times New Roman" w:cs="Times New Roman"/>
              </w:rPr>
            </w:pPr>
            <w:r w:rsidRPr="00D31DFB">
              <w:rPr>
                <w:rFonts w:ascii="Times New Roman" w:hAnsi="Times New Roman" w:cs="Times New Roman"/>
                <w:spacing w:val="6"/>
              </w:rPr>
              <w:t>3.71e+11</w:t>
            </w:r>
          </w:p>
          <w:p w:rsidR="00A84AA6" w:rsidRPr="00D31DFB" w:rsidRDefault="00A84AA6" w:rsidP="00A84AA6">
            <w:pPr>
              <w:pStyle w:val="TableParagraph"/>
              <w:adjustRightInd w:val="0"/>
              <w:snapToGrid w:val="0"/>
              <w:ind w:left="168"/>
              <w:rPr>
                <w:rFonts w:ascii="Times New Roman" w:hAnsi="Times New Roman" w:cs="Times New Roman"/>
              </w:rPr>
            </w:pPr>
            <w:r w:rsidRPr="00D31DFB">
              <w:rPr>
                <w:rFonts w:ascii="Times New Roman" w:hAnsi="Times New Roman" w:cs="Times New Roman"/>
                <w:spacing w:val="6"/>
              </w:rPr>
              <w:t>4.28e+11</w:t>
            </w:r>
          </w:p>
          <w:p w:rsidR="00A84AA6" w:rsidRPr="00D31DFB" w:rsidRDefault="00A84AA6" w:rsidP="00A84AA6">
            <w:pPr>
              <w:pStyle w:val="TableParagraph"/>
              <w:adjustRightInd w:val="0"/>
              <w:snapToGrid w:val="0"/>
              <w:ind w:left="168"/>
              <w:rPr>
                <w:rFonts w:ascii="Times New Roman" w:hAnsi="Times New Roman" w:cs="Times New Roman"/>
              </w:rPr>
            </w:pPr>
            <w:r w:rsidRPr="00D31DFB">
              <w:rPr>
                <w:rFonts w:ascii="Times New Roman" w:hAnsi="Times New Roman" w:cs="Times New Roman"/>
                <w:spacing w:val="6"/>
              </w:rPr>
              <w:t>5.15e+11</w:t>
            </w:r>
          </w:p>
        </w:tc>
        <w:tc>
          <w:tcPr>
            <w:tcW w:w="1235" w:type="dxa"/>
            <w:tcBorders>
              <w:top w:val="nil"/>
              <w:bottom w:val="nil"/>
            </w:tcBorders>
          </w:tcPr>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1.13e+12</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1.06e+12</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7.50e+11</w:t>
            </w:r>
          </w:p>
        </w:tc>
        <w:tc>
          <w:tcPr>
            <w:tcW w:w="1418" w:type="dxa"/>
            <w:tcBorders>
              <w:top w:val="nil"/>
              <w:bottom w:val="nil"/>
            </w:tcBorders>
          </w:tcPr>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N</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r>
            <w:r w:rsidRPr="00D31DFB">
              <w:rPr>
                <w:rFonts w:ascii="Times New Roman" w:hAnsi="Times New Roman" w:cs="Times New Roman"/>
                <w:spacing w:val="4"/>
              </w:rPr>
              <w:t>84</w:t>
            </w:r>
          </w:p>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n</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r>
            <w:r w:rsidRPr="00D31DFB">
              <w:rPr>
                <w:rFonts w:ascii="Times New Roman" w:hAnsi="Times New Roman" w:cs="Times New Roman"/>
                <w:spacing w:val="4"/>
              </w:rPr>
              <w:t>14</w:t>
            </w:r>
          </w:p>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T</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t>6</w:t>
            </w:r>
          </w:p>
        </w:tc>
      </w:tr>
      <w:tr w:rsidR="00A84AA6" w:rsidRPr="00D31DFB" w:rsidTr="00A84AA6">
        <w:trPr>
          <w:trHeight w:val="583"/>
          <w:jc w:val="center"/>
        </w:trPr>
        <w:tc>
          <w:tcPr>
            <w:tcW w:w="2410" w:type="dxa"/>
            <w:tcBorders>
              <w:top w:val="nil"/>
              <w:bottom w:val="nil"/>
            </w:tcBorders>
          </w:tcPr>
          <w:p w:rsidR="00A84AA6" w:rsidRPr="00D31DFB" w:rsidRDefault="00A84AA6" w:rsidP="00A84AA6">
            <w:pPr>
              <w:pStyle w:val="TableParagraph"/>
              <w:adjustRightInd w:val="0"/>
              <w:snapToGrid w:val="0"/>
              <w:ind w:left="1374" w:right="170" w:hanging="994"/>
              <w:jc w:val="both"/>
              <w:rPr>
                <w:rFonts w:ascii="Times New Roman" w:hAnsi="Times New Roman" w:cs="Times New Roman"/>
              </w:rPr>
            </w:pPr>
            <w:r w:rsidRPr="00D31DFB">
              <w:rPr>
                <w:rFonts w:ascii="Times New Roman" w:hAnsi="Times New Roman" w:cs="Times New Roman"/>
              </w:rPr>
              <w:t>DBH overall between within</w:t>
            </w:r>
          </w:p>
        </w:tc>
        <w:tc>
          <w:tcPr>
            <w:tcW w:w="1305" w:type="dxa"/>
            <w:tcBorders>
              <w:top w:val="nil"/>
              <w:bottom w:val="nil"/>
            </w:tcBorders>
          </w:tcPr>
          <w:p w:rsidR="00A84AA6" w:rsidRPr="00D31DFB" w:rsidRDefault="00A84AA6" w:rsidP="00A84AA6">
            <w:pPr>
              <w:pStyle w:val="TableParagraph"/>
              <w:adjustRightInd w:val="0"/>
              <w:snapToGrid w:val="0"/>
              <w:ind w:right="167"/>
              <w:jc w:val="right"/>
              <w:rPr>
                <w:rFonts w:ascii="Times New Roman" w:hAnsi="Times New Roman" w:cs="Times New Roman"/>
              </w:rPr>
            </w:pPr>
            <w:r w:rsidRPr="00D31DFB">
              <w:rPr>
                <w:rFonts w:ascii="Times New Roman" w:hAnsi="Times New Roman" w:cs="Times New Roman"/>
              </w:rPr>
              <w:t>4.58e+10</w:t>
            </w:r>
          </w:p>
        </w:tc>
        <w:tc>
          <w:tcPr>
            <w:tcW w:w="20" w:type="dxa"/>
            <w:tcBorders>
              <w:top w:val="nil"/>
              <w:bottom w:val="nil"/>
            </w:tcBorders>
          </w:tcPr>
          <w:p w:rsidR="00A84AA6" w:rsidRPr="00D31DFB" w:rsidRDefault="00A84AA6" w:rsidP="00A84AA6">
            <w:pPr>
              <w:pStyle w:val="TableParagraph"/>
              <w:adjustRightInd w:val="0"/>
              <w:snapToGrid w:val="0"/>
              <w:ind w:left="169"/>
              <w:rPr>
                <w:rFonts w:ascii="Times New Roman" w:hAnsi="Times New Roman" w:cs="Times New Roman"/>
                <w:spacing w:val="6"/>
              </w:rPr>
            </w:pPr>
          </w:p>
        </w:tc>
        <w:tc>
          <w:tcPr>
            <w:tcW w:w="1201" w:type="dxa"/>
            <w:tcBorders>
              <w:top w:val="nil"/>
              <w:bottom w:val="nil"/>
            </w:tcBorders>
          </w:tcPr>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4.16e+10</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3.21e+10</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2.76e+10</w:t>
            </w:r>
          </w:p>
        </w:tc>
        <w:tc>
          <w:tcPr>
            <w:tcW w:w="1200" w:type="dxa"/>
            <w:tcBorders>
              <w:top w:val="nil"/>
              <w:bottom w:val="nil"/>
            </w:tcBorders>
          </w:tcPr>
          <w:p w:rsidR="00A84AA6" w:rsidRPr="00D31DFB" w:rsidRDefault="00A84AA6" w:rsidP="00A84AA6">
            <w:pPr>
              <w:pStyle w:val="TableParagraph"/>
              <w:adjustRightInd w:val="0"/>
              <w:snapToGrid w:val="0"/>
              <w:ind w:right="167"/>
              <w:jc w:val="right"/>
              <w:rPr>
                <w:rFonts w:ascii="Times New Roman" w:hAnsi="Times New Roman" w:cs="Times New Roman"/>
              </w:rPr>
            </w:pPr>
            <w:r w:rsidRPr="00D31DFB">
              <w:rPr>
                <w:rFonts w:ascii="Times New Roman" w:hAnsi="Times New Roman" w:cs="Times New Roman"/>
                <w:spacing w:val="6"/>
              </w:rPr>
              <w:t>1.54e+10</w:t>
            </w:r>
          </w:p>
          <w:p w:rsidR="00A84AA6" w:rsidRPr="00D31DFB" w:rsidRDefault="00A84AA6" w:rsidP="00A84AA6">
            <w:pPr>
              <w:pStyle w:val="TableParagraph"/>
              <w:adjustRightInd w:val="0"/>
              <w:snapToGrid w:val="0"/>
              <w:ind w:right="167"/>
              <w:jc w:val="right"/>
              <w:rPr>
                <w:rFonts w:ascii="Times New Roman" w:hAnsi="Times New Roman" w:cs="Times New Roman"/>
              </w:rPr>
            </w:pPr>
            <w:r w:rsidRPr="00D31DFB">
              <w:rPr>
                <w:rFonts w:ascii="Times New Roman" w:hAnsi="Times New Roman" w:cs="Times New Roman"/>
                <w:spacing w:val="6"/>
              </w:rPr>
              <w:t>1.89e+10</w:t>
            </w:r>
          </w:p>
          <w:p w:rsidR="00A84AA6" w:rsidRPr="00D31DFB" w:rsidRDefault="00A84AA6" w:rsidP="00A84AA6">
            <w:pPr>
              <w:pStyle w:val="TableParagraph"/>
              <w:adjustRightInd w:val="0"/>
              <w:snapToGrid w:val="0"/>
              <w:ind w:right="116"/>
              <w:jc w:val="right"/>
              <w:rPr>
                <w:rFonts w:ascii="Times New Roman" w:hAnsi="Times New Roman" w:cs="Times New Roman"/>
              </w:rPr>
            </w:pPr>
            <w:r w:rsidRPr="00D31DFB">
              <w:rPr>
                <w:rFonts w:ascii="Times New Roman" w:hAnsi="Times New Roman" w:cs="Times New Roman"/>
                <w:spacing w:val="6"/>
              </w:rPr>
              <w:t>-5.59e+09</w:t>
            </w:r>
          </w:p>
        </w:tc>
        <w:tc>
          <w:tcPr>
            <w:tcW w:w="1235" w:type="dxa"/>
            <w:tcBorders>
              <w:top w:val="nil"/>
              <w:bottom w:val="nil"/>
            </w:tcBorders>
          </w:tcPr>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3.09e+11</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1.32e+11</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2.62e+11</w:t>
            </w:r>
          </w:p>
        </w:tc>
        <w:tc>
          <w:tcPr>
            <w:tcW w:w="1418" w:type="dxa"/>
            <w:tcBorders>
              <w:top w:val="nil"/>
              <w:bottom w:val="nil"/>
            </w:tcBorders>
          </w:tcPr>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N</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r>
            <w:r w:rsidRPr="00D31DFB">
              <w:rPr>
                <w:rFonts w:ascii="Times New Roman" w:hAnsi="Times New Roman" w:cs="Times New Roman"/>
                <w:spacing w:val="4"/>
              </w:rPr>
              <w:t>84</w:t>
            </w:r>
          </w:p>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n</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r>
            <w:r w:rsidRPr="00D31DFB">
              <w:rPr>
                <w:rFonts w:ascii="Times New Roman" w:hAnsi="Times New Roman" w:cs="Times New Roman"/>
                <w:spacing w:val="4"/>
              </w:rPr>
              <w:t>14</w:t>
            </w:r>
          </w:p>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T</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t>6</w:t>
            </w:r>
          </w:p>
        </w:tc>
      </w:tr>
      <w:tr w:rsidR="00A84AA6" w:rsidRPr="00D31DFB" w:rsidTr="00A84AA6">
        <w:trPr>
          <w:trHeight w:val="583"/>
          <w:jc w:val="center"/>
        </w:trPr>
        <w:tc>
          <w:tcPr>
            <w:tcW w:w="2410" w:type="dxa"/>
            <w:tcBorders>
              <w:top w:val="nil"/>
              <w:bottom w:val="nil"/>
            </w:tcBorders>
          </w:tcPr>
          <w:p w:rsidR="00A84AA6" w:rsidRPr="00D31DFB" w:rsidRDefault="00A84AA6" w:rsidP="00A84AA6">
            <w:pPr>
              <w:pStyle w:val="TableParagraph"/>
              <w:adjustRightInd w:val="0"/>
              <w:snapToGrid w:val="0"/>
              <w:ind w:left="1374" w:right="170" w:hanging="994"/>
              <w:jc w:val="both"/>
              <w:rPr>
                <w:rFonts w:ascii="Times New Roman" w:hAnsi="Times New Roman" w:cs="Times New Roman"/>
              </w:rPr>
            </w:pPr>
            <w:r w:rsidRPr="00D31DFB">
              <w:rPr>
                <w:rFonts w:ascii="Times New Roman" w:hAnsi="Times New Roman" w:cs="Times New Roman"/>
              </w:rPr>
              <w:t>DAK overall between within</w:t>
            </w:r>
          </w:p>
        </w:tc>
        <w:tc>
          <w:tcPr>
            <w:tcW w:w="1305" w:type="dxa"/>
            <w:tcBorders>
              <w:top w:val="nil"/>
              <w:bottom w:val="nil"/>
            </w:tcBorders>
          </w:tcPr>
          <w:p w:rsidR="00A84AA6" w:rsidRPr="00D31DFB" w:rsidRDefault="00A84AA6" w:rsidP="00A84AA6">
            <w:pPr>
              <w:pStyle w:val="TableParagraph"/>
              <w:adjustRightInd w:val="0"/>
              <w:snapToGrid w:val="0"/>
              <w:ind w:right="167"/>
              <w:jc w:val="right"/>
              <w:rPr>
                <w:rFonts w:ascii="Times New Roman" w:hAnsi="Times New Roman" w:cs="Times New Roman"/>
              </w:rPr>
            </w:pPr>
            <w:r w:rsidRPr="00D31DFB">
              <w:rPr>
                <w:rFonts w:ascii="Times New Roman" w:hAnsi="Times New Roman" w:cs="Times New Roman"/>
              </w:rPr>
              <w:t>1.67e+11</w:t>
            </w:r>
          </w:p>
        </w:tc>
        <w:tc>
          <w:tcPr>
            <w:tcW w:w="20" w:type="dxa"/>
            <w:tcBorders>
              <w:top w:val="nil"/>
              <w:bottom w:val="nil"/>
            </w:tcBorders>
          </w:tcPr>
          <w:p w:rsidR="00A84AA6" w:rsidRPr="00D31DFB" w:rsidRDefault="00A84AA6" w:rsidP="00A84AA6">
            <w:pPr>
              <w:pStyle w:val="TableParagraph"/>
              <w:adjustRightInd w:val="0"/>
              <w:snapToGrid w:val="0"/>
              <w:ind w:left="169"/>
              <w:rPr>
                <w:rFonts w:ascii="Times New Roman" w:hAnsi="Times New Roman" w:cs="Times New Roman"/>
                <w:spacing w:val="6"/>
              </w:rPr>
            </w:pPr>
          </w:p>
        </w:tc>
        <w:tc>
          <w:tcPr>
            <w:tcW w:w="1201" w:type="dxa"/>
            <w:tcBorders>
              <w:top w:val="nil"/>
              <w:bottom w:val="nil"/>
            </w:tcBorders>
          </w:tcPr>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9.78e+10</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5.65e+10</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8.10e+10</w:t>
            </w:r>
          </w:p>
        </w:tc>
        <w:tc>
          <w:tcPr>
            <w:tcW w:w="1200" w:type="dxa"/>
            <w:tcBorders>
              <w:top w:val="nil"/>
              <w:bottom w:val="nil"/>
            </w:tcBorders>
          </w:tcPr>
          <w:p w:rsidR="00A84AA6" w:rsidRPr="00D31DFB" w:rsidRDefault="00A84AA6" w:rsidP="00A84AA6">
            <w:pPr>
              <w:pStyle w:val="TableParagraph"/>
              <w:adjustRightInd w:val="0"/>
              <w:snapToGrid w:val="0"/>
              <w:ind w:left="168"/>
              <w:rPr>
                <w:rFonts w:ascii="Times New Roman" w:hAnsi="Times New Roman" w:cs="Times New Roman"/>
              </w:rPr>
            </w:pPr>
            <w:r w:rsidRPr="00D31DFB">
              <w:rPr>
                <w:rFonts w:ascii="Times New Roman" w:hAnsi="Times New Roman" w:cs="Times New Roman"/>
                <w:spacing w:val="6"/>
              </w:rPr>
              <w:t>7.89e+09</w:t>
            </w:r>
          </w:p>
          <w:p w:rsidR="00A84AA6" w:rsidRPr="00D31DFB" w:rsidRDefault="00A84AA6" w:rsidP="00A84AA6">
            <w:pPr>
              <w:pStyle w:val="TableParagraph"/>
              <w:adjustRightInd w:val="0"/>
              <w:snapToGrid w:val="0"/>
              <w:ind w:left="168"/>
              <w:rPr>
                <w:rFonts w:ascii="Times New Roman" w:hAnsi="Times New Roman" w:cs="Times New Roman"/>
              </w:rPr>
            </w:pPr>
            <w:r w:rsidRPr="00D31DFB">
              <w:rPr>
                <w:rFonts w:ascii="Times New Roman" w:hAnsi="Times New Roman" w:cs="Times New Roman"/>
                <w:spacing w:val="6"/>
              </w:rPr>
              <w:t>8.30e+10</w:t>
            </w:r>
          </w:p>
          <w:p w:rsidR="00A84AA6" w:rsidRPr="00D31DFB" w:rsidRDefault="00A84AA6" w:rsidP="00A84AA6">
            <w:pPr>
              <w:pStyle w:val="TableParagraph"/>
              <w:adjustRightInd w:val="0"/>
              <w:snapToGrid w:val="0"/>
              <w:ind w:left="168"/>
              <w:rPr>
                <w:rFonts w:ascii="Times New Roman" w:hAnsi="Times New Roman" w:cs="Times New Roman"/>
              </w:rPr>
            </w:pPr>
            <w:r w:rsidRPr="00D31DFB">
              <w:rPr>
                <w:rFonts w:ascii="Times New Roman" w:hAnsi="Times New Roman" w:cs="Times New Roman"/>
                <w:spacing w:val="6"/>
              </w:rPr>
              <w:t>2.92e+10</w:t>
            </w:r>
          </w:p>
        </w:tc>
        <w:tc>
          <w:tcPr>
            <w:tcW w:w="1235" w:type="dxa"/>
            <w:tcBorders>
              <w:top w:val="nil"/>
              <w:bottom w:val="nil"/>
            </w:tcBorders>
          </w:tcPr>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4.53e+11</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2.68e+11</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3.52e+11</w:t>
            </w:r>
          </w:p>
        </w:tc>
        <w:tc>
          <w:tcPr>
            <w:tcW w:w="1418" w:type="dxa"/>
            <w:tcBorders>
              <w:top w:val="nil"/>
              <w:bottom w:val="nil"/>
            </w:tcBorders>
          </w:tcPr>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N</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r>
            <w:r w:rsidRPr="00D31DFB">
              <w:rPr>
                <w:rFonts w:ascii="Times New Roman" w:hAnsi="Times New Roman" w:cs="Times New Roman"/>
                <w:spacing w:val="4"/>
              </w:rPr>
              <w:t>84</w:t>
            </w:r>
          </w:p>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n</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r>
            <w:r w:rsidRPr="00D31DFB">
              <w:rPr>
                <w:rFonts w:ascii="Times New Roman" w:hAnsi="Times New Roman" w:cs="Times New Roman"/>
                <w:spacing w:val="4"/>
              </w:rPr>
              <w:t>14</w:t>
            </w:r>
          </w:p>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T</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t>6</w:t>
            </w:r>
          </w:p>
        </w:tc>
      </w:tr>
      <w:tr w:rsidR="00A84AA6" w:rsidRPr="00D31DFB" w:rsidTr="00A84AA6">
        <w:trPr>
          <w:trHeight w:val="583"/>
          <w:jc w:val="center"/>
        </w:trPr>
        <w:tc>
          <w:tcPr>
            <w:tcW w:w="2410" w:type="dxa"/>
            <w:tcBorders>
              <w:top w:val="nil"/>
              <w:bottom w:val="single" w:sz="4" w:space="0" w:color="auto"/>
            </w:tcBorders>
          </w:tcPr>
          <w:p w:rsidR="00A84AA6" w:rsidRPr="00D31DFB" w:rsidRDefault="00A84AA6" w:rsidP="00A84AA6">
            <w:pPr>
              <w:pStyle w:val="TableParagraph"/>
              <w:adjustRightInd w:val="0"/>
              <w:snapToGrid w:val="0"/>
              <w:ind w:left="1374" w:right="170" w:hanging="994"/>
              <w:jc w:val="both"/>
              <w:rPr>
                <w:rFonts w:ascii="Times New Roman" w:hAnsi="Times New Roman" w:cs="Times New Roman"/>
              </w:rPr>
            </w:pPr>
            <w:r w:rsidRPr="00D31DFB">
              <w:rPr>
                <w:rFonts w:ascii="Times New Roman" w:hAnsi="Times New Roman" w:cs="Times New Roman"/>
              </w:rPr>
              <w:t>PAD overall between within</w:t>
            </w:r>
          </w:p>
        </w:tc>
        <w:tc>
          <w:tcPr>
            <w:tcW w:w="1305" w:type="dxa"/>
            <w:tcBorders>
              <w:top w:val="nil"/>
              <w:bottom w:val="single" w:sz="4" w:space="0" w:color="auto"/>
            </w:tcBorders>
          </w:tcPr>
          <w:p w:rsidR="00A84AA6" w:rsidRPr="00D31DFB" w:rsidRDefault="00A84AA6" w:rsidP="00A84AA6">
            <w:pPr>
              <w:pStyle w:val="TableParagraph"/>
              <w:adjustRightInd w:val="0"/>
              <w:snapToGrid w:val="0"/>
              <w:ind w:right="167"/>
              <w:jc w:val="right"/>
              <w:rPr>
                <w:rFonts w:ascii="Times New Roman" w:hAnsi="Times New Roman" w:cs="Times New Roman"/>
              </w:rPr>
            </w:pPr>
            <w:r w:rsidRPr="00D31DFB">
              <w:rPr>
                <w:rFonts w:ascii="Times New Roman" w:hAnsi="Times New Roman" w:cs="Times New Roman"/>
              </w:rPr>
              <w:t>1.00e+11</w:t>
            </w:r>
          </w:p>
        </w:tc>
        <w:tc>
          <w:tcPr>
            <w:tcW w:w="20" w:type="dxa"/>
            <w:tcBorders>
              <w:top w:val="nil"/>
              <w:bottom w:val="single" w:sz="4" w:space="0" w:color="auto"/>
            </w:tcBorders>
          </w:tcPr>
          <w:p w:rsidR="00A84AA6" w:rsidRPr="00D31DFB" w:rsidRDefault="00A84AA6" w:rsidP="00A84AA6">
            <w:pPr>
              <w:pStyle w:val="TableParagraph"/>
              <w:adjustRightInd w:val="0"/>
              <w:snapToGrid w:val="0"/>
              <w:ind w:left="169"/>
              <w:rPr>
                <w:rFonts w:ascii="Times New Roman" w:hAnsi="Times New Roman" w:cs="Times New Roman"/>
                <w:spacing w:val="6"/>
              </w:rPr>
            </w:pPr>
          </w:p>
        </w:tc>
        <w:tc>
          <w:tcPr>
            <w:tcW w:w="1201" w:type="dxa"/>
            <w:tcBorders>
              <w:top w:val="nil"/>
              <w:bottom w:val="single" w:sz="4" w:space="0" w:color="auto"/>
            </w:tcBorders>
          </w:tcPr>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9.09e+10</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8.57e+10</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3.69e+10</w:t>
            </w:r>
          </w:p>
        </w:tc>
        <w:tc>
          <w:tcPr>
            <w:tcW w:w="1200" w:type="dxa"/>
            <w:tcBorders>
              <w:top w:val="nil"/>
              <w:bottom w:val="single" w:sz="4" w:space="0" w:color="auto"/>
            </w:tcBorders>
          </w:tcPr>
          <w:p w:rsidR="00A84AA6" w:rsidRPr="00D31DFB" w:rsidRDefault="00A84AA6" w:rsidP="00A84AA6">
            <w:pPr>
              <w:pStyle w:val="TableParagraph"/>
              <w:adjustRightInd w:val="0"/>
              <w:snapToGrid w:val="0"/>
              <w:ind w:right="167"/>
              <w:jc w:val="right"/>
              <w:rPr>
                <w:rFonts w:ascii="Times New Roman" w:hAnsi="Times New Roman" w:cs="Times New Roman"/>
              </w:rPr>
            </w:pPr>
            <w:r w:rsidRPr="00D31DFB">
              <w:rPr>
                <w:rFonts w:ascii="Times New Roman" w:hAnsi="Times New Roman" w:cs="Times New Roman"/>
                <w:spacing w:val="6"/>
              </w:rPr>
              <w:t>1.07e+10</w:t>
            </w:r>
          </w:p>
          <w:p w:rsidR="00A84AA6" w:rsidRPr="00D31DFB" w:rsidRDefault="00A84AA6" w:rsidP="00A84AA6">
            <w:pPr>
              <w:pStyle w:val="TableParagraph"/>
              <w:adjustRightInd w:val="0"/>
              <w:snapToGrid w:val="0"/>
              <w:ind w:right="167"/>
              <w:jc w:val="right"/>
              <w:rPr>
                <w:rFonts w:ascii="Times New Roman" w:hAnsi="Times New Roman" w:cs="Times New Roman"/>
              </w:rPr>
            </w:pPr>
            <w:r w:rsidRPr="00D31DFB">
              <w:rPr>
                <w:rFonts w:ascii="Times New Roman" w:hAnsi="Times New Roman" w:cs="Times New Roman"/>
                <w:spacing w:val="6"/>
              </w:rPr>
              <w:t>1.63e+10</w:t>
            </w:r>
          </w:p>
          <w:p w:rsidR="00A84AA6" w:rsidRPr="00D31DFB" w:rsidRDefault="00A84AA6" w:rsidP="00A84AA6">
            <w:pPr>
              <w:pStyle w:val="TableParagraph"/>
              <w:adjustRightInd w:val="0"/>
              <w:snapToGrid w:val="0"/>
              <w:ind w:right="116"/>
              <w:jc w:val="right"/>
              <w:rPr>
                <w:rFonts w:ascii="Times New Roman" w:hAnsi="Times New Roman" w:cs="Times New Roman"/>
              </w:rPr>
            </w:pPr>
            <w:r w:rsidRPr="00D31DFB">
              <w:rPr>
                <w:rFonts w:ascii="Times New Roman" w:hAnsi="Times New Roman" w:cs="Times New Roman"/>
                <w:spacing w:val="6"/>
              </w:rPr>
              <w:t>-1.66e+09</w:t>
            </w:r>
          </w:p>
        </w:tc>
        <w:tc>
          <w:tcPr>
            <w:tcW w:w="1235" w:type="dxa"/>
            <w:tcBorders>
              <w:top w:val="nil"/>
              <w:bottom w:val="single" w:sz="4" w:space="0" w:color="auto"/>
            </w:tcBorders>
          </w:tcPr>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4.76e+11</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3.67e+11</w:t>
            </w:r>
          </w:p>
          <w:p w:rsidR="00A84AA6" w:rsidRPr="00D31DFB" w:rsidRDefault="00A84AA6" w:rsidP="00A84AA6">
            <w:pPr>
              <w:pStyle w:val="TableParagraph"/>
              <w:adjustRightInd w:val="0"/>
              <w:snapToGrid w:val="0"/>
              <w:ind w:left="169"/>
              <w:rPr>
                <w:rFonts w:ascii="Times New Roman" w:hAnsi="Times New Roman" w:cs="Times New Roman"/>
              </w:rPr>
            </w:pPr>
            <w:r w:rsidRPr="00D31DFB">
              <w:rPr>
                <w:rFonts w:ascii="Times New Roman" w:hAnsi="Times New Roman" w:cs="Times New Roman"/>
                <w:spacing w:val="6"/>
              </w:rPr>
              <w:t>2.19e+11</w:t>
            </w:r>
          </w:p>
        </w:tc>
        <w:tc>
          <w:tcPr>
            <w:tcW w:w="1418" w:type="dxa"/>
            <w:tcBorders>
              <w:top w:val="nil"/>
              <w:bottom w:val="single" w:sz="4" w:space="0" w:color="auto"/>
            </w:tcBorders>
          </w:tcPr>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N</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r>
            <w:r w:rsidRPr="00D31DFB">
              <w:rPr>
                <w:rFonts w:ascii="Times New Roman" w:hAnsi="Times New Roman" w:cs="Times New Roman"/>
                <w:spacing w:val="4"/>
              </w:rPr>
              <w:t>84</w:t>
            </w:r>
          </w:p>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n</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r>
            <w:r w:rsidRPr="00D31DFB">
              <w:rPr>
                <w:rFonts w:ascii="Times New Roman" w:hAnsi="Times New Roman" w:cs="Times New Roman"/>
                <w:spacing w:val="4"/>
              </w:rPr>
              <w:t>14</w:t>
            </w:r>
          </w:p>
          <w:p w:rsidR="00A84AA6" w:rsidRPr="00D31DFB" w:rsidRDefault="00A84AA6" w:rsidP="00A84AA6">
            <w:pPr>
              <w:pStyle w:val="TableParagraph"/>
              <w:tabs>
                <w:tab w:val="right" w:pos="1809"/>
              </w:tabs>
              <w:adjustRightInd w:val="0"/>
              <w:snapToGrid w:val="0"/>
              <w:ind w:left="601"/>
              <w:rPr>
                <w:rFonts w:ascii="Times New Roman" w:hAnsi="Times New Roman" w:cs="Times New Roman"/>
              </w:rPr>
            </w:pPr>
            <w:r w:rsidRPr="00D31DFB">
              <w:rPr>
                <w:rFonts w:ascii="Times New Roman" w:hAnsi="Times New Roman" w:cs="Times New Roman"/>
              </w:rPr>
              <w:t>T</w:t>
            </w:r>
            <w:r w:rsidRPr="00D31DFB">
              <w:rPr>
                <w:rFonts w:ascii="Times New Roman" w:hAnsi="Times New Roman" w:cs="Times New Roman"/>
                <w:spacing w:val="16"/>
              </w:rPr>
              <w:t xml:space="preserve"> </w:t>
            </w:r>
            <w:r w:rsidRPr="00D31DFB">
              <w:rPr>
                <w:rFonts w:ascii="Times New Roman" w:hAnsi="Times New Roman" w:cs="Times New Roman"/>
              </w:rPr>
              <w:t>=</w:t>
            </w:r>
            <w:r w:rsidRPr="00D31DFB">
              <w:rPr>
                <w:rFonts w:ascii="Times New Roman" w:hAnsi="Times New Roman" w:cs="Times New Roman"/>
              </w:rPr>
              <w:tab/>
              <w:t>6</w:t>
            </w:r>
          </w:p>
        </w:tc>
      </w:tr>
    </w:tbl>
    <w:p w:rsidR="00A84AA6" w:rsidRPr="00D31DFB" w:rsidRDefault="00D31DFB" w:rsidP="00A84AA6">
      <w:pPr>
        <w:widowControl w:val="0"/>
        <w:autoSpaceDE w:val="0"/>
        <w:autoSpaceDN w:val="0"/>
        <w:adjustRightInd w:val="0"/>
        <w:snapToGrid w:val="0"/>
      </w:pPr>
      <w:r w:rsidRPr="00D31DFB">
        <w:t>Source : Processed Research (2020)</w:t>
      </w:r>
    </w:p>
    <w:p w:rsidR="00A84AA6" w:rsidRPr="00D31DFB" w:rsidRDefault="00A84AA6" w:rsidP="00A84AA6">
      <w:pPr>
        <w:widowControl w:val="0"/>
        <w:autoSpaceDE w:val="0"/>
        <w:autoSpaceDN w:val="0"/>
        <w:adjustRightInd w:val="0"/>
        <w:snapToGrid w:val="0"/>
        <w:ind w:firstLine="720"/>
        <w:jc w:val="both"/>
        <w:rPr>
          <w:color w:val="000000"/>
          <w:lang w:val="en-ID" w:eastAsia="en-ID"/>
        </w:rPr>
      </w:pPr>
      <w:r w:rsidRPr="00D31DFB">
        <w:t xml:space="preserve">Average </w:t>
      </w:r>
      <w:r w:rsidRPr="00D31DFB">
        <w:rPr>
          <w:color w:val="222222"/>
          <w:lang w:val="en"/>
        </w:rPr>
        <w:t xml:space="preserve">local government expenditure </w:t>
      </w:r>
      <w:r w:rsidRPr="00D31DFB">
        <w:t>in 14 regions in West Kalimantan Province from 2013-2018 has amounted to Rp</w:t>
      </w:r>
      <w:r w:rsidRPr="00D31DFB">
        <w:rPr>
          <w:color w:val="000000"/>
          <w:lang w:val="en-ID" w:eastAsia="en-ID"/>
        </w:rPr>
        <w:t xml:space="preserve">1,190,515,735,919. The maximum spending is about </w:t>
      </w:r>
      <w:r w:rsidRPr="00D31DFB">
        <w:rPr>
          <w:color w:val="000000"/>
          <w:lang w:val="en-ID" w:eastAsia="en-ID"/>
        </w:rPr>
        <w:lastRenderedPageBreak/>
        <w:t xml:space="preserve">Rp2,118,372,562,530 while the minimum spending is about Rp583,077,949,230. The average DBH received by West Kalimantan Province is the lowest among four other explanatory variables, amounted to Rp45,756,184,090. On the contrary, the government's highest average of transfer is the DAU amounted to Rp677,869,702,845. PAD ranges from Rp10.735.591.000 to Rp476.050.410.000 with an average of Rp100.290.552.827. It shows that there is inequality in generating their own income. Some regencies find difficulty in optimizing their </w:t>
      </w:r>
      <w:r w:rsidRPr="00D31DFB">
        <w:t xml:space="preserve">original local government revenue </w:t>
      </w:r>
      <w:r w:rsidRPr="00D31DFB">
        <w:rPr>
          <w:color w:val="000000"/>
          <w:lang w:val="en-ID" w:eastAsia="en-ID"/>
        </w:rPr>
        <w:t xml:space="preserve">while others not. </w:t>
      </w:r>
    </w:p>
    <w:p w:rsidR="00A84AA6" w:rsidRPr="00D31DFB" w:rsidRDefault="00A84AA6" w:rsidP="00A84AA6">
      <w:pPr>
        <w:widowControl w:val="0"/>
        <w:autoSpaceDE w:val="0"/>
        <w:autoSpaceDN w:val="0"/>
        <w:adjustRightInd w:val="0"/>
        <w:snapToGrid w:val="0"/>
        <w:ind w:firstLine="720"/>
        <w:jc w:val="both"/>
      </w:pPr>
      <w:r w:rsidRPr="00D31DFB">
        <w:rPr>
          <w:color w:val="000000"/>
          <w:lang w:val="en-ID" w:eastAsia="en-ID"/>
        </w:rPr>
        <w:t xml:space="preserve">After that, the Hausman test is used to determine whether the fixed effect or the random effect is the most appropriate in this research </w:t>
      </w:r>
      <w:r w:rsidRPr="00D31DFB">
        <w:rPr>
          <w:color w:val="000000"/>
          <w:lang w:val="en-ID" w:eastAsia="en-ID"/>
        </w:rPr>
        <w:fldChar w:fldCharType="begin" w:fldLock="1"/>
      </w:r>
      <w:r w:rsidRPr="00D31DFB">
        <w:rPr>
          <w:color w:val="000000"/>
          <w:lang w:val="en-ID" w:eastAsia="en-ID"/>
        </w:rPr>
        <w:instrText>ADDIN CSL_CITATION {"citationItems":[{"id":"ITEM-1","itemData":{"DOI":"10.5771/9783845289892-15","ISBN":"1566396581","ISSN":"1098-6596","PMID":"25246403","abstract":"Predicting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approach.","author":[{"dropping-particle":"","family":"Hsiao","given":"Cheng","non-dropping-particle":"","parse-names":false,"suffix":""}],"container-title":"Cambridge University Press","id":"ITEM-1","issued":{"date-parts":[["2003"]]},"title":"Analysis of Panel Data Second Edition","type":"book"},"uris":["http://www.mendeley.com/documents/?uuid=cdc7d8d1-38d5-4548-80ff-c1afffcf29e5"]}],"mendeley":{"formattedCitation":"(Hsiao, 2003)","plainTextFormattedCitation":"(Hsiao, 2003)","previouslyFormattedCitation":"(Hsiao, 2003)"},"properties":{"noteIndex":0},"schema":"https://github.com/citation-style-language/schema/raw/master/csl-citation.json"}</w:instrText>
      </w:r>
      <w:r w:rsidRPr="00D31DFB">
        <w:rPr>
          <w:color w:val="000000"/>
          <w:lang w:val="en-ID" w:eastAsia="en-ID"/>
        </w:rPr>
        <w:fldChar w:fldCharType="separate"/>
      </w:r>
      <w:r w:rsidRPr="00D31DFB">
        <w:rPr>
          <w:noProof/>
          <w:color w:val="000000"/>
          <w:lang w:val="en-ID" w:eastAsia="en-ID"/>
        </w:rPr>
        <w:t>(Hsiao, 2003)</w:t>
      </w:r>
      <w:r w:rsidRPr="00D31DFB">
        <w:rPr>
          <w:color w:val="000000"/>
          <w:lang w:val="en-ID" w:eastAsia="en-ID"/>
        </w:rPr>
        <w:fldChar w:fldCharType="end"/>
      </w:r>
      <w:r w:rsidRPr="00D31DFB">
        <w:rPr>
          <w:color w:val="000000"/>
          <w:lang w:val="en-ID" w:eastAsia="en-ID"/>
        </w:rPr>
        <w:t xml:space="preserve">. </w:t>
      </w:r>
      <w:r w:rsidRPr="00D31DFB">
        <w:rPr>
          <w:color w:val="000000"/>
          <w:lang w:val="en-ID" w:eastAsia="en-ID"/>
        </w:rPr>
        <w:fldChar w:fldCharType="begin" w:fldLock="1"/>
      </w:r>
      <w:r w:rsidRPr="00D31DFB">
        <w:rPr>
          <w:color w:val="000000"/>
          <w:lang w:val="en-ID" w:eastAsia="en-ID"/>
        </w:rPr>
        <w:instrText>ADDIN CSL_CITATION {"citationItems":[{"id":"ITEM-1","itemData":{"ISBN":"9780470014561","author":[{"dropping-particle":"","family":"Baltagi","given":"Badi H","non-dropping-particle":"","parse-names":false,"suffix":""}],"edition":"Third Edit","id":"ITEM-1","issued":{"date-parts":[["2005"]]},"publisher":"John wiley &amp; Sons, Ltd","publisher-place":"england","title":"Econometric Analysis of Panel Data","type":"book"},"uris":["http://www.mendeley.com/documents/?uuid=c69e4336-0bf7-40f0-891a-4053312552e8"]},{"id":"ITEM-2","itemData":{"author":[{"dropping-particle":"","family":"Kunst","given":"Robert M","non-dropping-particle":"","parse-names":false,"suffix":""}],"id":"ITEM-2","issued":{"date-parts":[["2013"]]},"page":"1-20","title":"Econometric Methods for Panel Data Based on the books by Baltagi : Econometric Analysis of Panel Data and by Hsiao : Analysis of Panel Data Outline Introduction Tests in panel models Poolability tests Testing for the presence of random effects The Hausman","type":"article-journal"},"uris":["http://www.mendeley.com/documents/?uuid=c2f5dcd3-1929-4e2b-b318-81a5e7d683f2"]}],"mendeley":{"formattedCitation":"(Baltagi, 2005; Kunst, 2013)","plainTextFormattedCitation":"(Baltagi, 2005; Kunst, 2013)","previouslyFormattedCitation":"(Baltagi, 2005; Kunst, 2013)"},"properties":{"noteIndex":0},"schema":"https://github.com/citation-style-language/schema/raw/master/csl-citation.json"}</w:instrText>
      </w:r>
      <w:r w:rsidRPr="00D31DFB">
        <w:rPr>
          <w:color w:val="000000"/>
          <w:lang w:val="en-ID" w:eastAsia="en-ID"/>
        </w:rPr>
        <w:fldChar w:fldCharType="separate"/>
      </w:r>
      <w:r w:rsidRPr="00D31DFB">
        <w:rPr>
          <w:noProof/>
          <w:color w:val="000000"/>
          <w:lang w:val="en-ID" w:eastAsia="en-ID"/>
        </w:rPr>
        <w:t>Baltagi (2005), Kunst (2013)</w:t>
      </w:r>
      <w:r w:rsidRPr="00D31DFB">
        <w:rPr>
          <w:color w:val="000000"/>
          <w:lang w:val="en-ID" w:eastAsia="en-ID"/>
        </w:rPr>
        <w:fldChar w:fldCharType="end"/>
      </w:r>
      <w:r w:rsidRPr="00D31DFB">
        <w:rPr>
          <w:color w:val="000000"/>
          <w:lang w:val="en-ID" w:eastAsia="en-ID"/>
        </w:rPr>
        <w:t xml:space="preserve"> explain that Hausman (1980) suggested comparing </w:t>
      </w:r>
      <w:r w:rsidRPr="00D31DFB">
        <w:rPr>
          <w:color w:val="000000"/>
          <w:lang w:eastAsia="en-ID"/>
        </w:rPr>
        <w:t xml:space="preserve">βWithin and βGLS.  The </w:t>
      </w:r>
      <w:proofErr w:type="spellStart"/>
      <w:r w:rsidRPr="00D31DFB">
        <w:rPr>
          <w:color w:val="000000"/>
          <w:lang w:eastAsia="en-ID"/>
        </w:rPr>
        <w:t>null</w:t>
      </w:r>
      <w:proofErr w:type="spellEnd"/>
      <w:r w:rsidRPr="00D31DFB">
        <w:rPr>
          <w:color w:val="000000"/>
          <w:lang w:eastAsia="en-ID"/>
        </w:rPr>
        <w:t xml:space="preserve"> </w:t>
      </w:r>
      <w:proofErr w:type="spellStart"/>
      <w:r w:rsidRPr="00D31DFB">
        <w:rPr>
          <w:color w:val="000000"/>
          <w:lang w:eastAsia="en-ID"/>
        </w:rPr>
        <w:t>hypothesis</w:t>
      </w:r>
      <w:proofErr w:type="spellEnd"/>
      <w:r w:rsidRPr="00D31DFB">
        <w:rPr>
          <w:color w:val="000000"/>
          <w:lang w:eastAsia="en-ID"/>
        </w:rPr>
        <w:t xml:space="preserve"> </w:t>
      </w:r>
      <w:r w:rsidRPr="00D31DFB">
        <w:t>H</w:t>
      </w:r>
      <w:r w:rsidRPr="00D31DFB">
        <w:rPr>
          <w:vertAlign w:val="subscript"/>
        </w:rPr>
        <w:t>0</w:t>
      </w:r>
      <w:r w:rsidRPr="00D31DFB">
        <w:t>: E(u</w:t>
      </w:r>
      <w:r w:rsidRPr="00D31DFB">
        <w:rPr>
          <w:vertAlign w:val="subscript"/>
        </w:rPr>
        <w:t>it</w:t>
      </w:r>
      <w:r w:rsidRPr="00D31DFB">
        <w:t xml:space="preserve">| </w:t>
      </w:r>
      <w:proofErr w:type="spellStart"/>
      <w:r w:rsidRPr="00D31DFB">
        <w:t>X</w:t>
      </w:r>
      <w:r w:rsidRPr="00D31DFB">
        <w:rPr>
          <w:vertAlign w:val="subscript"/>
        </w:rPr>
        <w:t>it</w:t>
      </w:r>
      <w:proofErr w:type="spellEnd"/>
      <w:r w:rsidRPr="00D31DFB">
        <w:t xml:space="preserve">) = 0 </w:t>
      </w:r>
      <w:proofErr w:type="spellStart"/>
      <w:r w:rsidRPr="00D31DFB">
        <w:t>while</w:t>
      </w:r>
      <w:proofErr w:type="spellEnd"/>
      <w:r w:rsidRPr="00D31DFB">
        <w:t xml:space="preserve"> </w:t>
      </w:r>
      <w:proofErr w:type="spellStart"/>
      <w:r w:rsidRPr="00D31DFB">
        <w:t>the</w:t>
      </w:r>
      <w:proofErr w:type="spellEnd"/>
      <w:r w:rsidRPr="00D31DFB">
        <w:t xml:space="preserve"> </w:t>
      </w:r>
      <w:proofErr w:type="spellStart"/>
      <w:r w:rsidRPr="00D31DFB">
        <w:t>alternative</w:t>
      </w:r>
      <w:proofErr w:type="spellEnd"/>
      <w:r w:rsidRPr="00D31DFB">
        <w:t xml:space="preserve"> </w:t>
      </w:r>
      <w:proofErr w:type="spellStart"/>
      <w:r w:rsidRPr="00D31DFB">
        <w:t>hypothesis</w:t>
      </w:r>
      <w:proofErr w:type="spellEnd"/>
      <w:r w:rsidRPr="00D31DFB">
        <w:t xml:space="preserve"> Ha: E(u</w:t>
      </w:r>
      <w:r w:rsidRPr="00D31DFB">
        <w:rPr>
          <w:vertAlign w:val="subscript"/>
        </w:rPr>
        <w:t>it</w:t>
      </w:r>
      <w:r w:rsidRPr="00D31DFB">
        <w:t xml:space="preserve">| </w:t>
      </w:r>
      <w:proofErr w:type="spellStart"/>
      <w:r w:rsidRPr="00D31DFB">
        <w:t>X</w:t>
      </w:r>
      <w:r w:rsidRPr="00D31DFB">
        <w:rPr>
          <w:vertAlign w:val="subscript"/>
        </w:rPr>
        <w:t>it</w:t>
      </w:r>
      <w:proofErr w:type="spellEnd"/>
      <w:r w:rsidRPr="00D31DFB">
        <w:t>) ≠ 0</w:t>
      </w:r>
      <w:r w:rsidRPr="00D31DFB">
        <w:rPr>
          <w:color w:val="000000"/>
          <w:lang w:eastAsia="en-ID"/>
        </w:rPr>
        <w:t xml:space="preserve">, </w:t>
      </w:r>
      <w:proofErr w:type="spellStart"/>
      <w:r w:rsidRPr="00D31DFB">
        <w:rPr>
          <w:color w:val="000000"/>
          <w:lang w:eastAsia="en-ID"/>
        </w:rPr>
        <w:t>which</w:t>
      </w:r>
      <w:proofErr w:type="spellEnd"/>
      <w:r w:rsidRPr="00D31DFB">
        <w:rPr>
          <w:color w:val="000000"/>
          <w:lang w:eastAsia="en-ID"/>
        </w:rPr>
        <w:t xml:space="preserve"> means the null hypothesis implies that the estimators of FE and RE </w:t>
      </w:r>
      <w:r w:rsidRPr="00D31DFB">
        <w:t>do not differ and vice versa.</w:t>
      </w:r>
    </w:p>
    <w:p w:rsidR="00A84AA6" w:rsidRPr="00D31DFB" w:rsidRDefault="00A84AA6" w:rsidP="00A84AA6">
      <w:pPr>
        <w:widowControl w:val="0"/>
        <w:autoSpaceDE w:val="0"/>
        <w:autoSpaceDN w:val="0"/>
        <w:adjustRightInd w:val="0"/>
        <w:snapToGrid w:val="0"/>
        <w:ind w:firstLine="720"/>
        <w:jc w:val="both"/>
      </w:pPr>
    </w:p>
    <w:p w:rsidR="00A84AA6" w:rsidRPr="00D31DFB" w:rsidRDefault="00A84AA6" w:rsidP="00A84AA6">
      <w:pPr>
        <w:pStyle w:val="TeksIsi"/>
        <w:tabs>
          <w:tab w:val="left" w:pos="1755"/>
          <w:tab w:val="center" w:pos="4135"/>
        </w:tabs>
        <w:adjustRightInd w:val="0"/>
        <w:snapToGrid w:val="0"/>
        <w:spacing w:after="0" w:line="240" w:lineRule="auto"/>
        <w:rPr>
          <w:rFonts w:ascii="Times New Roman" w:hAnsi="Times New Roman" w:cs="Times New Roman"/>
          <w:b/>
          <w:i w:val="0"/>
          <w:iCs w:val="0"/>
          <w:sz w:val="24"/>
          <w:szCs w:val="24"/>
        </w:rPr>
      </w:pPr>
      <w:r w:rsidRPr="00D31DFB">
        <w:rPr>
          <w:rFonts w:ascii="Times New Roman" w:hAnsi="Times New Roman" w:cs="Times New Roman"/>
          <w:b/>
          <w:i w:val="0"/>
          <w:iCs w:val="0"/>
          <w:sz w:val="24"/>
          <w:szCs w:val="24"/>
        </w:rPr>
        <w:tab/>
      </w:r>
      <w:r w:rsidRPr="00D31DFB">
        <w:rPr>
          <w:rFonts w:ascii="Times New Roman" w:hAnsi="Times New Roman" w:cs="Times New Roman"/>
          <w:b/>
          <w:i w:val="0"/>
          <w:iCs w:val="0"/>
          <w:sz w:val="24"/>
          <w:szCs w:val="24"/>
        </w:rPr>
        <w:tab/>
        <w:t>Table 3. Hausman test</w:t>
      </w:r>
    </w:p>
    <w:p w:rsidR="00804BA7" w:rsidRPr="00D31DFB" w:rsidRDefault="00804BA7" w:rsidP="00A84AA6">
      <w:pPr>
        <w:pStyle w:val="TeksIsi"/>
        <w:tabs>
          <w:tab w:val="left" w:pos="1755"/>
          <w:tab w:val="center" w:pos="4135"/>
        </w:tabs>
        <w:adjustRightInd w:val="0"/>
        <w:snapToGrid w:val="0"/>
        <w:spacing w:after="0" w:line="240" w:lineRule="auto"/>
        <w:rPr>
          <w:rFonts w:ascii="Times New Roman" w:hAnsi="Times New Roman" w:cs="Times New Roman"/>
          <w:b/>
          <w:i w:val="0"/>
          <w:iCs w:val="0"/>
          <w:sz w:val="24"/>
          <w:szCs w:val="24"/>
        </w:rPr>
      </w:pPr>
    </w:p>
    <w:tbl>
      <w:tblPr>
        <w:tblW w:w="8609"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490"/>
        <w:gridCol w:w="1652"/>
        <w:gridCol w:w="1545"/>
        <w:gridCol w:w="1821"/>
        <w:gridCol w:w="2101"/>
      </w:tblGrid>
      <w:tr w:rsidR="00A84AA6" w:rsidRPr="00D31DFB" w:rsidTr="00A84AA6">
        <w:trPr>
          <w:trHeight w:val="287"/>
          <w:jc w:val="center"/>
        </w:trPr>
        <w:tc>
          <w:tcPr>
            <w:tcW w:w="1490" w:type="dxa"/>
            <w:tcBorders>
              <w:bottom w:val="single" w:sz="4" w:space="0" w:color="auto"/>
            </w:tcBorders>
          </w:tcPr>
          <w:p w:rsidR="00A84AA6" w:rsidRPr="00D31DFB" w:rsidRDefault="00A84AA6" w:rsidP="00A84AA6">
            <w:pPr>
              <w:pStyle w:val="TableParagraph"/>
              <w:adjustRightInd w:val="0"/>
              <w:snapToGrid w:val="0"/>
              <w:ind w:right="162"/>
              <w:jc w:val="right"/>
              <w:rPr>
                <w:rFonts w:ascii="Times New Roman" w:hAnsi="Times New Roman" w:cs="Times New Roman"/>
                <w:b/>
              </w:rPr>
            </w:pPr>
            <w:r w:rsidRPr="00D31DFB">
              <w:rPr>
                <w:rFonts w:ascii="Times New Roman" w:hAnsi="Times New Roman" w:cs="Times New Roman"/>
                <w:b/>
              </w:rPr>
              <w:t>Variables</w:t>
            </w:r>
          </w:p>
        </w:tc>
        <w:tc>
          <w:tcPr>
            <w:tcW w:w="1652" w:type="dxa"/>
            <w:tcBorders>
              <w:bottom w:val="single" w:sz="4" w:space="0" w:color="auto"/>
            </w:tcBorders>
          </w:tcPr>
          <w:p w:rsidR="00A84AA6" w:rsidRPr="00D31DFB" w:rsidRDefault="00A84AA6" w:rsidP="00A84AA6">
            <w:pPr>
              <w:pStyle w:val="TableParagraph"/>
              <w:adjustRightInd w:val="0"/>
              <w:snapToGrid w:val="0"/>
              <w:ind w:right="273"/>
              <w:jc w:val="right"/>
              <w:rPr>
                <w:rFonts w:ascii="Times New Roman" w:hAnsi="Times New Roman" w:cs="Times New Roman"/>
                <w:b/>
              </w:rPr>
            </w:pPr>
            <w:r w:rsidRPr="00D31DFB">
              <w:rPr>
                <w:rFonts w:ascii="Times New Roman" w:hAnsi="Times New Roman" w:cs="Times New Roman"/>
                <w:b/>
              </w:rPr>
              <w:t>Fixed</w:t>
            </w:r>
          </w:p>
        </w:tc>
        <w:tc>
          <w:tcPr>
            <w:tcW w:w="1545" w:type="dxa"/>
            <w:tcBorders>
              <w:bottom w:val="single" w:sz="4" w:space="0" w:color="auto"/>
            </w:tcBorders>
          </w:tcPr>
          <w:p w:rsidR="00A84AA6" w:rsidRPr="00D31DFB" w:rsidRDefault="00A84AA6" w:rsidP="00A84AA6">
            <w:pPr>
              <w:pStyle w:val="TableParagraph"/>
              <w:adjustRightInd w:val="0"/>
              <w:snapToGrid w:val="0"/>
              <w:ind w:left="284"/>
              <w:rPr>
                <w:rFonts w:ascii="Times New Roman" w:hAnsi="Times New Roman" w:cs="Times New Roman"/>
                <w:b/>
              </w:rPr>
            </w:pPr>
            <w:r w:rsidRPr="00D31DFB">
              <w:rPr>
                <w:rFonts w:ascii="Times New Roman" w:hAnsi="Times New Roman" w:cs="Times New Roman"/>
                <w:b/>
              </w:rPr>
              <w:t>Random</w:t>
            </w:r>
          </w:p>
        </w:tc>
        <w:tc>
          <w:tcPr>
            <w:tcW w:w="1821" w:type="dxa"/>
            <w:tcBorders>
              <w:bottom w:val="single" w:sz="4" w:space="0" w:color="auto"/>
            </w:tcBorders>
          </w:tcPr>
          <w:p w:rsidR="00A84AA6" w:rsidRPr="00D31DFB" w:rsidRDefault="00A84AA6" w:rsidP="00A84AA6">
            <w:pPr>
              <w:pStyle w:val="TableParagraph"/>
              <w:adjustRightInd w:val="0"/>
              <w:snapToGrid w:val="0"/>
              <w:ind w:right="437"/>
              <w:jc w:val="right"/>
              <w:rPr>
                <w:rFonts w:ascii="Times New Roman" w:hAnsi="Times New Roman" w:cs="Times New Roman"/>
                <w:b/>
              </w:rPr>
            </w:pPr>
            <w:r w:rsidRPr="00D31DFB">
              <w:rPr>
                <w:rFonts w:ascii="Times New Roman" w:hAnsi="Times New Roman" w:cs="Times New Roman"/>
                <w:b/>
              </w:rPr>
              <w:t>Random</w:t>
            </w:r>
          </w:p>
        </w:tc>
        <w:tc>
          <w:tcPr>
            <w:tcW w:w="2101" w:type="dxa"/>
            <w:tcBorders>
              <w:bottom w:val="single" w:sz="4" w:space="0" w:color="auto"/>
            </w:tcBorders>
          </w:tcPr>
          <w:p w:rsidR="00A84AA6" w:rsidRPr="00D31DFB" w:rsidRDefault="00A84AA6" w:rsidP="00A84AA6">
            <w:pPr>
              <w:pStyle w:val="TableParagraph"/>
              <w:adjustRightInd w:val="0"/>
              <w:snapToGrid w:val="0"/>
              <w:ind w:right="279"/>
              <w:jc w:val="right"/>
              <w:rPr>
                <w:rFonts w:ascii="Times New Roman" w:hAnsi="Times New Roman" w:cs="Times New Roman"/>
                <w:b/>
              </w:rPr>
            </w:pPr>
            <w:proofErr w:type="spellStart"/>
            <w:r w:rsidRPr="00D31DFB">
              <w:rPr>
                <w:rFonts w:ascii="Times New Roman" w:hAnsi="Times New Roman" w:cs="Times New Roman"/>
                <w:b/>
              </w:rPr>
              <w:t>StandardError</w:t>
            </w:r>
            <w:proofErr w:type="spellEnd"/>
          </w:p>
        </w:tc>
      </w:tr>
      <w:tr w:rsidR="00A84AA6" w:rsidRPr="00D31DFB" w:rsidTr="00A84AA6">
        <w:trPr>
          <w:trHeight w:val="403"/>
          <w:jc w:val="center"/>
        </w:trPr>
        <w:tc>
          <w:tcPr>
            <w:tcW w:w="1490" w:type="dxa"/>
            <w:tcBorders>
              <w:top w:val="single" w:sz="4" w:space="0" w:color="auto"/>
              <w:bottom w:val="nil"/>
            </w:tcBorders>
          </w:tcPr>
          <w:p w:rsidR="00A84AA6" w:rsidRPr="00D31DFB" w:rsidRDefault="00A84AA6" w:rsidP="00A84AA6">
            <w:pPr>
              <w:pStyle w:val="TableParagraph"/>
              <w:adjustRightInd w:val="0"/>
              <w:snapToGrid w:val="0"/>
              <w:ind w:right="162"/>
              <w:jc w:val="right"/>
              <w:rPr>
                <w:rFonts w:ascii="Times New Roman" w:hAnsi="Times New Roman" w:cs="Times New Roman"/>
                <w:bCs/>
              </w:rPr>
            </w:pPr>
            <w:r w:rsidRPr="00D31DFB">
              <w:rPr>
                <w:rFonts w:ascii="Times New Roman" w:hAnsi="Times New Roman" w:cs="Times New Roman"/>
                <w:bCs/>
              </w:rPr>
              <w:t>DAU</w:t>
            </w:r>
          </w:p>
        </w:tc>
        <w:tc>
          <w:tcPr>
            <w:tcW w:w="1652" w:type="dxa"/>
            <w:tcBorders>
              <w:top w:val="single" w:sz="4" w:space="0" w:color="auto"/>
              <w:bottom w:val="nil"/>
            </w:tcBorders>
          </w:tcPr>
          <w:p w:rsidR="00A84AA6" w:rsidRPr="00D31DFB" w:rsidRDefault="00A84AA6" w:rsidP="00A84AA6">
            <w:pPr>
              <w:pStyle w:val="TableParagraph"/>
              <w:adjustRightInd w:val="0"/>
              <w:snapToGrid w:val="0"/>
              <w:ind w:right="273"/>
              <w:jc w:val="right"/>
              <w:rPr>
                <w:rFonts w:ascii="Times New Roman" w:hAnsi="Times New Roman" w:cs="Times New Roman"/>
                <w:bCs/>
              </w:rPr>
            </w:pPr>
            <w:r w:rsidRPr="00D31DFB">
              <w:rPr>
                <w:rFonts w:ascii="Times New Roman" w:hAnsi="Times New Roman" w:cs="Times New Roman"/>
                <w:bCs/>
              </w:rPr>
              <w:t>2.187608</w:t>
            </w:r>
          </w:p>
        </w:tc>
        <w:tc>
          <w:tcPr>
            <w:tcW w:w="1545" w:type="dxa"/>
            <w:tcBorders>
              <w:top w:val="single" w:sz="4" w:space="0" w:color="auto"/>
              <w:bottom w:val="nil"/>
            </w:tcBorders>
          </w:tcPr>
          <w:p w:rsidR="00A84AA6" w:rsidRPr="00D31DFB" w:rsidRDefault="00A84AA6" w:rsidP="00A84AA6">
            <w:pPr>
              <w:pStyle w:val="TableParagraph"/>
              <w:adjustRightInd w:val="0"/>
              <w:snapToGrid w:val="0"/>
              <w:ind w:left="284"/>
              <w:rPr>
                <w:rFonts w:ascii="Times New Roman" w:hAnsi="Times New Roman" w:cs="Times New Roman"/>
                <w:bCs/>
              </w:rPr>
            </w:pPr>
            <w:r w:rsidRPr="00D31DFB">
              <w:rPr>
                <w:rFonts w:ascii="Times New Roman" w:hAnsi="Times New Roman" w:cs="Times New Roman"/>
                <w:bCs/>
              </w:rPr>
              <w:t>1.347275</w:t>
            </w:r>
          </w:p>
        </w:tc>
        <w:tc>
          <w:tcPr>
            <w:tcW w:w="1821" w:type="dxa"/>
            <w:tcBorders>
              <w:top w:val="single" w:sz="4" w:space="0" w:color="auto"/>
              <w:bottom w:val="nil"/>
            </w:tcBorders>
          </w:tcPr>
          <w:p w:rsidR="00A84AA6" w:rsidRPr="00D31DFB" w:rsidRDefault="00A84AA6" w:rsidP="00A84AA6">
            <w:pPr>
              <w:pStyle w:val="TableParagraph"/>
              <w:adjustRightInd w:val="0"/>
              <w:snapToGrid w:val="0"/>
              <w:ind w:right="437"/>
              <w:jc w:val="right"/>
              <w:rPr>
                <w:rFonts w:ascii="Times New Roman" w:hAnsi="Times New Roman" w:cs="Times New Roman"/>
                <w:bCs/>
              </w:rPr>
            </w:pPr>
            <w:r w:rsidRPr="00D31DFB">
              <w:rPr>
                <w:rFonts w:ascii="Times New Roman" w:hAnsi="Times New Roman" w:cs="Times New Roman"/>
                <w:bCs/>
              </w:rPr>
              <w:t>.8403328</w:t>
            </w:r>
          </w:p>
        </w:tc>
        <w:tc>
          <w:tcPr>
            <w:tcW w:w="2101" w:type="dxa"/>
            <w:tcBorders>
              <w:top w:val="single" w:sz="4" w:space="0" w:color="auto"/>
              <w:bottom w:val="nil"/>
            </w:tcBorders>
          </w:tcPr>
          <w:p w:rsidR="00A84AA6" w:rsidRPr="00D31DFB" w:rsidRDefault="00A84AA6" w:rsidP="00A84AA6">
            <w:pPr>
              <w:pStyle w:val="TableParagraph"/>
              <w:adjustRightInd w:val="0"/>
              <w:snapToGrid w:val="0"/>
              <w:ind w:right="772"/>
              <w:jc w:val="right"/>
              <w:rPr>
                <w:rFonts w:ascii="Times New Roman" w:hAnsi="Times New Roman" w:cs="Times New Roman"/>
                <w:bCs/>
              </w:rPr>
            </w:pPr>
            <w:r w:rsidRPr="00D31DFB">
              <w:rPr>
                <w:rFonts w:ascii="Times New Roman" w:hAnsi="Times New Roman" w:cs="Times New Roman"/>
                <w:bCs/>
              </w:rPr>
              <w:t>.2928312</w:t>
            </w:r>
          </w:p>
        </w:tc>
      </w:tr>
      <w:tr w:rsidR="00A84AA6" w:rsidRPr="00D31DFB" w:rsidTr="00A84AA6">
        <w:trPr>
          <w:trHeight w:val="407"/>
          <w:jc w:val="center"/>
        </w:trPr>
        <w:tc>
          <w:tcPr>
            <w:tcW w:w="1490" w:type="dxa"/>
            <w:tcBorders>
              <w:top w:val="nil"/>
              <w:bottom w:val="nil"/>
            </w:tcBorders>
          </w:tcPr>
          <w:p w:rsidR="00A84AA6" w:rsidRPr="00D31DFB" w:rsidRDefault="00A84AA6" w:rsidP="00A84AA6">
            <w:pPr>
              <w:pStyle w:val="TableParagraph"/>
              <w:adjustRightInd w:val="0"/>
              <w:snapToGrid w:val="0"/>
              <w:ind w:right="162"/>
              <w:jc w:val="right"/>
              <w:rPr>
                <w:rFonts w:ascii="Times New Roman" w:hAnsi="Times New Roman" w:cs="Times New Roman"/>
                <w:bCs/>
              </w:rPr>
            </w:pPr>
            <w:r w:rsidRPr="00D31DFB">
              <w:rPr>
                <w:rFonts w:ascii="Times New Roman" w:hAnsi="Times New Roman" w:cs="Times New Roman"/>
                <w:bCs/>
              </w:rPr>
              <w:t>DBH</w:t>
            </w:r>
          </w:p>
        </w:tc>
        <w:tc>
          <w:tcPr>
            <w:tcW w:w="1652" w:type="dxa"/>
            <w:tcBorders>
              <w:top w:val="nil"/>
              <w:bottom w:val="nil"/>
            </w:tcBorders>
          </w:tcPr>
          <w:p w:rsidR="00A84AA6" w:rsidRPr="00D31DFB" w:rsidRDefault="00A84AA6" w:rsidP="00A84AA6">
            <w:pPr>
              <w:pStyle w:val="TableParagraph"/>
              <w:adjustRightInd w:val="0"/>
              <w:snapToGrid w:val="0"/>
              <w:ind w:right="273"/>
              <w:jc w:val="right"/>
              <w:rPr>
                <w:rFonts w:ascii="Times New Roman" w:hAnsi="Times New Roman" w:cs="Times New Roman"/>
                <w:bCs/>
              </w:rPr>
            </w:pPr>
            <w:r w:rsidRPr="00D31DFB">
              <w:rPr>
                <w:rFonts w:ascii="Times New Roman" w:hAnsi="Times New Roman" w:cs="Times New Roman"/>
                <w:bCs/>
              </w:rPr>
              <w:t>.2747257</w:t>
            </w:r>
          </w:p>
        </w:tc>
        <w:tc>
          <w:tcPr>
            <w:tcW w:w="1545" w:type="dxa"/>
            <w:tcBorders>
              <w:top w:val="nil"/>
              <w:bottom w:val="nil"/>
            </w:tcBorders>
          </w:tcPr>
          <w:p w:rsidR="00A84AA6" w:rsidRPr="00D31DFB" w:rsidRDefault="00A84AA6" w:rsidP="00A84AA6">
            <w:pPr>
              <w:pStyle w:val="TableParagraph"/>
              <w:adjustRightInd w:val="0"/>
              <w:snapToGrid w:val="0"/>
              <w:ind w:left="284"/>
              <w:rPr>
                <w:rFonts w:ascii="Times New Roman" w:hAnsi="Times New Roman" w:cs="Times New Roman"/>
                <w:bCs/>
              </w:rPr>
            </w:pPr>
            <w:r w:rsidRPr="00D31DFB">
              <w:rPr>
                <w:rFonts w:ascii="Times New Roman" w:hAnsi="Times New Roman" w:cs="Times New Roman"/>
                <w:bCs/>
              </w:rPr>
              <w:t>.4170534</w:t>
            </w:r>
          </w:p>
        </w:tc>
        <w:tc>
          <w:tcPr>
            <w:tcW w:w="1821" w:type="dxa"/>
            <w:tcBorders>
              <w:top w:val="nil"/>
              <w:bottom w:val="nil"/>
            </w:tcBorders>
          </w:tcPr>
          <w:p w:rsidR="00A84AA6" w:rsidRPr="00D31DFB" w:rsidRDefault="00A84AA6" w:rsidP="00A84AA6">
            <w:pPr>
              <w:pStyle w:val="TableParagraph"/>
              <w:adjustRightInd w:val="0"/>
              <w:snapToGrid w:val="0"/>
              <w:ind w:right="437"/>
              <w:jc w:val="right"/>
              <w:rPr>
                <w:rFonts w:ascii="Times New Roman" w:hAnsi="Times New Roman" w:cs="Times New Roman"/>
                <w:bCs/>
              </w:rPr>
            </w:pPr>
            <w:r w:rsidRPr="00D31DFB">
              <w:rPr>
                <w:rFonts w:ascii="Times New Roman" w:hAnsi="Times New Roman" w:cs="Times New Roman"/>
                <w:bCs/>
              </w:rPr>
              <w:t>-.1423277</w:t>
            </w:r>
          </w:p>
        </w:tc>
        <w:tc>
          <w:tcPr>
            <w:tcW w:w="2101" w:type="dxa"/>
            <w:tcBorders>
              <w:top w:val="nil"/>
              <w:bottom w:val="nil"/>
            </w:tcBorders>
          </w:tcPr>
          <w:p w:rsidR="00A84AA6" w:rsidRPr="00D31DFB" w:rsidRDefault="00A84AA6" w:rsidP="00A84AA6">
            <w:pPr>
              <w:pStyle w:val="TableParagraph"/>
              <w:adjustRightInd w:val="0"/>
              <w:snapToGrid w:val="0"/>
              <w:ind w:right="772"/>
              <w:jc w:val="right"/>
              <w:rPr>
                <w:rFonts w:ascii="Times New Roman" w:hAnsi="Times New Roman" w:cs="Times New Roman"/>
                <w:bCs/>
              </w:rPr>
            </w:pPr>
            <w:r w:rsidRPr="00D31DFB">
              <w:rPr>
                <w:rFonts w:ascii="Times New Roman" w:hAnsi="Times New Roman" w:cs="Times New Roman"/>
                <w:bCs/>
              </w:rPr>
              <w:t>.</w:t>
            </w:r>
          </w:p>
        </w:tc>
      </w:tr>
      <w:tr w:rsidR="00A84AA6" w:rsidRPr="00D31DFB" w:rsidTr="00A84AA6">
        <w:trPr>
          <w:trHeight w:val="272"/>
          <w:jc w:val="center"/>
        </w:trPr>
        <w:tc>
          <w:tcPr>
            <w:tcW w:w="1490" w:type="dxa"/>
            <w:tcBorders>
              <w:top w:val="nil"/>
              <w:bottom w:val="single" w:sz="4" w:space="0" w:color="auto"/>
            </w:tcBorders>
          </w:tcPr>
          <w:p w:rsidR="00A84AA6" w:rsidRPr="00D31DFB" w:rsidRDefault="00A84AA6" w:rsidP="00A84AA6">
            <w:pPr>
              <w:pStyle w:val="TableParagraph"/>
              <w:adjustRightInd w:val="0"/>
              <w:snapToGrid w:val="0"/>
              <w:ind w:right="162"/>
              <w:jc w:val="right"/>
              <w:rPr>
                <w:rFonts w:ascii="Times New Roman" w:hAnsi="Times New Roman" w:cs="Times New Roman"/>
                <w:bCs/>
              </w:rPr>
            </w:pPr>
            <w:r w:rsidRPr="00D31DFB">
              <w:rPr>
                <w:rFonts w:ascii="Times New Roman" w:hAnsi="Times New Roman" w:cs="Times New Roman"/>
                <w:bCs/>
              </w:rPr>
              <w:t>DAK</w:t>
            </w:r>
          </w:p>
        </w:tc>
        <w:tc>
          <w:tcPr>
            <w:tcW w:w="1652" w:type="dxa"/>
            <w:tcBorders>
              <w:top w:val="nil"/>
              <w:bottom w:val="single" w:sz="4" w:space="0" w:color="auto"/>
            </w:tcBorders>
          </w:tcPr>
          <w:p w:rsidR="00A84AA6" w:rsidRPr="00D31DFB" w:rsidRDefault="00A84AA6" w:rsidP="00A84AA6">
            <w:pPr>
              <w:pStyle w:val="TableParagraph"/>
              <w:adjustRightInd w:val="0"/>
              <w:snapToGrid w:val="0"/>
              <w:ind w:right="273"/>
              <w:jc w:val="right"/>
              <w:rPr>
                <w:rFonts w:ascii="Times New Roman" w:hAnsi="Times New Roman" w:cs="Times New Roman"/>
                <w:bCs/>
              </w:rPr>
            </w:pPr>
            <w:r w:rsidRPr="00D31DFB">
              <w:rPr>
                <w:rFonts w:ascii="Times New Roman" w:hAnsi="Times New Roman" w:cs="Times New Roman"/>
                <w:bCs/>
              </w:rPr>
              <w:t>1.338198</w:t>
            </w:r>
          </w:p>
        </w:tc>
        <w:tc>
          <w:tcPr>
            <w:tcW w:w="1545" w:type="dxa"/>
            <w:tcBorders>
              <w:top w:val="nil"/>
              <w:bottom w:val="single" w:sz="4" w:space="0" w:color="auto"/>
            </w:tcBorders>
          </w:tcPr>
          <w:p w:rsidR="00A84AA6" w:rsidRPr="00D31DFB" w:rsidRDefault="00A84AA6" w:rsidP="00A84AA6">
            <w:pPr>
              <w:pStyle w:val="TableParagraph"/>
              <w:adjustRightInd w:val="0"/>
              <w:snapToGrid w:val="0"/>
              <w:ind w:left="284"/>
              <w:rPr>
                <w:rFonts w:ascii="Times New Roman" w:hAnsi="Times New Roman" w:cs="Times New Roman"/>
                <w:bCs/>
              </w:rPr>
            </w:pPr>
            <w:r w:rsidRPr="00D31DFB">
              <w:rPr>
                <w:rFonts w:ascii="Times New Roman" w:hAnsi="Times New Roman" w:cs="Times New Roman"/>
                <w:bCs/>
              </w:rPr>
              <w:t>1.308083</w:t>
            </w:r>
          </w:p>
        </w:tc>
        <w:tc>
          <w:tcPr>
            <w:tcW w:w="1821" w:type="dxa"/>
            <w:tcBorders>
              <w:top w:val="nil"/>
              <w:bottom w:val="single" w:sz="4" w:space="0" w:color="auto"/>
            </w:tcBorders>
          </w:tcPr>
          <w:p w:rsidR="00A84AA6" w:rsidRPr="00D31DFB" w:rsidRDefault="00A84AA6" w:rsidP="00A84AA6">
            <w:pPr>
              <w:pStyle w:val="TableParagraph"/>
              <w:adjustRightInd w:val="0"/>
              <w:snapToGrid w:val="0"/>
              <w:ind w:right="437"/>
              <w:jc w:val="right"/>
              <w:rPr>
                <w:rFonts w:ascii="Times New Roman" w:hAnsi="Times New Roman" w:cs="Times New Roman"/>
                <w:bCs/>
              </w:rPr>
            </w:pPr>
            <w:r w:rsidRPr="00D31DFB">
              <w:rPr>
                <w:rFonts w:ascii="Times New Roman" w:hAnsi="Times New Roman" w:cs="Times New Roman"/>
                <w:bCs/>
              </w:rPr>
              <w:t>.0301151</w:t>
            </w:r>
          </w:p>
        </w:tc>
        <w:tc>
          <w:tcPr>
            <w:tcW w:w="2101" w:type="dxa"/>
            <w:tcBorders>
              <w:top w:val="nil"/>
              <w:bottom w:val="single" w:sz="4" w:space="0" w:color="auto"/>
            </w:tcBorders>
          </w:tcPr>
          <w:p w:rsidR="00A84AA6" w:rsidRPr="00D31DFB" w:rsidRDefault="00A84AA6" w:rsidP="00A84AA6">
            <w:pPr>
              <w:pStyle w:val="TableParagraph"/>
              <w:adjustRightInd w:val="0"/>
              <w:snapToGrid w:val="0"/>
              <w:ind w:right="772"/>
              <w:jc w:val="right"/>
              <w:rPr>
                <w:rFonts w:ascii="Times New Roman" w:hAnsi="Times New Roman" w:cs="Times New Roman"/>
                <w:bCs/>
              </w:rPr>
            </w:pPr>
            <w:r w:rsidRPr="00D31DFB">
              <w:rPr>
                <w:rFonts w:ascii="Times New Roman" w:hAnsi="Times New Roman" w:cs="Times New Roman"/>
                <w:bCs/>
              </w:rPr>
              <w:t>.1719664</w:t>
            </w:r>
          </w:p>
        </w:tc>
      </w:tr>
      <w:tr w:rsidR="00A84AA6" w:rsidRPr="00D31DFB" w:rsidTr="00A84AA6">
        <w:trPr>
          <w:trHeight w:val="285"/>
          <w:jc w:val="center"/>
        </w:trPr>
        <w:tc>
          <w:tcPr>
            <w:tcW w:w="1490" w:type="dxa"/>
            <w:tcBorders>
              <w:top w:val="single" w:sz="4" w:space="0" w:color="auto"/>
              <w:left w:val="nil"/>
              <w:bottom w:val="single" w:sz="4" w:space="0" w:color="auto"/>
              <w:right w:val="nil"/>
            </w:tcBorders>
          </w:tcPr>
          <w:p w:rsidR="00A84AA6" w:rsidRPr="00D31DFB" w:rsidRDefault="00A84AA6" w:rsidP="00A84AA6">
            <w:pPr>
              <w:pStyle w:val="TableParagraph"/>
              <w:adjustRightInd w:val="0"/>
              <w:snapToGrid w:val="0"/>
              <w:ind w:right="162"/>
              <w:jc w:val="right"/>
              <w:rPr>
                <w:rFonts w:ascii="Times New Roman" w:hAnsi="Times New Roman" w:cs="Times New Roman"/>
                <w:bCs/>
              </w:rPr>
            </w:pPr>
            <w:r w:rsidRPr="00D31DFB">
              <w:rPr>
                <w:rFonts w:ascii="Times New Roman" w:hAnsi="Times New Roman" w:cs="Times New Roman"/>
                <w:bCs/>
              </w:rPr>
              <w:t>PAD</w:t>
            </w:r>
          </w:p>
        </w:tc>
        <w:tc>
          <w:tcPr>
            <w:tcW w:w="1652" w:type="dxa"/>
            <w:tcBorders>
              <w:top w:val="single" w:sz="4" w:space="0" w:color="auto"/>
              <w:left w:val="nil"/>
              <w:bottom w:val="single" w:sz="4" w:space="0" w:color="auto"/>
              <w:right w:val="nil"/>
            </w:tcBorders>
          </w:tcPr>
          <w:p w:rsidR="00A84AA6" w:rsidRPr="00D31DFB" w:rsidRDefault="00A84AA6" w:rsidP="00A84AA6">
            <w:pPr>
              <w:pStyle w:val="TableParagraph"/>
              <w:adjustRightInd w:val="0"/>
              <w:snapToGrid w:val="0"/>
              <w:ind w:right="273"/>
              <w:jc w:val="right"/>
              <w:rPr>
                <w:rFonts w:ascii="Times New Roman" w:hAnsi="Times New Roman" w:cs="Times New Roman"/>
                <w:bCs/>
              </w:rPr>
            </w:pPr>
            <w:r w:rsidRPr="00D31DFB">
              <w:rPr>
                <w:rFonts w:ascii="Times New Roman" w:hAnsi="Times New Roman" w:cs="Times New Roman"/>
                <w:bCs/>
              </w:rPr>
              <w:t>-.3104811</w:t>
            </w:r>
          </w:p>
        </w:tc>
        <w:tc>
          <w:tcPr>
            <w:tcW w:w="1545" w:type="dxa"/>
            <w:tcBorders>
              <w:top w:val="single" w:sz="4" w:space="0" w:color="auto"/>
              <w:left w:val="nil"/>
              <w:bottom w:val="single" w:sz="4" w:space="0" w:color="auto"/>
              <w:right w:val="nil"/>
            </w:tcBorders>
          </w:tcPr>
          <w:p w:rsidR="00A84AA6" w:rsidRPr="00D31DFB" w:rsidRDefault="00A84AA6" w:rsidP="00A84AA6">
            <w:pPr>
              <w:pStyle w:val="TableParagraph"/>
              <w:adjustRightInd w:val="0"/>
              <w:snapToGrid w:val="0"/>
              <w:ind w:left="284"/>
              <w:rPr>
                <w:rFonts w:ascii="Times New Roman" w:hAnsi="Times New Roman" w:cs="Times New Roman"/>
                <w:bCs/>
              </w:rPr>
            </w:pPr>
            <w:r w:rsidRPr="00D31DFB">
              <w:rPr>
                <w:rFonts w:ascii="Times New Roman" w:hAnsi="Times New Roman" w:cs="Times New Roman"/>
                <w:bCs/>
              </w:rPr>
              <w:t>1.065718</w:t>
            </w:r>
          </w:p>
        </w:tc>
        <w:tc>
          <w:tcPr>
            <w:tcW w:w="1821" w:type="dxa"/>
            <w:tcBorders>
              <w:top w:val="single" w:sz="4" w:space="0" w:color="auto"/>
              <w:left w:val="nil"/>
              <w:bottom w:val="single" w:sz="4" w:space="0" w:color="auto"/>
              <w:right w:val="nil"/>
            </w:tcBorders>
          </w:tcPr>
          <w:p w:rsidR="00A84AA6" w:rsidRPr="00D31DFB" w:rsidRDefault="00A84AA6" w:rsidP="00A84AA6">
            <w:pPr>
              <w:pStyle w:val="TableParagraph"/>
              <w:adjustRightInd w:val="0"/>
              <w:snapToGrid w:val="0"/>
              <w:ind w:right="437"/>
              <w:jc w:val="right"/>
              <w:rPr>
                <w:rFonts w:ascii="Times New Roman" w:hAnsi="Times New Roman" w:cs="Times New Roman"/>
                <w:bCs/>
              </w:rPr>
            </w:pPr>
            <w:r w:rsidRPr="00D31DFB">
              <w:rPr>
                <w:rFonts w:ascii="Times New Roman" w:hAnsi="Times New Roman" w:cs="Times New Roman"/>
                <w:bCs/>
              </w:rPr>
              <w:t>-1.376199</w:t>
            </w:r>
          </w:p>
        </w:tc>
        <w:tc>
          <w:tcPr>
            <w:tcW w:w="2101" w:type="dxa"/>
            <w:tcBorders>
              <w:top w:val="single" w:sz="4" w:space="0" w:color="auto"/>
              <w:left w:val="nil"/>
              <w:bottom w:val="single" w:sz="4" w:space="0" w:color="auto"/>
              <w:right w:val="nil"/>
            </w:tcBorders>
          </w:tcPr>
          <w:p w:rsidR="00A84AA6" w:rsidRPr="00D31DFB" w:rsidRDefault="00A84AA6" w:rsidP="00A84AA6">
            <w:pPr>
              <w:pStyle w:val="TableParagraph"/>
              <w:adjustRightInd w:val="0"/>
              <w:snapToGrid w:val="0"/>
              <w:ind w:right="772"/>
              <w:jc w:val="right"/>
              <w:rPr>
                <w:rFonts w:ascii="Times New Roman" w:hAnsi="Times New Roman" w:cs="Times New Roman"/>
                <w:bCs/>
              </w:rPr>
            </w:pPr>
            <w:r w:rsidRPr="00D31DFB">
              <w:rPr>
                <w:rFonts w:ascii="Times New Roman" w:hAnsi="Times New Roman" w:cs="Times New Roman"/>
                <w:bCs/>
              </w:rPr>
              <w:t>.3106768</w:t>
            </w:r>
          </w:p>
        </w:tc>
      </w:tr>
      <w:tr w:rsidR="00A84AA6" w:rsidRPr="00D31DFB" w:rsidTr="00A84AA6">
        <w:trPr>
          <w:trHeight w:val="285"/>
          <w:jc w:val="center"/>
        </w:trPr>
        <w:tc>
          <w:tcPr>
            <w:tcW w:w="8609" w:type="dxa"/>
            <w:gridSpan w:val="5"/>
            <w:tcBorders>
              <w:top w:val="single" w:sz="4" w:space="0" w:color="auto"/>
              <w:left w:val="nil"/>
              <w:bottom w:val="single" w:sz="4" w:space="0" w:color="auto"/>
              <w:right w:val="nil"/>
            </w:tcBorders>
          </w:tcPr>
          <w:p w:rsidR="00A84AA6" w:rsidRPr="00D31DFB" w:rsidRDefault="00A84AA6" w:rsidP="00A84AA6">
            <w:pPr>
              <w:pStyle w:val="TeksIsi"/>
              <w:pBdr>
                <w:between w:val="single" w:sz="4" w:space="1" w:color="auto"/>
                <w:bar w:val="single" w:sz="4" w:color="auto"/>
              </w:pBdr>
              <w:adjustRightInd w:val="0"/>
              <w:snapToGrid w:val="0"/>
              <w:spacing w:after="0" w:line="240" w:lineRule="auto"/>
              <w:ind w:right="128"/>
              <w:rPr>
                <w:rFonts w:ascii="Times New Roman" w:hAnsi="Times New Roman" w:cs="Times New Roman"/>
                <w:i w:val="0"/>
                <w:iCs w:val="0"/>
                <w:sz w:val="22"/>
                <w:szCs w:val="22"/>
              </w:rPr>
            </w:pPr>
            <w:proofErr w:type="spellStart"/>
            <w:proofErr w:type="gramStart"/>
            <w:r w:rsidRPr="00D31DFB">
              <w:rPr>
                <w:rFonts w:ascii="Times New Roman" w:hAnsi="Times New Roman" w:cs="Times New Roman"/>
                <w:i w:val="0"/>
                <w:iCs w:val="0"/>
                <w:spacing w:val="5"/>
                <w:sz w:val="22"/>
                <w:szCs w:val="22"/>
              </w:rPr>
              <w:t>Test:</w:t>
            </w:r>
            <w:r w:rsidRPr="00D31DFB">
              <w:rPr>
                <w:rFonts w:ascii="Times New Roman" w:hAnsi="Times New Roman" w:cs="Times New Roman"/>
                <w:i w:val="0"/>
                <w:iCs w:val="0"/>
                <w:spacing w:val="4"/>
                <w:sz w:val="22"/>
                <w:szCs w:val="22"/>
              </w:rPr>
              <w:t>Ho</w:t>
            </w:r>
            <w:proofErr w:type="spellEnd"/>
            <w:proofErr w:type="gramEnd"/>
            <w:r w:rsidRPr="00D31DFB">
              <w:rPr>
                <w:rFonts w:ascii="Times New Roman" w:hAnsi="Times New Roman" w:cs="Times New Roman"/>
                <w:i w:val="0"/>
                <w:iCs w:val="0"/>
                <w:spacing w:val="4"/>
                <w:sz w:val="22"/>
                <w:szCs w:val="22"/>
              </w:rPr>
              <w:t xml:space="preserve">: </w:t>
            </w:r>
            <w:r w:rsidRPr="00D31DFB">
              <w:rPr>
                <w:rFonts w:ascii="Times New Roman" w:hAnsi="Times New Roman" w:cs="Times New Roman"/>
                <w:i w:val="0"/>
                <w:iCs w:val="0"/>
                <w:spacing w:val="6"/>
                <w:sz w:val="22"/>
                <w:szCs w:val="22"/>
              </w:rPr>
              <w:t xml:space="preserve">difference </w:t>
            </w:r>
            <w:r w:rsidRPr="00D31DFB">
              <w:rPr>
                <w:rFonts w:ascii="Times New Roman" w:hAnsi="Times New Roman" w:cs="Times New Roman"/>
                <w:i w:val="0"/>
                <w:iCs w:val="0"/>
                <w:spacing w:val="4"/>
                <w:sz w:val="22"/>
                <w:szCs w:val="22"/>
              </w:rPr>
              <w:t xml:space="preserve">in </w:t>
            </w:r>
            <w:r w:rsidRPr="00D31DFB">
              <w:rPr>
                <w:rFonts w:ascii="Times New Roman" w:hAnsi="Times New Roman" w:cs="Times New Roman"/>
                <w:i w:val="0"/>
                <w:iCs w:val="0"/>
                <w:spacing w:val="6"/>
                <w:sz w:val="22"/>
                <w:szCs w:val="22"/>
              </w:rPr>
              <w:t xml:space="preserve">coefficients </w:t>
            </w:r>
            <w:r w:rsidRPr="00D31DFB">
              <w:rPr>
                <w:rFonts w:ascii="Times New Roman" w:hAnsi="Times New Roman" w:cs="Times New Roman"/>
                <w:i w:val="0"/>
                <w:iCs w:val="0"/>
                <w:spacing w:val="4"/>
                <w:sz w:val="22"/>
                <w:szCs w:val="22"/>
              </w:rPr>
              <w:t xml:space="preserve">not </w:t>
            </w:r>
            <w:r w:rsidRPr="00D31DFB">
              <w:rPr>
                <w:rFonts w:ascii="Times New Roman" w:hAnsi="Times New Roman" w:cs="Times New Roman"/>
                <w:i w:val="0"/>
                <w:iCs w:val="0"/>
                <w:spacing w:val="6"/>
                <w:sz w:val="22"/>
                <w:szCs w:val="22"/>
              </w:rPr>
              <w:t>systematic chi2(</w:t>
            </w:r>
            <w:r w:rsidRPr="00D31DFB">
              <w:rPr>
                <w:rFonts w:ascii="Times New Roman" w:hAnsi="Times New Roman" w:cs="Times New Roman"/>
                <w:b/>
                <w:i w:val="0"/>
                <w:iCs w:val="0"/>
                <w:spacing w:val="6"/>
                <w:sz w:val="22"/>
                <w:szCs w:val="22"/>
              </w:rPr>
              <w:t>4</w:t>
            </w:r>
            <w:r w:rsidRPr="00D31DFB">
              <w:rPr>
                <w:rFonts w:ascii="Times New Roman" w:hAnsi="Times New Roman" w:cs="Times New Roman"/>
                <w:i w:val="0"/>
                <w:iCs w:val="0"/>
                <w:spacing w:val="6"/>
                <w:sz w:val="22"/>
                <w:szCs w:val="22"/>
              </w:rPr>
              <w:t xml:space="preserve">) </w:t>
            </w:r>
            <w:r w:rsidRPr="00D31DFB">
              <w:rPr>
                <w:rFonts w:ascii="Times New Roman" w:hAnsi="Times New Roman" w:cs="Times New Roman"/>
                <w:i w:val="0"/>
                <w:iCs w:val="0"/>
                <w:sz w:val="22"/>
                <w:szCs w:val="22"/>
              </w:rPr>
              <w:t>=</w:t>
            </w:r>
            <w:r w:rsidRPr="00D31DFB">
              <w:rPr>
                <w:rFonts w:ascii="Times New Roman" w:hAnsi="Times New Roman" w:cs="Times New Roman"/>
                <w:i w:val="0"/>
                <w:iCs w:val="0"/>
                <w:spacing w:val="48"/>
                <w:sz w:val="22"/>
                <w:szCs w:val="22"/>
              </w:rPr>
              <w:t xml:space="preserve"> </w:t>
            </w:r>
            <w:r w:rsidRPr="00D31DFB">
              <w:rPr>
                <w:rFonts w:ascii="Times New Roman" w:hAnsi="Times New Roman" w:cs="Times New Roman"/>
                <w:i w:val="0"/>
                <w:iCs w:val="0"/>
                <w:spacing w:val="6"/>
                <w:sz w:val="22"/>
                <w:szCs w:val="22"/>
              </w:rPr>
              <w:t>(b-B)'[(</w:t>
            </w:r>
            <w:proofErr w:type="spellStart"/>
            <w:r w:rsidRPr="00D31DFB">
              <w:rPr>
                <w:rFonts w:ascii="Times New Roman" w:hAnsi="Times New Roman" w:cs="Times New Roman"/>
                <w:i w:val="0"/>
                <w:iCs w:val="0"/>
                <w:spacing w:val="6"/>
                <w:sz w:val="22"/>
                <w:szCs w:val="22"/>
              </w:rPr>
              <w:t>V_b</w:t>
            </w:r>
            <w:proofErr w:type="spellEnd"/>
            <w:r w:rsidRPr="00D31DFB">
              <w:rPr>
                <w:rFonts w:ascii="Times New Roman" w:hAnsi="Times New Roman" w:cs="Times New Roman"/>
                <w:i w:val="0"/>
                <w:iCs w:val="0"/>
                <w:spacing w:val="6"/>
                <w:sz w:val="22"/>
                <w:szCs w:val="22"/>
              </w:rPr>
              <w:t xml:space="preserve">-V_B)^(-1)](b-B) = </w:t>
            </w:r>
            <w:r w:rsidRPr="00D31DFB">
              <w:rPr>
                <w:rFonts w:ascii="Times New Roman" w:hAnsi="Times New Roman" w:cs="Times New Roman"/>
                <w:b/>
                <w:i w:val="0"/>
                <w:iCs w:val="0"/>
                <w:spacing w:val="5"/>
                <w:sz w:val="22"/>
                <w:szCs w:val="22"/>
              </w:rPr>
              <w:t>26.80</w:t>
            </w:r>
          </w:p>
        </w:tc>
      </w:tr>
      <w:tr w:rsidR="00A84AA6" w:rsidRPr="00D31DFB" w:rsidTr="00A84AA6">
        <w:trPr>
          <w:trHeight w:val="285"/>
          <w:jc w:val="center"/>
        </w:trPr>
        <w:tc>
          <w:tcPr>
            <w:tcW w:w="8609" w:type="dxa"/>
            <w:gridSpan w:val="5"/>
            <w:tcBorders>
              <w:top w:val="single" w:sz="4" w:space="0" w:color="auto"/>
              <w:left w:val="nil"/>
              <w:bottom w:val="single" w:sz="4" w:space="0" w:color="auto"/>
              <w:right w:val="nil"/>
            </w:tcBorders>
          </w:tcPr>
          <w:p w:rsidR="00A84AA6" w:rsidRPr="00D31DFB" w:rsidRDefault="00A84AA6" w:rsidP="00A84AA6">
            <w:pPr>
              <w:pBdr>
                <w:between w:val="single" w:sz="4" w:space="1" w:color="auto"/>
                <w:bar w:val="single" w:sz="4" w:color="auto"/>
              </w:pBdr>
              <w:tabs>
                <w:tab w:val="left" w:pos="4238"/>
              </w:tabs>
              <w:adjustRightInd w:val="0"/>
              <w:snapToGrid w:val="0"/>
              <w:rPr>
                <w:sz w:val="22"/>
                <w:szCs w:val="22"/>
              </w:rPr>
            </w:pPr>
            <w:r w:rsidRPr="00D31DFB">
              <w:rPr>
                <w:b/>
                <w:bCs/>
                <w:spacing w:val="6"/>
                <w:sz w:val="22"/>
                <w:szCs w:val="22"/>
              </w:rPr>
              <w:t>Prob&gt;chi2</w:t>
            </w:r>
            <w:r w:rsidRPr="00D31DFB">
              <w:rPr>
                <w:b/>
                <w:bCs/>
                <w:spacing w:val="20"/>
                <w:sz w:val="22"/>
                <w:szCs w:val="22"/>
              </w:rPr>
              <w:t xml:space="preserve"> </w:t>
            </w:r>
            <w:r w:rsidRPr="00D31DFB">
              <w:rPr>
                <w:b/>
                <w:bCs/>
                <w:sz w:val="22"/>
                <w:szCs w:val="22"/>
              </w:rPr>
              <w:t xml:space="preserve">= </w:t>
            </w:r>
            <w:r w:rsidRPr="00D31DFB">
              <w:rPr>
                <w:b/>
                <w:bCs/>
                <w:spacing w:val="5"/>
                <w:sz w:val="22"/>
                <w:szCs w:val="22"/>
              </w:rPr>
              <w:t>0.0000</w:t>
            </w:r>
          </w:p>
        </w:tc>
      </w:tr>
    </w:tbl>
    <w:p w:rsidR="00A84AA6" w:rsidRPr="00D31DFB" w:rsidRDefault="00D31DFB" w:rsidP="00D31DFB">
      <w:pPr>
        <w:widowControl w:val="0"/>
        <w:autoSpaceDE w:val="0"/>
        <w:autoSpaceDN w:val="0"/>
        <w:adjustRightInd w:val="0"/>
        <w:snapToGrid w:val="0"/>
      </w:pPr>
      <w:r w:rsidRPr="00D31DFB">
        <w:t>Source : Processed Research (2020)</w:t>
      </w:r>
    </w:p>
    <w:p w:rsidR="00D31DFB" w:rsidRPr="00D31DFB" w:rsidRDefault="00D31DFB" w:rsidP="00A84AA6">
      <w:pPr>
        <w:widowControl w:val="0"/>
        <w:autoSpaceDE w:val="0"/>
        <w:autoSpaceDN w:val="0"/>
        <w:adjustRightInd w:val="0"/>
        <w:snapToGrid w:val="0"/>
        <w:jc w:val="both"/>
      </w:pPr>
    </w:p>
    <w:p w:rsidR="00A84AA6" w:rsidRPr="00D31DFB" w:rsidRDefault="00A84AA6" w:rsidP="00A84AA6">
      <w:pPr>
        <w:widowControl w:val="0"/>
        <w:autoSpaceDE w:val="0"/>
        <w:autoSpaceDN w:val="0"/>
        <w:adjustRightInd w:val="0"/>
        <w:snapToGrid w:val="0"/>
        <w:ind w:firstLine="720"/>
        <w:jc w:val="both"/>
      </w:pPr>
      <w:r w:rsidRPr="00D31DFB">
        <w:t xml:space="preserve">The results in table 3 imply that as the p-value prob&gt;chi2 of 0.0000 is less than 0.05 (5% significant). It rejects the null hypothesis and confirms that random-effect would be inconsistent, and the fixed effect is most suitable for this model.  </w:t>
      </w:r>
      <w:proofErr w:type="spellStart"/>
      <w:r w:rsidRPr="00D31DFB">
        <w:t>Borenstein</w:t>
      </w:r>
      <w:proofErr w:type="spellEnd"/>
      <w:r w:rsidRPr="00D31DFB">
        <w:t xml:space="preserve">, </w:t>
      </w:r>
      <w:proofErr w:type="spellStart"/>
      <w:r w:rsidRPr="00D31DFB">
        <w:t>Hedges</w:t>
      </w:r>
      <w:proofErr w:type="spellEnd"/>
      <w:r w:rsidRPr="00D31DFB">
        <w:t xml:space="preserve">, </w:t>
      </w:r>
      <w:proofErr w:type="spellStart"/>
      <w:r w:rsidRPr="00D31DFB">
        <w:t>Higgins</w:t>
      </w:r>
      <w:proofErr w:type="spellEnd"/>
      <w:r w:rsidRPr="00D31DFB">
        <w:t xml:space="preserve"> &amp; Rothstein (2010) stated that one proper effect size underlies all the studies in the analysis using the fixed-effect model. All observed effects are due to sampling error. Table 4 shows the fixed effect regression in this research. </w:t>
      </w:r>
    </w:p>
    <w:p w:rsidR="00ED330C" w:rsidRPr="00D31DFB" w:rsidRDefault="00ED330C" w:rsidP="00ED330C">
      <w:pPr>
        <w:widowControl w:val="0"/>
        <w:autoSpaceDE w:val="0"/>
        <w:autoSpaceDN w:val="0"/>
        <w:adjustRightInd w:val="0"/>
        <w:snapToGrid w:val="0"/>
        <w:ind w:firstLine="720"/>
        <w:jc w:val="both"/>
        <w:rPr>
          <w:shd w:val="clear" w:color="auto" w:fill="FFFFFF"/>
        </w:rPr>
      </w:pPr>
      <w:proofErr w:type="spellStart"/>
      <w:r w:rsidRPr="00D31DFB">
        <w:rPr>
          <w:shd w:val="clear" w:color="auto" w:fill="FFFFFF"/>
        </w:rPr>
        <w:t>From</w:t>
      </w:r>
      <w:proofErr w:type="spellEnd"/>
      <w:r w:rsidRPr="00D31DFB">
        <w:rPr>
          <w:shd w:val="clear" w:color="auto" w:fill="FFFFFF"/>
        </w:rPr>
        <w:t xml:space="preserve"> </w:t>
      </w:r>
      <w:proofErr w:type="spellStart"/>
      <w:r w:rsidRPr="00D31DFB">
        <w:rPr>
          <w:shd w:val="clear" w:color="auto" w:fill="FFFFFF"/>
        </w:rPr>
        <w:t>the</w:t>
      </w:r>
      <w:proofErr w:type="spellEnd"/>
      <w:r w:rsidRPr="00D31DFB">
        <w:rPr>
          <w:shd w:val="clear" w:color="auto" w:fill="FFFFFF"/>
        </w:rPr>
        <w:t xml:space="preserve"> </w:t>
      </w:r>
      <w:proofErr w:type="spellStart"/>
      <w:r w:rsidRPr="00D31DFB">
        <w:rPr>
          <w:shd w:val="clear" w:color="auto" w:fill="FFFFFF"/>
        </w:rPr>
        <w:t>fixed</w:t>
      </w:r>
      <w:proofErr w:type="spellEnd"/>
      <w:r w:rsidRPr="00D31DFB">
        <w:rPr>
          <w:shd w:val="clear" w:color="auto" w:fill="FFFFFF"/>
        </w:rPr>
        <w:t xml:space="preserve"> </w:t>
      </w:r>
      <w:proofErr w:type="spellStart"/>
      <w:r w:rsidRPr="00D31DFB">
        <w:rPr>
          <w:shd w:val="clear" w:color="auto" w:fill="FFFFFF"/>
        </w:rPr>
        <w:t>test</w:t>
      </w:r>
      <w:proofErr w:type="spellEnd"/>
      <w:r w:rsidRPr="00D31DFB">
        <w:rPr>
          <w:shd w:val="clear" w:color="auto" w:fill="FFFFFF"/>
        </w:rPr>
        <w:t xml:space="preserve"> </w:t>
      </w:r>
      <w:proofErr w:type="spellStart"/>
      <w:r w:rsidRPr="00D31DFB">
        <w:rPr>
          <w:shd w:val="clear" w:color="auto" w:fill="FFFFFF"/>
        </w:rPr>
        <w:t>regression</w:t>
      </w:r>
      <w:proofErr w:type="spellEnd"/>
      <w:r w:rsidRPr="00D31DFB">
        <w:rPr>
          <w:shd w:val="clear" w:color="auto" w:fill="FFFFFF"/>
        </w:rPr>
        <w:t xml:space="preserve"> </w:t>
      </w:r>
      <w:proofErr w:type="spellStart"/>
      <w:r w:rsidRPr="00D31DFB">
        <w:rPr>
          <w:shd w:val="clear" w:color="auto" w:fill="FFFFFF"/>
        </w:rPr>
        <w:t>results</w:t>
      </w:r>
      <w:proofErr w:type="spellEnd"/>
      <w:r w:rsidRPr="00D31DFB">
        <w:rPr>
          <w:shd w:val="clear" w:color="auto" w:fill="FFFFFF"/>
        </w:rPr>
        <w:t xml:space="preserve">, </w:t>
      </w:r>
      <w:proofErr w:type="spellStart"/>
      <w:r w:rsidRPr="00D31DFB">
        <w:rPr>
          <w:shd w:val="clear" w:color="auto" w:fill="FFFFFF"/>
        </w:rPr>
        <w:t>both</w:t>
      </w:r>
      <w:proofErr w:type="spellEnd"/>
      <w:r w:rsidRPr="00D31DFB">
        <w:rPr>
          <w:shd w:val="clear" w:color="auto" w:fill="FFFFFF"/>
        </w:rPr>
        <w:t xml:space="preserve"> </w:t>
      </w:r>
      <w:proofErr w:type="spellStart"/>
      <w:r w:rsidRPr="00D31DFB">
        <w:rPr>
          <w:shd w:val="clear" w:color="auto" w:fill="FFFFFF"/>
        </w:rPr>
        <w:t>general</w:t>
      </w:r>
      <w:proofErr w:type="spellEnd"/>
      <w:r w:rsidRPr="00D31DFB">
        <w:rPr>
          <w:shd w:val="clear" w:color="auto" w:fill="FFFFFF"/>
        </w:rPr>
        <w:t xml:space="preserve"> </w:t>
      </w:r>
      <w:proofErr w:type="spellStart"/>
      <w:r w:rsidRPr="00D31DFB">
        <w:rPr>
          <w:shd w:val="clear" w:color="auto" w:fill="FFFFFF"/>
        </w:rPr>
        <w:t>allocation</w:t>
      </w:r>
      <w:proofErr w:type="spellEnd"/>
      <w:r w:rsidRPr="00D31DFB">
        <w:rPr>
          <w:shd w:val="clear" w:color="auto" w:fill="FFFFFF"/>
        </w:rPr>
        <w:t xml:space="preserve"> </w:t>
      </w:r>
      <w:proofErr w:type="spellStart"/>
      <w:r w:rsidRPr="00D31DFB">
        <w:rPr>
          <w:shd w:val="clear" w:color="auto" w:fill="FFFFFF"/>
        </w:rPr>
        <w:t>funds</w:t>
      </w:r>
      <w:proofErr w:type="spellEnd"/>
      <w:r w:rsidRPr="00D31DFB">
        <w:rPr>
          <w:shd w:val="clear" w:color="auto" w:fill="FFFFFF"/>
        </w:rPr>
        <w:t xml:space="preserve"> </w:t>
      </w:r>
      <w:proofErr w:type="spellStart"/>
      <w:r w:rsidRPr="00D31DFB">
        <w:rPr>
          <w:shd w:val="clear" w:color="auto" w:fill="FFFFFF"/>
        </w:rPr>
        <w:t>and</w:t>
      </w:r>
      <w:proofErr w:type="spellEnd"/>
      <w:r w:rsidRPr="00D31DFB">
        <w:rPr>
          <w:shd w:val="clear" w:color="auto" w:fill="FFFFFF"/>
        </w:rPr>
        <w:t xml:space="preserve"> </w:t>
      </w:r>
      <w:proofErr w:type="spellStart"/>
      <w:r w:rsidRPr="00D31DFB">
        <w:rPr>
          <w:shd w:val="clear" w:color="auto" w:fill="FFFFFF"/>
        </w:rPr>
        <w:t>special</w:t>
      </w:r>
      <w:proofErr w:type="spellEnd"/>
      <w:r w:rsidRPr="00D31DFB">
        <w:rPr>
          <w:shd w:val="clear" w:color="auto" w:fill="FFFFFF"/>
        </w:rPr>
        <w:t xml:space="preserve"> </w:t>
      </w:r>
      <w:proofErr w:type="spellStart"/>
      <w:r w:rsidRPr="00D31DFB">
        <w:rPr>
          <w:shd w:val="clear" w:color="auto" w:fill="FFFFFF"/>
        </w:rPr>
        <w:t>allocation</w:t>
      </w:r>
      <w:proofErr w:type="spellEnd"/>
      <w:r w:rsidRPr="00D31DFB">
        <w:rPr>
          <w:shd w:val="clear" w:color="auto" w:fill="FFFFFF"/>
        </w:rPr>
        <w:t xml:space="preserve"> </w:t>
      </w:r>
      <w:proofErr w:type="spellStart"/>
      <w:r w:rsidRPr="00D31DFB">
        <w:rPr>
          <w:shd w:val="clear" w:color="auto" w:fill="FFFFFF"/>
        </w:rPr>
        <w:t>funds</w:t>
      </w:r>
      <w:proofErr w:type="spellEnd"/>
      <w:r w:rsidRPr="00D31DFB">
        <w:rPr>
          <w:shd w:val="clear" w:color="auto" w:fill="FFFFFF"/>
        </w:rPr>
        <w:t xml:space="preserve"> are </w:t>
      </w:r>
      <w:proofErr w:type="spellStart"/>
      <w:r w:rsidRPr="00D31DFB">
        <w:rPr>
          <w:shd w:val="clear" w:color="auto" w:fill="FFFFFF"/>
        </w:rPr>
        <w:t>positively</w:t>
      </w:r>
      <w:proofErr w:type="spellEnd"/>
      <w:r w:rsidRPr="00D31DFB">
        <w:rPr>
          <w:shd w:val="clear" w:color="auto" w:fill="FFFFFF"/>
        </w:rPr>
        <w:t xml:space="preserve"> </w:t>
      </w:r>
      <w:proofErr w:type="spellStart"/>
      <w:r w:rsidRPr="00D31DFB">
        <w:rPr>
          <w:shd w:val="clear" w:color="auto" w:fill="FFFFFF"/>
        </w:rPr>
        <w:t>significant</w:t>
      </w:r>
      <w:proofErr w:type="spellEnd"/>
      <w:r w:rsidRPr="00D31DFB">
        <w:rPr>
          <w:shd w:val="clear" w:color="auto" w:fill="FFFFFF"/>
        </w:rPr>
        <w:t xml:space="preserve"> </w:t>
      </w:r>
      <w:proofErr w:type="spellStart"/>
      <w:r w:rsidRPr="00D31DFB">
        <w:rPr>
          <w:shd w:val="clear" w:color="auto" w:fill="FFFFFF"/>
        </w:rPr>
        <w:t>on</w:t>
      </w:r>
      <w:proofErr w:type="spellEnd"/>
      <w:r w:rsidRPr="00D31DFB">
        <w:rPr>
          <w:shd w:val="clear" w:color="auto" w:fill="FFFFFF"/>
        </w:rPr>
        <w:t xml:space="preserve"> </w:t>
      </w:r>
      <w:proofErr w:type="spellStart"/>
      <w:r w:rsidRPr="00D31DFB">
        <w:t>local</w:t>
      </w:r>
      <w:proofErr w:type="spellEnd"/>
      <w:r w:rsidRPr="00D31DFB">
        <w:t xml:space="preserve"> </w:t>
      </w:r>
      <w:proofErr w:type="spellStart"/>
      <w:r w:rsidRPr="00D31DFB">
        <w:t>government</w:t>
      </w:r>
      <w:proofErr w:type="spellEnd"/>
      <w:r w:rsidRPr="00D31DFB">
        <w:t xml:space="preserve"> </w:t>
      </w:r>
      <w:proofErr w:type="spellStart"/>
      <w:r w:rsidRPr="00D31DFB">
        <w:t>expenditure</w:t>
      </w:r>
      <w:proofErr w:type="spellEnd"/>
      <w:r w:rsidRPr="00D31DFB">
        <w:t xml:space="preserve"> </w:t>
      </w:r>
      <w:proofErr w:type="spellStart"/>
      <w:r w:rsidRPr="00D31DFB">
        <w:rPr>
          <w:shd w:val="clear" w:color="auto" w:fill="FFFFFF"/>
        </w:rPr>
        <w:t>with</w:t>
      </w:r>
      <w:proofErr w:type="spellEnd"/>
      <w:r w:rsidRPr="00D31DFB">
        <w:rPr>
          <w:shd w:val="clear" w:color="auto" w:fill="FFFFFF"/>
        </w:rPr>
        <w:t xml:space="preserve"> p-</w:t>
      </w:r>
      <w:proofErr w:type="spellStart"/>
      <w:r w:rsidRPr="00D31DFB">
        <w:rPr>
          <w:shd w:val="clear" w:color="auto" w:fill="FFFFFF"/>
        </w:rPr>
        <w:t>value</w:t>
      </w:r>
      <w:proofErr w:type="spellEnd"/>
      <w:r w:rsidRPr="00D31DFB">
        <w:rPr>
          <w:shd w:val="clear" w:color="auto" w:fill="FFFFFF"/>
        </w:rPr>
        <w:t xml:space="preserve"> (0.000) </w:t>
      </w:r>
      <w:proofErr w:type="spellStart"/>
      <w:r w:rsidRPr="00D31DFB">
        <w:rPr>
          <w:shd w:val="clear" w:color="auto" w:fill="FFFFFF"/>
        </w:rPr>
        <w:t>less</w:t>
      </w:r>
      <w:proofErr w:type="spellEnd"/>
      <w:r w:rsidRPr="00D31DFB">
        <w:rPr>
          <w:shd w:val="clear" w:color="auto" w:fill="FFFFFF"/>
        </w:rPr>
        <w:t xml:space="preserve"> </w:t>
      </w:r>
      <w:proofErr w:type="spellStart"/>
      <w:r w:rsidRPr="00D31DFB">
        <w:rPr>
          <w:shd w:val="clear" w:color="auto" w:fill="FFFFFF"/>
        </w:rPr>
        <w:t>than</w:t>
      </w:r>
      <w:proofErr w:type="spellEnd"/>
      <w:r w:rsidRPr="00D31DFB">
        <w:rPr>
          <w:shd w:val="clear" w:color="auto" w:fill="FFFFFF"/>
        </w:rPr>
        <w:t xml:space="preserve"> (0.05). </w:t>
      </w:r>
      <w:proofErr w:type="spellStart"/>
      <w:r w:rsidRPr="00D31DFB">
        <w:rPr>
          <w:shd w:val="clear" w:color="auto" w:fill="FFFFFF"/>
        </w:rPr>
        <w:t>Likewise</w:t>
      </w:r>
      <w:proofErr w:type="spellEnd"/>
      <w:r w:rsidRPr="00D31DFB">
        <w:rPr>
          <w:shd w:val="clear" w:color="auto" w:fill="FFFFFF"/>
        </w:rPr>
        <w:t xml:space="preserve">, </w:t>
      </w:r>
      <w:proofErr w:type="spellStart"/>
      <w:r w:rsidRPr="00D31DFB">
        <w:rPr>
          <w:shd w:val="clear" w:color="auto" w:fill="FFFFFF"/>
        </w:rPr>
        <w:t>both</w:t>
      </w:r>
      <w:proofErr w:type="spellEnd"/>
      <w:r w:rsidRPr="00D31DFB">
        <w:rPr>
          <w:shd w:val="clear" w:color="auto" w:fill="FFFFFF"/>
        </w:rPr>
        <w:t xml:space="preserve"> DAU </w:t>
      </w:r>
      <w:proofErr w:type="spellStart"/>
      <w:r w:rsidRPr="00D31DFB">
        <w:rPr>
          <w:shd w:val="clear" w:color="auto" w:fill="FFFFFF"/>
        </w:rPr>
        <w:t>and</w:t>
      </w:r>
      <w:proofErr w:type="spellEnd"/>
      <w:r w:rsidRPr="00D31DFB">
        <w:rPr>
          <w:shd w:val="clear" w:color="auto" w:fill="FFFFFF"/>
        </w:rPr>
        <w:t xml:space="preserve"> </w:t>
      </w:r>
      <w:proofErr w:type="spellStart"/>
      <w:r w:rsidRPr="00D31DFB">
        <w:rPr>
          <w:shd w:val="clear" w:color="auto" w:fill="FFFFFF"/>
        </w:rPr>
        <w:t>DAK's</w:t>
      </w:r>
      <w:proofErr w:type="spellEnd"/>
      <w:r w:rsidRPr="00D31DFB">
        <w:rPr>
          <w:shd w:val="clear" w:color="auto" w:fill="FFFFFF"/>
        </w:rPr>
        <w:t xml:space="preserve"> </w:t>
      </w:r>
      <w:proofErr w:type="spellStart"/>
      <w:r w:rsidRPr="00D31DFB">
        <w:rPr>
          <w:shd w:val="clear" w:color="auto" w:fill="FFFFFF"/>
        </w:rPr>
        <w:t>coefficients</w:t>
      </w:r>
      <w:proofErr w:type="spellEnd"/>
      <w:r w:rsidRPr="00D31DFB">
        <w:rPr>
          <w:shd w:val="clear" w:color="auto" w:fill="FFFFFF"/>
        </w:rPr>
        <w:t xml:space="preserve"> are 2.19 </w:t>
      </w:r>
      <w:proofErr w:type="spellStart"/>
      <w:r w:rsidRPr="00D31DFB">
        <w:rPr>
          <w:shd w:val="clear" w:color="auto" w:fill="FFFFFF"/>
        </w:rPr>
        <w:t>and</w:t>
      </w:r>
      <w:proofErr w:type="spellEnd"/>
      <w:r w:rsidRPr="00D31DFB">
        <w:rPr>
          <w:shd w:val="clear" w:color="auto" w:fill="FFFFFF"/>
        </w:rPr>
        <w:t xml:space="preserve"> 1.34, </w:t>
      </w:r>
      <w:proofErr w:type="spellStart"/>
      <w:r w:rsidRPr="00D31DFB">
        <w:rPr>
          <w:shd w:val="clear" w:color="auto" w:fill="FFFFFF"/>
        </w:rPr>
        <w:t>respectively</w:t>
      </w:r>
      <w:proofErr w:type="spellEnd"/>
      <w:r w:rsidRPr="00D31DFB">
        <w:rPr>
          <w:shd w:val="clear" w:color="auto" w:fill="FFFFFF"/>
        </w:rPr>
        <w:t xml:space="preserve">, </w:t>
      </w:r>
      <w:proofErr w:type="spellStart"/>
      <w:r w:rsidRPr="00D31DFB">
        <w:rPr>
          <w:shd w:val="clear" w:color="auto" w:fill="FFFFFF"/>
        </w:rPr>
        <w:t>which</w:t>
      </w:r>
      <w:proofErr w:type="spellEnd"/>
      <w:r w:rsidRPr="00D31DFB">
        <w:rPr>
          <w:shd w:val="clear" w:color="auto" w:fill="FFFFFF"/>
        </w:rPr>
        <w:t xml:space="preserve"> </w:t>
      </w:r>
      <w:proofErr w:type="spellStart"/>
      <w:r w:rsidRPr="00D31DFB">
        <w:rPr>
          <w:shd w:val="clear" w:color="auto" w:fill="FFFFFF"/>
        </w:rPr>
        <w:t>means</w:t>
      </w:r>
      <w:proofErr w:type="spellEnd"/>
      <w:r w:rsidRPr="00D31DFB">
        <w:rPr>
          <w:shd w:val="clear" w:color="auto" w:fill="FFFFFF"/>
        </w:rPr>
        <w:t xml:space="preserve"> </w:t>
      </w:r>
      <w:proofErr w:type="spellStart"/>
      <w:r w:rsidRPr="00D31DFB">
        <w:rPr>
          <w:shd w:val="clear" w:color="auto" w:fill="FFFFFF"/>
        </w:rPr>
        <w:t>that</w:t>
      </w:r>
      <w:proofErr w:type="spellEnd"/>
      <w:r w:rsidRPr="00D31DFB">
        <w:rPr>
          <w:shd w:val="clear" w:color="auto" w:fill="FFFFFF"/>
        </w:rPr>
        <w:t xml:space="preserve"> 1 unit </w:t>
      </w:r>
      <w:proofErr w:type="spellStart"/>
      <w:r w:rsidRPr="00D31DFB">
        <w:rPr>
          <w:shd w:val="clear" w:color="auto" w:fill="FFFFFF"/>
        </w:rPr>
        <w:t>increase</w:t>
      </w:r>
      <w:proofErr w:type="spellEnd"/>
      <w:r w:rsidRPr="00D31DFB">
        <w:rPr>
          <w:shd w:val="clear" w:color="auto" w:fill="FFFFFF"/>
        </w:rPr>
        <w:t xml:space="preserve"> </w:t>
      </w:r>
      <w:proofErr w:type="spellStart"/>
      <w:r w:rsidRPr="00D31DFB">
        <w:rPr>
          <w:shd w:val="clear" w:color="auto" w:fill="FFFFFF"/>
        </w:rPr>
        <w:t>of</w:t>
      </w:r>
      <w:proofErr w:type="spellEnd"/>
      <w:r w:rsidRPr="00D31DFB">
        <w:rPr>
          <w:shd w:val="clear" w:color="auto" w:fill="FFFFFF"/>
        </w:rPr>
        <w:t xml:space="preserve"> DAU </w:t>
      </w:r>
      <w:proofErr w:type="spellStart"/>
      <w:r w:rsidRPr="00D31DFB">
        <w:rPr>
          <w:shd w:val="clear" w:color="auto" w:fill="FFFFFF"/>
        </w:rPr>
        <w:t>and</w:t>
      </w:r>
      <w:proofErr w:type="spellEnd"/>
      <w:r w:rsidRPr="00D31DFB">
        <w:rPr>
          <w:shd w:val="clear" w:color="auto" w:fill="FFFFFF"/>
        </w:rPr>
        <w:t xml:space="preserve"> DAK </w:t>
      </w:r>
      <w:proofErr w:type="spellStart"/>
      <w:r w:rsidRPr="00D31DFB">
        <w:rPr>
          <w:shd w:val="clear" w:color="auto" w:fill="FFFFFF"/>
        </w:rPr>
        <w:t>will</w:t>
      </w:r>
      <w:proofErr w:type="spellEnd"/>
      <w:r w:rsidRPr="00D31DFB">
        <w:rPr>
          <w:shd w:val="clear" w:color="auto" w:fill="FFFFFF"/>
        </w:rPr>
        <w:t xml:space="preserve"> </w:t>
      </w:r>
      <w:proofErr w:type="spellStart"/>
      <w:r w:rsidRPr="00D31DFB">
        <w:rPr>
          <w:shd w:val="clear" w:color="auto" w:fill="FFFFFF"/>
        </w:rPr>
        <w:t>increase</w:t>
      </w:r>
      <w:proofErr w:type="spellEnd"/>
      <w:r w:rsidRPr="00D31DFB">
        <w:rPr>
          <w:shd w:val="clear" w:color="auto" w:fill="FFFFFF"/>
        </w:rPr>
        <w:t xml:space="preserve"> </w:t>
      </w:r>
      <w:proofErr w:type="spellStart"/>
      <w:r w:rsidRPr="00D31DFB">
        <w:rPr>
          <w:shd w:val="clear" w:color="auto" w:fill="FFFFFF"/>
        </w:rPr>
        <w:t>government</w:t>
      </w:r>
      <w:proofErr w:type="spellEnd"/>
      <w:r w:rsidRPr="00D31DFB">
        <w:rPr>
          <w:shd w:val="clear" w:color="auto" w:fill="FFFFFF"/>
        </w:rPr>
        <w:t xml:space="preserve"> </w:t>
      </w:r>
      <w:proofErr w:type="spellStart"/>
      <w:r w:rsidRPr="00D31DFB">
        <w:rPr>
          <w:shd w:val="clear" w:color="auto" w:fill="FFFFFF"/>
        </w:rPr>
        <w:t>spending</w:t>
      </w:r>
      <w:proofErr w:type="spellEnd"/>
      <w:r w:rsidRPr="00D31DFB">
        <w:rPr>
          <w:shd w:val="clear" w:color="auto" w:fill="FFFFFF"/>
        </w:rPr>
        <w:t xml:space="preserve"> </w:t>
      </w:r>
      <w:proofErr w:type="spellStart"/>
      <w:r w:rsidRPr="00D31DFB">
        <w:rPr>
          <w:shd w:val="clear" w:color="auto" w:fill="FFFFFF"/>
        </w:rPr>
        <w:t>about</w:t>
      </w:r>
      <w:proofErr w:type="spellEnd"/>
      <w:r w:rsidRPr="00D31DFB">
        <w:rPr>
          <w:shd w:val="clear" w:color="auto" w:fill="FFFFFF"/>
        </w:rPr>
        <w:t xml:space="preserve"> 2.19 </w:t>
      </w:r>
      <w:proofErr w:type="spellStart"/>
      <w:r w:rsidRPr="00D31DFB">
        <w:rPr>
          <w:shd w:val="clear" w:color="auto" w:fill="FFFFFF"/>
        </w:rPr>
        <w:t>and</w:t>
      </w:r>
      <w:proofErr w:type="spellEnd"/>
      <w:r w:rsidRPr="00D31DFB">
        <w:rPr>
          <w:shd w:val="clear" w:color="auto" w:fill="FFFFFF"/>
        </w:rPr>
        <w:t xml:space="preserve"> 1.34 </w:t>
      </w:r>
      <w:proofErr w:type="spellStart"/>
      <w:r w:rsidRPr="00D31DFB">
        <w:rPr>
          <w:shd w:val="clear" w:color="auto" w:fill="FFFFFF"/>
        </w:rPr>
        <w:t>units</w:t>
      </w:r>
      <w:proofErr w:type="spellEnd"/>
      <w:r w:rsidRPr="00D31DFB">
        <w:rPr>
          <w:shd w:val="clear" w:color="auto" w:fill="FFFFFF"/>
        </w:rPr>
        <w:t xml:space="preserve">. </w:t>
      </w:r>
      <w:proofErr w:type="spellStart"/>
      <w:r w:rsidRPr="00D31DFB">
        <w:rPr>
          <w:shd w:val="clear" w:color="auto" w:fill="FFFFFF"/>
        </w:rPr>
        <w:t>This</w:t>
      </w:r>
      <w:proofErr w:type="spellEnd"/>
      <w:r w:rsidRPr="00D31DFB">
        <w:rPr>
          <w:shd w:val="clear" w:color="auto" w:fill="FFFFFF"/>
        </w:rPr>
        <w:t xml:space="preserve"> study </w:t>
      </w:r>
      <w:proofErr w:type="spellStart"/>
      <w:r w:rsidRPr="00D31DFB">
        <w:rPr>
          <w:shd w:val="clear" w:color="auto" w:fill="FFFFFF"/>
        </w:rPr>
        <w:t>is</w:t>
      </w:r>
      <w:proofErr w:type="spellEnd"/>
      <w:r w:rsidRPr="00D31DFB">
        <w:rPr>
          <w:shd w:val="clear" w:color="auto" w:fill="FFFFFF"/>
        </w:rPr>
        <w:t xml:space="preserve"> in </w:t>
      </w:r>
      <w:proofErr w:type="spellStart"/>
      <w:r w:rsidRPr="00D31DFB">
        <w:rPr>
          <w:shd w:val="clear" w:color="auto" w:fill="FFFFFF"/>
        </w:rPr>
        <w:t>line</w:t>
      </w:r>
      <w:proofErr w:type="spellEnd"/>
      <w:r w:rsidRPr="00D31DFB">
        <w:rPr>
          <w:shd w:val="clear" w:color="auto" w:fill="FFFFFF"/>
        </w:rPr>
        <w:t xml:space="preserve"> </w:t>
      </w:r>
      <w:proofErr w:type="spellStart"/>
      <w:r w:rsidRPr="00D31DFB">
        <w:rPr>
          <w:shd w:val="clear" w:color="auto" w:fill="FFFFFF"/>
        </w:rPr>
        <w:t>with</w:t>
      </w:r>
      <w:proofErr w:type="spellEnd"/>
      <w:r w:rsidRPr="00D31DFB">
        <w:rPr>
          <w:shd w:val="clear" w:color="auto" w:fill="FFFFFF"/>
        </w:rPr>
        <w:t xml:space="preserve"> </w:t>
      </w:r>
      <w:proofErr w:type="spellStart"/>
      <w:r w:rsidRPr="00D31DFB">
        <w:rPr>
          <w:shd w:val="clear" w:color="auto" w:fill="FFFFFF"/>
        </w:rPr>
        <w:t>previous</w:t>
      </w:r>
      <w:proofErr w:type="spellEnd"/>
      <w:r w:rsidRPr="00D31DFB">
        <w:rPr>
          <w:shd w:val="clear" w:color="auto" w:fill="FFFFFF"/>
        </w:rPr>
        <w:t xml:space="preserve"> </w:t>
      </w:r>
      <w:proofErr w:type="spellStart"/>
      <w:r w:rsidRPr="00D31DFB">
        <w:rPr>
          <w:shd w:val="clear" w:color="auto" w:fill="FFFFFF"/>
        </w:rPr>
        <w:t>research</w:t>
      </w:r>
      <w:proofErr w:type="spellEnd"/>
      <w:r w:rsidRPr="00D31DFB">
        <w:rPr>
          <w:shd w:val="clear" w:color="auto" w:fill="FFFFFF"/>
        </w:rPr>
        <w:t xml:space="preserve">  </w:t>
      </w:r>
      <w:r w:rsidRPr="00D31DFB">
        <w:rPr>
          <w:shd w:val="clear" w:color="auto" w:fill="FFFFFF"/>
        </w:rPr>
        <w:fldChar w:fldCharType="begin" w:fldLock="1"/>
      </w:r>
      <w:r w:rsidRPr="00D31DFB">
        <w:rPr>
          <w:shd w:val="clear" w:color="auto" w:fill="FFFFFF"/>
        </w:rPr>
        <w:instrText>ADDIN CSL_CITATION {"citationItems":[{"id":"ITEM-1","itemData":{"DOI":"10.20961/jab.v16i1.187","ISSN":"1412-0852","abstract":"Penelitian ini bertujuan untuk mengetahui pengaruh PAD, DAU, dan SiLPA terhadap belanja pemerintah daerah serta untuk mengetahui terjadi atau tidak terjadi flypa- per effect dalam pengelolaan keuangan pemerintah daerah di Indonesia selama periode tahun 2012 sampai 2014. Penelitian ini juga akan membuktikan apakah pemerintah daerah bergantung pada transfer pemerintah pusat untuk membiayai seluruh pengeluarannya. Objek penelitian ini mencakup seluruh pemerintah daerah yang ada di Indonesia yang mempublikasikan laporan realisasi APBD tahunan (annual) di situs Direktorat Jenderal Perimbangan Keuangan Pemerintah Daerah tahun 2012 hingga 2013 dan Laporan Keuangan Pemerintah Daerah (LKPD) kabupat- en atau kota di Indonesia tahun 2014 yang telah diaudit Badan Pemeriksa Keuangan (BPK). Hasil penelitian menunjukkan bahwa PAD berpengaruh signifikan dan mempunyai hubungan yang positif terhadap belanja daerah, DAU berpengaruh sig- nifikan dan mempunyai hubungan yang positif terhadap belanja daerah, serta SiLPA juga berpengaruh signifikan dan mempunyai hubungan yang positif terhadap bel- anja daerah. Nilai koefisien DAU lebih besar dari PAD dan keduanya signifikan. Hal ini menunjukkan terjadinya flypaper effect pada pengelolaan keuangan pemerintah daerah di Indonesia selama periode tahun 2012 sampai 2014. Kata","author":[{"dropping-particle":"","family":"Solikin","given":"Ahmad","non-dropping-particle":"","parse-names":false,"suffix":""}],"container-title":"Jurnal Akuntansi dan Bisnis","id":"ITEM-1","issue":"1","issued":{"date-parts":[["2016"]]},"page":"11","title":"Analisis Flypaper Effect Pada Pengujian Pengaruh Dana Alokasi Umum (DAU), Pendapatan Asli Daerah (PAD), Dan Sisa Lebih Penghitungan Anggaran (SiLPA) Terhadap Belanja Pemerintah Daerah Di Indonesia (Studi Tahun 2012-2014)","type":"article-journal","volume":"16"},"uris":["http://www.mendeley.com/documents/?uuid=e9526fa9-48e0-48e1-bec2-a9dd7416372f"]},{"id":"ITEM-2","itemData":{"DOI":"10.22219/jrak.v5i2.5152","ISSN":"2088-0685","abstract":"This research was quantitative research that aims to determine the effect of financial such asthe ratio of decentralization degree, the dependency ratio, the independent ratio, effectivenessratio, the ratio of the contribution degree of Regional Owned Enterpise (BUMD) , efficiency ratio,and the ratio of expenditure harmony as well as capital expenditure to economic growth. Thepopulation of the study was the regencies/cities in Central Java. The sample of study wereselected using census method and obtained 175 observation sample. The analysis techniqueapplied in this reseach was multiple linear regretion analysis. This analysis proved that theratio of variable degree of decentralization positively and significantly affected on economicgrowth with significant score of 0,009 &lt; 0,05. Dependency ratio variable significantly and negatively affected on economic growth with significant score of 0,004 &lt; 0,05. Independent ratiovariable significantly and negatively affected on economic growth with significant score of 0,000&lt; 0,05. Effectiveness ratio variable did not affect the economic growth with significant score of0,240 &gt; 0,05. The degree of regional owned enterpise contribution variable did not affect theeconomic growth with significant score of 0,454 &gt; 0,05. Efficiency ratio variable did not affect theeconomic growth with significant score of 0,419 &gt; 0,05. Ratio variable of compatible expendituredid not affect the economic growth with significant score of 0,341 &gt; 0,05. However, the capitalexpenditure variable did not affect the economic growth with significant score of 0,098 &gt; 0,05.Keyword: financial performance, capital expenditure, and economic growth","author":[{"dropping-particle":"","family":"Pradiatmi","given":"Istia Nur","non-dropping-particle":"","parse-names":false,"suffix":""},{"dropping-particle":"","family":"Wibowo","given":"Hardiyanto","non-dropping-particle":"","parse-names":false,"suffix":""}],"container-title":"Jurnal Reviu Akuntansi dan Keuangan","id":"ITEM-2","issue":"2","issued":{"date-parts":[["2017"]]},"page":"759-768","title":"Pengaruh  Kinerja  Keuangan Dan  Belanja  Modal  Terhadap Pertumbuhan  Ekonomi  Pada Kabupaten/Kota  Di  Jawa  Tengah","type":"article-journal","volume":"5"},"uris":["http://www.mendeley.com/documents/?uuid=222b642b-1350-4f00-8df8-3fa227717716"]},{"id":"ITEM-3","itemData":{"author":[{"dropping-particle":"","family":"Iskandar","given":"Irham","non-dropping-particle":"","parse-names":false,"suffix":""}],"id":"ITEM-3","issue":"2005","issued":{"date-parts":[["2012"]]},"page":"113-131","title":"FLYPAPER EFFECT PADA UNCONDITIONAL GRANT","type":"article-journal","volume":"13"},"uris":["http://www.mendeley.com/documents/?uuid=fb2fdbeb-5761-4001-924a-1f8bd9f7da11"]},{"id":"ITEM-4","itemData":{"DOI":"10.15408/sjie.v6i1.3293","ISSN":"2087-2046","abstract":"The primary objective of decentralization is expected to narrow down the regional gap among regions in Indonesia, which is considered as the result of a centralized development. The objective of this research is to identify the flypaper effect of regional expenditures of regency and city governments in Indonesia from 2008 until 2013. Another aim of this study is to provide an empirical evidence that the influence of regional expenditures of regencies and cities in Indonesia from 2009 until 2013 over the regional gap in Eastern and Western provinces of Indonesia. As such, it is necessary to use multiple regression analysis to examine the data. The findings of this study explicate that own-source revenue and general allocation fund significantly affect regional expenditures and a regional gap in the Eastern and Western provinces of Indonesia. Thus, it can be concluded that the dependency level of the regions upon a number of funds transferred from central government is still relatively high. In other words, the flypaper effect occurs in those regions.DOI: 10.15408/sjie.v6i1.3293","author":[{"dropping-particle":"","family":"Amalia","given":"Fitri","non-dropping-particle":"","parse-names":false,"suffix":""}],"container-title":"Signifikan: Jurnal Ilmu Ekonomi","id":"ITEM-4","issue":"1","issued":{"date-parts":[["2017"]]},"page":"125-138","title":"Flypaper Effect of Regional Expenditure and It's Impact to Regional Inequality in Indonesia","type":"article-journal","volume":"6"},"uris":["http://www.mendeley.com/documents/?uuid=924b4f2b-1e8e-4b6c-801e-db8d395f3d73"]},{"id":"ITEM-5","itemData":{"author":[{"dropping-particle":"","family":"Prakosa","given":"Kesit Bambang","non-dropping-particle":"","parse-names":false,"suffix":""}],"id":"ITEM-5","issue":"2","issued":{"date-parts":[["2004"]]},"page":"101-118","title":"ANALISIS PENGARUH DANA ALOKASI UMUM ( DAU ) TERHADAP PREDIKSI BELANJA DAERAH ( Studi Empirik di Wilayah Propinsi Jawa Tengah dan DIY )","type":"article-journal","volume":"8"},"uris":["http://www.mendeley.com/documents/?uuid=53e83630-dad3-4ee9-9852-bfbde5973962"]},{"id":"ITEM-6","itemData":{"author":[{"dropping-particle":"","family":"Putri","given":"Rumanintya Lisaria","non-dropping-particle":"","parse-names":false,"suffix":""},{"dropping-particle":"","family":"Nirwanto","given":"Nazief","non-dropping-particle":"","parse-names":false,"suffix":""},{"dropping-particle":"","family":"Assih","given":"Prihat","non-dropping-particle":"","parse-names":false,"suffix":""},{"dropping-particle":"","family":"Darmawan","given":"Wayan","non-dropping-particle":"","parse-names":false,"suffix":""}],"id":"ITEM-6","issue":"2","issued":{"date-parts":[["2020"]]},"page":"33-45","title":"The Importance of Regional Original Income , Balance Fund and Demography on Flypaper Effect through the Regional Government Expenditure","type":"article-journal","volume":"7"},"uris":["http://www.mendeley.com/documents/?uuid=9e6b4e16-4b2f-4041-81a1-f584737284ea"]}],"mendeley":{"formattedCitation":"(Amalia, 2017; Iskandar, 2012; Pradiatmi &amp; Wibowo, 2017; Prakosa, 2004; R. L. Putri et al., 2020; Solikin, 2016)","plainTextFormattedCitation":"(Amalia, 2017; Iskandar, 2012; Pradiatmi &amp; Wibowo, 2017; Prakosa, 2004; R. L. Putri et al., 2020; Solikin, 2016)","previouslyFormattedCitation":"(Amalia, 2017; Iskandar, 2012; Pradiatmi &amp; Wibowo, 2017; Prakosa, 2004; R. L. Putri et al., 2020; Solikin, 2016)"},"properties":{"noteIndex":0},"schema":"https://github.com/citation-style-language/schema/raw/master/csl-citation.json"}</w:instrText>
      </w:r>
      <w:r w:rsidRPr="00D31DFB">
        <w:rPr>
          <w:shd w:val="clear" w:color="auto" w:fill="FFFFFF"/>
        </w:rPr>
        <w:fldChar w:fldCharType="separate"/>
      </w:r>
      <w:r w:rsidRPr="00D31DFB">
        <w:rPr>
          <w:noProof/>
          <w:shd w:val="clear" w:color="auto" w:fill="FFFFFF"/>
        </w:rPr>
        <w:t>(Prakosa, 2004; Iskandar, 2012; Solikin, 2016; Amalia, 2017; Pradiatmi &amp; Wibowo, 2017; Putri, Nirwanto, Assih, &amp; Darmawan, 2020)</w:t>
      </w:r>
      <w:r w:rsidRPr="00D31DFB">
        <w:rPr>
          <w:shd w:val="clear" w:color="auto" w:fill="FFFFFF"/>
        </w:rPr>
        <w:fldChar w:fldCharType="end"/>
      </w:r>
      <w:r w:rsidRPr="00D31DFB">
        <w:rPr>
          <w:shd w:val="clear" w:color="auto" w:fill="FFFFFF"/>
        </w:rPr>
        <w:t xml:space="preserve">. </w:t>
      </w:r>
      <w:proofErr w:type="spellStart"/>
      <w:r w:rsidRPr="00D31DFB">
        <w:rPr>
          <w:shd w:val="clear" w:color="auto" w:fill="FFFFFF"/>
        </w:rPr>
        <w:t>This</w:t>
      </w:r>
      <w:proofErr w:type="spellEnd"/>
      <w:r w:rsidRPr="00D31DFB">
        <w:rPr>
          <w:shd w:val="clear" w:color="auto" w:fill="FFFFFF"/>
        </w:rPr>
        <w:t xml:space="preserve"> </w:t>
      </w:r>
      <w:proofErr w:type="spellStart"/>
      <w:r w:rsidRPr="00D31DFB">
        <w:rPr>
          <w:shd w:val="clear" w:color="auto" w:fill="FFFFFF"/>
        </w:rPr>
        <w:t>show</w:t>
      </w:r>
      <w:proofErr w:type="spellEnd"/>
      <w:r w:rsidRPr="00D31DFB">
        <w:rPr>
          <w:shd w:val="clear" w:color="auto" w:fill="FFFFFF"/>
        </w:rPr>
        <w:t xml:space="preserve"> </w:t>
      </w:r>
      <w:proofErr w:type="spellStart"/>
      <w:r w:rsidRPr="00D31DFB">
        <w:rPr>
          <w:shd w:val="clear" w:color="auto" w:fill="FFFFFF"/>
        </w:rPr>
        <w:t>how</w:t>
      </w:r>
      <w:proofErr w:type="spellEnd"/>
      <w:r w:rsidRPr="00D31DFB">
        <w:rPr>
          <w:shd w:val="clear" w:color="auto" w:fill="FFFFFF"/>
        </w:rPr>
        <w:t xml:space="preserve"> </w:t>
      </w:r>
      <w:proofErr w:type="spellStart"/>
      <w:r w:rsidRPr="00D31DFB">
        <w:rPr>
          <w:shd w:val="clear" w:color="auto" w:fill="FFFFFF"/>
        </w:rPr>
        <w:t>dependent</w:t>
      </w:r>
      <w:proofErr w:type="spellEnd"/>
      <w:r w:rsidRPr="00D31DFB">
        <w:rPr>
          <w:shd w:val="clear" w:color="auto" w:fill="FFFFFF"/>
        </w:rPr>
        <w:t xml:space="preserve"> </w:t>
      </w:r>
      <w:proofErr w:type="spellStart"/>
      <w:r w:rsidRPr="00D31DFB">
        <w:rPr>
          <w:shd w:val="clear" w:color="auto" w:fill="FFFFFF"/>
        </w:rPr>
        <w:t>the</w:t>
      </w:r>
      <w:proofErr w:type="spellEnd"/>
      <w:r w:rsidRPr="00D31DFB">
        <w:rPr>
          <w:shd w:val="clear" w:color="auto" w:fill="FFFFFF"/>
        </w:rPr>
        <w:t xml:space="preserve"> regional </w:t>
      </w:r>
      <w:proofErr w:type="spellStart"/>
      <w:r w:rsidRPr="00D31DFB">
        <w:rPr>
          <w:shd w:val="clear" w:color="auto" w:fill="FFFFFF"/>
        </w:rPr>
        <w:t>government</w:t>
      </w:r>
      <w:proofErr w:type="spellEnd"/>
      <w:r w:rsidRPr="00D31DFB">
        <w:rPr>
          <w:shd w:val="clear" w:color="auto" w:fill="FFFFFF"/>
        </w:rPr>
        <w:t xml:space="preserve"> </w:t>
      </w:r>
      <w:proofErr w:type="spellStart"/>
      <w:r w:rsidRPr="00D31DFB">
        <w:rPr>
          <w:shd w:val="clear" w:color="auto" w:fill="FFFFFF"/>
        </w:rPr>
        <w:t>on</w:t>
      </w:r>
      <w:proofErr w:type="spellEnd"/>
      <w:r w:rsidRPr="00D31DFB">
        <w:rPr>
          <w:shd w:val="clear" w:color="auto" w:fill="FFFFFF"/>
        </w:rPr>
        <w:t xml:space="preserve"> </w:t>
      </w:r>
      <w:proofErr w:type="spellStart"/>
      <w:r w:rsidRPr="00D31DFB">
        <w:rPr>
          <w:shd w:val="clear" w:color="auto" w:fill="FFFFFF"/>
        </w:rPr>
        <w:t>balanced</w:t>
      </w:r>
      <w:proofErr w:type="spellEnd"/>
      <w:r w:rsidRPr="00D31DFB">
        <w:rPr>
          <w:shd w:val="clear" w:color="auto" w:fill="FFFFFF"/>
        </w:rPr>
        <w:t xml:space="preserve"> </w:t>
      </w:r>
      <w:proofErr w:type="spellStart"/>
      <w:r w:rsidRPr="00D31DFB">
        <w:rPr>
          <w:shd w:val="clear" w:color="auto" w:fill="FFFFFF"/>
        </w:rPr>
        <w:t>budget</w:t>
      </w:r>
      <w:proofErr w:type="spellEnd"/>
      <w:r w:rsidRPr="00D31DFB">
        <w:rPr>
          <w:shd w:val="clear" w:color="auto" w:fill="FFFFFF"/>
        </w:rPr>
        <w:t xml:space="preserve"> </w:t>
      </w:r>
      <w:proofErr w:type="spellStart"/>
      <w:r w:rsidRPr="00D31DFB">
        <w:rPr>
          <w:shd w:val="clear" w:color="auto" w:fill="FFFFFF"/>
        </w:rPr>
        <w:t>from</w:t>
      </w:r>
      <w:proofErr w:type="spellEnd"/>
      <w:r w:rsidRPr="00D31DFB">
        <w:rPr>
          <w:shd w:val="clear" w:color="auto" w:fill="FFFFFF"/>
        </w:rPr>
        <w:t xml:space="preserve"> </w:t>
      </w:r>
      <w:proofErr w:type="spellStart"/>
      <w:r w:rsidRPr="00D31DFB">
        <w:rPr>
          <w:shd w:val="clear" w:color="auto" w:fill="FFFFFF"/>
        </w:rPr>
        <w:t>the</w:t>
      </w:r>
      <w:proofErr w:type="spellEnd"/>
      <w:r w:rsidRPr="00D31DFB">
        <w:rPr>
          <w:shd w:val="clear" w:color="auto" w:fill="FFFFFF"/>
        </w:rPr>
        <w:t xml:space="preserve"> </w:t>
      </w:r>
      <w:proofErr w:type="spellStart"/>
      <w:r w:rsidRPr="00D31DFB">
        <w:rPr>
          <w:shd w:val="clear" w:color="auto" w:fill="FFFFFF"/>
        </w:rPr>
        <w:t>central</w:t>
      </w:r>
      <w:proofErr w:type="spellEnd"/>
      <w:r w:rsidRPr="00D31DFB">
        <w:rPr>
          <w:shd w:val="clear" w:color="auto" w:fill="FFFFFF"/>
        </w:rPr>
        <w:t xml:space="preserve"> </w:t>
      </w:r>
      <w:proofErr w:type="spellStart"/>
      <w:r w:rsidRPr="00D31DFB">
        <w:rPr>
          <w:shd w:val="clear" w:color="auto" w:fill="FFFFFF"/>
        </w:rPr>
        <w:t>government</w:t>
      </w:r>
      <w:proofErr w:type="spellEnd"/>
      <w:r w:rsidRPr="00D31DFB">
        <w:rPr>
          <w:shd w:val="clear" w:color="auto" w:fill="FFFFFF"/>
        </w:rPr>
        <w:t xml:space="preserve">. </w:t>
      </w:r>
    </w:p>
    <w:p w:rsidR="004F308E" w:rsidRPr="00D31DFB" w:rsidRDefault="004F308E" w:rsidP="004F308E">
      <w:pPr>
        <w:widowControl w:val="0"/>
        <w:autoSpaceDE w:val="0"/>
        <w:autoSpaceDN w:val="0"/>
        <w:adjustRightInd w:val="0"/>
        <w:snapToGrid w:val="0"/>
        <w:ind w:firstLine="720"/>
        <w:jc w:val="both"/>
        <w:rPr>
          <w:shd w:val="clear" w:color="auto" w:fill="FFFFFF"/>
        </w:rPr>
      </w:pPr>
      <w:r w:rsidRPr="00D31DFB">
        <w:rPr>
          <w:shd w:val="clear" w:color="auto" w:fill="FFFFFF"/>
        </w:rPr>
        <w:t xml:space="preserve">On </w:t>
      </w:r>
      <w:proofErr w:type="spellStart"/>
      <w:r w:rsidRPr="00D31DFB">
        <w:rPr>
          <w:shd w:val="clear" w:color="auto" w:fill="FFFFFF"/>
        </w:rPr>
        <w:t>the</w:t>
      </w:r>
      <w:proofErr w:type="spellEnd"/>
      <w:r w:rsidRPr="00D31DFB">
        <w:rPr>
          <w:shd w:val="clear" w:color="auto" w:fill="FFFFFF"/>
        </w:rPr>
        <w:t xml:space="preserve"> </w:t>
      </w:r>
      <w:proofErr w:type="spellStart"/>
      <w:r w:rsidRPr="00D31DFB">
        <w:rPr>
          <w:shd w:val="clear" w:color="auto" w:fill="FFFFFF"/>
        </w:rPr>
        <w:t>contrary</w:t>
      </w:r>
      <w:proofErr w:type="spellEnd"/>
      <w:r w:rsidRPr="00D31DFB">
        <w:rPr>
          <w:shd w:val="clear" w:color="auto" w:fill="FFFFFF"/>
        </w:rPr>
        <w:t xml:space="preserve">, </w:t>
      </w:r>
      <w:proofErr w:type="spellStart"/>
      <w:r w:rsidRPr="00D31DFB">
        <w:rPr>
          <w:shd w:val="clear" w:color="auto" w:fill="FFFFFF"/>
        </w:rPr>
        <w:t>sharing</w:t>
      </w:r>
      <w:proofErr w:type="spellEnd"/>
      <w:r w:rsidRPr="00D31DFB">
        <w:rPr>
          <w:shd w:val="clear" w:color="auto" w:fill="FFFFFF"/>
        </w:rPr>
        <w:t xml:space="preserve"> </w:t>
      </w:r>
      <w:proofErr w:type="spellStart"/>
      <w:r w:rsidRPr="00D31DFB">
        <w:rPr>
          <w:shd w:val="clear" w:color="auto" w:fill="FFFFFF"/>
        </w:rPr>
        <w:t>funds</w:t>
      </w:r>
      <w:proofErr w:type="spellEnd"/>
      <w:r w:rsidRPr="00D31DFB">
        <w:rPr>
          <w:shd w:val="clear" w:color="auto" w:fill="FFFFFF"/>
        </w:rPr>
        <w:t xml:space="preserve"> </w:t>
      </w:r>
      <w:proofErr w:type="spellStart"/>
      <w:r w:rsidRPr="00D31DFB">
        <w:rPr>
          <w:shd w:val="clear" w:color="auto" w:fill="FFFFFF"/>
        </w:rPr>
        <w:t>is</w:t>
      </w:r>
      <w:proofErr w:type="spellEnd"/>
      <w:r w:rsidRPr="00D31DFB">
        <w:rPr>
          <w:shd w:val="clear" w:color="auto" w:fill="FFFFFF"/>
        </w:rPr>
        <w:t xml:space="preserve"> </w:t>
      </w:r>
      <w:proofErr w:type="spellStart"/>
      <w:r w:rsidRPr="00D31DFB">
        <w:rPr>
          <w:shd w:val="clear" w:color="auto" w:fill="FFFFFF"/>
        </w:rPr>
        <w:t>positive</w:t>
      </w:r>
      <w:proofErr w:type="spellEnd"/>
      <w:r w:rsidRPr="00D31DFB">
        <w:rPr>
          <w:shd w:val="clear" w:color="auto" w:fill="FFFFFF"/>
        </w:rPr>
        <w:t xml:space="preserve"> </w:t>
      </w:r>
      <w:proofErr w:type="spellStart"/>
      <w:r w:rsidRPr="00D31DFB">
        <w:rPr>
          <w:shd w:val="clear" w:color="auto" w:fill="FFFFFF"/>
        </w:rPr>
        <w:t>but</w:t>
      </w:r>
      <w:proofErr w:type="spellEnd"/>
      <w:r w:rsidRPr="00D31DFB">
        <w:rPr>
          <w:shd w:val="clear" w:color="auto" w:fill="FFFFFF"/>
        </w:rPr>
        <w:t xml:space="preserve"> not </w:t>
      </w:r>
      <w:proofErr w:type="spellStart"/>
      <w:r w:rsidRPr="00D31DFB">
        <w:rPr>
          <w:shd w:val="clear" w:color="auto" w:fill="FFFFFF"/>
        </w:rPr>
        <w:t>significant</w:t>
      </w:r>
      <w:proofErr w:type="spellEnd"/>
      <w:r w:rsidRPr="00D31DFB">
        <w:rPr>
          <w:shd w:val="clear" w:color="auto" w:fill="FFFFFF"/>
        </w:rPr>
        <w:t xml:space="preserve"> in </w:t>
      </w:r>
      <w:proofErr w:type="spellStart"/>
      <w:r w:rsidRPr="00D31DFB">
        <w:rPr>
          <w:shd w:val="clear" w:color="auto" w:fill="FFFFFF"/>
        </w:rPr>
        <w:t>influencing</w:t>
      </w:r>
      <w:proofErr w:type="spellEnd"/>
      <w:r w:rsidRPr="00D31DFB">
        <w:rPr>
          <w:shd w:val="clear" w:color="auto" w:fill="FFFFFF"/>
        </w:rPr>
        <w:t xml:space="preserve"> </w:t>
      </w:r>
      <w:proofErr w:type="spellStart"/>
      <w:r w:rsidRPr="00D31DFB">
        <w:rPr>
          <w:shd w:val="clear" w:color="auto" w:fill="FFFFFF"/>
        </w:rPr>
        <w:t>the</w:t>
      </w:r>
      <w:proofErr w:type="spellEnd"/>
      <w:r w:rsidRPr="00D31DFB">
        <w:rPr>
          <w:shd w:val="clear" w:color="auto" w:fill="FFFFFF"/>
        </w:rPr>
        <w:t xml:space="preserve"> </w:t>
      </w:r>
      <w:proofErr w:type="spellStart"/>
      <w:r w:rsidRPr="00D31DFB">
        <w:rPr>
          <w:shd w:val="clear" w:color="auto" w:fill="FFFFFF"/>
        </w:rPr>
        <w:t>government</w:t>
      </w:r>
      <w:proofErr w:type="spellEnd"/>
      <w:r w:rsidRPr="00D31DFB">
        <w:rPr>
          <w:shd w:val="clear" w:color="auto" w:fill="FFFFFF"/>
        </w:rPr>
        <w:t xml:space="preserve"> </w:t>
      </w:r>
      <w:proofErr w:type="spellStart"/>
      <w:r w:rsidRPr="00D31DFB">
        <w:rPr>
          <w:shd w:val="clear" w:color="auto" w:fill="FFFFFF"/>
        </w:rPr>
        <w:t>spending</w:t>
      </w:r>
      <w:proofErr w:type="spellEnd"/>
      <w:r w:rsidRPr="00D31DFB">
        <w:rPr>
          <w:shd w:val="clear" w:color="auto" w:fill="FFFFFF"/>
        </w:rPr>
        <w:t xml:space="preserve"> </w:t>
      </w:r>
      <w:proofErr w:type="spellStart"/>
      <w:r w:rsidRPr="00D31DFB">
        <w:rPr>
          <w:shd w:val="clear" w:color="auto" w:fill="FFFFFF"/>
        </w:rPr>
        <w:t>where</w:t>
      </w:r>
      <w:proofErr w:type="spellEnd"/>
      <w:r w:rsidRPr="00D31DFB">
        <w:rPr>
          <w:shd w:val="clear" w:color="auto" w:fill="FFFFFF"/>
        </w:rPr>
        <w:t xml:space="preserve"> </w:t>
      </w:r>
      <w:proofErr w:type="spellStart"/>
      <w:r w:rsidRPr="00D31DFB">
        <w:rPr>
          <w:shd w:val="clear" w:color="auto" w:fill="FFFFFF"/>
        </w:rPr>
        <w:t>the</w:t>
      </w:r>
      <w:proofErr w:type="spellEnd"/>
      <w:r w:rsidRPr="00D31DFB">
        <w:rPr>
          <w:shd w:val="clear" w:color="auto" w:fill="FFFFFF"/>
        </w:rPr>
        <w:t xml:space="preserve"> p-</w:t>
      </w:r>
      <w:proofErr w:type="spellStart"/>
      <w:r w:rsidRPr="00D31DFB">
        <w:rPr>
          <w:shd w:val="clear" w:color="auto" w:fill="FFFFFF"/>
        </w:rPr>
        <w:t>value</w:t>
      </w:r>
      <w:proofErr w:type="spellEnd"/>
      <w:r w:rsidRPr="00D31DFB">
        <w:rPr>
          <w:shd w:val="clear" w:color="auto" w:fill="FFFFFF"/>
        </w:rPr>
        <w:t xml:space="preserve"> (0.457) </w:t>
      </w:r>
      <w:proofErr w:type="spellStart"/>
      <w:r w:rsidRPr="00D31DFB">
        <w:rPr>
          <w:shd w:val="clear" w:color="auto" w:fill="FFFFFF"/>
        </w:rPr>
        <w:t>is</w:t>
      </w:r>
      <w:proofErr w:type="spellEnd"/>
      <w:r w:rsidRPr="00D31DFB">
        <w:rPr>
          <w:shd w:val="clear" w:color="auto" w:fill="FFFFFF"/>
        </w:rPr>
        <w:t xml:space="preserve"> </w:t>
      </w:r>
      <w:proofErr w:type="spellStart"/>
      <w:r w:rsidRPr="00D31DFB">
        <w:rPr>
          <w:shd w:val="clear" w:color="auto" w:fill="FFFFFF"/>
        </w:rPr>
        <w:t>more</w:t>
      </w:r>
      <w:proofErr w:type="spellEnd"/>
      <w:r w:rsidRPr="00D31DFB">
        <w:rPr>
          <w:shd w:val="clear" w:color="auto" w:fill="FFFFFF"/>
        </w:rPr>
        <w:t xml:space="preserve"> </w:t>
      </w:r>
      <w:proofErr w:type="spellStart"/>
      <w:r w:rsidRPr="00D31DFB">
        <w:rPr>
          <w:shd w:val="clear" w:color="auto" w:fill="FFFFFF"/>
        </w:rPr>
        <w:t>significant</w:t>
      </w:r>
      <w:proofErr w:type="spellEnd"/>
      <w:r w:rsidRPr="00D31DFB">
        <w:rPr>
          <w:shd w:val="clear" w:color="auto" w:fill="FFFFFF"/>
        </w:rPr>
        <w:t xml:space="preserve"> </w:t>
      </w:r>
      <w:proofErr w:type="spellStart"/>
      <w:r w:rsidRPr="00D31DFB">
        <w:rPr>
          <w:shd w:val="clear" w:color="auto" w:fill="FFFFFF"/>
        </w:rPr>
        <w:t>than</w:t>
      </w:r>
      <w:proofErr w:type="spellEnd"/>
      <w:r w:rsidRPr="00D31DFB">
        <w:rPr>
          <w:shd w:val="clear" w:color="auto" w:fill="FFFFFF"/>
        </w:rPr>
        <w:t xml:space="preserve"> 0.05. </w:t>
      </w:r>
      <w:proofErr w:type="spellStart"/>
      <w:r w:rsidRPr="00D31DFB">
        <w:rPr>
          <w:shd w:val="clear" w:color="auto" w:fill="FFFFFF"/>
        </w:rPr>
        <w:t>It</w:t>
      </w:r>
      <w:proofErr w:type="spellEnd"/>
      <w:r w:rsidRPr="00D31DFB">
        <w:rPr>
          <w:shd w:val="clear" w:color="auto" w:fill="FFFFFF"/>
        </w:rPr>
        <w:t xml:space="preserve"> </w:t>
      </w:r>
      <w:proofErr w:type="spellStart"/>
      <w:r w:rsidRPr="00D31DFB">
        <w:rPr>
          <w:shd w:val="clear" w:color="auto" w:fill="FFFFFF"/>
        </w:rPr>
        <w:t>shows</w:t>
      </w:r>
      <w:proofErr w:type="spellEnd"/>
      <w:r w:rsidRPr="00D31DFB">
        <w:rPr>
          <w:shd w:val="clear" w:color="auto" w:fill="FFFFFF"/>
        </w:rPr>
        <w:t xml:space="preserve"> </w:t>
      </w:r>
      <w:proofErr w:type="spellStart"/>
      <w:r w:rsidRPr="00D31DFB">
        <w:rPr>
          <w:shd w:val="clear" w:color="auto" w:fill="FFFFFF"/>
        </w:rPr>
        <w:t>that</w:t>
      </w:r>
      <w:proofErr w:type="spellEnd"/>
      <w:r w:rsidRPr="00D31DFB">
        <w:rPr>
          <w:shd w:val="clear" w:color="auto" w:fill="FFFFFF"/>
        </w:rPr>
        <w:t xml:space="preserve"> a 1 unit </w:t>
      </w:r>
      <w:proofErr w:type="spellStart"/>
      <w:r w:rsidRPr="00D31DFB">
        <w:rPr>
          <w:shd w:val="clear" w:color="auto" w:fill="FFFFFF"/>
        </w:rPr>
        <w:t>increase</w:t>
      </w:r>
      <w:proofErr w:type="spellEnd"/>
      <w:r w:rsidRPr="00D31DFB">
        <w:rPr>
          <w:shd w:val="clear" w:color="auto" w:fill="FFFFFF"/>
        </w:rPr>
        <w:t xml:space="preserve"> </w:t>
      </w:r>
      <w:proofErr w:type="spellStart"/>
      <w:r w:rsidRPr="00D31DFB">
        <w:rPr>
          <w:shd w:val="clear" w:color="auto" w:fill="FFFFFF"/>
        </w:rPr>
        <w:t>of</w:t>
      </w:r>
      <w:proofErr w:type="spellEnd"/>
      <w:r w:rsidRPr="00D31DFB">
        <w:rPr>
          <w:shd w:val="clear" w:color="auto" w:fill="FFFFFF"/>
        </w:rPr>
        <w:t xml:space="preserve"> DBH </w:t>
      </w:r>
      <w:proofErr w:type="spellStart"/>
      <w:r w:rsidRPr="00D31DFB">
        <w:rPr>
          <w:shd w:val="clear" w:color="auto" w:fill="FFFFFF"/>
        </w:rPr>
        <w:t>is</w:t>
      </w:r>
      <w:proofErr w:type="spellEnd"/>
      <w:r w:rsidRPr="00D31DFB">
        <w:rPr>
          <w:shd w:val="clear" w:color="auto" w:fill="FFFFFF"/>
        </w:rPr>
        <w:t xml:space="preserve"> not </w:t>
      </w:r>
      <w:proofErr w:type="spellStart"/>
      <w:r w:rsidRPr="00D31DFB">
        <w:rPr>
          <w:shd w:val="clear" w:color="auto" w:fill="FFFFFF"/>
        </w:rPr>
        <w:t>significant</w:t>
      </w:r>
      <w:proofErr w:type="spellEnd"/>
      <w:r w:rsidRPr="00D31DFB">
        <w:rPr>
          <w:shd w:val="clear" w:color="auto" w:fill="FFFFFF"/>
        </w:rPr>
        <w:t xml:space="preserve"> in </w:t>
      </w:r>
      <w:proofErr w:type="spellStart"/>
      <w:r w:rsidRPr="00D31DFB">
        <w:rPr>
          <w:shd w:val="clear" w:color="auto" w:fill="FFFFFF"/>
        </w:rPr>
        <w:t>increasing</w:t>
      </w:r>
      <w:proofErr w:type="spellEnd"/>
      <w:r w:rsidRPr="00D31DFB">
        <w:rPr>
          <w:shd w:val="clear" w:color="auto" w:fill="FFFFFF"/>
        </w:rPr>
        <w:t xml:space="preserve"> </w:t>
      </w:r>
      <w:proofErr w:type="spellStart"/>
      <w:r w:rsidRPr="00D31DFB">
        <w:rPr>
          <w:shd w:val="clear" w:color="auto" w:fill="FFFFFF"/>
        </w:rPr>
        <w:t>the</w:t>
      </w:r>
      <w:proofErr w:type="spellEnd"/>
      <w:r w:rsidRPr="00D31DFB">
        <w:rPr>
          <w:shd w:val="clear" w:color="auto" w:fill="FFFFFF"/>
        </w:rPr>
        <w:t xml:space="preserve"> </w:t>
      </w:r>
      <w:proofErr w:type="spellStart"/>
      <w:r w:rsidRPr="00D31DFB">
        <w:rPr>
          <w:shd w:val="clear" w:color="auto" w:fill="FFFFFF"/>
        </w:rPr>
        <w:t>government</w:t>
      </w:r>
      <w:proofErr w:type="spellEnd"/>
      <w:r w:rsidRPr="00D31DFB">
        <w:rPr>
          <w:shd w:val="clear" w:color="auto" w:fill="FFFFFF"/>
        </w:rPr>
        <w:t xml:space="preserve"> </w:t>
      </w:r>
      <w:proofErr w:type="spellStart"/>
      <w:r w:rsidRPr="00D31DFB">
        <w:rPr>
          <w:shd w:val="clear" w:color="auto" w:fill="FFFFFF"/>
        </w:rPr>
        <w:t>budget</w:t>
      </w:r>
      <w:proofErr w:type="spellEnd"/>
      <w:r w:rsidRPr="00D31DFB">
        <w:rPr>
          <w:shd w:val="clear" w:color="auto" w:fill="FFFFFF"/>
        </w:rPr>
        <w:t xml:space="preserve"> </w:t>
      </w:r>
      <w:proofErr w:type="spellStart"/>
      <w:r w:rsidRPr="00D31DFB">
        <w:rPr>
          <w:shd w:val="clear" w:color="auto" w:fill="FFFFFF"/>
        </w:rPr>
        <w:t>by</w:t>
      </w:r>
      <w:proofErr w:type="spellEnd"/>
      <w:r w:rsidRPr="00D31DFB">
        <w:rPr>
          <w:shd w:val="clear" w:color="auto" w:fill="FFFFFF"/>
        </w:rPr>
        <w:t xml:space="preserve"> 0.27 </w:t>
      </w:r>
      <w:proofErr w:type="spellStart"/>
      <w:r w:rsidRPr="00D31DFB">
        <w:rPr>
          <w:shd w:val="clear" w:color="auto" w:fill="FFFFFF"/>
        </w:rPr>
        <w:t>units</w:t>
      </w:r>
      <w:proofErr w:type="spellEnd"/>
      <w:r w:rsidRPr="00D31DFB">
        <w:rPr>
          <w:shd w:val="clear" w:color="auto" w:fill="FFFFFF"/>
        </w:rPr>
        <w:t xml:space="preserve">. </w:t>
      </w:r>
      <w:proofErr w:type="spellStart"/>
      <w:r w:rsidRPr="00D31DFB">
        <w:rPr>
          <w:shd w:val="clear" w:color="auto" w:fill="FFFFFF"/>
        </w:rPr>
        <w:t>This</w:t>
      </w:r>
      <w:proofErr w:type="spellEnd"/>
      <w:r w:rsidRPr="00D31DFB">
        <w:rPr>
          <w:shd w:val="clear" w:color="auto" w:fill="FFFFFF"/>
        </w:rPr>
        <w:t xml:space="preserve"> </w:t>
      </w:r>
      <w:proofErr w:type="spellStart"/>
      <w:r w:rsidRPr="00D31DFB">
        <w:rPr>
          <w:shd w:val="clear" w:color="auto" w:fill="FFFFFF"/>
        </w:rPr>
        <w:t>result</w:t>
      </w:r>
      <w:proofErr w:type="spellEnd"/>
      <w:r w:rsidRPr="00D31DFB">
        <w:rPr>
          <w:shd w:val="clear" w:color="auto" w:fill="FFFFFF"/>
        </w:rPr>
        <w:t xml:space="preserve"> </w:t>
      </w:r>
      <w:proofErr w:type="spellStart"/>
      <w:r w:rsidRPr="00D31DFB">
        <w:rPr>
          <w:shd w:val="clear" w:color="auto" w:fill="FFFFFF"/>
        </w:rPr>
        <w:t>is</w:t>
      </w:r>
      <w:proofErr w:type="spellEnd"/>
      <w:r w:rsidRPr="00D31DFB">
        <w:rPr>
          <w:shd w:val="clear" w:color="auto" w:fill="FFFFFF"/>
        </w:rPr>
        <w:t xml:space="preserve"> </w:t>
      </w:r>
      <w:proofErr w:type="spellStart"/>
      <w:r w:rsidRPr="00D31DFB">
        <w:rPr>
          <w:shd w:val="clear" w:color="auto" w:fill="FFFFFF"/>
        </w:rPr>
        <w:t>consistent</w:t>
      </w:r>
      <w:proofErr w:type="spellEnd"/>
      <w:r w:rsidRPr="00D31DFB">
        <w:rPr>
          <w:shd w:val="clear" w:color="auto" w:fill="FFFFFF"/>
        </w:rPr>
        <w:t xml:space="preserve"> </w:t>
      </w:r>
      <w:proofErr w:type="spellStart"/>
      <w:r w:rsidRPr="00D31DFB">
        <w:rPr>
          <w:shd w:val="clear" w:color="auto" w:fill="FFFFFF"/>
        </w:rPr>
        <w:t>with</w:t>
      </w:r>
      <w:proofErr w:type="spellEnd"/>
      <w:r w:rsidRPr="00D31DFB">
        <w:rPr>
          <w:shd w:val="clear" w:color="auto" w:fill="FFFFFF"/>
        </w:rPr>
        <w:t xml:space="preserve"> </w:t>
      </w:r>
      <w:proofErr w:type="spellStart"/>
      <w:r w:rsidRPr="00D31DFB">
        <w:rPr>
          <w:shd w:val="clear" w:color="auto" w:fill="FFFFFF"/>
        </w:rPr>
        <w:t>research</w:t>
      </w:r>
      <w:proofErr w:type="spellEnd"/>
      <w:r w:rsidRPr="00D31DFB">
        <w:rPr>
          <w:shd w:val="clear" w:color="auto" w:fill="FFFFFF"/>
        </w:rPr>
        <w:t xml:space="preserve"> </w:t>
      </w:r>
      <w:proofErr w:type="spellStart"/>
      <w:r w:rsidRPr="00D31DFB">
        <w:rPr>
          <w:shd w:val="clear" w:color="auto" w:fill="FFFFFF"/>
        </w:rPr>
        <w:t>from</w:t>
      </w:r>
      <w:proofErr w:type="spellEnd"/>
      <w:r w:rsidRPr="00D31DFB">
        <w:rPr>
          <w:shd w:val="clear" w:color="auto" w:fill="FFFFFF"/>
        </w:rPr>
        <w:t xml:space="preserve"> </w:t>
      </w:r>
      <w:r w:rsidRPr="00D31DFB">
        <w:rPr>
          <w:shd w:val="clear" w:color="auto" w:fill="FFFFFF"/>
        </w:rPr>
        <w:fldChar w:fldCharType="begin" w:fldLock="1"/>
      </w:r>
      <w:r w:rsidRPr="00D31DFB">
        <w:rPr>
          <w:shd w:val="clear" w:color="auto" w:fill="FFFFFF"/>
        </w:rPr>
        <w:instrText>ADDIN CSL_CITATION {"citationItems":[{"id":"ITEM-1","itemData":{"abstract":"Penelitian ini bertujuan untuk mengetahui pengaruh Pendapatan Asli Daerah, Dana Perimbangan yang terdiri dari Dana Alokasi Umum, Dana Alokasi Khusus dan Dana Bagi Hasil serta Belanja Pegawai terhadap Belanja Modal pada Pemerintah Kota Surakarta. Penelitian ini diharapkan dqpat digunakan sebagai bahan masukan dan kontribusi pengembangan ilmu pengetahuan akuntansi sektor publik dan juga sebagai bahan pertimbangan Pemkot Surakarta dalam mengalokasikan belanja modal. Teknik pengumpulan data adalah dokumentasi, yang dilakukan dengan mengumpulkan data sekunder, mencatat, dan mengolah data yang berkaitan dengan penelitian. Analisis data dalam penelitian ini menggunakan Statistik Deskriptif, Uji Asumsi Klasik, regresi linear berganda dengan uji F, uji t, dan koefisien determinasi. Hasil Penelitian menunjukan bahwa belanja pegawai berpengaruh negatif terhadap belanja modal, Pendapatan Asli Daerah dan Dana Alokasi Umum berpengaruh terhadap belanja modal. Sedangkan Dana Alokasi Khusus dan Dana Bagi Hasil tidak berpengaruh terhadap belanja modal.","author":[{"dropping-particle":"","family":"Prastiwi, Ayu, Nurlaela","given":"Siti","non-dropping-particle":"","parse-names":false,"suffix":""},{"dropping-particle":"","family":"dan Chomsatu","given":"Yuli","non-dropping-particle":"","parse-names":false,"suffix":""}],"container-title":"Seminar Nasional IENACO-2016","id":"ITEM-1","issued":{"date-parts":[["2016"]]},"page":"872-879","title":"Pengaruh Pendapatan Asli Daerah, Dana Perimbangan Dan Belanja Pengawai Terhadap Belanja Modal Pemerintah Kota Surakarta","type":"article-journal"},"uris":["http://www.mendeley.com/documents/?uuid=6ff3d278-66e7-4563-a11f-0318298fbfcc"]},{"id":"ITEM-2","itemData":{"DOI":"10.32493/jabi.v2i1.y2019.p104-122","ISSN":"2614-8447","abstract":" ABSTRAKPenulis mempunyai tujuan untuk dapat menganalisis, menguji dan kemudian membuktikan apakah Belanja Modal pada Pemda Kabupaten/Kota di Jawa Timur tahun 2011-2014 dipengaruhi oleh variabel Pertumbuhan Ekonomi Daerah serta variabel-variabel penerimaan seperti PAD, DAU dan DBH.Dasar pengambilan sample adalah sample yang memenuhi kriteria atau syarat tertentu dengan metode Purposive sampling, dimana populasinya adalah data realisasi APBD Pemda Kabupaten/Kota di Jawa Timur. Alat uji yang digunakan untuk menguji data yang ada adalah uji asumsi klasik dan analisis regresi linier berganda menggunakan SPSS versi 24 untuk windows.Dari serangkain pengujian yang dilakukan menghasilkan data yang dapat membuktikan bahwa secara parsial baik variabel bebas Pertumbuhan Ekonomi Daerah maupun DBH tidak berpengaruh signifikan terhadap Belanja Modal, sementara itu variabel bebas PAD dan DAU mempunyai pengaruh siginifikan terhadap Belanja Modal. Namun demikian secara bersama-bersama keempat variabel bebas tersebut berpengaruh signifikan terhadap variabel terikat yaitu Belanja Modal. Pengujian tersebut berdasarkan pada tingkat keyakinan sebesar 95% dan tingkat error sebesar 5%.","author":[{"dropping-particle":"","family":"Mundiroh","given":"Siti","non-dropping-particle":"","parse-names":false,"suffix":""}],"container-title":"Jurnal Akuntansi Berkelanjutan Indonesia","id":"ITEM-2","issue":"1","issued":{"date-parts":[["2019"]]},"page":"104","title":"Pengaruh Pertumbuhan Ekonomi Daerah, Pendapatan Asli Daerah (Pad), Dana Alokasi Umum (Dau) Dan Dana Bagi Hasil (Dbh) Terhadap Alokasi Belanja Modal Daerah","type":"article-journal","volume":"2"},"uris":["http://www.mendeley.com/documents/?uuid=f56ee665-ce8c-4500-b4f4-c0f7eabe6e96"]}],"mendeley":{"formattedCitation":"(Mundiroh, 2019; Prastiwi, Ayu, Nurlaela &amp; dan Chomsatu, 2016)","plainTextFormattedCitation":"(Mundiroh, 2019; Prastiwi, Ayu, Nurlaela &amp; dan Chomsatu, 2016)","previouslyFormattedCitation":"(Mundiroh, 2019; Prastiwi, Ayu, Nurlaela &amp; dan Chomsatu, 2016)"},"properties":{"noteIndex":0},"schema":"https://github.com/citation-style-language/schema/raw/master/csl-citation.json"}</w:instrText>
      </w:r>
      <w:r w:rsidRPr="00D31DFB">
        <w:rPr>
          <w:shd w:val="clear" w:color="auto" w:fill="FFFFFF"/>
        </w:rPr>
        <w:fldChar w:fldCharType="separate"/>
      </w:r>
      <w:r w:rsidRPr="00D31DFB">
        <w:rPr>
          <w:noProof/>
          <w:shd w:val="clear" w:color="auto" w:fill="FFFFFF"/>
        </w:rPr>
        <w:t>Prastiwi, Ayu, Nurlaela &amp; Chomsatu (2016), Mundiroh (2019).</w:t>
      </w:r>
      <w:r w:rsidRPr="00D31DFB">
        <w:rPr>
          <w:shd w:val="clear" w:color="auto" w:fill="FFFFFF"/>
        </w:rPr>
        <w:fldChar w:fldCharType="end"/>
      </w:r>
    </w:p>
    <w:p w:rsidR="00A84AA6" w:rsidRDefault="00A84AA6" w:rsidP="00A84AA6">
      <w:pPr>
        <w:widowControl w:val="0"/>
        <w:autoSpaceDE w:val="0"/>
        <w:autoSpaceDN w:val="0"/>
        <w:adjustRightInd w:val="0"/>
        <w:snapToGrid w:val="0"/>
        <w:jc w:val="both"/>
      </w:pPr>
    </w:p>
    <w:p w:rsidR="00ED330C" w:rsidRDefault="00ED330C" w:rsidP="00A84AA6">
      <w:pPr>
        <w:widowControl w:val="0"/>
        <w:autoSpaceDE w:val="0"/>
        <w:autoSpaceDN w:val="0"/>
        <w:adjustRightInd w:val="0"/>
        <w:snapToGrid w:val="0"/>
        <w:jc w:val="both"/>
      </w:pPr>
    </w:p>
    <w:p w:rsidR="004F308E" w:rsidRDefault="004F308E" w:rsidP="00A84AA6">
      <w:pPr>
        <w:widowControl w:val="0"/>
        <w:autoSpaceDE w:val="0"/>
        <w:autoSpaceDN w:val="0"/>
        <w:adjustRightInd w:val="0"/>
        <w:snapToGrid w:val="0"/>
        <w:jc w:val="both"/>
      </w:pPr>
    </w:p>
    <w:p w:rsidR="009044BB" w:rsidRDefault="009044BB" w:rsidP="00A84AA6">
      <w:pPr>
        <w:widowControl w:val="0"/>
        <w:autoSpaceDE w:val="0"/>
        <w:autoSpaceDN w:val="0"/>
        <w:adjustRightInd w:val="0"/>
        <w:snapToGrid w:val="0"/>
        <w:jc w:val="both"/>
      </w:pPr>
    </w:p>
    <w:p w:rsidR="009044BB" w:rsidRDefault="009044BB" w:rsidP="00A84AA6">
      <w:pPr>
        <w:widowControl w:val="0"/>
        <w:autoSpaceDE w:val="0"/>
        <w:autoSpaceDN w:val="0"/>
        <w:adjustRightInd w:val="0"/>
        <w:snapToGrid w:val="0"/>
        <w:jc w:val="both"/>
      </w:pPr>
    </w:p>
    <w:p w:rsidR="009044BB" w:rsidRDefault="009044BB" w:rsidP="00A84AA6">
      <w:pPr>
        <w:widowControl w:val="0"/>
        <w:autoSpaceDE w:val="0"/>
        <w:autoSpaceDN w:val="0"/>
        <w:adjustRightInd w:val="0"/>
        <w:snapToGrid w:val="0"/>
        <w:jc w:val="both"/>
      </w:pPr>
    </w:p>
    <w:p w:rsidR="009044BB" w:rsidRPr="00D31DFB" w:rsidRDefault="009044BB" w:rsidP="00A84AA6">
      <w:pPr>
        <w:widowControl w:val="0"/>
        <w:autoSpaceDE w:val="0"/>
        <w:autoSpaceDN w:val="0"/>
        <w:adjustRightInd w:val="0"/>
        <w:snapToGrid w:val="0"/>
        <w:jc w:val="both"/>
      </w:pPr>
    </w:p>
    <w:p w:rsidR="00A84AA6" w:rsidRPr="00D31DFB" w:rsidRDefault="00A84AA6" w:rsidP="00A84AA6">
      <w:pPr>
        <w:widowControl w:val="0"/>
        <w:autoSpaceDE w:val="0"/>
        <w:autoSpaceDN w:val="0"/>
        <w:adjustRightInd w:val="0"/>
        <w:snapToGrid w:val="0"/>
        <w:jc w:val="center"/>
        <w:rPr>
          <w:b/>
          <w:bCs/>
        </w:rPr>
      </w:pPr>
      <w:r w:rsidRPr="00D31DFB">
        <w:rPr>
          <w:b/>
          <w:bCs/>
        </w:rPr>
        <w:t>Table 4. Fixed Effect Regression Results</w:t>
      </w:r>
    </w:p>
    <w:p w:rsidR="00804BA7" w:rsidRPr="00D31DFB" w:rsidRDefault="00804BA7" w:rsidP="00A84AA6">
      <w:pPr>
        <w:widowControl w:val="0"/>
        <w:autoSpaceDE w:val="0"/>
        <w:autoSpaceDN w:val="0"/>
        <w:adjustRightInd w:val="0"/>
        <w:snapToGrid w:val="0"/>
        <w:jc w:val="center"/>
        <w:rPr>
          <w:b/>
          <w:bCs/>
        </w:rPr>
      </w:pPr>
    </w:p>
    <w:tbl>
      <w:tblPr>
        <w:tblW w:w="8757"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062"/>
        <w:gridCol w:w="551"/>
        <w:gridCol w:w="659"/>
        <w:gridCol w:w="2311"/>
        <w:gridCol w:w="441"/>
        <w:gridCol w:w="733"/>
      </w:tblGrid>
      <w:tr w:rsidR="00A84AA6" w:rsidRPr="00D31DFB" w:rsidTr="00A84AA6">
        <w:trPr>
          <w:trHeight w:val="298"/>
          <w:jc w:val="center"/>
        </w:trPr>
        <w:tc>
          <w:tcPr>
            <w:tcW w:w="4062" w:type="dxa"/>
          </w:tcPr>
          <w:p w:rsidR="00A84AA6" w:rsidRPr="00D31DFB" w:rsidRDefault="00A84AA6" w:rsidP="00A84AA6">
            <w:pPr>
              <w:pStyle w:val="TableParagraph"/>
              <w:adjustRightInd w:val="0"/>
              <w:snapToGrid w:val="0"/>
              <w:ind w:left="381"/>
              <w:rPr>
                <w:rFonts w:ascii="Times New Roman" w:hAnsi="Times New Roman" w:cs="Times New Roman"/>
              </w:rPr>
            </w:pPr>
            <w:r w:rsidRPr="00D31DFB">
              <w:rPr>
                <w:rFonts w:ascii="Times New Roman" w:hAnsi="Times New Roman" w:cs="Times New Roman"/>
              </w:rPr>
              <w:t xml:space="preserve"> bb</w:t>
            </w:r>
          </w:p>
        </w:tc>
        <w:tc>
          <w:tcPr>
            <w:tcW w:w="551" w:type="dxa"/>
          </w:tcPr>
          <w:p w:rsidR="00A84AA6" w:rsidRPr="00D31DFB" w:rsidRDefault="00A84AA6" w:rsidP="00A84AA6">
            <w:pPr>
              <w:pStyle w:val="TableParagraph"/>
              <w:adjustRightInd w:val="0"/>
              <w:snapToGrid w:val="0"/>
              <w:rPr>
                <w:rFonts w:ascii="Times New Roman" w:hAnsi="Times New Roman" w:cs="Times New Roman"/>
              </w:rPr>
            </w:pPr>
          </w:p>
        </w:tc>
        <w:tc>
          <w:tcPr>
            <w:tcW w:w="659" w:type="dxa"/>
          </w:tcPr>
          <w:p w:rsidR="00A84AA6" w:rsidRPr="00D31DFB" w:rsidRDefault="00A84AA6" w:rsidP="00A84AA6">
            <w:pPr>
              <w:pStyle w:val="TableParagraph"/>
              <w:adjustRightInd w:val="0"/>
              <w:snapToGrid w:val="0"/>
              <w:rPr>
                <w:rFonts w:ascii="Times New Roman" w:hAnsi="Times New Roman" w:cs="Times New Roman"/>
              </w:rPr>
            </w:pPr>
          </w:p>
        </w:tc>
        <w:tc>
          <w:tcPr>
            <w:tcW w:w="2311" w:type="dxa"/>
          </w:tcPr>
          <w:p w:rsidR="00A84AA6" w:rsidRPr="00D31DFB" w:rsidRDefault="00A84AA6" w:rsidP="00A84AA6">
            <w:pPr>
              <w:pStyle w:val="TableParagraph"/>
              <w:adjustRightInd w:val="0"/>
              <w:snapToGrid w:val="0"/>
              <w:ind w:left="92"/>
              <w:rPr>
                <w:rFonts w:ascii="Times New Roman" w:hAnsi="Times New Roman" w:cs="Times New Roman"/>
              </w:rPr>
            </w:pPr>
            <w:r w:rsidRPr="00D31DFB">
              <w:rPr>
                <w:rFonts w:ascii="Times New Roman" w:hAnsi="Times New Roman" w:cs="Times New Roman"/>
              </w:rPr>
              <w:t xml:space="preserve">Number of </w:t>
            </w:r>
            <w:proofErr w:type="spellStart"/>
            <w:r w:rsidRPr="00D31DFB">
              <w:rPr>
                <w:rFonts w:ascii="Times New Roman" w:hAnsi="Times New Roman" w:cs="Times New Roman"/>
              </w:rPr>
              <w:t>obs</w:t>
            </w:r>
            <w:proofErr w:type="spellEnd"/>
          </w:p>
        </w:tc>
        <w:tc>
          <w:tcPr>
            <w:tcW w:w="441" w:type="dxa"/>
          </w:tcPr>
          <w:p w:rsidR="00A84AA6" w:rsidRPr="00D31DFB" w:rsidRDefault="00A84AA6" w:rsidP="00A84AA6">
            <w:pPr>
              <w:pStyle w:val="TableParagraph"/>
              <w:adjustRightInd w:val="0"/>
              <w:snapToGrid w:val="0"/>
              <w:ind w:left="-370" w:right="-370" w:firstLine="370"/>
              <w:rPr>
                <w:rFonts w:ascii="Times New Roman" w:hAnsi="Times New Roman" w:cs="Times New Roman"/>
              </w:rPr>
            </w:pPr>
            <w:r w:rsidRPr="00D31DFB">
              <w:rPr>
                <w:rFonts w:ascii="Times New Roman" w:hAnsi="Times New Roman" w:cs="Times New Roman"/>
              </w:rPr>
              <w:t>=</w:t>
            </w:r>
          </w:p>
        </w:tc>
        <w:tc>
          <w:tcPr>
            <w:tcW w:w="733" w:type="dxa"/>
          </w:tcPr>
          <w:p w:rsidR="00A84AA6" w:rsidRPr="00D31DFB" w:rsidRDefault="00A84AA6" w:rsidP="00A84AA6">
            <w:pPr>
              <w:pStyle w:val="TableParagraph"/>
              <w:adjustRightInd w:val="0"/>
              <w:snapToGrid w:val="0"/>
              <w:ind w:right="51"/>
              <w:rPr>
                <w:rFonts w:ascii="Times New Roman" w:hAnsi="Times New Roman" w:cs="Times New Roman"/>
              </w:rPr>
            </w:pPr>
            <w:r w:rsidRPr="00D31DFB">
              <w:rPr>
                <w:rFonts w:ascii="Times New Roman" w:hAnsi="Times New Roman" w:cs="Times New Roman"/>
              </w:rPr>
              <w:t>84</w:t>
            </w:r>
          </w:p>
        </w:tc>
      </w:tr>
      <w:tr w:rsidR="00A84AA6" w:rsidRPr="00D31DFB" w:rsidTr="00A84AA6">
        <w:trPr>
          <w:trHeight w:val="299"/>
          <w:jc w:val="center"/>
        </w:trPr>
        <w:tc>
          <w:tcPr>
            <w:tcW w:w="4062" w:type="dxa"/>
          </w:tcPr>
          <w:p w:rsidR="00A84AA6" w:rsidRPr="00D31DFB" w:rsidRDefault="00A84AA6" w:rsidP="00A84AA6">
            <w:pPr>
              <w:pStyle w:val="TableParagraph"/>
              <w:adjustRightInd w:val="0"/>
              <w:snapToGrid w:val="0"/>
              <w:ind w:left="381"/>
              <w:rPr>
                <w:rFonts w:ascii="Times New Roman" w:hAnsi="Times New Roman" w:cs="Times New Roman"/>
              </w:rPr>
            </w:pPr>
            <w:r w:rsidRPr="00D31DFB">
              <w:rPr>
                <w:rFonts w:ascii="Times New Roman" w:hAnsi="Times New Roman" w:cs="Times New Roman"/>
              </w:rPr>
              <w:t xml:space="preserve">Group variable: </w:t>
            </w:r>
            <w:proofErr w:type="spellStart"/>
            <w:r w:rsidRPr="00D31DFB">
              <w:rPr>
                <w:rFonts w:ascii="Times New Roman" w:hAnsi="Times New Roman" w:cs="Times New Roman"/>
              </w:rPr>
              <w:t>panelid</w:t>
            </w:r>
            <w:proofErr w:type="spellEnd"/>
          </w:p>
        </w:tc>
        <w:tc>
          <w:tcPr>
            <w:tcW w:w="551" w:type="dxa"/>
          </w:tcPr>
          <w:p w:rsidR="00A84AA6" w:rsidRPr="00D31DFB" w:rsidRDefault="00A84AA6" w:rsidP="00A84AA6">
            <w:pPr>
              <w:pStyle w:val="TableParagraph"/>
              <w:adjustRightInd w:val="0"/>
              <w:snapToGrid w:val="0"/>
              <w:rPr>
                <w:rFonts w:ascii="Times New Roman" w:hAnsi="Times New Roman" w:cs="Times New Roman"/>
              </w:rPr>
            </w:pPr>
          </w:p>
        </w:tc>
        <w:tc>
          <w:tcPr>
            <w:tcW w:w="659" w:type="dxa"/>
          </w:tcPr>
          <w:p w:rsidR="00A84AA6" w:rsidRPr="00D31DFB" w:rsidRDefault="00A84AA6" w:rsidP="00A84AA6">
            <w:pPr>
              <w:pStyle w:val="TableParagraph"/>
              <w:adjustRightInd w:val="0"/>
              <w:snapToGrid w:val="0"/>
              <w:rPr>
                <w:rFonts w:ascii="Times New Roman" w:hAnsi="Times New Roman" w:cs="Times New Roman"/>
              </w:rPr>
            </w:pPr>
          </w:p>
        </w:tc>
        <w:tc>
          <w:tcPr>
            <w:tcW w:w="2311"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 xml:space="preserve">  Number of groups</w:t>
            </w:r>
          </w:p>
        </w:tc>
        <w:tc>
          <w:tcPr>
            <w:tcW w:w="441"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w:t>
            </w:r>
          </w:p>
        </w:tc>
        <w:tc>
          <w:tcPr>
            <w:tcW w:w="733" w:type="dxa"/>
          </w:tcPr>
          <w:p w:rsidR="00A84AA6" w:rsidRPr="00D31DFB" w:rsidRDefault="00A84AA6" w:rsidP="00A84AA6">
            <w:pPr>
              <w:pStyle w:val="TableParagraph"/>
              <w:adjustRightInd w:val="0"/>
              <w:snapToGrid w:val="0"/>
              <w:ind w:right="51"/>
              <w:rPr>
                <w:rFonts w:ascii="Times New Roman" w:hAnsi="Times New Roman" w:cs="Times New Roman"/>
              </w:rPr>
            </w:pPr>
            <w:r w:rsidRPr="00D31DFB">
              <w:rPr>
                <w:rFonts w:ascii="Times New Roman" w:hAnsi="Times New Roman" w:cs="Times New Roman"/>
              </w:rPr>
              <w:t>14</w:t>
            </w:r>
          </w:p>
        </w:tc>
      </w:tr>
      <w:tr w:rsidR="00A84AA6" w:rsidRPr="00D31DFB" w:rsidTr="00A84AA6">
        <w:trPr>
          <w:trHeight w:val="297"/>
          <w:jc w:val="center"/>
        </w:trPr>
        <w:tc>
          <w:tcPr>
            <w:tcW w:w="4062" w:type="dxa"/>
          </w:tcPr>
          <w:p w:rsidR="00A84AA6" w:rsidRPr="00D31DFB" w:rsidRDefault="00A84AA6" w:rsidP="00A84AA6">
            <w:pPr>
              <w:pStyle w:val="TableParagraph"/>
              <w:adjustRightInd w:val="0"/>
              <w:snapToGrid w:val="0"/>
              <w:ind w:left="381"/>
              <w:rPr>
                <w:rFonts w:ascii="Times New Roman" w:hAnsi="Times New Roman" w:cs="Times New Roman"/>
              </w:rPr>
            </w:pPr>
            <w:r w:rsidRPr="00D31DFB">
              <w:rPr>
                <w:rFonts w:ascii="Times New Roman" w:hAnsi="Times New Roman" w:cs="Times New Roman"/>
              </w:rPr>
              <w:t>R-sq:</w:t>
            </w:r>
          </w:p>
        </w:tc>
        <w:tc>
          <w:tcPr>
            <w:tcW w:w="551" w:type="dxa"/>
          </w:tcPr>
          <w:p w:rsidR="00A84AA6" w:rsidRPr="00D31DFB" w:rsidRDefault="00A84AA6" w:rsidP="00A84AA6">
            <w:pPr>
              <w:pStyle w:val="TableParagraph"/>
              <w:adjustRightInd w:val="0"/>
              <w:snapToGrid w:val="0"/>
              <w:rPr>
                <w:rFonts w:ascii="Times New Roman" w:hAnsi="Times New Roman" w:cs="Times New Roman"/>
              </w:rPr>
            </w:pPr>
          </w:p>
        </w:tc>
        <w:tc>
          <w:tcPr>
            <w:tcW w:w="659" w:type="dxa"/>
          </w:tcPr>
          <w:p w:rsidR="00A84AA6" w:rsidRPr="00D31DFB" w:rsidRDefault="00A84AA6" w:rsidP="00A84AA6">
            <w:pPr>
              <w:pStyle w:val="TableParagraph"/>
              <w:adjustRightInd w:val="0"/>
              <w:snapToGrid w:val="0"/>
              <w:rPr>
                <w:rFonts w:ascii="Times New Roman" w:hAnsi="Times New Roman" w:cs="Times New Roman"/>
              </w:rPr>
            </w:pPr>
          </w:p>
        </w:tc>
        <w:tc>
          <w:tcPr>
            <w:tcW w:w="2311"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 xml:space="preserve">  </w:t>
            </w:r>
            <w:proofErr w:type="spellStart"/>
            <w:r w:rsidRPr="00D31DFB">
              <w:rPr>
                <w:rFonts w:ascii="Times New Roman" w:hAnsi="Times New Roman" w:cs="Times New Roman"/>
              </w:rPr>
              <w:t>Obs</w:t>
            </w:r>
            <w:proofErr w:type="spellEnd"/>
            <w:r w:rsidRPr="00D31DFB">
              <w:rPr>
                <w:rFonts w:ascii="Times New Roman" w:hAnsi="Times New Roman" w:cs="Times New Roman"/>
              </w:rPr>
              <w:t xml:space="preserve"> per group:</w:t>
            </w:r>
          </w:p>
        </w:tc>
        <w:tc>
          <w:tcPr>
            <w:tcW w:w="441" w:type="dxa"/>
          </w:tcPr>
          <w:p w:rsidR="00A84AA6" w:rsidRPr="00D31DFB" w:rsidRDefault="00A84AA6" w:rsidP="00A84AA6">
            <w:pPr>
              <w:pStyle w:val="TableParagraph"/>
              <w:adjustRightInd w:val="0"/>
              <w:snapToGrid w:val="0"/>
              <w:rPr>
                <w:rFonts w:ascii="Times New Roman" w:hAnsi="Times New Roman" w:cs="Times New Roman"/>
              </w:rPr>
            </w:pPr>
          </w:p>
        </w:tc>
        <w:tc>
          <w:tcPr>
            <w:tcW w:w="733" w:type="dxa"/>
          </w:tcPr>
          <w:p w:rsidR="00A84AA6" w:rsidRPr="00D31DFB" w:rsidRDefault="00A84AA6" w:rsidP="00A84AA6">
            <w:pPr>
              <w:pStyle w:val="TableParagraph"/>
              <w:adjustRightInd w:val="0"/>
              <w:snapToGrid w:val="0"/>
              <w:rPr>
                <w:rFonts w:ascii="Times New Roman" w:hAnsi="Times New Roman" w:cs="Times New Roman"/>
              </w:rPr>
            </w:pPr>
          </w:p>
        </w:tc>
      </w:tr>
      <w:tr w:rsidR="00A84AA6" w:rsidRPr="00D31DFB" w:rsidTr="00A84AA6">
        <w:trPr>
          <w:trHeight w:val="199"/>
          <w:jc w:val="center"/>
        </w:trPr>
        <w:tc>
          <w:tcPr>
            <w:tcW w:w="4062" w:type="dxa"/>
          </w:tcPr>
          <w:p w:rsidR="00A84AA6" w:rsidRPr="00D31DFB" w:rsidRDefault="00A84AA6" w:rsidP="00A84AA6">
            <w:pPr>
              <w:pStyle w:val="TableParagraph"/>
              <w:tabs>
                <w:tab w:val="left" w:pos="1816"/>
              </w:tabs>
              <w:adjustRightInd w:val="0"/>
              <w:snapToGrid w:val="0"/>
              <w:ind w:left="932"/>
              <w:rPr>
                <w:rFonts w:ascii="Times New Roman" w:hAnsi="Times New Roman" w:cs="Times New Roman"/>
              </w:rPr>
            </w:pPr>
            <w:r w:rsidRPr="00D31DFB">
              <w:rPr>
                <w:rFonts w:ascii="Times New Roman" w:hAnsi="Times New Roman" w:cs="Times New Roman"/>
                <w:spacing w:val="6"/>
              </w:rPr>
              <w:t>within</w:t>
            </w:r>
            <w:r w:rsidRPr="00D31DFB">
              <w:rPr>
                <w:rFonts w:ascii="Times New Roman" w:hAnsi="Times New Roman" w:cs="Times New Roman"/>
                <w:spacing w:val="6"/>
              </w:rPr>
              <w:tab/>
            </w:r>
            <w:r w:rsidRPr="00D31DFB">
              <w:rPr>
                <w:rFonts w:ascii="Times New Roman" w:hAnsi="Times New Roman" w:cs="Times New Roman"/>
              </w:rPr>
              <w:t>=</w:t>
            </w:r>
            <w:r w:rsidRPr="00D31DFB">
              <w:rPr>
                <w:rFonts w:ascii="Times New Roman" w:hAnsi="Times New Roman" w:cs="Times New Roman"/>
                <w:spacing w:val="15"/>
              </w:rPr>
              <w:t xml:space="preserve"> </w:t>
            </w:r>
            <w:r w:rsidRPr="00D31DFB">
              <w:rPr>
                <w:rFonts w:ascii="Times New Roman" w:hAnsi="Times New Roman" w:cs="Times New Roman"/>
                <w:spacing w:val="5"/>
              </w:rPr>
              <w:t>0.8747</w:t>
            </w:r>
          </w:p>
        </w:tc>
        <w:tc>
          <w:tcPr>
            <w:tcW w:w="551" w:type="dxa"/>
          </w:tcPr>
          <w:p w:rsidR="00A84AA6" w:rsidRPr="00D31DFB" w:rsidRDefault="00A84AA6" w:rsidP="00A84AA6">
            <w:pPr>
              <w:pStyle w:val="TableParagraph"/>
              <w:adjustRightInd w:val="0"/>
              <w:snapToGrid w:val="0"/>
              <w:rPr>
                <w:rFonts w:ascii="Times New Roman" w:hAnsi="Times New Roman" w:cs="Times New Roman"/>
              </w:rPr>
            </w:pPr>
          </w:p>
        </w:tc>
        <w:tc>
          <w:tcPr>
            <w:tcW w:w="659" w:type="dxa"/>
          </w:tcPr>
          <w:p w:rsidR="00A84AA6" w:rsidRPr="00D31DFB" w:rsidRDefault="00A84AA6" w:rsidP="00A84AA6">
            <w:pPr>
              <w:pStyle w:val="TableParagraph"/>
              <w:adjustRightInd w:val="0"/>
              <w:snapToGrid w:val="0"/>
              <w:rPr>
                <w:rFonts w:ascii="Times New Roman" w:hAnsi="Times New Roman" w:cs="Times New Roman"/>
              </w:rPr>
            </w:pPr>
          </w:p>
        </w:tc>
        <w:tc>
          <w:tcPr>
            <w:tcW w:w="2311" w:type="dxa"/>
          </w:tcPr>
          <w:p w:rsidR="00A84AA6" w:rsidRPr="00D31DFB" w:rsidRDefault="00A84AA6" w:rsidP="00A84AA6">
            <w:pPr>
              <w:pStyle w:val="TableParagraph"/>
              <w:adjustRightInd w:val="0"/>
              <w:snapToGrid w:val="0"/>
              <w:ind w:right="58"/>
              <w:jc w:val="center"/>
              <w:rPr>
                <w:rFonts w:ascii="Times New Roman" w:hAnsi="Times New Roman" w:cs="Times New Roman"/>
              </w:rPr>
            </w:pPr>
            <w:r w:rsidRPr="00D31DFB">
              <w:rPr>
                <w:rFonts w:ascii="Times New Roman" w:hAnsi="Times New Roman" w:cs="Times New Roman"/>
              </w:rPr>
              <w:t xml:space="preserve">          min</w:t>
            </w:r>
          </w:p>
        </w:tc>
        <w:tc>
          <w:tcPr>
            <w:tcW w:w="441"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w:t>
            </w:r>
          </w:p>
        </w:tc>
        <w:tc>
          <w:tcPr>
            <w:tcW w:w="733" w:type="dxa"/>
          </w:tcPr>
          <w:p w:rsidR="00A84AA6" w:rsidRPr="00D31DFB" w:rsidRDefault="00A84AA6" w:rsidP="00A84AA6">
            <w:pPr>
              <w:pStyle w:val="TableParagraph"/>
              <w:adjustRightInd w:val="0"/>
              <w:snapToGrid w:val="0"/>
              <w:ind w:right="51"/>
              <w:rPr>
                <w:rFonts w:ascii="Times New Roman" w:hAnsi="Times New Roman" w:cs="Times New Roman"/>
              </w:rPr>
            </w:pPr>
            <w:r w:rsidRPr="00D31DFB">
              <w:rPr>
                <w:rFonts w:ascii="Times New Roman" w:hAnsi="Times New Roman" w:cs="Times New Roman"/>
              </w:rPr>
              <w:t>6</w:t>
            </w:r>
          </w:p>
        </w:tc>
      </w:tr>
      <w:tr w:rsidR="00A84AA6" w:rsidRPr="00D31DFB" w:rsidTr="00A84AA6">
        <w:trPr>
          <w:trHeight w:val="199"/>
          <w:jc w:val="center"/>
        </w:trPr>
        <w:tc>
          <w:tcPr>
            <w:tcW w:w="4062" w:type="dxa"/>
          </w:tcPr>
          <w:p w:rsidR="00A84AA6" w:rsidRPr="00D31DFB" w:rsidRDefault="00A84AA6" w:rsidP="00A84AA6">
            <w:pPr>
              <w:pStyle w:val="TableParagraph"/>
              <w:adjustRightInd w:val="0"/>
              <w:snapToGrid w:val="0"/>
              <w:ind w:left="932"/>
              <w:rPr>
                <w:rFonts w:ascii="Times New Roman" w:hAnsi="Times New Roman" w:cs="Times New Roman"/>
              </w:rPr>
            </w:pPr>
            <w:r w:rsidRPr="00D31DFB">
              <w:rPr>
                <w:rFonts w:ascii="Times New Roman" w:hAnsi="Times New Roman" w:cs="Times New Roman"/>
              </w:rPr>
              <w:t>between = 0.8773</w:t>
            </w:r>
          </w:p>
        </w:tc>
        <w:tc>
          <w:tcPr>
            <w:tcW w:w="551" w:type="dxa"/>
          </w:tcPr>
          <w:p w:rsidR="00A84AA6" w:rsidRPr="00D31DFB" w:rsidRDefault="00A84AA6" w:rsidP="00A84AA6">
            <w:pPr>
              <w:pStyle w:val="TableParagraph"/>
              <w:adjustRightInd w:val="0"/>
              <w:snapToGrid w:val="0"/>
              <w:rPr>
                <w:rFonts w:ascii="Times New Roman" w:hAnsi="Times New Roman" w:cs="Times New Roman"/>
              </w:rPr>
            </w:pPr>
          </w:p>
        </w:tc>
        <w:tc>
          <w:tcPr>
            <w:tcW w:w="659" w:type="dxa"/>
          </w:tcPr>
          <w:p w:rsidR="00A84AA6" w:rsidRPr="00D31DFB" w:rsidRDefault="00A84AA6" w:rsidP="00A84AA6">
            <w:pPr>
              <w:pStyle w:val="TableParagraph"/>
              <w:adjustRightInd w:val="0"/>
              <w:snapToGrid w:val="0"/>
              <w:rPr>
                <w:rFonts w:ascii="Times New Roman" w:hAnsi="Times New Roman" w:cs="Times New Roman"/>
              </w:rPr>
            </w:pPr>
          </w:p>
        </w:tc>
        <w:tc>
          <w:tcPr>
            <w:tcW w:w="2311" w:type="dxa"/>
          </w:tcPr>
          <w:p w:rsidR="00A84AA6" w:rsidRPr="00D31DFB" w:rsidRDefault="00A84AA6" w:rsidP="00A84AA6">
            <w:pPr>
              <w:pStyle w:val="TableParagraph"/>
              <w:adjustRightInd w:val="0"/>
              <w:snapToGrid w:val="0"/>
              <w:ind w:right="58"/>
              <w:jc w:val="center"/>
              <w:rPr>
                <w:rFonts w:ascii="Times New Roman" w:hAnsi="Times New Roman" w:cs="Times New Roman"/>
              </w:rPr>
            </w:pPr>
            <w:r w:rsidRPr="00D31DFB">
              <w:rPr>
                <w:rFonts w:ascii="Times New Roman" w:hAnsi="Times New Roman" w:cs="Times New Roman"/>
              </w:rPr>
              <w:t xml:space="preserve">         avg</w:t>
            </w:r>
          </w:p>
        </w:tc>
        <w:tc>
          <w:tcPr>
            <w:tcW w:w="441"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w:t>
            </w:r>
          </w:p>
        </w:tc>
        <w:tc>
          <w:tcPr>
            <w:tcW w:w="733" w:type="dxa"/>
          </w:tcPr>
          <w:p w:rsidR="00A84AA6" w:rsidRPr="00D31DFB" w:rsidRDefault="00A84AA6" w:rsidP="00A84AA6">
            <w:pPr>
              <w:pStyle w:val="TableParagraph"/>
              <w:adjustRightInd w:val="0"/>
              <w:snapToGrid w:val="0"/>
              <w:ind w:right="51"/>
              <w:rPr>
                <w:rFonts w:ascii="Times New Roman" w:hAnsi="Times New Roman" w:cs="Times New Roman"/>
              </w:rPr>
            </w:pPr>
            <w:r w:rsidRPr="00D31DFB">
              <w:rPr>
                <w:rFonts w:ascii="Times New Roman" w:hAnsi="Times New Roman" w:cs="Times New Roman"/>
              </w:rPr>
              <w:t>6.0</w:t>
            </w:r>
          </w:p>
        </w:tc>
      </w:tr>
      <w:tr w:rsidR="00A84AA6" w:rsidRPr="00D31DFB" w:rsidTr="00A84AA6">
        <w:trPr>
          <w:trHeight w:val="298"/>
          <w:jc w:val="center"/>
        </w:trPr>
        <w:tc>
          <w:tcPr>
            <w:tcW w:w="4062" w:type="dxa"/>
          </w:tcPr>
          <w:p w:rsidR="00A84AA6" w:rsidRPr="00D31DFB" w:rsidRDefault="00A84AA6" w:rsidP="00A84AA6">
            <w:pPr>
              <w:pStyle w:val="TableParagraph"/>
              <w:adjustRightInd w:val="0"/>
              <w:snapToGrid w:val="0"/>
              <w:ind w:left="932"/>
              <w:rPr>
                <w:rFonts w:ascii="Times New Roman" w:hAnsi="Times New Roman" w:cs="Times New Roman"/>
              </w:rPr>
            </w:pPr>
            <w:r w:rsidRPr="00D31DFB">
              <w:rPr>
                <w:rFonts w:ascii="Times New Roman" w:hAnsi="Times New Roman" w:cs="Times New Roman"/>
              </w:rPr>
              <w:t>overall = 0.8571</w:t>
            </w:r>
          </w:p>
        </w:tc>
        <w:tc>
          <w:tcPr>
            <w:tcW w:w="551" w:type="dxa"/>
          </w:tcPr>
          <w:p w:rsidR="00A84AA6" w:rsidRPr="00D31DFB" w:rsidRDefault="00A84AA6" w:rsidP="00A84AA6">
            <w:pPr>
              <w:pStyle w:val="TableParagraph"/>
              <w:adjustRightInd w:val="0"/>
              <w:snapToGrid w:val="0"/>
              <w:rPr>
                <w:rFonts w:ascii="Times New Roman" w:hAnsi="Times New Roman" w:cs="Times New Roman"/>
              </w:rPr>
            </w:pPr>
          </w:p>
        </w:tc>
        <w:tc>
          <w:tcPr>
            <w:tcW w:w="659" w:type="dxa"/>
          </w:tcPr>
          <w:p w:rsidR="00A84AA6" w:rsidRPr="00D31DFB" w:rsidRDefault="00A84AA6" w:rsidP="00A84AA6">
            <w:pPr>
              <w:pStyle w:val="TableParagraph"/>
              <w:adjustRightInd w:val="0"/>
              <w:snapToGrid w:val="0"/>
              <w:rPr>
                <w:rFonts w:ascii="Times New Roman" w:hAnsi="Times New Roman" w:cs="Times New Roman"/>
              </w:rPr>
            </w:pPr>
          </w:p>
        </w:tc>
        <w:tc>
          <w:tcPr>
            <w:tcW w:w="2311" w:type="dxa"/>
          </w:tcPr>
          <w:p w:rsidR="00A84AA6" w:rsidRPr="00D31DFB" w:rsidRDefault="00A84AA6" w:rsidP="00A84AA6">
            <w:pPr>
              <w:pStyle w:val="TableParagraph"/>
              <w:adjustRightInd w:val="0"/>
              <w:snapToGrid w:val="0"/>
              <w:ind w:right="58"/>
              <w:jc w:val="center"/>
              <w:rPr>
                <w:rFonts w:ascii="Times New Roman" w:hAnsi="Times New Roman" w:cs="Times New Roman"/>
              </w:rPr>
            </w:pPr>
            <w:r w:rsidRPr="00D31DFB">
              <w:rPr>
                <w:rFonts w:ascii="Times New Roman" w:hAnsi="Times New Roman" w:cs="Times New Roman"/>
              </w:rPr>
              <w:t xml:space="preserve">          max</w:t>
            </w:r>
          </w:p>
        </w:tc>
        <w:tc>
          <w:tcPr>
            <w:tcW w:w="441"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w:t>
            </w:r>
          </w:p>
        </w:tc>
        <w:tc>
          <w:tcPr>
            <w:tcW w:w="733" w:type="dxa"/>
          </w:tcPr>
          <w:p w:rsidR="00A84AA6" w:rsidRPr="00D31DFB" w:rsidRDefault="00A84AA6" w:rsidP="00A84AA6">
            <w:pPr>
              <w:pStyle w:val="TableParagraph"/>
              <w:adjustRightInd w:val="0"/>
              <w:snapToGrid w:val="0"/>
              <w:ind w:right="51"/>
              <w:rPr>
                <w:rFonts w:ascii="Times New Roman" w:hAnsi="Times New Roman" w:cs="Times New Roman"/>
              </w:rPr>
            </w:pPr>
            <w:r w:rsidRPr="00D31DFB">
              <w:rPr>
                <w:rFonts w:ascii="Times New Roman" w:hAnsi="Times New Roman" w:cs="Times New Roman"/>
              </w:rPr>
              <w:t>6</w:t>
            </w:r>
          </w:p>
        </w:tc>
      </w:tr>
      <w:tr w:rsidR="00A84AA6" w:rsidRPr="00D31DFB" w:rsidTr="00A84AA6">
        <w:trPr>
          <w:trHeight w:val="298"/>
          <w:jc w:val="center"/>
        </w:trPr>
        <w:tc>
          <w:tcPr>
            <w:tcW w:w="4062" w:type="dxa"/>
          </w:tcPr>
          <w:p w:rsidR="00A84AA6" w:rsidRPr="00D31DFB" w:rsidRDefault="00A84AA6" w:rsidP="00A84AA6">
            <w:pPr>
              <w:pStyle w:val="TableParagraph"/>
              <w:adjustRightInd w:val="0"/>
              <w:snapToGrid w:val="0"/>
              <w:rPr>
                <w:rFonts w:ascii="Times New Roman" w:hAnsi="Times New Roman" w:cs="Times New Roman"/>
              </w:rPr>
            </w:pPr>
          </w:p>
        </w:tc>
        <w:tc>
          <w:tcPr>
            <w:tcW w:w="551" w:type="dxa"/>
          </w:tcPr>
          <w:p w:rsidR="00A84AA6" w:rsidRPr="00D31DFB" w:rsidRDefault="00A84AA6" w:rsidP="00A84AA6">
            <w:pPr>
              <w:pStyle w:val="TableParagraph"/>
              <w:adjustRightInd w:val="0"/>
              <w:snapToGrid w:val="0"/>
              <w:rPr>
                <w:rFonts w:ascii="Times New Roman" w:hAnsi="Times New Roman" w:cs="Times New Roman"/>
              </w:rPr>
            </w:pPr>
          </w:p>
        </w:tc>
        <w:tc>
          <w:tcPr>
            <w:tcW w:w="659" w:type="dxa"/>
          </w:tcPr>
          <w:p w:rsidR="00A84AA6" w:rsidRPr="00D31DFB" w:rsidRDefault="00A84AA6" w:rsidP="00A84AA6">
            <w:pPr>
              <w:pStyle w:val="TableParagraph"/>
              <w:adjustRightInd w:val="0"/>
              <w:snapToGrid w:val="0"/>
              <w:rPr>
                <w:rFonts w:ascii="Times New Roman" w:hAnsi="Times New Roman" w:cs="Times New Roman"/>
              </w:rPr>
            </w:pPr>
          </w:p>
        </w:tc>
        <w:tc>
          <w:tcPr>
            <w:tcW w:w="2311"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 xml:space="preserve">  </w:t>
            </w:r>
            <w:proofErr w:type="gramStart"/>
            <w:r w:rsidRPr="00D31DFB">
              <w:rPr>
                <w:rFonts w:ascii="Times New Roman" w:hAnsi="Times New Roman" w:cs="Times New Roman"/>
              </w:rPr>
              <w:t>F(</w:t>
            </w:r>
            <w:proofErr w:type="gramEnd"/>
            <w:r w:rsidRPr="00D31DFB">
              <w:rPr>
                <w:rFonts w:ascii="Times New Roman" w:hAnsi="Times New Roman" w:cs="Times New Roman"/>
              </w:rPr>
              <w:t>4,66)</w:t>
            </w:r>
          </w:p>
        </w:tc>
        <w:tc>
          <w:tcPr>
            <w:tcW w:w="441"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w:t>
            </w:r>
          </w:p>
        </w:tc>
        <w:tc>
          <w:tcPr>
            <w:tcW w:w="733" w:type="dxa"/>
          </w:tcPr>
          <w:p w:rsidR="00A84AA6" w:rsidRPr="00D31DFB" w:rsidRDefault="00A84AA6" w:rsidP="00A84AA6">
            <w:pPr>
              <w:pStyle w:val="TableParagraph"/>
              <w:adjustRightInd w:val="0"/>
              <w:snapToGrid w:val="0"/>
              <w:ind w:right="51"/>
              <w:rPr>
                <w:rFonts w:ascii="Times New Roman" w:hAnsi="Times New Roman" w:cs="Times New Roman"/>
              </w:rPr>
            </w:pPr>
            <w:r w:rsidRPr="00D31DFB">
              <w:rPr>
                <w:rFonts w:ascii="Times New Roman" w:hAnsi="Times New Roman" w:cs="Times New Roman"/>
              </w:rPr>
              <w:t>115.14</w:t>
            </w:r>
          </w:p>
        </w:tc>
      </w:tr>
      <w:tr w:rsidR="00A84AA6" w:rsidRPr="00D31DFB" w:rsidTr="00A84AA6">
        <w:trPr>
          <w:trHeight w:val="315"/>
          <w:jc w:val="center"/>
        </w:trPr>
        <w:tc>
          <w:tcPr>
            <w:tcW w:w="4062" w:type="dxa"/>
          </w:tcPr>
          <w:p w:rsidR="00A84AA6" w:rsidRPr="00D31DFB" w:rsidRDefault="00A84AA6" w:rsidP="00A84AA6">
            <w:pPr>
              <w:pStyle w:val="TableParagraph"/>
              <w:tabs>
                <w:tab w:val="left" w:pos="2037"/>
              </w:tabs>
              <w:adjustRightInd w:val="0"/>
              <w:snapToGrid w:val="0"/>
              <w:ind w:left="381"/>
              <w:rPr>
                <w:rFonts w:ascii="Times New Roman" w:hAnsi="Times New Roman" w:cs="Times New Roman"/>
              </w:rPr>
            </w:pPr>
            <w:proofErr w:type="spellStart"/>
            <w:proofErr w:type="gramStart"/>
            <w:r w:rsidRPr="00D31DFB">
              <w:rPr>
                <w:rFonts w:ascii="Times New Roman" w:hAnsi="Times New Roman" w:cs="Times New Roman"/>
                <w:spacing w:val="6"/>
              </w:rPr>
              <w:t>corr</w:t>
            </w:r>
            <w:proofErr w:type="spellEnd"/>
            <w:r w:rsidRPr="00D31DFB">
              <w:rPr>
                <w:rFonts w:ascii="Times New Roman" w:hAnsi="Times New Roman" w:cs="Times New Roman"/>
                <w:spacing w:val="6"/>
              </w:rPr>
              <w:t>(</w:t>
            </w:r>
            <w:proofErr w:type="spellStart"/>
            <w:proofErr w:type="gramEnd"/>
            <w:r w:rsidRPr="00D31DFB">
              <w:rPr>
                <w:rFonts w:ascii="Times New Roman" w:hAnsi="Times New Roman" w:cs="Times New Roman"/>
                <w:spacing w:val="6"/>
              </w:rPr>
              <w:t>u_i</w:t>
            </w:r>
            <w:proofErr w:type="spellEnd"/>
            <w:r w:rsidRPr="00D31DFB">
              <w:rPr>
                <w:rFonts w:ascii="Times New Roman" w:hAnsi="Times New Roman" w:cs="Times New Roman"/>
                <w:spacing w:val="6"/>
              </w:rPr>
              <w:t>,</w:t>
            </w:r>
            <w:r w:rsidRPr="00D31DFB">
              <w:rPr>
                <w:rFonts w:ascii="Times New Roman" w:hAnsi="Times New Roman" w:cs="Times New Roman"/>
                <w:spacing w:val="22"/>
              </w:rPr>
              <w:t xml:space="preserve"> </w:t>
            </w:r>
            <w:proofErr w:type="spellStart"/>
            <w:r w:rsidRPr="00D31DFB">
              <w:rPr>
                <w:rFonts w:ascii="Times New Roman" w:hAnsi="Times New Roman" w:cs="Times New Roman"/>
                <w:spacing w:val="4"/>
              </w:rPr>
              <w:t>Xb</w:t>
            </w:r>
            <w:proofErr w:type="spellEnd"/>
            <w:r w:rsidRPr="00D31DFB">
              <w:rPr>
                <w:rFonts w:ascii="Times New Roman" w:hAnsi="Times New Roman" w:cs="Times New Roman"/>
                <w:spacing w:val="4"/>
              </w:rPr>
              <w:t>)</w:t>
            </w:r>
            <w:r w:rsidRPr="00D31DFB">
              <w:rPr>
                <w:rFonts w:ascii="Times New Roman" w:hAnsi="Times New Roman" w:cs="Times New Roman"/>
                <w:spacing w:val="4"/>
              </w:rPr>
              <w:tab/>
            </w:r>
            <w:r w:rsidRPr="00D31DFB">
              <w:rPr>
                <w:rFonts w:ascii="Times New Roman" w:hAnsi="Times New Roman" w:cs="Times New Roman"/>
              </w:rPr>
              <w:t>=</w:t>
            </w:r>
            <w:r w:rsidRPr="00D31DFB">
              <w:rPr>
                <w:rFonts w:ascii="Times New Roman" w:hAnsi="Times New Roman" w:cs="Times New Roman"/>
                <w:spacing w:val="15"/>
              </w:rPr>
              <w:t xml:space="preserve"> </w:t>
            </w:r>
            <w:r w:rsidRPr="00D31DFB">
              <w:rPr>
                <w:rFonts w:ascii="Times New Roman" w:hAnsi="Times New Roman" w:cs="Times New Roman"/>
                <w:spacing w:val="6"/>
              </w:rPr>
              <w:t>-0.6849</w:t>
            </w:r>
          </w:p>
        </w:tc>
        <w:tc>
          <w:tcPr>
            <w:tcW w:w="551" w:type="dxa"/>
          </w:tcPr>
          <w:p w:rsidR="00A84AA6" w:rsidRPr="00D31DFB" w:rsidRDefault="00A84AA6" w:rsidP="00A84AA6">
            <w:pPr>
              <w:pStyle w:val="TableParagraph"/>
              <w:adjustRightInd w:val="0"/>
              <w:snapToGrid w:val="0"/>
              <w:rPr>
                <w:rFonts w:ascii="Times New Roman" w:hAnsi="Times New Roman" w:cs="Times New Roman"/>
              </w:rPr>
            </w:pPr>
          </w:p>
        </w:tc>
        <w:tc>
          <w:tcPr>
            <w:tcW w:w="659" w:type="dxa"/>
          </w:tcPr>
          <w:p w:rsidR="00A84AA6" w:rsidRPr="00D31DFB" w:rsidRDefault="00A84AA6" w:rsidP="00A84AA6">
            <w:pPr>
              <w:pStyle w:val="TableParagraph"/>
              <w:adjustRightInd w:val="0"/>
              <w:snapToGrid w:val="0"/>
              <w:rPr>
                <w:rFonts w:ascii="Times New Roman" w:hAnsi="Times New Roman" w:cs="Times New Roman"/>
              </w:rPr>
            </w:pPr>
          </w:p>
        </w:tc>
        <w:tc>
          <w:tcPr>
            <w:tcW w:w="2311"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 xml:space="preserve">  Prob &gt; F</w:t>
            </w:r>
          </w:p>
        </w:tc>
        <w:tc>
          <w:tcPr>
            <w:tcW w:w="441"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w:t>
            </w:r>
          </w:p>
        </w:tc>
        <w:tc>
          <w:tcPr>
            <w:tcW w:w="733" w:type="dxa"/>
          </w:tcPr>
          <w:p w:rsidR="00A84AA6" w:rsidRPr="00D31DFB" w:rsidRDefault="00A84AA6" w:rsidP="00A84AA6">
            <w:pPr>
              <w:pStyle w:val="TableParagraph"/>
              <w:adjustRightInd w:val="0"/>
              <w:snapToGrid w:val="0"/>
              <w:ind w:left="-117" w:right="51" w:firstLine="117"/>
              <w:rPr>
                <w:rFonts w:ascii="Times New Roman" w:hAnsi="Times New Roman" w:cs="Times New Roman"/>
              </w:rPr>
            </w:pPr>
            <w:r w:rsidRPr="00D31DFB">
              <w:rPr>
                <w:rFonts w:ascii="Times New Roman" w:hAnsi="Times New Roman" w:cs="Times New Roman"/>
              </w:rPr>
              <w:t>0.0000</w:t>
            </w:r>
          </w:p>
        </w:tc>
      </w:tr>
    </w:tbl>
    <w:tbl>
      <w:tblPr>
        <w:tblpPr w:leftFromText="180" w:rightFromText="180" w:vertAnchor="text" w:horzAnchor="margin" w:tblpXSpec="center" w:tblpY="20"/>
        <w:tblW w:w="8779" w:type="dxa"/>
        <w:tblLayout w:type="fixed"/>
        <w:tblCellMar>
          <w:left w:w="0" w:type="dxa"/>
          <w:right w:w="0" w:type="dxa"/>
        </w:tblCellMar>
        <w:tblLook w:val="01E0" w:firstRow="1" w:lastRow="1" w:firstColumn="1" w:lastColumn="1" w:noHBand="0" w:noVBand="0"/>
      </w:tblPr>
      <w:tblGrid>
        <w:gridCol w:w="172"/>
        <w:gridCol w:w="1490"/>
        <w:gridCol w:w="1431"/>
        <w:gridCol w:w="1214"/>
        <w:gridCol w:w="275"/>
        <w:gridCol w:w="1490"/>
        <w:gridCol w:w="331"/>
        <w:gridCol w:w="1324"/>
        <w:gridCol w:w="1052"/>
      </w:tblGrid>
      <w:tr w:rsidR="00A84AA6" w:rsidRPr="00D31DFB" w:rsidTr="00A84AA6">
        <w:trPr>
          <w:trHeight w:val="378"/>
        </w:trPr>
        <w:tc>
          <w:tcPr>
            <w:tcW w:w="1662" w:type="dxa"/>
            <w:gridSpan w:val="2"/>
            <w:tcBorders>
              <w:bottom w:val="single" w:sz="4" w:space="0" w:color="auto"/>
            </w:tcBorders>
          </w:tcPr>
          <w:p w:rsidR="00A84AA6" w:rsidRPr="00D31DFB" w:rsidRDefault="00A84AA6" w:rsidP="00A84AA6">
            <w:pPr>
              <w:pStyle w:val="TableParagraph"/>
              <w:adjustRightInd w:val="0"/>
              <w:snapToGrid w:val="0"/>
              <w:ind w:right="162" w:hanging="172"/>
              <w:jc w:val="center"/>
              <w:rPr>
                <w:rFonts w:ascii="Times New Roman" w:hAnsi="Times New Roman" w:cs="Times New Roman"/>
                <w:b/>
                <w:bCs/>
              </w:rPr>
            </w:pPr>
            <w:r w:rsidRPr="00D31DFB">
              <w:rPr>
                <w:rFonts w:ascii="Times New Roman" w:hAnsi="Times New Roman" w:cs="Times New Roman"/>
                <w:b/>
                <w:bCs/>
              </w:rPr>
              <w:t xml:space="preserve">  </w:t>
            </w:r>
            <w:proofErr w:type="spellStart"/>
            <w:r w:rsidRPr="00D31DFB">
              <w:rPr>
                <w:rFonts w:ascii="Times New Roman" w:hAnsi="Times New Roman" w:cs="Times New Roman"/>
                <w:b/>
                <w:bCs/>
              </w:rPr>
              <w:t>BelanjaDaerah</w:t>
            </w:r>
            <w:proofErr w:type="spellEnd"/>
          </w:p>
        </w:tc>
        <w:tc>
          <w:tcPr>
            <w:tcW w:w="1431" w:type="dxa"/>
            <w:tcBorders>
              <w:bottom w:val="single" w:sz="4" w:space="0" w:color="auto"/>
            </w:tcBorders>
          </w:tcPr>
          <w:p w:rsidR="00A84AA6" w:rsidRPr="00D31DFB" w:rsidRDefault="00A84AA6" w:rsidP="00A84AA6">
            <w:pPr>
              <w:pStyle w:val="TableParagraph"/>
              <w:adjustRightInd w:val="0"/>
              <w:snapToGrid w:val="0"/>
              <w:ind w:right="162"/>
              <w:jc w:val="center"/>
              <w:rPr>
                <w:rFonts w:ascii="Times New Roman" w:hAnsi="Times New Roman" w:cs="Times New Roman"/>
                <w:b/>
                <w:bCs/>
              </w:rPr>
            </w:pPr>
            <w:r w:rsidRPr="00D31DFB">
              <w:rPr>
                <w:rFonts w:ascii="Times New Roman" w:hAnsi="Times New Roman" w:cs="Times New Roman"/>
                <w:b/>
                <w:bCs/>
              </w:rPr>
              <w:t>Coef.</w:t>
            </w:r>
          </w:p>
        </w:tc>
        <w:tc>
          <w:tcPr>
            <w:tcW w:w="1214" w:type="dxa"/>
            <w:tcBorders>
              <w:bottom w:val="single" w:sz="4" w:space="0" w:color="auto"/>
            </w:tcBorders>
          </w:tcPr>
          <w:p w:rsidR="00A84AA6" w:rsidRPr="00D31DFB" w:rsidRDefault="00A84AA6" w:rsidP="00A84AA6">
            <w:pPr>
              <w:pStyle w:val="TableParagraph"/>
              <w:adjustRightInd w:val="0"/>
              <w:snapToGrid w:val="0"/>
              <w:ind w:left="173"/>
              <w:jc w:val="center"/>
              <w:rPr>
                <w:rFonts w:ascii="Times New Roman" w:hAnsi="Times New Roman" w:cs="Times New Roman"/>
                <w:b/>
                <w:bCs/>
              </w:rPr>
            </w:pPr>
            <w:r w:rsidRPr="00D31DFB">
              <w:rPr>
                <w:rFonts w:ascii="Times New Roman" w:hAnsi="Times New Roman" w:cs="Times New Roman"/>
                <w:b/>
                <w:bCs/>
              </w:rPr>
              <w:t>Std. Err.</w:t>
            </w:r>
          </w:p>
        </w:tc>
        <w:tc>
          <w:tcPr>
            <w:tcW w:w="275" w:type="dxa"/>
            <w:tcBorders>
              <w:bottom w:val="single" w:sz="4" w:space="0" w:color="auto"/>
            </w:tcBorders>
          </w:tcPr>
          <w:p w:rsidR="00A84AA6" w:rsidRPr="00D31DFB" w:rsidRDefault="00A84AA6" w:rsidP="00A84AA6">
            <w:pPr>
              <w:pStyle w:val="TableParagraph"/>
              <w:adjustRightInd w:val="0"/>
              <w:snapToGrid w:val="0"/>
              <w:jc w:val="center"/>
              <w:rPr>
                <w:rFonts w:ascii="Times New Roman" w:hAnsi="Times New Roman" w:cs="Times New Roman"/>
                <w:b/>
                <w:bCs/>
              </w:rPr>
            </w:pPr>
          </w:p>
        </w:tc>
        <w:tc>
          <w:tcPr>
            <w:tcW w:w="1490" w:type="dxa"/>
            <w:tcBorders>
              <w:bottom w:val="single" w:sz="4" w:space="0" w:color="auto"/>
            </w:tcBorders>
          </w:tcPr>
          <w:p w:rsidR="00A84AA6" w:rsidRPr="00D31DFB" w:rsidRDefault="00A84AA6" w:rsidP="00A84AA6">
            <w:pPr>
              <w:pStyle w:val="TableParagraph"/>
              <w:tabs>
                <w:tab w:val="left" w:pos="551"/>
              </w:tabs>
              <w:adjustRightInd w:val="0"/>
              <w:snapToGrid w:val="0"/>
              <w:ind w:right="51"/>
              <w:jc w:val="center"/>
              <w:rPr>
                <w:rFonts w:ascii="Times New Roman" w:hAnsi="Times New Roman" w:cs="Times New Roman"/>
                <w:b/>
                <w:bCs/>
              </w:rPr>
            </w:pPr>
            <w:r w:rsidRPr="00D31DFB">
              <w:rPr>
                <w:rFonts w:ascii="Times New Roman" w:hAnsi="Times New Roman" w:cs="Times New Roman"/>
                <w:b/>
                <w:bCs/>
              </w:rPr>
              <w:t>t</w:t>
            </w:r>
            <w:r w:rsidRPr="00D31DFB">
              <w:rPr>
                <w:rFonts w:ascii="Times New Roman" w:hAnsi="Times New Roman" w:cs="Times New Roman"/>
                <w:b/>
                <w:bCs/>
              </w:rPr>
              <w:tab/>
            </w:r>
            <w:r w:rsidRPr="00D31DFB">
              <w:rPr>
                <w:rFonts w:ascii="Times New Roman" w:hAnsi="Times New Roman" w:cs="Times New Roman"/>
                <w:b/>
                <w:bCs/>
                <w:spacing w:val="5"/>
              </w:rPr>
              <w:t>P&gt;|t|</w:t>
            </w:r>
          </w:p>
        </w:tc>
        <w:tc>
          <w:tcPr>
            <w:tcW w:w="331" w:type="dxa"/>
            <w:tcBorders>
              <w:bottom w:val="single" w:sz="4" w:space="0" w:color="auto"/>
            </w:tcBorders>
          </w:tcPr>
          <w:p w:rsidR="00A84AA6" w:rsidRPr="00D31DFB" w:rsidRDefault="00A84AA6" w:rsidP="00A84AA6">
            <w:pPr>
              <w:pStyle w:val="TableParagraph"/>
              <w:adjustRightInd w:val="0"/>
              <w:snapToGrid w:val="0"/>
              <w:jc w:val="center"/>
              <w:rPr>
                <w:rFonts w:ascii="Times New Roman" w:hAnsi="Times New Roman" w:cs="Times New Roman"/>
                <w:b/>
                <w:bCs/>
              </w:rPr>
            </w:pPr>
          </w:p>
        </w:tc>
        <w:tc>
          <w:tcPr>
            <w:tcW w:w="1324" w:type="dxa"/>
            <w:tcBorders>
              <w:bottom w:val="single" w:sz="4" w:space="0" w:color="auto"/>
            </w:tcBorders>
          </w:tcPr>
          <w:p w:rsidR="00A84AA6" w:rsidRPr="00D31DFB" w:rsidRDefault="00A84AA6" w:rsidP="00A84AA6">
            <w:pPr>
              <w:pStyle w:val="TableParagraph"/>
              <w:adjustRightInd w:val="0"/>
              <w:snapToGrid w:val="0"/>
              <w:ind w:left="175"/>
              <w:jc w:val="center"/>
              <w:rPr>
                <w:rFonts w:ascii="Times New Roman" w:hAnsi="Times New Roman" w:cs="Times New Roman"/>
                <w:b/>
                <w:bCs/>
              </w:rPr>
            </w:pPr>
            <w:r w:rsidRPr="00D31DFB">
              <w:rPr>
                <w:rFonts w:ascii="Times New Roman" w:hAnsi="Times New Roman" w:cs="Times New Roman"/>
                <w:b/>
                <w:bCs/>
              </w:rPr>
              <w:t>[95% Conf.</w:t>
            </w:r>
          </w:p>
        </w:tc>
        <w:tc>
          <w:tcPr>
            <w:tcW w:w="1052" w:type="dxa"/>
            <w:tcBorders>
              <w:bottom w:val="single" w:sz="4" w:space="0" w:color="auto"/>
            </w:tcBorders>
          </w:tcPr>
          <w:p w:rsidR="00A84AA6" w:rsidRPr="00D31DFB" w:rsidRDefault="00A84AA6" w:rsidP="00A84AA6">
            <w:pPr>
              <w:pStyle w:val="TableParagraph"/>
              <w:adjustRightInd w:val="0"/>
              <w:snapToGrid w:val="0"/>
              <w:ind w:right="-15"/>
              <w:jc w:val="center"/>
              <w:rPr>
                <w:rFonts w:ascii="Times New Roman" w:hAnsi="Times New Roman" w:cs="Times New Roman"/>
                <w:b/>
                <w:bCs/>
              </w:rPr>
            </w:pPr>
            <w:r w:rsidRPr="00D31DFB">
              <w:rPr>
                <w:rFonts w:ascii="Times New Roman" w:hAnsi="Times New Roman" w:cs="Times New Roman"/>
                <w:b/>
                <w:bCs/>
              </w:rPr>
              <w:t>Interval]</w:t>
            </w:r>
          </w:p>
        </w:tc>
      </w:tr>
      <w:tr w:rsidR="00A84AA6" w:rsidRPr="00D31DFB" w:rsidTr="00A84AA6">
        <w:trPr>
          <w:gridBefore w:val="1"/>
          <w:wBefore w:w="172" w:type="dxa"/>
          <w:trHeight w:val="287"/>
        </w:trPr>
        <w:tc>
          <w:tcPr>
            <w:tcW w:w="1490"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DAU</w:t>
            </w:r>
          </w:p>
        </w:tc>
        <w:tc>
          <w:tcPr>
            <w:tcW w:w="1431"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2.187608</w:t>
            </w:r>
          </w:p>
        </w:tc>
        <w:tc>
          <w:tcPr>
            <w:tcW w:w="1214" w:type="dxa"/>
          </w:tcPr>
          <w:p w:rsidR="00A84AA6" w:rsidRPr="00D31DFB" w:rsidRDefault="00A84AA6" w:rsidP="00A84AA6">
            <w:pPr>
              <w:pStyle w:val="TableParagraph"/>
              <w:adjustRightInd w:val="0"/>
              <w:snapToGrid w:val="0"/>
              <w:ind w:left="173"/>
              <w:jc w:val="center"/>
              <w:rPr>
                <w:rFonts w:ascii="Times New Roman" w:hAnsi="Times New Roman" w:cs="Times New Roman"/>
              </w:rPr>
            </w:pPr>
            <w:r w:rsidRPr="00D31DFB">
              <w:rPr>
                <w:rFonts w:ascii="Times New Roman" w:hAnsi="Times New Roman" w:cs="Times New Roman"/>
              </w:rPr>
              <w:t>.3143158</w:t>
            </w:r>
          </w:p>
        </w:tc>
        <w:tc>
          <w:tcPr>
            <w:tcW w:w="275"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490" w:type="dxa"/>
          </w:tcPr>
          <w:p w:rsidR="00A84AA6" w:rsidRPr="00D31DFB" w:rsidRDefault="00A84AA6" w:rsidP="00A84AA6">
            <w:pPr>
              <w:pStyle w:val="TableParagraph"/>
              <w:tabs>
                <w:tab w:val="left" w:pos="772"/>
              </w:tabs>
              <w:adjustRightInd w:val="0"/>
              <w:snapToGrid w:val="0"/>
              <w:ind w:right="50"/>
              <w:jc w:val="center"/>
              <w:rPr>
                <w:rFonts w:ascii="Times New Roman" w:hAnsi="Times New Roman" w:cs="Times New Roman"/>
              </w:rPr>
            </w:pPr>
            <w:r w:rsidRPr="00D31DFB">
              <w:rPr>
                <w:rFonts w:ascii="Times New Roman" w:hAnsi="Times New Roman" w:cs="Times New Roman"/>
                <w:spacing w:val="5"/>
              </w:rPr>
              <w:t>6.96</w:t>
            </w:r>
            <w:r w:rsidRPr="00D31DFB">
              <w:rPr>
                <w:rFonts w:ascii="Times New Roman" w:hAnsi="Times New Roman" w:cs="Times New Roman"/>
                <w:spacing w:val="5"/>
              </w:rPr>
              <w:tab/>
              <w:t>0.000</w:t>
            </w:r>
          </w:p>
        </w:tc>
        <w:tc>
          <w:tcPr>
            <w:tcW w:w="331"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324" w:type="dxa"/>
          </w:tcPr>
          <w:p w:rsidR="00A84AA6" w:rsidRPr="00D31DFB" w:rsidRDefault="00A84AA6" w:rsidP="00A84AA6">
            <w:pPr>
              <w:pStyle w:val="TableParagraph"/>
              <w:adjustRightInd w:val="0"/>
              <w:snapToGrid w:val="0"/>
              <w:ind w:left="175"/>
              <w:jc w:val="center"/>
              <w:rPr>
                <w:rFonts w:ascii="Times New Roman" w:hAnsi="Times New Roman" w:cs="Times New Roman"/>
              </w:rPr>
            </w:pPr>
            <w:r w:rsidRPr="00D31DFB">
              <w:rPr>
                <w:rFonts w:ascii="Times New Roman" w:hAnsi="Times New Roman" w:cs="Times New Roman"/>
              </w:rPr>
              <w:t>1.560056</w:t>
            </w:r>
          </w:p>
        </w:tc>
        <w:tc>
          <w:tcPr>
            <w:tcW w:w="1052" w:type="dxa"/>
          </w:tcPr>
          <w:p w:rsidR="00A84AA6" w:rsidRPr="00D31DFB" w:rsidRDefault="00A84AA6" w:rsidP="00A84AA6">
            <w:pPr>
              <w:pStyle w:val="TableParagraph"/>
              <w:adjustRightInd w:val="0"/>
              <w:snapToGrid w:val="0"/>
              <w:ind w:right="-15"/>
              <w:jc w:val="center"/>
              <w:rPr>
                <w:rFonts w:ascii="Times New Roman" w:hAnsi="Times New Roman" w:cs="Times New Roman"/>
              </w:rPr>
            </w:pPr>
            <w:r w:rsidRPr="00D31DFB">
              <w:rPr>
                <w:rFonts w:ascii="Times New Roman" w:hAnsi="Times New Roman" w:cs="Times New Roman"/>
              </w:rPr>
              <w:t>2.815159</w:t>
            </w:r>
          </w:p>
        </w:tc>
      </w:tr>
      <w:tr w:rsidR="00A84AA6" w:rsidRPr="00D31DFB" w:rsidTr="00A84AA6">
        <w:trPr>
          <w:gridBefore w:val="1"/>
          <w:wBefore w:w="172" w:type="dxa"/>
          <w:trHeight w:val="194"/>
        </w:trPr>
        <w:tc>
          <w:tcPr>
            <w:tcW w:w="1490"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DBH</w:t>
            </w:r>
          </w:p>
        </w:tc>
        <w:tc>
          <w:tcPr>
            <w:tcW w:w="1431"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.2747257</w:t>
            </w:r>
          </w:p>
        </w:tc>
        <w:tc>
          <w:tcPr>
            <w:tcW w:w="1214" w:type="dxa"/>
          </w:tcPr>
          <w:p w:rsidR="00A84AA6" w:rsidRPr="00D31DFB" w:rsidRDefault="00A84AA6" w:rsidP="00A84AA6">
            <w:pPr>
              <w:pStyle w:val="TableParagraph"/>
              <w:adjustRightInd w:val="0"/>
              <w:snapToGrid w:val="0"/>
              <w:ind w:left="173"/>
              <w:jc w:val="center"/>
              <w:rPr>
                <w:rFonts w:ascii="Times New Roman" w:hAnsi="Times New Roman" w:cs="Times New Roman"/>
              </w:rPr>
            </w:pPr>
            <w:r w:rsidRPr="00D31DFB">
              <w:rPr>
                <w:rFonts w:ascii="Times New Roman" w:hAnsi="Times New Roman" w:cs="Times New Roman"/>
              </w:rPr>
              <w:t>.3675122</w:t>
            </w:r>
          </w:p>
        </w:tc>
        <w:tc>
          <w:tcPr>
            <w:tcW w:w="275"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490" w:type="dxa"/>
          </w:tcPr>
          <w:p w:rsidR="00A84AA6" w:rsidRPr="00D31DFB" w:rsidRDefault="00A84AA6" w:rsidP="00A84AA6">
            <w:pPr>
              <w:pStyle w:val="TableParagraph"/>
              <w:tabs>
                <w:tab w:val="left" w:pos="772"/>
              </w:tabs>
              <w:adjustRightInd w:val="0"/>
              <w:snapToGrid w:val="0"/>
              <w:ind w:right="50"/>
              <w:jc w:val="center"/>
              <w:rPr>
                <w:rFonts w:ascii="Times New Roman" w:hAnsi="Times New Roman" w:cs="Times New Roman"/>
              </w:rPr>
            </w:pPr>
            <w:r w:rsidRPr="00D31DFB">
              <w:rPr>
                <w:rFonts w:ascii="Times New Roman" w:hAnsi="Times New Roman" w:cs="Times New Roman"/>
                <w:spacing w:val="5"/>
              </w:rPr>
              <w:t>0.75</w:t>
            </w:r>
            <w:r w:rsidRPr="00D31DFB">
              <w:rPr>
                <w:rFonts w:ascii="Times New Roman" w:hAnsi="Times New Roman" w:cs="Times New Roman"/>
                <w:spacing w:val="5"/>
              </w:rPr>
              <w:tab/>
              <w:t>0.457</w:t>
            </w:r>
          </w:p>
        </w:tc>
        <w:tc>
          <w:tcPr>
            <w:tcW w:w="331"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324" w:type="dxa"/>
          </w:tcPr>
          <w:p w:rsidR="00A84AA6" w:rsidRPr="00D31DFB" w:rsidRDefault="00A84AA6" w:rsidP="00A84AA6">
            <w:pPr>
              <w:pStyle w:val="TableParagraph"/>
              <w:adjustRightInd w:val="0"/>
              <w:snapToGrid w:val="0"/>
              <w:ind w:left="65"/>
              <w:jc w:val="center"/>
              <w:rPr>
                <w:rFonts w:ascii="Times New Roman" w:hAnsi="Times New Roman" w:cs="Times New Roman"/>
              </w:rPr>
            </w:pPr>
            <w:r w:rsidRPr="00D31DFB">
              <w:rPr>
                <w:rFonts w:ascii="Times New Roman" w:hAnsi="Times New Roman" w:cs="Times New Roman"/>
              </w:rPr>
              <w:t>-.4590361</w:t>
            </w:r>
          </w:p>
        </w:tc>
        <w:tc>
          <w:tcPr>
            <w:tcW w:w="1052" w:type="dxa"/>
          </w:tcPr>
          <w:p w:rsidR="00A84AA6" w:rsidRPr="00D31DFB" w:rsidRDefault="00A84AA6" w:rsidP="00A84AA6">
            <w:pPr>
              <w:pStyle w:val="TableParagraph"/>
              <w:adjustRightInd w:val="0"/>
              <w:snapToGrid w:val="0"/>
              <w:ind w:right="-15"/>
              <w:jc w:val="center"/>
              <w:rPr>
                <w:rFonts w:ascii="Times New Roman" w:hAnsi="Times New Roman" w:cs="Times New Roman"/>
              </w:rPr>
            </w:pPr>
            <w:r w:rsidRPr="00D31DFB">
              <w:rPr>
                <w:rFonts w:ascii="Times New Roman" w:hAnsi="Times New Roman" w:cs="Times New Roman"/>
              </w:rPr>
              <w:t>1.008488</w:t>
            </w:r>
          </w:p>
        </w:tc>
      </w:tr>
      <w:tr w:rsidR="00A84AA6" w:rsidRPr="00D31DFB" w:rsidTr="00A84AA6">
        <w:trPr>
          <w:gridBefore w:val="1"/>
          <w:wBefore w:w="172" w:type="dxa"/>
          <w:trHeight w:val="194"/>
        </w:trPr>
        <w:tc>
          <w:tcPr>
            <w:tcW w:w="1490"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DAK</w:t>
            </w:r>
          </w:p>
        </w:tc>
        <w:tc>
          <w:tcPr>
            <w:tcW w:w="1431"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1.338198</w:t>
            </w:r>
          </w:p>
        </w:tc>
        <w:tc>
          <w:tcPr>
            <w:tcW w:w="1214" w:type="dxa"/>
          </w:tcPr>
          <w:p w:rsidR="00A84AA6" w:rsidRPr="00D31DFB" w:rsidRDefault="00A84AA6" w:rsidP="00A84AA6">
            <w:pPr>
              <w:pStyle w:val="TableParagraph"/>
              <w:adjustRightInd w:val="0"/>
              <w:snapToGrid w:val="0"/>
              <w:ind w:left="173"/>
              <w:jc w:val="center"/>
              <w:rPr>
                <w:rFonts w:ascii="Times New Roman" w:hAnsi="Times New Roman" w:cs="Times New Roman"/>
              </w:rPr>
            </w:pPr>
            <w:r w:rsidRPr="00D31DFB">
              <w:rPr>
                <w:rFonts w:ascii="Times New Roman" w:hAnsi="Times New Roman" w:cs="Times New Roman"/>
              </w:rPr>
              <w:t>.2340943</w:t>
            </w:r>
          </w:p>
        </w:tc>
        <w:tc>
          <w:tcPr>
            <w:tcW w:w="275"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490" w:type="dxa"/>
          </w:tcPr>
          <w:p w:rsidR="00A84AA6" w:rsidRPr="00D31DFB" w:rsidRDefault="00A84AA6" w:rsidP="00A84AA6">
            <w:pPr>
              <w:pStyle w:val="TableParagraph"/>
              <w:tabs>
                <w:tab w:val="left" w:pos="772"/>
              </w:tabs>
              <w:adjustRightInd w:val="0"/>
              <w:snapToGrid w:val="0"/>
              <w:ind w:right="50"/>
              <w:jc w:val="center"/>
              <w:rPr>
                <w:rFonts w:ascii="Times New Roman" w:hAnsi="Times New Roman" w:cs="Times New Roman"/>
              </w:rPr>
            </w:pPr>
            <w:r w:rsidRPr="00D31DFB">
              <w:rPr>
                <w:rFonts w:ascii="Times New Roman" w:hAnsi="Times New Roman" w:cs="Times New Roman"/>
                <w:spacing w:val="5"/>
              </w:rPr>
              <w:t>5.72</w:t>
            </w:r>
            <w:r w:rsidRPr="00D31DFB">
              <w:rPr>
                <w:rFonts w:ascii="Times New Roman" w:hAnsi="Times New Roman" w:cs="Times New Roman"/>
                <w:spacing w:val="5"/>
              </w:rPr>
              <w:tab/>
              <w:t>0.000</w:t>
            </w:r>
          </w:p>
        </w:tc>
        <w:tc>
          <w:tcPr>
            <w:tcW w:w="331"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324" w:type="dxa"/>
          </w:tcPr>
          <w:p w:rsidR="00A84AA6" w:rsidRPr="00D31DFB" w:rsidRDefault="00A84AA6" w:rsidP="00A84AA6">
            <w:pPr>
              <w:pStyle w:val="TableParagraph"/>
              <w:adjustRightInd w:val="0"/>
              <w:snapToGrid w:val="0"/>
              <w:ind w:left="175"/>
              <w:jc w:val="center"/>
              <w:rPr>
                <w:rFonts w:ascii="Times New Roman" w:hAnsi="Times New Roman" w:cs="Times New Roman"/>
              </w:rPr>
            </w:pPr>
            <w:r w:rsidRPr="00D31DFB">
              <w:rPr>
                <w:rFonts w:ascii="Times New Roman" w:hAnsi="Times New Roman" w:cs="Times New Roman"/>
              </w:rPr>
              <w:t>.8708136</w:t>
            </w:r>
          </w:p>
        </w:tc>
        <w:tc>
          <w:tcPr>
            <w:tcW w:w="1052" w:type="dxa"/>
          </w:tcPr>
          <w:p w:rsidR="00A84AA6" w:rsidRPr="00D31DFB" w:rsidRDefault="00A84AA6" w:rsidP="00A84AA6">
            <w:pPr>
              <w:pStyle w:val="TableParagraph"/>
              <w:adjustRightInd w:val="0"/>
              <w:snapToGrid w:val="0"/>
              <w:ind w:right="-15"/>
              <w:jc w:val="center"/>
              <w:rPr>
                <w:rFonts w:ascii="Times New Roman" w:hAnsi="Times New Roman" w:cs="Times New Roman"/>
              </w:rPr>
            </w:pPr>
            <w:r w:rsidRPr="00D31DFB">
              <w:rPr>
                <w:rFonts w:ascii="Times New Roman" w:hAnsi="Times New Roman" w:cs="Times New Roman"/>
              </w:rPr>
              <w:t>1.805582</w:t>
            </w:r>
          </w:p>
        </w:tc>
      </w:tr>
      <w:tr w:rsidR="00A84AA6" w:rsidRPr="00D31DFB" w:rsidTr="00A84AA6">
        <w:trPr>
          <w:gridBefore w:val="1"/>
          <w:wBefore w:w="172" w:type="dxa"/>
          <w:trHeight w:val="194"/>
        </w:trPr>
        <w:tc>
          <w:tcPr>
            <w:tcW w:w="1490"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PAD</w:t>
            </w:r>
          </w:p>
        </w:tc>
        <w:tc>
          <w:tcPr>
            <w:tcW w:w="1431"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-.3104811</w:t>
            </w:r>
          </w:p>
        </w:tc>
        <w:tc>
          <w:tcPr>
            <w:tcW w:w="1214" w:type="dxa"/>
          </w:tcPr>
          <w:p w:rsidR="00A84AA6" w:rsidRPr="00D31DFB" w:rsidRDefault="00A84AA6" w:rsidP="00A84AA6">
            <w:pPr>
              <w:pStyle w:val="TableParagraph"/>
              <w:adjustRightInd w:val="0"/>
              <w:snapToGrid w:val="0"/>
              <w:ind w:left="173"/>
              <w:jc w:val="center"/>
              <w:rPr>
                <w:rFonts w:ascii="Times New Roman" w:hAnsi="Times New Roman" w:cs="Times New Roman"/>
              </w:rPr>
            </w:pPr>
            <w:r w:rsidRPr="00D31DFB">
              <w:rPr>
                <w:rFonts w:ascii="Times New Roman" w:hAnsi="Times New Roman" w:cs="Times New Roman"/>
              </w:rPr>
              <w:t>.3510685</w:t>
            </w:r>
          </w:p>
        </w:tc>
        <w:tc>
          <w:tcPr>
            <w:tcW w:w="275"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490" w:type="dxa"/>
          </w:tcPr>
          <w:p w:rsidR="00A84AA6" w:rsidRPr="00D31DFB" w:rsidRDefault="00A84AA6" w:rsidP="00A84AA6">
            <w:pPr>
              <w:pStyle w:val="TableParagraph"/>
              <w:tabs>
                <w:tab w:val="left" w:pos="883"/>
              </w:tabs>
              <w:adjustRightInd w:val="0"/>
              <w:snapToGrid w:val="0"/>
              <w:ind w:right="50"/>
              <w:rPr>
                <w:rFonts w:ascii="Times New Roman" w:hAnsi="Times New Roman" w:cs="Times New Roman"/>
              </w:rPr>
            </w:pPr>
            <w:r w:rsidRPr="00D31DFB">
              <w:rPr>
                <w:rFonts w:ascii="Times New Roman" w:hAnsi="Times New Roman" w:cs="Times New Roman"/>
                <w:spacing w:val="5"/>
              </w:rPr>
              <w:t>-0.88    0.380</w:t>
            </w:r>
          </w:p>
        </w:tc>
        <w:tc>
          <w:tcPr>
            <w:tcW w:w="331"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324" w:type="dxa"/>
          </w:tcPr>
          <w:p w:rsidR="00A84AA6" w:rsidRPr="00D31DFB" w:rsidRDefault="00A84AA6" w:rsidP="00A84AA6">
            <w:pPr>
              <w:pStyle w:val="TableParagraph"/>
              <w:adjustRightInd w:val="0"/>
              <w:snapToGrid w:val="0"/>
              <w:ind w:left="65"/>
              <w:jc w:val="center"/>
              <w:rPr>
                <w:rFonts w:ascii="Times New Roman" w:hAnsi="Times New Roman" w:cs="Times New Roman"/>
              </w:rPr>
            </w:pPr>
            <w:r w:rsidRPr="00D31DFB">
              <w:rPr>
                <w:rFonts w:ascii="Times New Roman" w:hAnsi="Times New Roman" w:cs="Times New Roman"/>
              </w:rPr>
              <w:t>-1.011412</w:t>
            </w:r>
          </w:p>
        </w:tc>
        <w:tc>
          <w:tcPr>
            <w:tcW w:w="1052" w:type="dxa"/>
          </w:tcPr>
          <w:p w:rsidR="00A84AA6" w:rsidRPr="00D31DFB" w:rsidRDefault="00A84AA6" w:rsidP="00A84AA6">
            <w:pPr>
              <w:pStyle w:val="TableParagraph"/>
              <w:adjustRightInd w:val="0"/>
              <w:snapToGrid w:val="0"/>
              <w:ind w:right="-15"/>
              <w:jc w:val="center"/>
              <w:rPr>
                <w:rFonts w:ascii="Times New Roman" w:hAnsi="Times New Roman" w:cs="Times New Roman"/>
              </w:rPr>
            </w:pPr>
            <w:r w:rsidRPr="00D31DFB">
              <w:rPr>
                <w:rFonts w:ascii="Times New Roman" w:hAnsi="Times New Roman" w:cs="Times New Roman"/>
              </w:rPr>
              <w:t>.3904499</w:t>
            </w:r>
          </w:p>
        </w:tc>
      </w:tr>
      <w:tr w:rsidR="00A84AA6" w:rsidRPr="00D31DFB" w:rsidTr="00A84AA6">
        <w:trPr>
          <w:gridBefore w:val="1"/>
          <w:wBefore w:w="172" w:type="dxa"/>
          <w:trHeight w:val="285"/>
        </w:trPr>
        <w:tc>
          <w:tcPr>
            <w:tcW w:w="1490"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_cons</w:t>
            </w:r>
          </w:p>
        </w:tc>
        <w:tc>
          <w:tcPr>
            <w:tcW w:w="1431"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-4.98e+11</w:t>
            </w:r>
          </w:p>
        </w:tc>
        <w:tc>
          <w:tcPr>
            <w:tcW w:w="1214" w:type="dxa"/>
          </w:tcPr>
          <w:p w:rsidR="00A84AA6" w:rsidRPr="00D31DFB" w:rsidRDefault="00A84AA6" w:rsidP="00A84AA6">
            <w:pPr>
              <w:pStyle w:val="TableParagraph"/>
              <w:adjustRightInd w:val="0"/>
              <w:snapToGrid w:val="0"/>
              <w:ind w:left="173"/>
              <w:jc w:val="center"/>
              <w:rPr>
                <w:rFonts w:ascii="Times New Roman" w:hAnsi="Times New Roman" w:cs="Times New Roman"/>
              </w:rPr>
            </w:pPr>
            <w:r w:rsidRPr="00D31DFB">
              <w:rPr>
                <w:rFonts w:ascii="Times New Roman" w:hAnsi="Times New Roman" w:cs="Times New Roman"/>
              </w:rPr>
              <w:t>1.84e+11</w:t>
            </w:r>
          </w:p>
        </w:tc>
        <w:tc>
          <w:tcPr>
            <w:tcW w:w="275"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490" w:type="dxa"/>
          </w:tcPr>
          <w:p w:rsidR="00A84AA6" w:rsidRPr="00D31DFB" w:rsidRDefault="00A84AA6" w:rsidP="00A84AA6">
            <w:pPr>
              <w:pStyle w:val="TableParagraph"/>
              <w:tabs>
                <w:tab w:val="left" w:pos="883"/>
              </w:tabs>
              <w:adjustRightInd w:val="0"/>
              <w:snapToGrid w:val="0"/>
              <w:ind w:right="50"/>
              <w:rPr>
                <w:rFonts w:ascii="Times New Roman" w:hAnsi="Times New Roman" w:cs="Times New Roman"/>
              </w:rPr>
            </w:pPr>
            <w:r w:rsidRPr="00D31DFB">
              <w:rPr>
                <w:rFonts w:ascii="Times New Roman" w:hAnsi="Times New Roman" w:cs="Times New Roman"/>
                <w:spacing w:val="5"/>
              </w:rPr>
              <w:t>-2.71    0.009</w:t>
            </w:r>
          </w:p>
        </w:tc>
        <w:tc>
          <w:tcPr>
            <w:tcW w:w="331"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324" w:type="dxa"/>
          </w:tcPr>
          <w:p w:rsidR="00A84AA6" w:rsidRPr="00D31DFB" w:rsidRDefault="00A84AA6" w:rsidP="00A84AA6">
            <w:pPr>
              <w:pStyle w:val="TableParagraph"/>
              <w:adjustRightInd w:val="0"/>
              <w:snapToGrid w:val="0"/>
              <w:ind w:left="65"/>
              <w:jc w:val="center"/>
              <w:rPr>
                <w:rFonts w:ascii="Times New Roman" w:hAnsi="Times New Roman" w:cs="Times New Roman"/>
              </w:rPr>
            </w:pPr>
            <w:r w:rsidRPr="00D31DFB">
              <w:rPr>
                <w:rFonts w:ascii="Times New Roman" w:hAnsi="Times New Roman" w:cs="Times New Roman"/>
              </w:rPr>
              <w:t>-8.65e+11</w:t>
            </w:r>
          </w:p>
        </w:tc>
        <w:tc>
          <w:tcPr>
            <w:tcW w:w="1052" w:type="dxa"/>
          </w:tcPr>
          <w:p w:rsidR="00A84AA6" w:rsidRPr="00D31DFB" w:rsidRDefault="00A84AA6" w:rsidP="00A84AA6">
            <w:pPr>
              <w:pStyle w:val="TableParagraph"/>
              <w:adjustRightInd w:val="0"/>
              <w:snapToGrid w:val="0"/>
              <w:ind w:right="-15"/>
              <w:jc w:val="center"/>
              <w:rPr>
                <w:rFonts w:ascii="Times New Roman" w:hAnsi="Times New Roman" w:cs="Times New Roman"/>
              </w:rPr>
            </w:pPr>
            <w:r w:rsidRPr="00D31DFB">
              <w:rPr>
                <w:rFonts w:ascii="Times New Roman" w:hAnsi="Times New Roman" w:cs="Times New Roman"/>
              </w:rPr>
              <w:t>-1.31e+11</w:t>
            </w:r>
          </w:p>
        </w:tc>
      </w:tr>
      <w:tr w:rsidR="00A84AA6" w:rsidRPr="00D31DFB" w:rsidTr="00A84AA6">
        <w:trPr>
          <w:gridBefore w:val="1"/>
          <w:wBefore w:w="172" w:type="dxa"/>
          <w:trHeight w:val="287"/>
        </w:trPr>
        <w:tc>
          <w:tcPr>
            <w:tcW w:w="1490" w:type="dxa"/>
          </w:tcPr>
          <w:p w:rsidR="00A84AA6" w:rsidRPr="00D31DFB" w:rsidRDefault="00A84AA6" w:rsidP="00A84AA6">
            <w:pPr>
              <w:pStyle w:val="TableParagraph"/>
              <w:adjustRightInd w:val="0"/>
              <w:snapToGrid w:val="0"/>
              <w:ind w:right="162"/>
              <w:jc w:val="center"/>
              <w:rPr>
                <w:rFonts w:ascii="Times New Roman" w:hAnsi="Times New Roman" w:cs="Times New Roman"/>
              </w:rPr>
            </w:pPr>
            <w:proofErr w:type="spellStart"/>
            <w:r w:rsidRPr="00D31DFB">
              <w:rPr>
                <w:rFonts w:ascii="Times New Roman" w:hAnsi="Times New Roman" w:cs="Times New Roman"/>
              </w:rPr>
              <w:t>sigma_u</w:t>
            </w:r>
            <w:proofErr w:type="spellEnd"/>
          </w:p>
        </w:tc>
        <w:tc>
          <w:tcPr>
            <w:tcW w:w="1431"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1.901e+11</w:t>
            </w:r>
          </w:p>
        </w:tc>
        <w:tc>
          <w:tcPr>
            <w:tcW w:w="1214"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275"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490"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331"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324"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052" w:type="dxa"/>
          </w:tcPr>
          <w:p w:rsidR="00A84AA6" w:rsidRPr="00D31DFB" w:rsidRDefault="00A84AA6" w:rsidP="00A84AA6">
            <w:pPr>
              <w:pStyle w:val="TableParagraph"/>
              <w:adjustRightInd w:val="0"/>
              <w:snapToGrid w:val="0"/>
              <w:jc w:val="center"/>
              <w:rPr>
                <w:rFonts w:ascii="Times New Roman" w:hAnsi="Times New Roman" w:cs="Times New Roman"/>
              </w:rPr>
            </w:pPr>
          </w:p>
        </w:tc>
      </w:tr>
      <w:tr w:rsidR="00A84AA6" w:rsidRPr="00D31DFB" w:rsidTr="00A84AA6">
        <w:trPr>
          <w:gridBefore w:val="1"/>
          <w:wBefore w:w="172" w:type="dxa"/>
          <w:trHeight w:val="194"/>
        </w:trPr>
        <w:tc>
          <w:tcPr>
            <w:tcW w:w="1490" w:type="dxa"/>
          </w:tcPr>
          <w:p w:rsidR="00A84AA6" w:rsidRPr="00D31DFB" w:rsidRDefault="00A84AA6" w:rsidP="00A84AA6">
            <w:pPr>
              <w:pStyle w:val="TableParagraph"/>
              <w:adjustRightInd w:val="0"/>
              <w:snapToGrid w:val="0"/>
              <w:ind w:right="161"/>
              <w:jc w:val="center"/>
              <w:rPr>
                <w:rFonts w:ascii="Times New Roman" w:hAnsi="Times New Roman" w:cs="Times New Roman"/>
              </w:rPr>
            </w:pPr>
            <w:proofErr w:type="spellStart"/>
            <w:r w:rsidRPr="00D31DFB">
              <w:rPr>
                <w:rFonts w:ascii="Times New Roman" w:hAnsi="Times New Roman" w:cs="Times New Roman"/>
              </w:rPr>
              <w:t>sigma_e</w:t>
            </w:r>
            <w:proofErr w:type="spellEnd"/>
          </w:p>
        </w:tc>
        <w:tc>
          <w:tcPr>
            <w:tcW w:w="1431"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8.971e+10</w:t>
            </w:r>
          </w:p>
        </w:tc>
        <w:tc>
          <w:tcPr>
            <w:tcW w:w="1214"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275"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490"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331"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324" w:type="dxa"/>
          </w:tcPr>
          <w:p w:rsidR="00A84AA6" w:rsidRPr="00D31DFB" w:rsidRDefault="00A84AA6" w:rsidP="00A84AA6">
            <w:pPr>
              <w:pStyle w:val="TableParagraph"/>
              <w:adjustRightInd w:val="0"/>
              <w:snapToGrid w:val="0"/>
              <w:jc w:val="center"/>
              <w:rPr>
                <w:rFonts w:ascii="Times New Roman" w:hAnsi="Times New Roman" w:cs="Times New Roman"/>
              </w:rPr>
            </w:pPr>
          </w:p>
        </w:tc>
        <w:tc>
          <w:tcPr>
            <w:tcW w:w="1052" w:type="dxa"/>
          </w:tcPr>
          <w:p w:rsidR="00A84AA6" w:rsidRPr="00D31DFB" w:rsidRDefault="00A84AA6" w:rsidP="00A84AA6">
            <w:pPr>
              <w:pStyle w:val="TableParagraph"/>
              <w:adjustRightInd w:val="0"/>
              <w:snapToGrid w:val="0"/>
              <w:jc w:val="center"/>
              <w:rPr>
                <w:rFonts w:ascii="Times New Roman" w:hAnsi="Times New Roman" w:cs="Times New Roman"/>
              </w:rPr>
            </w:pPr>
          </w:p>
        </w:tc>
      </w:tr>
      <w:tr w:rsidR="00A84AA6" w:rsidRPr="00D31DFB" w:rsidTr="00A84AA6">
        <w:trPr>
          <w:gridBefore w:val="1"/>
          <w:wBefore w:w="172" w:type="dxa"/>
          <w:trHeight w:val="285"/>
        </w:trPr>
        <w:tc>
          <w:tcPr>
            <w:tcW w:w="1490" w:type="dxa"/>
          </w:tcPr>
          <w:p w:rsidR="00A84AA6" w:rsidRPr="00D31DFB" w:rsidRDefault="00A84AA6" w:rsidP="00A84AA6">
            <w:pPr>
              <w:pStyle w:val="TableParagraph"/>
              <w:adjustRightInd w:val="0"/>
              <w:snapToGrid w:val="0"/>
              <w:ind w:right="161"/>
              <w:jc w:val="center"/>
              <w:rPr>
                <w:rFonts w:ascii="Times New Roman" w:hAnsi="Times New Roman" w:cs="Times New Roman"/>
              </w:rPr>
            </w:pPr>
            <w:r w:rsidRPr="00D31DFB">
              <w:rPr>
                <w:rFonts w:ascii="Times New Roman" w:hAnsi="Times New Roman" w:cs="Times New Roman"/>
              </w:rPr>
              <w:t>rho</w:t>
            </w:r>
          </w:p>
        </w:tc>
        <w:tc>
          <w:tcPr>
            <w:tcW w:w="1431" w:type="dxa"/>
          </w:tcPr>
          <w:p w:rsidR="00A84AA6" w:rsidRPr="00D31DFB" w:rsidRDefault="00A84AA6" w:rsidP="00A84AA6">
            <w:pPr>
              <w:pStyle w:val="TableParagraph"/>
              <w:adjustRightInd w:val="0"/>
              <w:snapToGrid w:val="0"/>
              <w:ind w:right="162"/>
              <w:jc w:val="center"/>
              <w:rPr>
                <w:rFonts w:ascii="Times New Roman" w:hAnsi="Times New Roman" w:cs="Times New Roman"/>
              </w:rPr>
            </w:pPr>
            <w:r w:rsidRPr="00D31DFB">
              <w:rPr>
                <w:rFonts w:ascii="Times New Roman" w:hAnsi="Times New Roman" w:cs="Times New Roman"/>
              </w:rPr>
              <w:t>.81791079</w:t>
            </w:r>
          </w:p>
        </w:tc>
        <w:tc>
          <w:tcPr>
            <w:tcW w:w="1214" w:type="dxa"/>
          </w:tcPr>
          <w:p w:rsidR="00A84AA6" w:rsidRPr="00D31DFB" w:rsidRDefault="00A84AA6" w:rsidP="00A84AA6">
            <w:pPr>
              <w:pStyle w:val="TableParagraph"/>
              <w:adjustRightInd w:val="0"/>
              <w:snapToGrid w:val="0"/>
              <w:ind w:left="173"/>
              <w:jc w:val="center"/>
              <w:rPr>
                <w:rFonts w:ascii="Times New Roman" w:hAnsi="Times New Roman" w:cs="Times New Roman"/>
              </w:rPr>
            </w:pPr>
            <w:r w:rsidRPr="00D31DFB">
              <w:rPr>
                <w:rFonts w:ascii="Times New Roman" w:hAnsi="Times New Roman" w:cs="Times New Roman"/>
              </w:rPr>
              <w:t>(fraction</w:t>
            </w:r>
          </w:p>
        </w:tc>
        <w:tc>
          <w:tcPr>
            <w:tcW w:w="275" w:type="dxa"/>
          </w:tcPr>
          <w:p w:rsidR="00A84AA6" w:rsidRPr="00D31DFB" w:rsidRDefault="00A84AA6" w:rsidP="00A84AA6">
            <w:pPr>
              <w:pStyle w:val="TableParagraph"/>
              <w:adjustRightInd w:val="0"/>
              <w:snapToGrid w:val="0"/>
              <w:ind w:left="64" w:right="-15"/>
              <w:jc w:val="center"/>
              <w:rPr>
                <w:rFonts w:ascii="Times New Roman" w:hAnsi="Times New Roman" w:cs="Times New Roman"/>
              </w:rPr>
            </w:pPr>
            <w:r w:rsidRPr="00D31DFB">
              <w:rPr>
                <w:rFonts w:ascii="Times New Roman" w:hAnsi="Times New Roman" w:cs="Times New Roman"/>
                <w:spacing w:val="3"/>
              </w:rPr>
              <w:t>of</w:t>
            </w:r>
          </w:p>
        </w:tc>
        <w:tc>
          <w:tcPr>
            <w:tcW w:w="1490" w:type="dxa"/>
          </w:tcPr>
          <w:p w:rsidR="00A84AA6" w:rsidRPr="00D31DFB" w:rsidRDefault="00A84AA6" w:rsidP="00A84AA6">
            <w:pPr>
              <w:pStyle w:val="TableParagraph"/>
              <w:adjustRightInd w:val="0"/>
              <w:snapToGrid w:val="0"/>
              <w:ind w:right="51"/>
              <w:jc w:val="center"/>
              <w:rPr>
                <w:rFonts w:ascii="Times New Roman" w:hAnsi="Times New Roman" w:cs="Times New Roman"/>
              </w:rPr>
            </w:pPr>
            <w:r w:rsidRPr="00D31DFB">
              <w:rPr>
                <w:rFonts w:ascii="Times New Roman" w:hAnsi="Times New Roman" w:cs="Times New Roman"/>
              </w:rPr>
              <w:t>variance due</w:t>
            </w:r>
          </w:p>
        </w:tc>
        <w:tc>
          <w:tcPr>
            <w:tcW w:w="331" w:type="dxa"/>
          </w:tcPr>
          <w:p w:rsidR="00A84AA6" w:rsidRPr="00D31DFB" w:rsidRDefault="00A84AA6" w:rsidP="00A84AA6">
            <w:pPr>
              <w:pStyle w:val="TableParagraph"/>
              <w:adjustRightInd w:val="0"/>
              <w:snapToGrid w:val="0"/>
              <w:ind w:left="65"/>
              <w:jc w:val="center"/>
              <w:rPr>
                <w:rFonts w:ascii="Times New Roman" w:hAnsi="Times New Roman" w:cs="Times New Roman"/>
              </w:rPr>
            </w:pPr>
            <w:r w:rsidRPr="00D31DFB">
              <w:rPr>
                <w:rFonts w:ascii="Times New Roman" w:hAnsi="Times New Roman" w:cs="Times New Roman"/>
              </w:rPr>
              <w:t>to</w:t>
            </w:r>
          </w:p>
        </w:tc>
        <w:tc>
          <w:tcPr>
            <w:tcW w:w="1324" w:type="dxa"/>
          </w:tcPr>
          <w:p w:rsidR="00A84AA6" w:rsidRPr="00D31DFB" w:rsidRDefault="00A84AA6" w:rsidP="00A84AA6">
            <w:pPr>
              <w:pStyle w:val="TableParagraph"/>
              <w:adjustRightInd w:val="0"/>
              <w:snapToGrid w:val="0"/>
              <w:ind w:left="66"/>
              <w:rPr>
                <w:rFonts w:ascii="Times New Roman" w:hAnsi="Times New Roman" w:cs="Times New Roman"/>
              </w:rPr>
            </w:pPr>
            <w:proofErr w:type="spellStart"/>
            <w:r w:rsidRPr="00D31DFB">
              <w:rPr>
                <w:rFonts w:ascii="Times New Roman" w:hAnsi="Times New Roman" w:cs="Times New Roman"/>
              </w:rPr>
              <w:t>u_i</w:t>
            </w:r>
            <w:proofErr w:type="spellEnd"/>
            <w:r w:rsidRPr="00D31DFB">
              <w:rPr>
                <w:rFonts w:ascii="Times New Roman" w:hAnsi="Times New Roman" w:cs="Times New Roman"/>
              </w:rPr>
              <w:t>)</w:t>
            </w:r>
          </w:p>
        </w:tc>
        <w:tc>
          <w:tcPr>
            <w:tcW w:w="1052" w:type="dxa"/>
          </w:tcPr>
          <w:p w:rsidR="00A84AA6" w:rsidRPr="00D31DFB" w:rsidRDefault="00A84AA6" w:rsidP="00A84AA6">
            <w:pPr>
              <w:pStyle w:val="TableParagraph"/>
              <w:adjustRightInd w:val="0"/>
              <w:snapToGrid w:val="0"/>
              <w:jc w:val="center"/>
              <w:rPr>
                <w:rFonts w:ascii="Times New Roman" w:hAnsi="Times New Roman" w:cs="Times New Roman"/>
              </w:rPr>
            </w:pPr>
          </w:p>
        </w:tc>
      </w:tr>
    </w:tbl>
    <w:tbl>
      <w:tblPr>
        <w:tblW w:w="8864"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0"/>
        <w:gridCol w:w="213"/>
        <w:gridCol w:w="4247"/>
        <w:gridCol w:w="2956"/>
        <w:gridCol w:w="1388"/>
      </w:tblGrid>
      <w:tr w:rsidR="00A84AA6" w:rsidRPr="00D31DFB" w:rsidTr="00A84AA6">
        <w:trPr>
          <w:trHeight w:val="291"/>
          <w:jc w:val="center"/>
        </w:trPr>
        <w:tc>
          <w:tcPr>
            <w:tcW w:w="60" w:type="dxa"/>
          </w:tcPr>
          <w:p w:rsidR="00A84AA6" w:rsidRPr="00D31DFB" w:rsidRDefault="00A84AA6" w:rsidP="00A84AA6">
            <w:pPr>
              <w:pStyle w:val="TableParagraph"/>
              <w:adjustRightInd w:val="0"/>
              <w:snapToGrid w:val="0"/>
              <w:rPr>
                <w:rFonts w:ascii="Times New Roman" w:hAnsi="Times New Roman" w:cs="Times New Roman"/>
              </w:rPr>
            </w:pPr>
          </w:p>
        </w:tc>
        <w:tc>
          <w:tcPr>
            <w:tcW w:w="213" w:type="dxa"/>
          </w:tcPr>
          <w:p w:rsidR="00A84AA6" w:rsidRPr="00D31DFB" w:rsidRDefault="00A84AA6" w:rsidP="00A84AA6">
            <w:pPr>
              <w:pStyle w:val="TableParagraph"/>
              <w:adjustRightInd w:val="0"/>
              <w:snapToGrid w:val="0"/>
              <w:jc w:val="center"/>
              <w:rPr>
                <w:rFonts w:ascii="Times New Roman" w:hAnsi="Times New Roman" w:cs="Times New Roman"/>
              </w:rPr>
            </w:pPr>
            <w:r w:rsidRPr="00D31DFB">
              <w:rPr>
                <w:rFonts w:ascii="Times New Roman" w:hAnsi="Times New Roman" w:cs="Times New Roman"/>
              </w:rPr>
              <w:t>F</w:t>
            </w:r>
          </w:p>
        </w:tc>
        <w:tc>
          <w:tcPr>
            <w:tcW w:w="4247" w:type="dxa"/>
          </w:tcPr>
          <w:p w:rsidR="00A84AA6" w:rsidRPr="00D31DFB" w:rsidRDefault="00A84AA6" w:rsidP="00A84AA6">
            <w:pPr>
              <w:pStyle w:val="TableParagraph"/>
              <w:adjustRightInd w:val="0"/>
              <w:snapToGrid w:val="0"/>
              <w:ind w:left="59"/>
              <w:rPr>
                <w:rFonts w:ascii="Times New Roman" w:hAnsi="Times New Roman" w:cs="Times New Roman"/>
              </w:rPr>
            </w:pPr>
            <w:r w:rsidRPr="00D31DFB">
              <w:rPr>
                <w:rFonts w:ascii="Times New Roman" w:hAnsi="Times New Roman" w:cs="Times New Roman"/>
              </w:rPr>
              <w:t xml:space="preserve">test that all </w:t>
            </w:r>
            <w:proofErr w:type="spellStart"/>
            <w:r w:rsidRPr="00D31DFB">
              <w:rPr>
                <w:rFonts w:ascii="Times New Roman" w:hAnsi="Times New Roman" w:cs="Times New Roman"/>
              </w:rPr>
              <w:t>u_i</w:t>
            </w:r>
            <w:proofErr w:type="spellEnd"/>
            <w:r w:rsidRPr="00D31DFB">
              <w:rPr>
                <w:rFonts w:ascii="Times New Roman" w:hAnsi="Times New Roman" w:cs="Times New Roman"/>
              </w:rPr>
              <w:t xml:space="preserve">=0: </w:t>
            </w:r>
            <w:proofErr w:type="gramStart"/>
            <w:r w:rsidRPr="00D31DFB">
              <w:rPr>
                <w:rFonts w:ascii="Times New Roman" w:hAnsi="Times New Roman" w:cs="Times New Roman"/>
              </w:rPr>
              <w:t>F(</w:t>
            </w:r>
            <w:proofErr w:type="gramEnd"/>
            <w:r w:rsidRPr="00D31DFB">
              <w:rPr>
                <w:rFonts w:ascii="Times New Roman" w:hAnsi="Times New Roman" w:cs="Times New Roman"/>
              </w:rPr>
              <w:t>13, 66) = 3.35</w:t>
            </w:r>
          </w:p>
        </w:tc>
        <w:tc>
          <w:tcPr>
            <w:tcW w:w="2956" w:type="dxa"/>
          </w:tcPr>
          <w:p w:rsidR="00A84AA6" w:rsidRPr="00D31DFB" w:rsidRDefault="00A84AA6" w:rsidP="00A84AA6">
            <w:pPr>
              <w:pStyle w:val="TableParagraph"/>
              <w:adjustRightInd w:val="0"/>
              <w:snapToGrid w:val="0"/>
              <w:ind w:right="56"/>
              <w:jc w:val="center"/>
              <w:rPr>
                <w:rFonts w:ascii="Times New Roman" w:hAnsi="Times New Roman" w:cs="Times New Roman"/>
              </w:rPr>
            </w:pPr>
            <w:r w:rsidRPr="00D31DFB">
              <w:rPr>
                <w:rFonts w:ascii="Times New Roman" w:hAnsi="Times New Roman" w:cs="Times New Roman"/>
              </w:rPr>
              <w:t xml:space="preserve">                                       Prob</w:t>
            </w:r>
          </w:p>
        </w:tc>
        <w:tc>
          <w:tcPr>
            <w:tcW w:w="1388" w:type="dxa"/>
          </w:tcPr>
          <w:p w:rsidR="00A84AA6" w:rsidRPr="00D31DFB" w:rsidRDefault="00A84AA6" w:rsidP="00A84AA6">
            <w:pPr>
              <w:pStyle w:val="TableParagraph"/>
              <w:adjustRightInd w:val="0"/>
              <w:snapToGrid w:val="0"/>
              <w:rPr>
                <w:rFonts w:ascii="Times New Roman" w:hAnsi="Times New Roman" w:cs="Times New Roman"/>
              </w:rPr>
            </w:pPr>
            <w:r w:rsidRPr="00D31DFB">
              <w:rPr>
                <w:rFonts w:ascii="Times New Roman" w:hAnsi="Times New Roman" w:cs="Times New Roman"/>
              </w:rPr>
              <w:t>&gt; F =</w:t>
            </w:r>
            <w:r w:rsidRPr="00D31DFB">
              <w:rPr>
                <w:rFonts w:ascii="Times New Roman" w:hAnsi="Times New Roman" w:cs="Times New Roman"/>
                <w:spacing w:val="58"/>
              </w:rPr>
              <w:t xml:space="preserve"> </w:t>
            </w:r>
            <w:r w:rsidRPr="00D31DFB">
              <w:rPr>
                <w:rFonts w:ascii="Times New Roman" w:hAnsi="Times New Roman" w:cs="Times New Roman"/>
                <w:spacing w:val="5"/>
              </w:rPr>
              <w:t>0.0006</w:t>
            </w:r>
          </w:p>
        </w:tc>
      </w:tr>
    </w:tbl>
    <w:p w:rsidR="00D31DFB" w:rsidRPr="00D31DFB" w:rsidRDefault="00D31DFB" w:rsidP="00D31DFB">
      <w:pPr>
        <w:widowControl w:val="0"/>
        <w:autoSpaceDE w:val="0"/>
        <w:autoSpaceDN w:val="0"/>
        <w:adjustRightInd w:val="0"/>
        <w:snapToGrid w:val="0"/>
      </w:pPr>
      <w:r w:rsidRPr="00D31DFB">
        <w:t>Source : Processed Research (2020)</w:t>
      </w:r>
    </w:p>
    <w:p w:rsidR="00D31DFB" w:rsidRPr="00D31DFB" w:rsidRDefault="00D31DFB" w:rsidP="00A84AA6">
      <w:pPr>
        <w:widowControl w:val="0"/>
        <w:autoSpaceDE w:val="0"/>
        <w:autoSpaceDN w:val="0"/>
        <w:adjustRightInd w:val="0"/>
        <w:snapToGrid w:val="0"/>
        <w:rPr>
          <w:shd w:val="clear" w:color="auto" w:fill="FFFFFF"/>
        </w:rPr>
      </w:pPr>
    </w:p>
    <w:p w:rsidR="00A84AA6" w:rsidRPr="00D31DFB" w:rsidRDefault="00A84AA6" w:rsidP="00A84AA6">
      <w:pPr>
        <w:widowControl w:val="0"/>
        <w:autoSpaceDE w:val="0"/>
        <w:autoSpaceDN w:val="0"/>
        <w:adjustRightInd w:val="0"/>
        <w:snapToGrid w:val="0"/>
        <w:ind w:firstLine="720"/>
        <w:jc w:val="both"/>
        <w:rPr>
          <w:shd w:val="clear" w:color="auto" w:fill="FFFFFF"/>
        </w:rPr>
      </w:pPr>
      <w:r w:rsidRPr="00D31DFB">
        <w:rPr>
          <w:shd w:val="clear" w:color="auto" w:fill="FFFFFF"/>
        </w:rPr>
        <w:t xml:space="preserve">On </w:t>
      </w:r>
      <w:proofErr w:type="spellStart"/>
      <w:r w:rsidRPr="00D31DFB">
        <w:rPr>
          <w:shd w:val="clear" w:color="auto" w:fill="FFFFFF"/>
        </w:rPr>
        <w:t>the</w:t>
      </w:r>
      <w:proofErr w:type="spellEnd"/>
      <w:r w:rsidRPr="00D31DFB">
        <w:rPr>
          <w:shd w:val="clear" w:color="auto" w:fill="FFFFFF"/>
        </w:rPr>
        <w:t xml:space="preserve"> </w:t>
      </w:r>
      <w:proofErr w:type="spellStart"/>
      <w:r w:rsidRPr="00D31DFB">
        <w:rPr>
          <w:shd w:val="clear" w:color="auto" w:fill="FFFFFF"/>
        </w:rPr>
        <w:t>other</w:t>
      </w:r>
      <w:proofErr w:type="spellEnd"/>
      <w:r w:rsidRPr="00D31DFB">
        <w:rPr>
          <w:shd w:val="clear" w:color="auto" w:fill="FFFFFF"/>
        </w:rPr>
        <w:t xml:space="preserve"> </w:t>
      </w:r>
      <w:proofErr w:type="spellStart"/>
      <w:r w:rsidRPr="00D31DFB">
        <w:rPr>
          <w:shd w:val="clear" w:color="auto" w:fill="FFFFFF"/>
        </w:rPr>
        <w:t>hand</w:t>
      </w:r>
      <w:proofErr w:type="spellEnd"/>
      <w:r w:rsidRPr="00D31DFB">
        <w:rPr>
          <w:shd w:val="clear" w:color="auto" w:fill="FFFFFF"/>
        </w:rPr>
        <w:t xml:space="preserve">, </w:t>
      </w:r>
      <w:proofErr w:type="spellStart"/>
      <w:r w:rsidRPr="00D31DFB">
        <w:t>original</w:t>
      </w:r>
      <w:proofErr w:type="spellEnd"/>
      <w:r w:rsidRPr="00D31DFB">
        <w:t xml:space="preserve"> local government revenue </w:t>
      </w:r>
      <w:r w:rsidRPr="00D31DFB">
        <w:rPr>
          <w:shd w:val="clear" w:color="auto" w:fill="FFFFFF"/>
        </w:rPr>
        <w:t xml:space="preserve">is negative and not significant in affecting government spending where the p-value (0.380) is more significant than 0.05. It implies that a 1 unit increase of PAD will not decrease government spending by 4,98 units. This outcome is in line with research from </w:t>
      </w:r>
      <w:r w:rsidRPr="00D31DFB">
        <w:rPr>
          <w:shd w:val="clear" w:color="auto" w:fill="FFFFFF"/>
        </w:rPr>
        <w:fldChar w:fldCharType="begin" w:fldLock="1"/>
      </w:r>
      <w:r w:rsidRPr="00D31DFB">
        <w:rPr>
          <w:shd w:val="clear" w:color="auto" w:fill="FFFFFF"/>
        </w:rPr>
        <w:instrText>ADDIN CSL_CITATION {"citationItems":[{"id":"ITEM-1","itemData":{"DOI":"10.24843/ejmunud.2019.v08.i05.p09","ISSN":"2302-8912","abstract":"Penelitian ini bertujuan untuk mengetahui pengaruh PAD dan dana perimbangan terhadap kinerja keuangan pemerintah daerah. Penelitian ini dilakukan di Kota Denpasar, Kabupaten Badung, Kabupaten Gianyar, dan Kabupaten Tabanan atau sering disebut dengan wilayah Sarbagita. Desain penelitian dalam penelitian ini menggunakan pendekatan asosiatif. Populasi dan sampel dalam penelitian ini adalah pemerintah Kota Denpasar, Kabupaten Badung, Kabupaten Gianyar, dan Kabupaten Tabanan (wilayah Sarbagita) dengan metode penentuan sampel yang digunakan adalah metode sampling jenuh. Pengumpulan data menggunakan metode observasi non partisipan dengan cara observasi pada laporan realisasi APDB pemerintah Kabupaten/Kota di wilayah Sarbagita tahun anggaran 2012-2016 dengan teknik analisis yang digunakan adalah regresi linier berganda. Hasil analisis menunjukkan bahwa PAD dan dana perimbangan berpengaruh negatif signifikan terhadap kinerja keuangan pemerintah daerah. Hasil ini menunjukkan bahwa semakin meningkatnya perolehan PAD dan penerimaan dana perimbangan akan diikuti dengan penurunan kinerja keuangan pemerintah daerah.\r  \r Kata kunci: pendapatan asli daerah, dana perimbangan, kinerja keuangan pemerintah daerah","author":[{"dropping-particle":"","family":"Putri","given":"Ni Kadek Novia Indrawati","non-dropping-particle":"","parse-names":false,"suffix":""},{"dropping-particle":"","family":"Darmayanti","given":"Ni Putu Ayu","non-dropping-particle":"","parse-names":false,"suffix":""}],"container-title":"E-Jurnal Manajemen Universitas Udayana","id":"ITEM-1","issue":"5","issued":{"date-parts":[["2019"]]},"page":"2834","title":"Pengaruh Pad Dan Dana Perimbangan Terhadap Kinerja Keuangan Pemerintah Daerah Di Wilayah Sarbagita Provinsi Bali","type":"article-journal","volume":"8"},"uris":["http://www.mendeley.com/documents/?uuid=7d4061d9-910a-4212-bd18-c5e9323dd99e"]}],"mendeley":{"formattedCitation":"(N. K. N. I. Putri &amp; Darmayanti, 2019)","plainTextFormattedCitation":"(N. K. N. I. Putri &amp; Darmayanti, 2019)","previouslyFormattedCitation":"(N. K. N. I. Putri &amp; Darmayanti, 2019)"},"properties":{"noteIndex":0},"schema":"https://github.com/citation-style-language/schema/raw/master/csl-citation.json"}</w:instrText>
      </w:r>
      <w:r w:rsidRPr="00D31DFB">
        <w:rPr>
          <w:shd w:val="clear" w:color="auto" w:fill="FFFFFF"/>
        </w:rPr>
        <w:fldChar w:fldCharType="separate"/>
      </w:r>
      <w:r w:rsidRPr="00D31DFB">
        <w:rPr>
          <w:noProof/>
          <w:shd w:val="clear" w:color="auto" w:fill="FFFFFF"/>
        </w:rPr>
        <w:t>Putri &amp; Darmayanti (2019)</w:t>
      </w:r>
      <w:r w:rsidRPr="00D31DFB">
        <w:rPr>
          <w:shd w:val="clear" w:color="auto" w:fill="FFFFFF"/>
        </w:rPr>
        <w:fldChar w:fldCharType="end"/>
      </w:r>
      <w:r w:rsidRPr="00D31DFB">
        <w:rPr>
          <w:shd w:val="clear" w:color="auto" w:fill="FFFFFF"/>
        </w:rPr>
        <w:t xml:space="preserve"> concludes that PAD is negative but significant on government spending and </w:t>
      </w:r>
      <w:r w:rsidRPr="00D31DFB">
        <w:rPr>
          <w:shd w:val="clear" w:color="auto" w:fill="FFFFFF"/>
        </w:rPr>
        <w:fldChar w:fldCharType="begin" w:fldLock="1"/>
      </w:r>
      <w:r w:rsidRPr="00D31DFB">
        <w:rPr>
          <w:shd w:val="clear" w:color="auto" w:fill="FFFFFF"/>
        </w:rPr>
        <w:instrText>ADDIN CSL_CITATION {"citationItems":[{"id":"ITEM-1","itemData":{"ISBN":"1966030819","abstract":"Wandira, Arbie Gugus. 2013. Effect of Revenue, General Allocation Fund, Special Allocation Fund, and Revenue Sharing against Capital Expenditure Budget Allocation (Empirical Study of the Provincial Government in Indonesia 2012). Final Project. Accounting Departement. Faculty of Economics. State University of Semarang. Advisor. Amir Mahmud, S.Pd. M.Si. Co Advisor. Kiswanto, SE. M.Si","author":[{"dropping-particle":"","family":"Wandira","given":"arbie gugus","non-dropping-particle":"","parse-names":false,"suffix":""}],"id":"ITEM-1","issued":{"date-parts":[["2013"]]},"number-of-pages":"9-132","title":"Pengaruh Pendapatan Asli Daerah ( Pad ), Dana Alokasi Umum ( Dau ), Dana Alokasi Terhadap Pengalokasian","type":"book"},"uris":["http://www.mendeley.com/documents/?uuid=79f0c961-2f00-4d01-a807-f82f35eb3220"]}],"mendeley":{"formattedCitation":"(Wandira, 2013)","plainTextFormattedCitation":"(Wandira, 2013)","previouslyFormattedCitation":"(Wandira, 2013)"},"properties":{"noteIndex":0},"schema":"https://github.com/citation-style-language/schema/raw/master/csl-citation.json"}</w:instrText>
      </w:r>
      <w:r w:rsidRPr="00D31DFB">
        <w:rPr>
          <w:shd w:val="clear" w:color="auto" w:fill="FFFFFF"/>
        </w:rPr>
        <w:fldChar w:fldCharType="separate"/>
      </w:r>
      <w:r w:rsidRPr="00D31DFB">
        <w:rPr>
          <w:noProof/>
          <w:shd w:val="clear" w:color="auto" w:fill="FFFFFF"/>
        </w:rPr>
        <w:t>Wandira (2013)</w:t>
      </w:r>
      <w:r w:rsidRPr="00D31DFB">
        <w:rPr>
          <w:shd w:val="clear" w:color="auto" w:fill="FFFFFF"/>
        </w:rPr>
        <w:fldChar w:fldCharType="end"/>
      </w:r>
      <w:r w:rsidRPr="00D31DFB">
        <w:rPr>
          <w:shd w:val="clear" w:color="auto" w:fill="FFFFFF"/>
        </w:rPr>
        <w:t xml:space="preserve"> explains that PAD is not significant on spending. In general, all variables in this model provide a better fit and influence the government budget. The p-value of  F-statistic (0.0006) is less than 0.05. </w:t>
      </w:r>
    </w:p>
    <w:p w:rsidR="00A84AA6" w:rsidRPr="00D31DFB" w:rsidRDefault="00A84AA6" w:rsidP="00A84AA6">
      <w:pPr>
        <w:widowControl w:val="0"/>
        <w:autoSpaceDE w:val="0"/>
        <w:autoSpaceDN w:val="0"/>
        <w:adjustRightInd w:val="0"/>
        <w:snapToGrid w:val="0"/>
        <w:jc w:val="both"/>
        <w:rPr>
          <w:shd w:val="clear" w:color="auto" w:fill="FFFFFF"/>
        </w:rPr>
      </w:pPr>
      <w:r w:rsidRPr="00D31DFB">
        <w:t xml:space="preserve">The Flypaper effect is calculated by the coefficient or value of the independent variables. If the coefficient value of a balanced budget is greater than the </w:t>
      </w:r>
      <w:r w:rsidRPr="00D31DFB">
        <w:rPr>
          <w:bCs/>
        </w:rPr>
        <w:t xml:space="preserve">original local government, </w:t>
      </w:r>
      <w:r w:rsidRPr="00D31DFB">
        <w:t xml:space="preserve">and both are significant, it can be assumed that a flypaper effect occurs. The results obtained in Table 4 show that the DAU coefficient of 2.187608 and DAK 1.338198 is more dominant than the PAD coefficient of -0.3104811, thus indicating a flypaper effect on the management of regional expenditures in regencies/cities in West Kalimantan Province. Simultaneously, DBH did not find a flypaper effect because it has a coefficient value of 0.2747257, which is smaller than the PAD coefficient. This study is in line with several findings </w:t>
      </w:r>
      <w:r w:rsidRPr="00D31DFB">
        <w:rPr>
          <w:shd w:val="clear" w:color="auto" w:fill="FFFFFF"/>
        </w:rPr>
        <w:fldChar w:fldCharType="begin" w:fldLock="1"/>
      </w:r>
      <w:r w:rsidRPr="00D31DFB">
        <w:rPr>
          <w:shd w:val="clear" w:color="auto" w:fill="FFFFFF"/>
        </w:rPr>
        <w:instrText>ADDIN CSL_CITATION {"citationItems":[{"id":"ITEM-1","itemData":{"abstract":"Penelitian ini bertujuan untuk mengetahui pengaruh Pendapatan Asli Daerah, Dana Perimbangan yang terdiri dari Dana Alokasi Umum, Dana Alokasi Khusus dan Dana Bagi Hasil serta Belanja Pegawai terhadap Belanja Modal pada Pemerintah Kota Surakarta. Penelitian ini diharapkan dqpat digunakan sebagai bahan masukan dan kontribusi pengembangan ilmu pengetahuan akuntansi sektor publik dan juga sebagai bahan pertimbangan Pemkot Surakarta dalam mengalokasikan belanja modal. Teknik pengumpulan data adalah dokumentasi, yang dilakukan dengan mengumpulkan data sekunder, mencatat, dan mengolah data yang berkaitan dengan penelitian. Analisis data dalam penelitian ini menggunakan Statistik Deskriptif, Uji Asumsi Klasik, regresi linear berganda dengan uji F, uji t, dan koefisien determinasi. Hasil Penelitian menunjukan bahwa belanja pegawai berpengaruh negatif terhadap belanja modal, Pendapatan Asli Daerah dan Dana Alokasi Umum berpengaruh terhadap belanja modal. Sedangkan Dana Alokasi Khusus dan Dana Bagi Hasil tidak berpengaruh terhadap belanja modal.","author":[{"dropping-particle":"","family":"Prastiwi, Ayu, Nurlaela","given":"Siti","non-dropping-particle":"","parse-names":false,"suffix":""},{"dropping-particle":"","family":"dan Chomsatu","given":"Yuli","non-dropping-particle":"","parse-names":false,"suffix":""}],"container-title":"Seminar Nasional IENACO-2016","id":"ITEM-1","issued":{"date-parts":[["2016"]]},"page":"872-879","title":"Pengaruh Pendapatan Asli Daerah, Dana Perimbangan Dan Belanja Pengawai Terhadap Belanja Modal Pemerintah Kota Surakarta","type":"article-journal"},"uris":["http://www.mendeley.com/documents/?uuid=6ff3d278-66e7-4563-a11f-0318298fbfcc"]},{"id":"ITEM-2","itemData":{"DOI":"10.32493/jabi.v2i1.y2019.p104-122","ISSN":"2614-8447","abstract":" ABSTRAKPenulis mempunyai tujuan untuk dapat menganalisis, menguji dan kemudian membuktikan apakah Belanja Modal pada Pemda Kabupaten/Kota di Jawa Timur tahun 2011-2014 dipengaruhi oleh variabel Pertumbuhan Ekonomi Daerah serta variabel-variabel penerimaan seperti PAD, DAU dan DBH.Dasar pengambilan sample adalah sample yang memenuhi kriteria atau syarat tertentu dengan metode Purposive sampling, dimana populasinya adalah data realisasi APBD Pemda Kabupaten/Kota di Jawa Timur. Alat uji yang digunakan untuk menguji data yang ada adalah uji asumsi klasik dan analisis regresi linier berganda menggunakan SPSS versi 24 untuk windows.Dari serangkain pengujian yang dilakukan menghasilkan data yang dapat membuktikan bahwa secara parsial baik variabel bebas Pertumbuhan Ekonomi Daerah maupun DBH tidak berpengaruh signifikan terhadap Belanja Modal, sementara itu variabel bebas PAD dan DAU mempunyai pengaruh siginifikan terhadap Belanja Modal. Namun demikian secara bersama-bersama keempat variabel bebas tersebut berpengaruh signifikan terhadap variabel terikat yaitu Belanja Modal. Pengujian tersebut berdasarkan pada tingkat keyakinan sebesar 95% dan tingkat error sebesar 5%.","author":[{"dropping-particle":"","family":"Mundiroh","given":"Siti","non-dropping-particle":"","parse-names":false,"suffix":""}],"container-title":"Jurnal Akuntansi Berkelanjutan Indonesia","id":"ITEM-2","issue":"1","issued":{"date-parts":[["2019"]]},"page":"104","title":"Pengaruh Pertumbuhan Ekonomi Daerah, Pendapatan Asli Daerah (Pad), Dana Alokasi Umum (Dau) Dan Dana Bagi Hasil (Dbh) Terhadap Alokasi Belanja Modal Daerah","type":"article-journal","volume":"2"},"uris":["http://www.mendeley.com/documents/?uuid=f56ee665-ce8c-4500-b4f4-c0f7eabe6e96"]}],"mendeley":{"formattedCitation":"(Mundiroh, 2019; Prastiwi, Ayu, Nurlaela &amp; dan Chomsatu, 2016)","plainTextFormattedCitation":"(Mundiroh, 2019; Prastiwi, Ayu, Nurlaela &amp; dan Chomsatu, 2016)","previouslyFormattedCitation":"(Mundiroh, 2019; Prastiwi, Ayu, Nurlaela &amp; dan Chomsatu, 2016)"},"properties":{"noteIndex":0},"schema":"https://github.com/citation-style-language/schema/raw/master/csl-citation.json"}</w:instrText>
      </w:r>
      <w:r w:rsidRPr="00D31DFB">
        <w:rPr>
          <w:shd w:val="clear" w:color="auto" w:fill="FFFFFF"/>
        </w:rPr>
        <w:fldChar w:fldCharType="separate"/>
      </w:r>
      <w:r w:rsidRPr="00D31DFB">
        <w:t>Dollery &amp; Worthington (1995), Solikin (2016), A</w:t>
      </w:r>
      <w:r w:rsidRPr="00D31DFB">
        <w:rPr>
          <w:noProof/>
          <w:shd w:val="clear" w:color="auto" w:fill="FFFFFF"/>
        </w:rPr>
        <w:t xml:space="preserve">malia (2017), </w:t>
      </w:r>
      <w:r w:rsidRPr="00D31DFB">
        <w:t>Putri et al. (2020</w:t>
      </w:r>
      <w:r w:rsidRPr="00D31DFB">
        <w:rPr>
          <w:shd w:val="clear" w:color="auto" w:fill="FFFFFF"/>
        </w:rPr>
        <w:fldChar w:fldCharType="end"/>
      </w:r>
      <w:r w:rsidRPr="00D31DFB">
        <w:rPr>
          <w:shd w:val="clear" w:color="auto" w:fill="FFFFFF"/>
        </w:rPr>
        <w:t xml:space="preserve">). </w:t>
      </w:r>
      <w:r w:rsidRPr="00D31DFB">
        <w:t>It shows that the dependence between regions and cities in West Kalimantan on the central government is still high.</w:t>
      </w:r>
    </w:p>
    <w:p w:rsidR="00A84AA6" w:rsidRPr="00D31DFB" w:rsidRDefault="00A84AA6" w:rsidP="00A84AA6">
      <w:pPr>
        <w:widowControl w:val="0"/>
        <w:autoSpaceDE w:val="0"/>
        <w:autoSpaceDN w:val="0"/>
        <w:adjustRightInd w:val="0"/>
        <w:snapToGrid w:val="0"/>
        <w:ind w:firstLine="720"/>
        <w:jc w:val="both"/>
      </w:pPr>
      <w:r w:rsidRPr="00D31DFB">
        <w:t xml:space="preserve">The general allocation funds received by the West Kalimantan Provincial government have an enormous compared to the original regional income. So that if the amount of this fund is reduced, it will affect the reduction in local revenue. Likewise, the special allocation funds are almost entirely higher in value than the regions' revenue. The regional government should </w:t>
      </w:r>
      <w:r w:rsidRPr="00D31DFB">
        <w:lastRenderedPageBreak/>
        <w:t>adequately utilize the balancing fund provided by the central government to improve the provision of community services, stimulate the regional economy, and maximize the potential of the region to increase the original regional income. However, unfortunately, the use of these transfer funds was not effective because the funds were mostly used to meet routine expenditures rather than capital expenditures, and this happened repeatedly. This allocation of funds also had a negative effect, namely that it increased the dependence of local governments on the central government, which eventually led to the flypaper effect phenomenon.</w:t>
      </w:r>
    </w:p>
    <w:p w:rsidR="00A84AA6" w:rsidRPr="00D31DFB" w:rsidRDefault="00A84AA6" w:rsidP="00A84AA6">
      <w:pPr>
        <w:widowControl w:val="0"/>
        <w:autoSpaceDE w:val="0"/>
        <w:autoSpaceDN w:val="0"/>
        <w:adjustRightInd w:val="0"/>
        <w:snapToGrid w:val="0"/>
        <w:ind w:firstLine="720"/>
        <w:jc w:val="both"/>
      </w:pPr>
      <w:r w:rsidRPr="00D31DFB">
        <w:t>The lack of optimal local government in creating and maximizing its economic potential will impact local revenue, which is difficult to increase. If this continues, then the aim of regional autonomy in realizing fiscal independence will also be hampered. The regional government will continue to expect equal funding assistance from the central government. To reduce this flypaper effect, it would be better if the central government can pay more attention to the allocation of balancing funds, especially general allocation funds and special allocation funds to local governments. The management used for regional spending is right on target and in accordance with the expected goals. Also, the central government is expected to strictly evaluate the use of these funds to meet the minimum limit in capital spending. On the other hand, local governments must work hard in increasing sources of regional income, such as increasing taxes, user fees, and encouraging investment into the West Kalimantan region.</w:t>
      </w:r>
    </w:p>
    <w:p w:rsidR="00DA26AF" w:rsidRPr="00D31DFB" w:rsidRDefault="00DA26AF" w:rsidP="00A84AA6">
      <w:pPr>
        <w:widowControl w:val="0"/>
        <w:autoSpaceDE w:val="0"/>
        <w:autoSpaceDN w:val="0"/>
        <w:adjustRightInd w:val="0"/>
        <w:snapToGrid w:val="0"/>
        <w:jc w:val="both"/>
      </w:pPr>
    </w:p>
    <w:p w:rsidR="00DA26AF" w:rsidRPr="00D31DFB" w:rsidRDefault="00DA26AF" w:rsidP="00A84AA6">
      <w:pPr>
        <w:widowControl w:val="0"/>
        <w:autoSpaceDE w:val="0"/>
        <w:autoSpaceDN w:val="0"/>
        <w:adjustRightInd w:val="0"/>
        <w:snapToGrid w:val="0"/>
        <w:jc w:val="both"/>
      </w:pPr>
    </w:p>
    <w:p w:rsidR="00A84AA6" w:rsidRPr="00D31DFB" w:rsidRDefault="00A84AA6" w:rsidP="00A84AA6">
      <w:pPr>
        <w:widowControl w:val="0"/>
        <w:autoSpaceDE w:val="0"/>
        <w:autoSpaceDN w:val="0"/>
        <w:adjustRightInd w:val="0"/>
        <w:snapToGrid w:val="0"/>
        <w:jc w:val="both"/>
        <w:rPr>
          <w:b/>
          <w:bCs/>
        </w:rPr>
      </w:pPr>
      <w:r w:rsidRPr="00D31DFB">
        <w:rPr>
          <w:b/>
          <w:bCs/>
        </w:rPr>
        <w:t>CONCLUSION</w:t>
      </w:r>
    </w:p>
    <w:p w:rsidR="00D87B44" w:rsidRPr="00D31DFB" w:rsidRDefault="00A84AA6" w:rsidP="00D87B44">
      <w:pPr>
        <w:widowControl w:val="0"/>
        <w:tabs>
          <w:tab w:val="left" w:pos="851"/>
        </w:tabs>
        <w:autoSpaceDE w:val="0"/>
        <w:autoSpaceDN w:val="0"/>
        <w:adjustRightInd w:val="0"/>
        <w:snapToGrid w:val="0"/>
        <w:ind w:firstLine="720"/>
        <w:jc w:val="both"/>
      </w:pPr>
      <w:r w:rsidRPr="00D31DFB">
        <w:t xml:space="preserve">This study finds that the flypaper effect phenomenon has occurred during the period 2013-2018 in local government expenditure, which comes from general allocation funds and special allocation funds in regencies/cities in West Kalimantan Province. Meanwhile, </w:t>
      </w:r>
      <w:r w:rsidRPr="00D31DFB">
        <w:rPr>
          <w:bCs/>
        </w:rPr>
        <w:t>original local government revenue</w:t>
      </w:r>
      <w:r w:rsidRPr="00D31DFB">
        <w:t xml:space="preserve"> and sharing funds do not show a flypaper effect. The amount of allocated funds given each year, especially the general allocation funds, proves that local governments have not been able to meet their expenditures independently so that the level of dependence on the central government is still very high. The flypaper effect also shows that local governments have not maximally exploited their regional economic potential to increase local revenue.</w:t>
      </w:r>
    </w:p>
    <w:p w:rsidR="00D87B44" w:rsidRPr="00D31DFB" w:rsidRDefault="00D87B44" w:rsidP="00D87B44">
      <w:pPr>
        <w:widowControl w:val="0"/>
        <w:tabs>
          <w:tab w:val="left" w:pos="851"/>
        </w:tabs>
        <w:autoSpaceDE w:val="0"/>
        <w:autoSpaceDN w:val="0"/>
        <w:adjustRightInd w:val="0"/>
        <w:snapToGrid w:val="0"/>
        <w:ind w:firstLine="720"/>
        <w:jc w:val="both"/>
      </w:pPr>
    </w:p>
    <w:p w:rsidR="00D87B44" w:rsidRPr="00D31DFB" w:rsidRDefault="00D87B44" w:rsidP="00D87B44">
      <w:pPr>
        <w:widowControl w:val="0"/>
        <w:tabs>
          <w:tab w:val="left" w:pos="851"/>
        </w:tabs>
        <w:autoSpaceDE w:val="0"/>
        <w:autoSpaceDN w:val="0"/>
        <w:adjustRightInd w:val="0"/>
        <w:snapToGrid w:val="0"/>
        <w:ind w:firstLine="720"/>
        <w:jc w:val="both"/>
      </w:pPr>
    </w:p>
    <w:p w:rsidR="00D87B44" w:rsidRPr="00D31DFB" w:rsidRDefault="00D87B44" w:rsidP="00D87B44">
      <w:pPr>
        <w:widowControl w:val="0"/>
        <w:tabs>
          <w:tab w:val="left" w:pos="851"/>
        </w:tabs>
        <w:autoSpaceDE w:val="0"/>
        <w:autoSpaceDN w:val="0"/>
        <w:adjustRightInd w:val="0"/>
        <w:snapToGrid w:val="0"/>
        <w:jc w:val="both"/>
        <w:rPr>
          <w:b/>
          <w:bCs/>
        </w:rPr>
      </w:pPr>
      <w:r w:rsidRPr="00D31DFB">
        <w:rPr>
          <w:b/>
          <w:bCs/>
        </w:rPr>
        <w:t>SUGGESTION</w:t>
      </w:r>
    </w:p>
    <w:p w:rsidR="00A84AA6" w:rsidRPr="00D31DFB" w:rsidRDefault="00A84AA6" w:rsidP="00A84AA6">
      <w:pPr>
        <w:widowControl w:val="0"/>
        <w:autoSpaceDE w:val="0"/>
        <w:autoSpaceDN w:val="0"/>
        <w:adjustRightInd w:val="0"/>
        <w:snapToGrid w:val="0"/>
        <w:ind w:firstLine="567"/>
        <w:jc w:val="both"/>
      </w:pPr>
      <w:r w:rsidRPr="00D31DFB">
        <w:t>This research's limitation is that the data taken is only six years, and the sample used is limited to West Kalimantan. Likewise, the observed variables only use local government expenditure, general allocation funds, special allocation funds, and sharing funds. Thus, it is hoped that further research can expand the period of observation and the object of research so that it not only presents data for one province but can even compare the flypaper effect phenomenon that occurs in other countries. The dependent variable in regional expenditure can also be more specified in certain types of expenditure.</w:t>
      </w:r>
    </w:p>
    <w:p w:rsidR="00A84AA6" w:rsidRPr="00D31DFB" w:rsidRDefault="00A84AA6" w:rsidP="00A84AA6">
      <w:pPr>
        <w:widowControl w:val="0"/>
        <w:autoSpaceDE w:val="0"/>
        <w:autoSpaceDN w:val="0"/>
        <w:adjustRightInd w:val="0"/>
        <w:snapToGrid w:val="0"/>
        <w:jc w:val="both"/>
      </w:pPr>
    </w:p>
    <w:p w:rsidR="00A84AA6" w:rsidRPr="00D31DFB" w:rsidRDefault="00A84AA6" w:rsidP="00A84AA6">
      <w:pPr>
        <w:widowControl w:val="0"/>
        <w:autoSpaceDE w:val="0"/>
        <w:autoSpaceDN w:val="0"/>
        <w:adjustRightInd w:val="0"/>
        <w:snapToGrid w:val="0"/>
        <w:ind w:left="567" w:hanging="567"/>
        <w:jc w:val="both"/>
        <w:rPr>
          <w:noProof/>
          <w:color w:val="000000" w:themeColor="text1"/>
        </w:rPr>
      </w:pPr>
      <w:r w:rsidRPr="00D31DFB">
        <w:rPr>
          <w:b/>
          <w:bCs/>
        </w:rPr>
        <w:t>REFERENCES</w:t>
      </w:r>
      <w:r w:rsidRPr="00A84AA6">
        <w:rPr>
          <w:noProof/>
          <w:color w:val="000000" w:themeColor="text1"/>
        </w:rPr>
        <w:fldChar w:fldCharType="begin" w:fldLock="1"/>
      </w:r>
      <w:r w:rsidRPr="00D31DFB">
        <w:rPr>
          <w:noProof/>
          <w:color w:val="000000" w:themeColor="text1"/>
        </w:rPr>
        <w:instrText xml:space="preserve">ADDIN Mendeley Bibliography CSL_BIBLIOGRAPHY </w:instrText>
      </w:r>
      <w:r w:rsidRPr="00A84AA6">
        <w:rPr>
          <w:noProof/>
          <w:color w:val="000000" w:themeColor="text1"/>
        </w:rPr>
        <w:fldChar w:fldCharType="separate"/>
      </w:r>
    </w:p>
    <w:p w:rsidR="00A84AA6" w:rsidRPr="00A84AA6" w:rsidRDefault="00A84AA6" w:rsidP="00FA4FCF">
      <w:pPr>
        <w:widowControl w:val="0"/>
        <w:autoSpaceDE w:val="0"/>
        <w:autoSpaceDN w:val="0"/>
        <w:ind w:left="811" w:hanging="811"/>
        <w:jc w:val="both"/>
        <w:rPr>
          <w:i/>
          <w:iCs/>
          <w:noProof/>
        </w:rPr>
      </w:pPr>
      <w:r w:rsidRPr="00D31DFB">
        <w:rPr>
          <w:noProof/>
          <w:color w:val="000000" w:themeColor="text1"/>
        </w:rPr>
        <w:t>A</w:t>
      </w:r>
      <w:r w:rsidRPr="00D31DFB">
        <w:rPr>
          <w:noProof/>
        </w:rPr>
        <w:t xml:space="preserve">malia, F. </w:t>
      </w:r>
      <w:r w:rsidR="005C098D" w:rsidRPr="00D31DFB">
        <w:rPr>
          <w:noProof/>
        </w:rPr>
        <w:t>(</w:t>
      </w:r>
      <w:r w:rsidRPr="00D31DFB">
        <w:rPr>
          <w:noProof/>
        </w:rPr>
        <w:t>2017</w:t>
      </w:r>
      <w:r w:rsidR="005C098D" w:rsidRPr="00D31DFB">
        <w:rPr>
          <w:noProof/>
        </w:rPr>
        <w:t>)</w:t>
      </w:r>
      <w:r w:rsidRPr="00D31DFB">
        <w:rPr>
          <w:noProof/>
        </w:rPr>
        <w:t xml:space="preserve">. “Flypaper Effect of Regional Expenditure and It’s Impact to Regional Inequality in Indonesia”. Signifikan: </w:t>
      </w:r>
      <w:r w:rsidRPr="00D31DFB">
        <w:rPr>
          <w:i/>
          <w:iCs/>
          <w:noProof/>
        </w:rPr>
        <w:t>Jurnal Ilmu Ekonomi</w:t>
      </w:r>
      <w:r w:rsidRPr="00D31DFB">
        <w:rPr>
          <w:noProof/>
        </w:rPr>
        <w:t>, 6</w:t>
      </w:r>
      <w:r w:rsidR="009B0ABB" w:rsidRPr="00D31DFB">
        <w:rPr>
          <w:noProof/>
        </w:rPr>
        <w:t>(</w:t>
      </w:r>
      <w:r w:rsidRPr="00D31DFB">
        <w:rPr>
          <w:noProof/>
        </w:rPr>
        <w:t>1</w:t>
      </w:r>
      <w:r w:rsidR="009B0ABB" w:rsidRPr="00D31DFB">
        <w:rPr>
          <w:noProof/>
        </w:rPr>
        <w:t>)</w:t>
      </w:r>
      <w:r w:rsidRPr="00D31DFB">
        <w:rPr>
          <w:noProof/>
        </w:rPr>
        <w:t>, 125–138.</w:t>
      </w:r>
      <w:r w:rsidRPr="00A84AA6">
        <w:rPr>
          <w:i/>
          <w:iCs/>
          <w:noProof/>
        </w:rPr>
        <w:t xml:space="preserve"> https://doi.org/10.15408/sjie.v6i1.3293</w:t>
      </w:r>
    </w:p>
    <w:p w:rsidR="00A84AA6" w:rsidRPr="00A84AA6" w:rsidRDefault="00A84AA6" w:rsidP="00FA4FCF">
      <w:pPr>
        <w:pStyle w:val="NormalWeb"/>
        <w:spacing w:before="0" w:beforeAutospacing="0" w:after="0" w:afterAutospacing="0"/>
        <w:ind w:left="811" w:hanging="811"/>
        <w:jc w:val="both"/>
        <w:rPr>
          <w:lang w:val="en-US"/>
        </w:rPr>
      </w:pPr>
      <w:r w:rsidRPr="00A84AA6">
        <w:rPr>
          <w:noProof/>
          <w:color w:val="000000" w:themeColor="text1"/>
        </w:rPr>
        <w:t>A</w:t>
      </w:r>
      <w:r w:rsidRPr="00A84AA6">
        <w:rPr>
          <w:noProof/>
        </w:rPr>
        <w:t>r</w:t>
      </w:r>
      <w:r w:rsidRPr="00A84AA6">
        <w:t xml:space="preserve">mawaddin, M., Rumbia, W. A., &amp; Afiat, M. N. </w:t>
      </w:r>
      <w:r w:rsidR="005C098D">
        <w:rPr>
          <w:lang w:val="en-US"/>
        </w:rPr>
        <w:t>(</w:t>
      </w:r>
      <w:r w:rsidRPr="00A84AA6">
        <w:t>2017</w:t>
      </w:r>
      <w:r w:rsidR="005C098D">
        <w:rPr>
          <w:lang w:val="en-US"/>
        </w:rPr>
        <w:t>)</w:t>
      </w:r>
      <w:r w:rsidRPr="00A84AA6">
        <w:t xml:space="preserve">. </w:t>
      </w:r>
      <w:r w:rsidRPr="00A84AA6">
        <w:rPr>
          <w:lang w:val="en-US"/>
        </w:rPr>
        <w:t>“</w:t>
      </w:r>
      <w:r w:rsidRPr="00A84AA6">
        <w:t>Analisis Flypaper Effect Belanja Daerah Kabupaten/Kota di Sulawesi</w:t>
      </w:r>
      <w:r w:rsidRPr="00A84AA6">
        <w:rPr>
          <w:lang w:val="en-US"/>
        </w:rPr>
        <w:t xml:space="preserve">”. </w:t>
      </w:r>
      <w:r w:rsidRPr="005C098D">
        <w:rPr>
          <w:i/>
          <w:iCs/>
        </w:rPr>
        <w:t>Jurnal Ekonomi dan Pembangunan Indonesia</w:t>
      </w:r>
      <w:r w:rsidRPr="005C098D">
        <w:rPr>
          <w:i/>
          <w:iCs/>
          <w:lang w:val="en-US"/>
        </w:rPr>
        <w:t>,</w:t>
      </w:r>
      <w:r w:rsidRPr="00A84AA6">
        <w:rPr>
          <w:lang w:val="en-US"/>
        </w:rPr>
        <w:t xml:space="preserve"> 18</w:t>
      </w:r>
      <w:r w:rsidR="009B0ABB">
        <w:rPr>
          <w:lang w:val="en-US"/>
        </w:rPr>
        <w:t>(</w:t>
      </w:r>
      <w:r w:rsidRPr="00A84AA6">
        <w:rPr>
          <w:lang w:val="en-US"/>
        </w:rPr>
        <w:t>1</w:t>
      </w:r>
      <w:r w:rsidR="009B0ABB">
        <w:rPr>
          <w:lang w:val="en-US"/>
        </w:rPr>
        <w:t>)</w:t>
      </w:r>
      <w:r w:rsidRPr="00A84AA6">
        <w:rPr>
          <w:lang w:val="en-US"/>
        </w:rPr>
        <w:t xml:space="preserve">, 77-91. </w:t>
      </w:r>
    </w:p>
    <w:p w:rsidR="00A84AA6" w:rsidRPr="00A84AA6" w:rsidRDefault="00A84AA6" w:rsidP="00FA4FCF">
      <w:pPr>
        <w:widowControl w:val="0"/>
        <w:autoSpaceDE w:val="0"/>
        <w:autoSpaceDN w:val="0"/>
        <w:ind w:left="811" w:hanging="811"/>
        <w:jc w:val="both"/>
        <w:rPr>
          <w:i/>
          <w:iCs/>
          <w:noProof/>
          <w:color w:val="000000" w:themeColor="text1"/>
        </w:rPr>
      </w:pPr>
      <w:r w:rsidRPr="00D31DFB">
        <w:rPr>
          <w:noProof/>
          <w:color w:val="000000" w:themeColor="text1"/>
        </w:rPr>
        <w:lastRenderedPageBreak/>
        <w:t xml:space="preserve">Aragon, </w:t>
      </w:r>
      <w:r w:rsidRPr="00D31DFB">
        <w:rPr>
          <w:color w:val="000000" w:themeColor="text1"/>
        </w:rPr>
        <w:t xml:space="preserve">F. M. </w:t>
      </w:r>
      <w:r w:rsidR="005C098D" w:rsidRPr="00D31DFB">
        <w:rPr>
          <w:color w:val="000000" w:themeColor="text1"/>
        </w:rPr>
        <w:t>(</w:t>
      </w:r>
      <w:r w:rsidRPr="00D31DFB">
        <w:rPr>
          <w:color w:val="000000" w:themeColor="text1"/>
        </w:rPr>
        <w:t>2013</w:t>
      </w:r>
      <w:r w:rsidR="005C098D" w:rsidRPr="00D31DFB">
        <w:rPr>
          <w:color w:val="000000" w:themeColor="text1"/>
        </w:rPr>
        <w:t>)</w:t>
      </w:r>
      <w:r w:rsidRPr="00D31DFB">
        <w:rPr>
          <w:color w:val="000000" w:themeColor="text1"/>
        </w:rPr>
        <w:t>. “Local Spending, Transfers, and Costly Tax Collection”.</w:t>
      </w:r>
      <w:r w:rsidRPr="00A84AA6">
        <w:rPr>
          <w:i/>
          <w:iCs/>
          <w:color w:val="000000" w:themeColor="text1"/>
        </w:rPr>
        <w:t xml:space="preserve"> </w:t>
      </w:r>
      <w:r w:rsidRPr="00D31DFB">
        <w:rPr>
          <w:i/>
          <w:iCs/>
          <w:color w:val="000000" w:themeColor="text1"/>
        </w:rPr>
        <w:t>National Tax Journal,</w:t>
      </w:r>
      <w:r w:rsidRPr="00A84AA6">
        <w:rPr>
          <w:i/>
          <w:iCs/>
          <w:color w:val="000000" w:themeColor="text1"/>
        </w:rPr>
        <w:t xml:space="preserve"> 66</w:t>
      </w:r>
      <w:r w:rsidR="009B0ABB">
        <w:rPr>
          <w:i/>
          <w:iCs/>
          <w:color w:val="000000" w:themeColor="text1"/>
        </w:rPr>
        <w:t>(</w:t>
      </w:r>
      <w:r w:rsidRPr="00A84AA6">
        <w:rPr>
          <w:i/>
          <w:iCs/>
          <w:color w:val="000000" w:themeColor="text1"/>
        </w:rPr>
        <w:t>2</w:t>
      </w:r>
      <w:r w:rsidR="009B0ABB">
        <w:rPr>
          <w:i/>
          <w:iCs/>
          <w:color w:val="000000" w:themeColor="text1"/>
        </w:rPr>
        <w:t>)</w:t>
      </w:r>
      <w:r w:rsidRPr="00A84AA6">
        <w:rPr>
          <w:i/>
          <w:iCs/>
          <w:color w:val="000000" w:themeColor="text1"/>
        </w:rPr>
        <w:t>, 343-370. http://dx.doi.org/10.17310/ntj.2013.2.03</w:t>
      </w:r>
    </w:p>
    <w:p w:rsidR="00A84AA6" w:rsidRPr="00D31DFB" w:rsidRDefault="00A84AA6" w:rsidP="00FA4FCF">
      <w:pPr>
        <w:widowControl w:val="0"/>
        <w:autoSpaceDE w:val="0"/>
        <w:autoSpaceDN w:val="0"/>
        <w:ind w:left="811" w:hanging="811"/>
        <w:jc w:val="both"/>
        <w:rPr>
          <w:noProof/>
        </w:rPr>
      </w:pPr>
      <w:r w:rsidRPr="00D31DFB">
        <w:rPr>
          <w:noProof/>
        </w:rPr>
        <w:t xml:space="preserve">Baltagi, B. H. </w:t>
      </w:r>
      <w:r w:rsidR="005C098D" w:rsidRPr="00D31DFB">
        <w:rPr>
          <w:noProof/>
        </w:rPr>
        <w:t>(</w:t>
      </w:r>
      <w:r w:rsidRPr="00D31DFB">
        <w:rPr>
          <w:noProof/>
        </w:rPr>
        <w:t>2005</w:t>
      </w:r>
      <w:r w:rsidR="005C098D" w:rsidRPr="00D31DFB">
        <w:rPr>
          <w:noProof/>
        </w:rPr>
        <w:t>)</w:t>
      </w:r>
      <w:r w:rsidRPr="00D31DFB">
        <w:rPr>
          <w:noProof/>
        </w:rPr>
        <w:t xml:space="preserve">. </w:t>
      </w:r>
      <w:r w:rsidRPr="00D31DFB">
        <w:rPr>
          <w:i/>
          <w:iCs/>
          <w:noProof/>
        </w:rPr>
        <w:t>Econometric Analysis of Panel Data (Third Edit).</w:t>
      </w:r>
      <w:r w:rsidRPr="00D31DFB">
        <w:rPr>
          <w:noProof/>
        </w:rPr>
        <w:t xml:space="preserve"> John wiley &amp;</w:t>
      </w:r>
      <w:r w:rsidR="005C098D" w:rsidRPr="00D31DFB">
        <w:rPr>
          <w:noProof/>
        </w:rPr>
        <w:t xml:space="preserve">                 </w:t>
      </w:r>
      <w:r w:rsidRPr="00D31DFB">
        <w:rPr>
          <w:noProof/>
        </w:rPr>
        <w:t xml:space="preserve"> Sons, Ltd.</w:t>
      </w:r>
    </w:p>
    <w:p w:rsidR="00A84AA6" w:rsidRPr="00D31DFB" w:rsidRDefault="00A84AA6" w:rsidP="00FA4FCF">
      <w:pPr>
        <w:ind w:left="811" w:hanging="811"/>
        <w:jc w:val="both"/>
        <w:rPr>
          <w:color w:val="000000" w:themeColor="text1"/>
        </w:rPr>
      </w:pPr>
      <w:r w:rsidRPr="00D31DFB">
        <w:rPr>
          <w:noProof/>
        </w:rPr>
        <w:t xml:space="preserve">Bodman, P., &amp; Hodge, A. </w:t>
      </w:r>
      <w:r w:rsidR="005C098D" w:rsidRPr="00D31DFB">
        <w:rPr>
          <w:noProof/>
        </w:rPr>
        <w:t>(</w:t>
      </w:r>
      <w:r w:rsidRPr="00D31DFB">
        <w:rPr>
          <w:noProof/>
        </w:rPr>
        <w:t>2010</w:t>
      </w:r>
      <w:r w:rsidR="005C098D" w:rsidRPr="00D31DFB">
        <w:rPr>
          <w:noProof/>
        </w:rPr>
        <w:t>)</w:t>
      </w:r>
      <w:r w:rsidRPr="00D31DFB">
        <w:rPr>
          <w:noProof/>
        </w:rPr>
        <w:t xml:space="preserve">. "What Drives Fiscal Decentralisation? </w:t>
      </w:r>
      <w:r w:rsidR="00FA4FCF" w:rsidRPr="00D31DFB">
        <w:rPr>
          <w:noProof/>
        </w:rPr>
        <w:t xml:space="preserve">                                          </w:t>
      </w:r>
      <w:r w:rsidRPr="00D31DFB">
        <w:rPr>
          <w:noProof/>
        </w:rPr>
        <w:t xml:space="preserve">Further Assessing the Role of Income". </w:t>
      </w:r>
      <w:r w:rsidRPr="00D31DFB">
        <w:rPr>
          <w:i/>
          <w:iCs/>
          <w:noProof/>
        </w:rPr>
        <w:t xml:space="preserve">Fiscal Studies: </w:t>
      </w:r>
      <w:r w:rsidR="009B0ABB" w:rsidRPr="00D31DFB">
        <w:rPr>
          <w:i/>
          <w:iCs/>
          <w:noProof/>
        </w:rPr>
        <w:t xml:space="preserve">                                                                  </w:t>
      </w:r>
      <w:r w:rsidRPr="00D31DFB">
        <w:rPr>
          <w:i/>
          <w:iCs/>
          <w:noProof/>
        </w:rPr>
        <w:t xml:space="preserve">The </w:t>
      </w:r>
      <w:r w:rsidR="009B0ABB" w:rsidRPr="00D31DFB">
        <w:rPr>
          <w:i/>
          <w:iCs/>
          <w:noProof/>
        </w:rPr>
        <w:t xml:space="preserve">   </w:t>
      </w:r>
      <w:r w:rsidRPr="00D31DFB">
        <w:rPr>
          <w:i/>
          <w:iCs/>
          <w:noProof/>
        </w:rPr>
        <w:t xml:space="preserve">Journal </w:t>
      </w:r>
      <w:r w:rsidR="00FA4FCF" w:rsidRPr="00D31DFB">
        <w:rPr>
          <w:i/>
          <w:iCs/>
          <w:noProof/>
        </w:rPr>
        <w:t xml:space="preserve">  </w:t>
      </w:r>
      <w:r w:rsidRPr="00D31DFB">
        <w:rPr>
          <w:i/>
          <w:iCs/>
          <w:noProof/>
        </w:rPr>
        <w:t xml:space="preserve">of </w:t>
      </w:r>
      <w:r w:rsidR="009B0ABB" w:rsidRPr="00D31DFB">
        <w:rPr>
          <w:i/>
          <w:iCs/>
          <w:noProof/>
        </w:rPr>
        <w:t xml:space="preserve">  </w:t>
      </w:r>
      <w:r w:rsidRPr="00D31DFB">
        <w:rPr>
          <w:i/>
          <w:iCs/>
          <w:noProof/>
        </w:rPr>
        <w:t>Applied</w:t>
      </w:r>
      <w:r w:rsidR="00FA4FCF" w:rsidRPr="00D31DFB">
        <w:rPr>
          <w:i/>
          <w:iCs/>
          <w:noProof/>
        </w:rPr>
        <w:t xml:space="preserve">  </w:t>
      </w:r>
      <w:r w:rsidRPr="00D31DFB">
        <w:rPr>
          <w:i/>
          <w:iCs/>
          <w:noProof/>
        </w:rPr>
        <w:t>Public Economics,</w:t>
      </w:r>
      <w:r w:rsidRPr="00D31DFB">
        <w:rPr>
          <w:noProof/>
        </w:rPr>
        <w:t xml:space="preserve"> </w:t>
      </w:r>
      <w:r w:rsidR="00FA4FCF" w:rsidRPr="00D31DFB">
        <w:rPr>
          <w:noProof/>
        </w:rPr>
        <w:t xml:space="preserve"> </w:t>
      </w:r>
      <w:r w:rsidRPr="00D31DFB">
        <w:rPr>
          <w:noProof/>
        </w:rPr>
        <w:t>31</w:t>
      </w:r>
      <w:r w:rsidR="009B0ABB" w:rsidRPr="00D31DFB">
        <w:rPr>
          <w:noProof/>
        </w:rPr>
        <w:t>(</w:t>
      </w:r>
      <w:r w:rsidRPr="00D31DFB">
        <w:rPr>
          <w:noProof/>
        </w:rPr>
        <w:t>3</w:t>
      </w:r>
      <w:r w:rsidR="009B0ABB" w:rsidRPr="00D31DFB">
        <w:rPr>
          <w:noProof/>
        </w:rPr>
        <w:t>)</w:t>
      </w:r>
      <w:r w:rsidRPr="00D31DFB">
        <w:rPr>
          <w:noProof/>
        </w:rPr>
        <w:t xml:space="preserve">, 373-404. </w:t>
      </w:r>
      <w:r w:rsidRPr="00D31DFB">
        <w:br/>
      </w:r>
      <w:r w:rsidRPr="00D31DFB">
        <w:rPr>
          <w:color w:val="000000" w:themeColor="text1"/>
          <w:shd w:val="clear" w:color="auto" w:fill="FFFFFF"/>
        </w:rPr>
        <w:t>https://doi.org/10.1111/j.1475-5890.2010.00119.x</w:t>
      </w:r>
    </w:p>
    <w:p w:rsidR="00A84AA6" w:rsidRPr="00D31DFB" w:rsidRDefault="00A84AA6" w:rsidP="00FA4FCF">
      <w:pPr>
        <w:widowControl w:val="0"/>
        <w:autoSpaceDE w:val="0"/>
        <w:autoSpaceDN w:val="0"/>
        <w:ind w:left="811" w:hanging="811"/>
        <w:jc w:val="both"/>
        <w:rPr>
          <w:noProof/>
        </w:rPr>
      </w:pPr>
      <w:r w:rsidRPr="00D31DFB">
        <w:rPr>
          <w:noProof/>
        </w:rPr>
        <w:t xml:space="preserve">Borenstein, M., Hedges, L. V., Higgins, J. P. T., &amp; Rothstein, H. R. </w:t>
      </w:r>
      <w:r w:rsidR="005C098D" w:rsidRPr="00D31DFB">
        <w:rPr>
          <w:noProof/>
        </w:rPr>
        <w:t>(</w:t>
      </w:r>
      <w:r w:rsidRPr="00D31DFB">
        <w:rPr>
          <w:noProof/>
        </w:rPr>
        <w:t>2010</w:t>
      </w:r>
      <w:r w:rsidR="005C098D" w:rsidRPr="00D31DFB">
        <w:rPr>
          <w:noProof/>
        </w:rPr>
        <w:t>)</w:t>
      </w:r>
      <w:r w:rsidRPr="00D31DFB">
        <w:rPr>
          <w:noProof/>
        </w:rPr>
        <w:t xml:space="preserve">.  "A Basic Introduction to Fixed-Effect and Random-Effects Models for Meta-Analysis". </w:t>
      </w:r>
      <w:r w:rsidRPr="00D31DFB">
        <w:rPr>
          <w:i/>
          <w:iCs/>
          <w:noProof/>
        </w:rPr>
        <w:t>Research Synthesis Methods,</w:t>
      </w:r>
      <w:r w:rsidRPr="00D31DFB">
        <w:rPr>
          <w:noProof/>
        </w:rPr>
        <w:t xml:space="preserve"> 1</w:t>
      </w:r>
      <w:r w:rsidR="009B0ABB" w:rsidRPr="00D31DFB">
        <w:rPr>
          <w:noProof/>
        </w:rPr>
        <w:t>(</w:t>
      </w:r>
      <w:r w:rsidRPr="00D31DFB">
        <w:rPr>
          <w:noProof/>
        </w:rPr>
        <w:t>2</w:t>
      </w:r>
      <w:r w:rsidR="009B0ABB" w:rsidRPr="00D31DFB">
        <w:rPr>
          <w:noProof/>
        </w:rPr>
        <w:t>)</w:t>
      </w:r>
      <w:r w:rsidRPr="00D31DFB">
        <w:rPr>
          <w:noProof/>
        </w:rPr>
        <w:t>, 97–111. https://doi.org/10.1002/jrsm.12</w:t>
      </w:r>
    </w:p>
    <w:p w:rsidR="00A84AA6" w:rsidRPr="00D31DFB" w:rsidRDefault="00A84AA6" w:rsidP="00FA4FCF">
      <w:pPr>
        <w:widowControl w:val="0"/>
        <w:autoSpaceDE w:val="0"/>
        <w:autoSpaceDN w:val="0"/>
        <w:ind w:left="811" w:hanging="811"/>
        <w:jc w:val="both"/>
        <w:rPr>
          <w:noProof/>
        </w:rPr>
      </w:pPr>
      <w:r w:rsidRPr="00D31DFB">
        <w:rPr>
          <w:noProof/>
        </w:rPr>
        <w:t xml:space="preserve">Croissant, Y., &amp; Millo, G. </w:t>
      </w:r>
      <w:r w:rsidR="005C098D" w:rsidRPr="00D31DFB">
        <w:rPr>
          <w:noProof/>
        </w:rPr>
        <w:t>(</w:t>
      </w:r>
      <w:r w:rsidRPr="00D31DFB">
        <w:rPr>
          <w:noProof/>
        </w:rPr>
        <w:t>2008</w:t>
      </w:r>
      <w:r w:rsidR="005C098D" w:rsidRPr="00D31DFB">
        <w:rPr>
          <w:noProof/>
        </w:rPr>
        <w:t>)</w:t>
      </w:r>
      <w:r w:rsidRPr="00D31DFB">
        <w:rPr>
          <w:noProof/>
        </w:rPr>
        <w:t xml:space="preserve">. "Panel Data Econometrics in R: The Plum Package". </w:t>
      </w:r>
      <w:r w:rsidRPr="00D31DFB">
        <w:rPr>
          <w:i/>
          <w:iCs/>
          <w:noProof/>
        </w:rPr>
        <w:t>Journal of Statistical Software,</w:t>
      </w:r>
      <w:r w:rsidRPr="00D31DFB">
        <w:rPr>
          <w:noProof/>
        </w:rPr>
        <w:t xml:space="preserve"> 27</w:t>
      </w:r>
      <w:r w:rsidR="009B0ABB" w:rsidRPr="00D31DFB">
        <w:rPr>
          <w:noProof/>
        </w:rPr>
        <w:t>(</w:t>
      </w:r>
      <w:r w:rsidRPr="00D31DFB">
        <w:rPr>
          <w:noProof/>
        </w:rPr>
        <w:t>2</w:t>
      </w:r>
      <w:r w:rsidR="009B0ABB" w:rsidRPr="00D31DFB">
        <w:rPr>
          <w:noProof/>
        </w:rPr>
        <w:t>)</w:t>
      </w:r>
      <w:r w:rsidRPr="00D31DFB">
        <w:rPr>
          <w:noProof/>
        </w:rPr>
        <w:t>, 1–43. https://doi.org/10.1186/1478-7954-4-13</w:t>
      </w:r>
    </w:p>
    <w:p w:rsidR="00A84AA6" w:rsidRPr="00D31DFB" w:rsidRDefault="00A84AA6" w:rsidP="00FA4FCF">
      <w:pPr>
        <w:pStyle w:val="DaftarParagraf"/>
        <w:spacing w:after="0" w:line="240" w:lineRule="auto"/>
        <w:ind w:left="811" w:hanging="811"/>
        <w:jc w:val="both"/>
        <w:rPr>
          <w:rFonts w:ascii="Times New Roman" w:hAnsi="Times New Roman" w:cs="Times New Roman"/>
          <w:i w:val="0"/>
          <w:iCs w:val="0"/>
          <w:sz w:val="24"/>
          <w:szCs w:val="24"/>
        </w:rPr>
      </w:pPr>
      <w:r w:rsidRPr="00D31DFB">
        <w:rPr>
          <w:rFonts w:ascii="Times New Roman" w:hAnsi="Times New Roman" w:cs="Times New Roman"/>
          <w:i w:val="0"/>
          <w:iCs w:val="0"/>
          <w:sz w:val="24"/>
          <w:szCs w:val="24"/>
        </w:rPr>
        <w:t xml:space="preserve">Cruz, T., &amp; Silva, T. </w:t>
      </w:r>
      <w:r w:rsidR="005C098D"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2020</w:t>
      </w:r>
      <w:r w:rsidR="005C098D"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 xml:space="preserve">. "Minimum Spending in Education and </w:t>
      </w:r>
      <w:r w:rsidR="009B0ABB" w:rsidRPr="00D31DFB">
        <w:rPr>
          <w:rFonts w:ascii="Times New Roman" w:hAnsi="Times New Roman" w:cs="Times New Roman"/>
          <w:i w:val="0"/>
          <w:iCs w:val="0"/>
          <w:sz w:val="24"/>
          <w:szCs w:val="24"/>
        </w:rPr>
        <w:t>T</w:t>
      </w:r>
      <w:r w:rsidRPr="00D31DFB">
        <w:rPr>
          <w:rFonts w:ascii="Times New Roman" w:hAnsi="Times New Roman" w:cs="Times New Roman"/>
          <w:i w:val="0"/>
          <w:iCs w:val="0"/>
          <w:sz w:val="24"/>
          <w:szCs w:val="24"/>
        </w:rPr>
        <w:t xml:space="preserve">he </w:t>
      </w:r>
      <w:r w:rsidR="009B0ABB" w:rsidRPr="00D31DFB">
        <w:rPr>
          <w:rFonts w:ascii="Times New Roman" w:hAnsi="Times New Roman" w:cs="Times New Roman"/>
          <w:i w:val="0"/>
          <w:iCs w:val="0"/>
          <w:sz w:val="24"/>
          <w:szCs w:val="24"/>
        </w:rPr>
        <w:t xml:space="preserve">                                            </w:t>
      </w:r>
      <w:r w:rsidRPr="00D31DFB">
        <w:rPr>
          <w:rFonts w:ascii="Times New Roman" w:hAnsi="Times New Roman" w:cs="Times New Roman"/>
          <w:i w:val="0"/>
          <w:iCs w:val="0"/>
          <w:sz w:val="24"/>
          <w:szCs w:val="24"/>
        </w:rPr>
        <w:t xml:space="preserve">Flypaper Effect". </w:t>
      </w:r>
      <w:r w:rsidRPr="00D31DFB">
        <w:rPr>
          <w:rFonts w:ascii="Times New Roman" w:hAnsi="Times New Roman" w:cs="Times New Roman"/>
          <w:sz w:val="24"/>
          <w:szCs w:val="24"/>
        </w:rPr>
        <w:t>Economics of Education Review,</w:t>
      </w:r>
      <w:r w:rsidR="009B0ABB" w:rsidRPr="00D31DFB">
        <w:rPr>
          <w:rFonts w:ascii="Times New Roman" w:hAnsi="Times New Roman" w:cs="Times New Roman"/>
          <w:i w:val="0"/>
          <w:iCs w:val="0"/>
          <w:sz w:val="24"/>
          <w:szCs w:val="24"/>
        </w:rPr>
        <w:t xml:space="preserve"> </w:t>
      </w:r>
      <w:r w:rsidRPr="00D31DFB">
        <w:rPr>
          <w:rFonts w:ascii="Times New Roman" w:hAnsi="Times New Roman" w:cs="Times New Roman"/>
          <w:i w:val="0"/>
          <w:iCs w:val="0"/>
          <w:sz w:val="24"/>
          <w:szCs w:val="24"/>
        </w:rPr>
        <w:t>77. https://doi.org/10.1016/j.econedurev.2020.102012</w:t>
      </w:r>
    </w:p>
    <w:p w:rsidR="00A84AA6" w:rsidRPr="00D31DFB" w:rsidRDefault="00A84AA6" w:rsidP="00FA4FCF">
      <w:pPr>
        <w:widowControl w:val="0"/>
        <w:autoSpaceDE w:val="0"/>
        <w:autoSpaceDN w:val="0"/>
        <w:ind w:left="811" w:hanging="811"/>
        <w:jc w:val="both"/>
        <w:rPr>
          <w:noProof/>
        </w:rPr>
      </w:pPr>
      <w:r w:rsidRPr="00D31DFB">
        <w:rPr>
          <w:noProof/>
        </w:rPr>
        <w:t xml:space="preserve">Dollery, B &amp; Worthington, A. </w:t>
      </w:r>
      <w:r w:rsidR="005C098D" w:rsidRPr="00D31DFB">
        <w:rPr>
          <w:noProof/>
        </w:rPr>
        <w:t>(</w:t>
      </w:r>
      <w:r w:rsidRPr="00D31DFB">
        <w:rPr>
          <w:noProof/>
        </w:rPr>
        <w:t>1995</w:t>
      </w:r>
      <w:r w:rsidR="005C098D" w:rsidRPr="00D31DFB">
        <w:rPr>
          <w:noProof/>
        </w:rPr>
        <w:t>)</w:t>
      </w:r>
      <w:r w:rsidRPr="00D31DFB">
        <w:rPr>
          <w:noProof/>
        </w:rPr>
        <w:t xml:space="preserve">. "Federal Expenditure and Fiscal Illusion: An Australian Test of The Flypaper Hypothesis". </w:t>
      </w:r>
      <w:r w:rsidRPr="00D31DFB">
        <w:rPr>
          <w:i/>
          <w:iCs/>
          <w:noProof/>
        </w:rPr>
        <w:t>Publius: The Journal of Federalism</w:t>
      </w:r>
      <w:r w:rsidR="005C098D" w:rsidRPr="00D31DFB">
        <w:rPr>
          <w:i/>
          <w:iCs/>
          <w:noProof/>
        </w:rPr>
        <w:t>,</w:t>
      </w:r>
      <w:r w:rsidRPr="00D31DFB">
        <w:rPr>
          <w:i/>
          <w:iCs/>
          <w:noProof/>
        </w:rPr>
        <w:t xml:space="preserve"> </w:t>
      </w:r>
      <w:r w:rsidRPr="00D31DFB">
        <w:rPr>
          <w:noProof/>
        </w:rPr>
        <w:t>25</w:t>
      </w:r>
      <w:r w:rsidR="009B0ABB" w:rsidRPr="00D31DFB">
        <w:rPr>
          <w:noProof/>
        </w:rPr>
        <w:t>(</w:t>
      </w:r>
      <w:r w:rsidRPr="00D31DFB">
        <w:rPr>
          <w:noProof/>
        </w:rPr>
        <w:t>1</w:t>
      </w:r>
      <w:r w:rsidR="009B0ABB" w:rsidRPr="00D31DFB">
        <w:rPr>
          <w:noProof/>
        </w:rPr>
        <w:t>)</w:t>
      </w:r>
      <w:r w:rsidRPr="00D31DFB">
        <w:rPr>
          <w:noProof/>
        </w:rPr>
        <w:t xml:space="preserve">, 23-34. Originally published by Lafayette College, journal now published by. Всш,  </w:t>
      </w:r>
      <w:r w:rsidR="009B0ABB" w:rsidRPr="00D31DFB">
        <w:rPr>
          <w:noProof/>
        </w:rPr>
        <w:t xml:space="preserve">                      </w:t>
      </w:r>
      <w:r w:rsidRPr="00D31DFB">
        <w:rPr>
          <w:noProof/>
        </w:rPr>
        <w:t>1</w:t>
      </w:r>
      <w:r w:rsidR="009B0ABB" w:rsidRPr="00D31DFB">
        <w:rPr>
          <w:noProof/>
        </w:rPr>
        <w:t>(</w:t>
      </w:r>
      <w:r w:rsidRPr="00D31DFB">
        <w:rPr>
          <w:noProof/>
        </w:rPr>
        <w:t>1</w:t>
      </w:r>
      <w:r w:rsidR="009B0ABB" w:rsidRPr="00D31DFB">
        <w:rPr>
          <w:noProof/>
        </w:rPr>
        <w:t>)</w:t>
      </w:r>
      <w:r w:rsidRPr="00D31DFB">
        <w:rPr>
          <w:noProof/>
        </w:rPr>
        <w:t>, 35–38.</w:t>
      </w:r>
    </w:p>
    <w:p w:rsidR="00A84AA6" w:rsidRPr="00D31DFB" w:rsidRDefault="00A84AA6" w:rsidP="00FA4FCF">
      <w:pPr>
        <w:widowControl w:val="0"/>
        <w:autoSpaceDE w:val="0"/>
        <w:autoSpaceDN w:val="0"/>
        <w:ind w:left="811" w:hanging="811"/>
        <w:jc w:val="both"/>
        <w:rPr>
          <w:noProof/>
        </w:rPr>
      </w:pPr>
      <w:r w:rsidRPr="00D31DFB">
        <w:rPr>
          <w:noProof/>
        </w:rPr>
        <w:t xml:space="preserve">Hausman, J. A., &amp; Taylor, W. E. </w:t>
      </w:r>
      <w:r w:rsidR="005C098D" w:rsidRPr="00D31DFB">
        <w:rPr>
          <w:noProof/>
        </w:rPr>
        <w:t>(</w:t>
      </w:r>
      <w:r w:rsidRPr="00D31DFB">
        <w:rPr>
          <w:noProof/>
        </w:rPr>
        <w:t>1980</w:t>
      </w:r>
      <w:r w:rsidR="005C098D" w:rsidRPr="00D31DFB">
        <w:rPr>
          <w:noProof/>
        </w:rPr>
        <w:t>)</w:t>
      </w:r>
      <w:r w:rsidRPr="00D31DFB">
        <w:rPr>
          <w:noProof/>
        </w:rPr>
        <w:t xml:space="preserve">. Panel Data and Unobservable Individual Effects. </w:t>
      </w:r>
      <w:r w:rsidRPr="00D31DFB">
        <w:rPr>
          <w:i/>
          <w:iCs/>
          <w:noProof/>
        </w:rPr>
        <w:t>Econometrica,</w:t>
      </w:r>
      <w:r w:rsidRPr="00D31DFB">
        <w:rPr>
          <w:noProof/>
        </w:rPr>
        <w:t xml:space="preserve"> 1377–1398.</w:t>
      </w:r>
    </w:p>
    <w:p w:rsidR="00A84AA6" w:rsidRPr="00D31DFB" w:rsidRDefault="00A84AA6" w:rsidP="00FA4FCF">
      <w:pPr>
        <w:widowControl w:val="0"/>
        <w:autoSpaceDE w:val="0"/>
        <w:autoSpaceDN w:val="0"/>
        <w:ind w:left="811" w:hanging="811"/>
        <w:jc w:val="both"/>
        <w:rPr>
          <w:noProof/>
        </w:rPr>
      </w:pPr>
      <w:r w:rsidRPr="00D31DFB">
        <w:rPr>
          <w:noProof/>
        </w:rPr>
        <w:t xml:space="preserve">Hsiao, C. </w:t>
      </w:r>
      <w:r w:rsidR="005C098D" w:rsidRPr="00D31DFB">
        <w:rPr>
          <w:noProof/>
        </w:rPr>
        <w:t>(</w:t>
      </w:r>
      <w:r w:rsidRPr="00D31DFB">
        <w:rPr>
          <w:noProof/>
        </w:rPr>
        <w:t>2003</w:t>
      </w:r>
      <w:r w:rsidR="005C098D" w:rsidRPr="00D31DFB">
        <w:rPr>
          <w:noProof/>
        </w:rPr>
        <w:t>)</w:t>
      </w:r>
      <w:r w:rsidRPr="00D31DFB">
        <w:rPr>
          <w:noProof/>
        </w:rPr>
        <w:t xml:space="preserve">. </w:t>
      </w:r>
      <w:r w:rsidRPr="00D31DFB">
        <w:rPr>
          <w:i/>
          <w:iCs/>
          <w:noProof/>
        </w:rPr>
        <w:t>Analysis of Panel Data Second Edition.</w:t>
      </w:r>
      <w:r w:rsidRPr="00D31DFB">
        <w:rPr>
          <w:noProof/>
        </w:rPr>
        <w:t xml:space="preserve"> Cambridge University Press. https://doi.org/10.5771/9783845289892-15</w:t>
      </w:r>
    </w:p>
    <w:p w:rsidR="00A84AA6" w:rsidRPr="00D31DFB" w:rsidRDefault="00A84AA6" w:rsidP="00FA4FCF">
      <w:pPr>
        <w:widowControl w:val="0"/>
        <w:autoSpaceDE w:val="0"/>
        <w:autoSpaceDN w:val="0"/>
        <w:ind w:left="811" w:hanging="811"/>
        <w:jc w:val="both"/>
        <w:rPr>
          <w:noProof/>
        </w:rPr>
      </w:pPr>
      <w:r w:rsidRPr="00D31DFB">
        <w:rPr>
          <w:noProof/>
        </w:rPr>
        <w:t xml:space="preserve">Inayati, N. I., &amp; Setiawan, D. </w:t>
      </w:r>
      <w:r w:rsidR="005C098D" w:rsidRPr="00D31DFB">
        <w:rPr>
          <w:noProof/>
        </w:rPr>
        <w:t>(</w:t>
      </w:r>
      <w:r w:rsidRPr="00D31DFB">
        <w:rPr>
          <w:noProof/>
        </w:rPr>
        <w:t>2012</w:t>
      </w:r>
      <w:r w:rsidR="005C098D" w:rsidRPr="00D31DFB">
        <w:rPr>
          <w:noProof/>
        </w:rPr>
        <w:t>)</w:t>
      </w:r>
      <w:r w:rsidRPr="00D31DFB">
        <w:rPr>
          <w:noProof/>
        </w:rPr>
        <w:t xml:space="preserve">. Fenomena Flypaper Effect pada Belanja Daerah Kabupaten/Kota di Indonesia.  </w:t>
      </w:r>
      <w:r w:rsidRPr="00D31DFB">
        <w:rPr>
          <w:i/>
          <w:iCs/>
          <w:noProof/>
        </w:rPr>
        <w:t>Ekuitas: Jurnal Ekonomi dan Keuangan,</w:t>
      </w:r>
      <w:r w:rsidRPr="00D31DFB">
        <w:rPr>
          <w:noProof/>
        </w:rPr>
        <w:t xml:space="preserve"> 1</w:t>
      </w:r>
      <w:r w:rsidR="009B0ABB" w:rsidRPr="00D31DFB">
        <w:rPr>
          <w:noProof/>
        </w:rPr>
        <w:t>(</w:t>
      </w:r>
      <w:r w:rsidRPr="00D31DFB">
        <w:rPr>
          <w:noProof/>
        </w:rPr>
        <w:t>2</w:t>
      </w:r>
      <w:r w:rsidR="009B0ABB" w:rsidRPr="00D31DFB">
        <w:rPr>
          <w:noProof/>
        </w:rPr>
        <w:t>)</w:t>
      </w:r>
      <w:r w:rsidRPr="00D31DFB">
        <w:rPr>
          <w:noProof/>
        </w:rPr>
        <w:t xml:space="preserve">, </w:t>
      </w:r>
      <w:r w:rsidR="009B0ABB" w:rsidRPr="00D31DFB">
        <w:rPr>
          <w:noProof/>
        </w:rPr>
        <w:t xml:space="preserve">                            </w:t>
      </w:r>
      <w:r w:rsidRPr="00D31DFB">
        <w:rPr>
          <w:noProof/>
        </w:rPr>
        <w:t>1377–1398.</w:t>
      </w:r>
    </w:p>
    <w:p w:rsidR="00A84AA6" w:rsidRPr="00D31DFB" w:rsidRDefault="00A84AA6" w:rsidP="00FA4FCF">
      <w:pPr>
        <w:widowControl w:val="0"/>
        <w:autoSpaceDE w:val="0"/>
        <w:autoSpaceDN w:val="0"/>
        <w:ind w:left="811" w:hanging="811"/>
        <w:jc w:val="both"/>
        <w:rPr>
          <w:noProof/>
        </w:rPr>
      </w:pPr>
      <w:r w:rsidRPr="00D31DFB">
        <w:rPr>
          <w:noProof/>
        </w:rPr>
        <w:t xml:space="preserve">Iskandar, I. </w:t>
      </w:r>
      <w:r w:rsidR="005C098D" w:rsidRPr="00D31DFB">
        <w:rPr>
          <w:noProof/>
        </w:rPr>
        <w:t>(</w:t>
      </w:r>
      <w:r w:rsidRPr="00D31DFB">
        <w:rPr>
          <w:noProof/>
        </w:rPr>
        <w:t>2012</w:t>
      </w:r>
      <w:r w:rsidR="005C098D" w:rsidRPr="00D31DFB">
        <w:rPr>
          <w:noProof/>
        </w:rPr>
        <w:t>)</w:t>
      </w:r>
      <w:r w:rsidRPr="00D31DFB">
        <w:rPr>
          <w:noProof/>
        </w:rPr>
        <w:t xml:space="preserve">. "Flypaper Effect pada Unconditional Grant". </w:t>
      </w:r>
      <w:r w:rsidRPr="00D31DFB">
        <w:rPr>
          <w:i/>
          <w:iCs/>
          <w:noProof/>
        </w:rPr>
        <w:t xml:space="preserve">Jurnal Ekonomi dan Pembangunan, </w:t>
      </w:r>
      <w:r w:rsidRPr="00D31DFB">
        <w:rPr>
          <w:noProof/>
        </w:rPr>
        <w:t>13</w:t>
      </w:r>
      <w:r w:rsidR="009B0ABB" w:rsidRPr="00D31DFB">
        <w:rPr>
          <w:noProof/>
        </w:rPr>
        <w:t>(</w:t>
      </w:r>
      <w:r w:rsidRPr="00D31DFB">
        <w:rPr>
          <w:noProof/>
        </w:rPr>
        <w:t>1</w:t>
      </w:r>
      <w:r w:rsidR="009B0ABB" w:rsidRPr="00D31DFB">
        <w:rPr>
          <w:noProof/>
        </w:rPr>
        <w:t>)</w:t>
      </w:r>
      <w:r w:rsidRPr="00D31DFB">
        <w:rPr>
          <w:noProof/>
        </w:rPr>
        <w:t>, 113–131.</w:t>
      </w:r>
    </w:p>
    <w:p w:rsidR="00A84AA6" w:rsidRPr="00D31DFB" w:rsidRDefault="00A84AA6" w:rsidP="00FA4FCF">
      <w:pPr>
        <w:widowControl w:val="0"/>
        <w:autoSpaceDE w:val="0"/>
        <w:autoSpaceDN w:val="0"/>
        <w:ind w:left="811" w:hanging="811"/>
        <w:jc w:val="both"/>
        <w:rPr>
          <w:noProof/>
        </w:rPr>
      </w:pPr>
      <w:r w:rsidRPr="00D31DFB">
        <w:rPr>
          <w:noProof/>
        </w:rPr>
        <w:t xml:space="preserve">Klevmarken, N. A. </w:t>
      </w:r>
      <w:r w:rsidR="005C098D" w:rsidRPr="00D31DFB">
        <w:rPr>
          <w:noProof/>
        </w:rPr>
        <w:t>(</w:t>
      </w:r>
      <w:r w:rsidRPr="00D31DFB">
        <w:rPr>
          <w:noProof/>
        </w:rPr>
        <w:t>1989</w:t>
      </w:r>
      <w:r w:rsidR="005C098D" w:rsidRPr="00D31DFB">
        <w:rPr>
          <w:noProof/>
        </w:rPr>
        <w:t>)</w:t>
      </w:r>
      <w:r w:rsidRPr="00D31DFB">
        <w:rPr>
          <w:noProof/>
        </w:rPr>
        <w:t xml:space="preserve">. "Panel Studies: What We Can Learn from </w:t>
      </w:r>
      <w:r w:rsidR="005C098D" w:rsidRPr="00D31DFB">
        <w:rPr>
          <w:noProof/>
        </w:rPr>
        <w:t>T</w:t>
      </w:r>
      <w:r w:rsidRPr="00D31DFB">
        <w:rPr>
          <w:noProof/>
        </w:rPr>
        <w:t>hem?</w:t>
      </w:r>
      <w:r w:rsidR="00804BA7" w:rsidRPr="00D31DFB">
        <w:rPr>
          <w:noProof/>
        </w:rPr>
        <w:t xml:space="preserve">                         </w:t>
      </w:r>
      <w:r w:rsidRPr="00D31DFB">
        <w:rPr>
          <w:noProof/>
        </w:rPr>
        <w:t xml:space="preserve"> Introduction". </w:t>
      </w:r>
      <w:r w:rsidRPr="00D31DFB">
        <w:rPr>
          <w:i/>
          <w:iCs/>
          <w:noProof/>
        </w:rPr>
        <w:t>European Economic Review,</w:t>
      </w:r>
      <w:r w:rsidRPr="00D31DFB">
        <w:rPr>
          <w:noProof/>
        </w:rPr>
        <w:t xml:space="preserve"> 33</w:t>
      </w:r>
      <w:r w:rsidR="009B0ABB" w:rsidRPr="00D31DFB">
        <w:rPr>
          <w:noProof/>
        </w:rPr>
        <w:t>(</w:t>
      </w:r>
      <w:r w:rsidRPr="00D31DFB">
        <w:rPr>
          <w:noProof/>
        </w:rPr>
        <w:t>2–3</w:t>
      </w:r>
      <w:r w:rsidR="009B0ABB" w:rsidRPr="00D31DFB">
        <w:rPr>
          <w:noProof/>
        </w:rPr>
        <w:t>)</w:t>
      </w:r>
      <w:r w:rsidRPr="00D31DFB">
        <w:rPr>
          <w:noProof/>
        </w:rPr>
        <w:t>,</w:t>
      </w:r>
      <w:r w:rsidR="00804BA7" w:rsidRPr="00D31DFB">
        <w:rPr>
          <w:noProof/>
        </w:rPr>
        <w:t xml:space="preserve"> </w:t>
      </w:r>
      <w:r w:rsidRPr="00D31DFB">
        <w:rPr>
          <w:noProof/>
        </w:rPr>
        <w:t>523–529. https://doi.org/10.1016/0014-2921(89)90131-1</w:t>
      </w:r>
    </w:p>
    <w:p w:rsidR="00A84AA6" w:rsidRPr="00D31DFB" w:rsidRDefault="00A84AA6" w:rsidP="00FA4FCF">
      <w:pPr>
        <w:widowControl w:val="0"/>
        <w:autoSpaceDE w:val="0"/>
        <w:autoSpaceDN w:val="0"/>
        <w:ind w:left="811" w:hanging="811"/>
        <w:jc w:val="both"/>
        <w:rPr>
          <w:noProof/>
        </w:rPr>
      </w:pPr>
      <w:r w:rsidRPr="00D31DFB">
        <w:rPr>
          <w:noProof/>
        </w:rPr>
        <w:t xml:space="preserve">Kunst, R. M. </w:t>
      </w:r>
      <w:r w:rsidR="005C098D" w:rsidRPr="00D31DFB">
        <w:rPr>
          <w:noProof/>
        </w:rPr>
        <w:t>(</w:t>
      </w:r>
      <w:r w:rsidRPr="00D31DFB">
        <w:rPr>
          <w:noProof/>
        </w:rPr>
        <w:t>2013</w:t>
      </w:r>
      <w:r w:rsidR="005C098D" w:rsidRPr="00D31DFB">
        <w:rPr>
          <w:noProof/>
        </w:rPr>
        <w:t>)</w:t>
      </w:r>
      <w:r w:rsidRPr="00D31DFB">
        <w:rPr>
          <w:noProof/>
        </w:rPr>
        <w:t>. "</w:t>
      </w:r>
      <w:r w:rsidRPr="00D31DFB">
        <w:rPr>
          <w:i/>
          <w:iCs/>
          <w:noProof/>
        </w:rPr>
        <w:t>Econometric Methods for Panel Data".</w:t>
      </w:r>
      <w:r w:rsidRPr="00D31DFB">
        <w:rPr>
          <w:noProof/>
        </w:rPr>
        <w:t xml:space="preserve"> Outline Introduction Tests in panel models Poolability tests</w:t>
      </w:r>
      <w:r w:rsidR="005E2226" w:rsidRPr="00D31DFB">
        <w:rPr>
          <w:noProof/>
        </w:rPr>
        <w:t xml:space="preserve">, </w:t>
      </w:r>
      <w:r w:rsidRPr="00D31DFB">
        <w:rPr>
          <w:noProof/>
        </w:rPr>
        <w:t>Testing for the presence of random effects</w:t>
      </w:r>
      <w:r w:rsidR="005E2226" w:rsidRPr="00D31DFB">
        <w:rPr>
          <w:noProof/>
        </w:rPr>
        <w:t xml:space="preserve">, </w:t>
      </w:r>
      <w:r w:rsidRPr="00D31DFB">
        <w:rPr>
          <w:noProof/>
        </w:rPr>
        <w:t xml:space="preserve">The Hausman. </w:t>
      </w:r>
    </w:p>
    <w:p w:rsidR="00A84AA6" w:rsidRPr="00D31DFB" w:rsidRDefault="00A84AA6" w:rsidP="00FA4FCF">
      <w:pPr>
        <w:widowControl w:val="0"/>
        <w:autoSpaceDE w:val="0"/>
        <w:autoSpaceDN w:val="0"/>
        <w:ind w:left="811" w:hanging="811"/>
        <w:jc w:val="both"/>
        <w:rPr>
          <w:noProof/>
        </w:rPr>
      </w:pPr>
      <w:r w:rsidRPr="00D31DFB">
        <w:rPr>
          <w:noProof/>
        </w:rPr>
        <w:t xml:space="preserve">Muhammad, S., Zulham, T., Sapha, D., Fitriyani, &amp; Saputra, J. </w:t>
      </w:r>
      <w:r w:rsidR="005E2226" w:rsidRPr="00D31DFB">
        <w:rPr>
          <w:noProof/>
        </w:rPr>
        <w:t>(</w:t>
      </w:r>
      <w:r w:rsidRPr="00D31DFB">
        <w:rPr>
          <w:noProof/>
        </w:rPr>
        <w:t>2019</w:t>
      </w:r>
      <w:r w:rsidR="005E2226" w:rsidRPr="00D31DFB">
        <w:rPr>
          <w:noProof/>
        </w:rPr>
        <w:t>)</w:t>
      </w:r>
      <w:r w:rsidRPr="00D31DFB">
        <w:rPr>
          <w:noProof/>
        </w:rPr>
        <w:t xml:space="preserve">. "Investigating </w:t>
      </w:r>
      <w:r w:rsidR="009B0ABB" w:rsidRPr="00D31DFB">
        <w:rPr>
          <w:noProof/>
        </w:rPr>
        <w:t xml:space="preserve">                          </w:t>
      </w:r>
      <w:r w:rsidRPr="00D31DFB">
        <w:rPr>
          <w:noProof/>
        </w:rPr>
        <w:t xml:space="preserve">The Public Spending and Economical Growth on The Poverty Reduction </w:t>
      </w:r>
      <w:r w:rsidR="009B0ABB" w:rsidRPr="00D31DFB">
        <w:rPr>
          <w:noProof/>
        </w:rPr>
        <w:t xml:space="preserve">                          </w:t>
      </w:r>
      <w:r w:rsidRPr="00D31DFB">
        <w:rPr>
          <w:noProof/>
        </w:rPr>
        <w:t>In Indonesia.</w:t>
      </w:r>
      <w:r w:rsidR="009B0ABB" w:rsidRPr="00D31DFB">
        <w:rPr>
          <w:noProof/>
        </w:rPr>
        <w:t xml:space="preserve"> </w:t>
      </w:r>
      <w:r w:rsidRPr="00D31DFB">
        <w:rPr>
          <w:i/>
          <w:iCs/>
          <w:noProof/>
        </w:rPr>
        <w:t>Industrial Engineering</w:t>
      </w:r>
      <w:r w:rsidR="00804BA7" w:rsidRPr="00D31DFB">
        <w:rPr>
          <w:i/>
          <w:iCs/>
          <w:noProof/>
        </w:rPr>
        <w:t xml:space="preserve"> </w:t>
      </w:r>
      <w:r w:rsidRPr="00D31DFB">
        <w:rPr>
          <w:i/>
          <w:iCs/>
          <w:noProof/>
        </w:rPr>
        <w:t>and Management Systems,</w:t>
      </w:r>
      <w:r w:rsidRPr="00D31DFB">
        <w:rPr>
          <w:noProof/>
        </w:rPr>
        <w:t xml:space="preserve"> 18</w:t>
      </w:r>
      <w:r w:rsidR="009B0ABB" w:rsidRPr="00D31DFB">
        <w:rPr>
          <w:noProof/>
        </w:rPr>
        <w:t>(</w:t>
      </w:r>
      <w:r w:rsidRPr="00D31DFB">
        <w:rPr>
          <w:noProof/>
        </w:rPr>
        <w:t>3</w:t>
      </w:r>
      <w:r w:rsidR="009B0ABB" w:rsidRPr="00D31DFB">
        <w:rPr>
          <w:noProof/>
        </w:rPr>
        <w:t>)</w:t>
      </w:r>
      <w:r w:rsidRPr="00D31DFB">
        <w:rPr>
          <w:noProof/>
        </w:rPr>
        <w:t>, 495–500. https://doi.org/10.7232/iems.2019.18.3.495</w:t>
      </w:r>
    </w:p>
    <w:p w:rsidR="00A84AA6" w:rsidRPr="00D31DFB" w:rsidRDefault="00A84AA6" w:rsidP="00FA4FCF">
      <w:pPr>
        <w:widowControl w:val="0"/>
        <w:autoSpaceDE w:val="0"/>
        <w:autoSpaceDN w:val="0"/>
        <w:ind w:left="811" w:hanging="811"/>
        <w:jc w:val="both"/>
        <w:rPr>
          <w:noProof/>
        </w:rPr>
      </w:pPr>
      <w:r w:rsidRPr="00D31DFB">
        <w:rPr>
          <w:noProof/>
        </w:rPr>
        <w:t xml:space="preserve">Mundiroh, S. </w:t>
      </w:r>
      <w:r w:rsidR="005E2226" w:rsidRPr="00D31DFB">
        <w:rPr>
          <w:noProof/>
        </w:rPr>
        <w:t>(</w:t>
      </w:r>
      <w:r w:rsidRPr="00D31DFB">
        <w:rPr>
          <w:noProof/>
        </w:rPr>
        <w:t>2019</w:t>
      </w:r>
      <w:r w:rsidR="005E2226" w:rsidRPr="00D31DFB">
        <w:rPr>
          <w:noProof/>
        </w:rPr>
        <w:t>)</w:t>
      </w:r>
      <w:r w:rsidRPr="00D31DFB">
        <w:rPr>
          <w:noProof/>
        </w:rPr>
        <w:t xml:space="preserve">. "Pengaruh Pertumbuhan Ekonomi Daerah, Pendapatan Asli Daerah (PAD), Dana Alokasi Umum (DAU) dan Dana Bagi Hasil (DBH) terhadap Alokasi Belanja Modal Daerah". </w:t>
      </w:r>
      <w:r w:rsidRPr="00D31DFB">
        <w:rPr>
          <w:i/>
          <w:iCs/>
          <w:noProof/>
        </w:rPr>
        <w:t xml:space="preserve">Jurnal Akuntansi Berkelanjutan Indonesia, </w:t>
      </w:r>
      <w:r w:rsidRPr="00D31DFB">
        <w:rPr>
          <w:noProof/>
        </w:rPr>
        <w:t>2</w:t>
      </w:r>
      <w:r w:rsidR="005C098D" w:rsidRPr="00D31DFB">
        <w:rPr>
          <w:noProof/>
        </w:rPr>
        <w:t>(</w:t>
      </w:r>
      <w:r w:rsidRPr="00D31DFB">
        <w:rPr>
          <w:noProof/>
        </w:rPr>
        <w:t>1</w:t>
      </w:r>
      <w:r w:rsidR="005C098D" w:rsidRPr="00D31DFB">
        <w:rPr>
          <w:noProof/>
        </w:rPr>
        <w:t>)</w:t>
      </w:r>
      <w:r w:rsidRPr="00D31DFB">
        <w:rPr>
          <w:noProof/>
        </w:rPr>
        <w:t>, 104. https://doi.org/10.32493/jabi.v2i1.y2019.p104-122</w:t>
      </w:r>
    </w:p>
    <w:p w:rsidR="00A84AA6" w:rsidRPr="00D31DFB" w:rsidRDefault="00A84AA6" w:rsidP="00FA4FCF">
      <w:pPr>
        <w:widowControl w:val="0"/>
        <w:autoSpaceDE w:val="0"/>
        <w:autoSpaceDN w:val="0"/>
        <w:ind w:left="811" w:hanging="811"/>
        <w:jc w:val="both"/>
        <w:rPr>
          <w:noProof/>
        </w:rPr>
      </w:pPr>
      <w:r w:rsidRPr="00D31DFB">
        <w:rPr>
          <w:noProof/>
        </w:rPr>
        <w:t xml:space="preserve">Nasir, M. S. </w:t>
      </w:r>
      <w:r w:rsidR="005E2226" w:rsidRPr="00D31DFB">
        <w:rPr>
          <w:noProof/>
        </w:rPr>
        <w:t>(</w:t>
      </w:r>
      <w:r w:rsidRPr="00D31DFB">
        <w:rPr>
          <w:noProof/>
        </w:rPr>
        <w:t>2019</w:t>
      </w:r>
      <w:r w:rsidR="005E2226" w:rsidRPr="00D31DFB">
        <w:rPr>
          <w:noProof/>
        </w:rPr>
        <w:t>)</w:t>
      </w:r>
      <w:r w:rsidRPr="00D31DFB">
        <w:rPr>
          <w:noProof/>
        </w:rPr>
        <w:t>. "Analisis Sumber-Sumber Pendapatan Asli Daerah Setelah Satu Dekade Otonomi Daerah".</w:t>
      </w:r>
      <w:r w:rsidRPr="00D31DFB">
        <w:rPr>
          <w:i/>
          <w:iCs/>
          <w:noProof/>
        </w:rPr>
        <w:t xml:space="preserve"> Jurnal Dinamika Ekonomi Pembangunan,</w:t>
      </w:r>
      <w:r w:rsidRPr="00D31DFB">
        <w:rPr>
          <w:noProof/>
        </w:rPr>
        <w:t xml:space="preserve"> 2</w:t>
      </w:r>
      <w:r w:rsidR="005C098D" w:rsidRPr="00D31DFB">
        <w:rPr>
          <w:noProof/>
        </w:rPr>
        <w:t>(</w:t>
      </w:r>
      <w:r w:rsidRPr="00D31DFB">
        <w:rPr>
          <w:noProof/>
        </w:rPr>
        <w:t>1</w:t>
      </w:r>
      <w:r w:rsidR="005C098D" w:rsidRPr="00D31DFB">
        <w:rPr>
          <w:noProof/>
        </w:rPr>
        <w:t>)</w:t>
      </w:r>
      <w:r w:rsidRPr="00D31DFB">
        <w:rPr>
          <w:noProof/>
        </w:rPr>
        <w:t>, 30-45.</w:t>
      </w:r>
    </w:p>
    <w:p w:rsidR="00A84AA6" w:rsidRPr="00D31DFB" w:rsidRDefault="00A84AA6" w:rsidP="00FA4FCF">
      <w:pPr>
        <w:pStyle w:val="NormalWeb"/>
        <w:spacing w:before="0" w:beforeAutospacing="0" w:after="0" w:afterAutospacing="0"/>
        <w:ind w:left="811" w:hanging="811"/>
        <w:jc w:val="both"/>
        <w:rPr>
          <w:lang w:val="en-US"/>
        </w:rPr>
      </w:pPr>
      <w:r w:rsidRPr="00D31DFB">
        <w:rPr>
          <w:lang w:val="en-US"/>
        </w:rPr>
        <w:t xml:space="preserve">Nugroho. </w:t>
      </w:r>
      <w:r w:rsidR="005E2226" w:rsidRPr="00D31DFB">
        <w:rPr>
          <w:lang w:val="en-US"/>
        </w:rPr>
        <w:t>(</w:t>
      </w:r>
      <w:r w:rsidRPr="00D31DFB">
        <w:rPr>
          <w:lang w:val="en-US"/>
        </w:rPr>
        <w:t>2017</w:t>
      </w:r>
      <w:r w:rsidR="005E2226" w:rsidRPr="00D31DFB">
        <w:rPr>
          <w:lang w:val="en-US"/>
        </w:rPr>
        <w:t>)</w:t>
      </w:r>
      <w:r w:rsidRPr="00D31DFB">
        <w:rPr>
          <w:lang w:val="en-US"/>
        </w:rPr>
        <w:t xml:space="preserve">. "Flypaper Effect of Regional Expenditures in Yogyakarta". </w:t>
      </w:r>
      <w:r w:rsidRPr="00D31DFB">
        <w:rPr>
          <w:i/>
          <w:iCs/>
          <w:lang w:val="en-US"/>
        </w:rPr>
        <w:t>Journal of Economics and Business,</w:t>
      </w:r>
      <w:r w:rsidRPr="00D31DFB">
        <w:rPr>
          <w:lang w:val="en-US"/>
        </w:rPr>
        <w:t xml:space="preserve"> 2</w:t>
      </w:r>
      <w:r w:rsidR="005C098D" w:rsidRPr="00D31DFB">
        <w:rPr>
          <w:lang w:val="en-US"/>
        </w:rPr>
        <w:t>(</w:t>
      </w:r>
      <w:r w:rsidRPr="00D31DFB">
        <w:rPr>
          <w:lang w:val="en-US"/>
        </w:rPr>
        <w:t>3</w:t>
      </w:r>
      <w:r w:rsidR="005C098D" w:rsidRPr="00D31DFB">
        <w:rPr>
          <w:lang w:val="en-US"/>
        </w:rPr>
        <w:t>)</w:t>
      </w:r>
      <w:r w:rsidRPr="00D31DFB">
        <w:rPr>
          <w:lang w:val="en-US"/>
        </w:rPr>
        <w:t>, 353-374.</w:t>
      </w:r>
    </w:p>
    <w:p w:rsidR="00A84AA6" w:rsidRPr="00D31DFB" w:rsidRDefault="00A84AA6" w:rsidP="00FA4FCF">
      <w:pPr>
        <w:widowControl w:val="0"/>
        <w:autoSpaceDE w:val="0"/>
        <w:autoSpaceDN w:val="0"/>
        <w:ind w:left="811" w:hanging="811"/>
        <w:jc w:val="both"/>
        <w:rPr>
          <w:noProof/>
        </w:rPr>
      </w:pPr>
      <w:r w:rsidRPr="00D31DFB">
        <w:rPr>
          <w:noProof/>
        </w:rPr>
        <w:t xml:space="preserve">Nwakuya, M. T., &amp; Ijomah, M. A. </w:t>
      </w:r>
      <w:r w:rsidR="005E2226" w:rsidRPr="00D31DFB">
        <w:rPr>
          <w:noProof/>
        </w:rPr>
        <w:t>(</w:t>
      </w:r>
      <w:r w:rsidRPr="00D31DFB">
        <w:rPr>
          <w:noProof/>
        </w:rPr>
        <w:t>2017</w:t>
      </w:r>
      <w:r w:rsidR="005E2226" w:rsidRPr="00D31DFB">
        <w:rPr>
          <w:noProof/>
        </w:rPr>
        <w:t>)</w:t>
      </w:r>
      <w:r w:rsidRPr="00D31DFB">
        <w:rPr>
          <w:noProof/>
        </w:rPr>
        <w:t xml:space="preserve">. "Fixed Effect Versus Random Effects Modeling in </w:t>
      </w:r>
      <w:r w:rsidRPr="00D31DFB">
        <w:rPr>
          <w:noProof/>
        </w:rPr>
        <w:lastRenderedPageBreak/>
        <w:t xml:space="preserve">a Panel Data Analysis; A Consideration of Economic and Political Indicators in Six African Countries". </w:t>
      </w:r>
      <w:r w:rsidRPr="00D31DFB">
        <w:rPr>
          <w:i/>
          <w:iCs/>
          <w:noProof/>
        </w:rPr>
        <w:t>International Journal of Statistics and Applications,</w:t>
      </w:r>
      <w:r w:rsidRPr="00D31DFB">
        <w:rPr>
          <w:noProof/>
        </w:rPr>
        <w:t xml:space="preserve"> 7</w:t>
      </w:r>
      <w:r w:rsidR="005C098D" w:rsidRPr="00D31DFB">
        <w:rPr>
          <w:noProof/>
        </w:rPr>
        <w:t>(</w:t>
      </w:r>
      <w:r w:rsidRPr="00D31DFB">
        <w:rPr>
          <w:noProof/>
        </w:rPr>
        <w:t>6</w:t>
      </w:r>
      <w:r w:rsidR="005C098D" w:rsidRPr="00D31DFB">
        <w:rPr>
          <w:noProof/>
        </w:rPr>
        <w:t>)</w:t>
      </w:r>
      <w:r w:rsidRPr="00D31DFB">
        <w:rPr>
          <w:noProof/>
        </w:rPr>
        <w:t>, 275–279. https://doi.org/10.5923/j.statistics.20170706.01</w:t>
      </w:r>
    </w:p>
    <w:p w:rsidR="00A84AA6" w:rsidRPr="00A84AA6" w:rsidRDefault="00A84AA6" w:rsidP="00FA4FCF">
      <w:pPr>
        <w:widowControl w:val="0"/>
        <w:autoSpaceDE w:val="0"/>
        <w:autoSpaceDN w:val="0"/>
        <w:ind w:left="811" w:hanging="811"/>
        <w:jc w:val="both"/>
        <w:rPr>
          <w:i/>
          <w:iCs/>
          <w:noProof/>
        </w:rPr>
      </w:pPr>
      <w:r w:rsidRPr="00D31DFB">
        <w:rPr>
          <w:noProof/>
        </w:rPr>
        <w:t xml:space="preserve">Pillai, V. </w:t>
      </w:r>
      <w:r w:rsidR="005E2226" w:rsidRPr="00D31DFB">
        <w:rPr>
          <w:noProof/>
        </w:rPr>
        <w:t>(</w:t>
      </w:r>
      <w:r w:rsidRPr="00D31DFB">
        <w:rPr>
          <w:noProof/>
        </w:rPr>
        <w:t>2016</w:t>
      </w:r>
      <w:r w:rsidR="005E2226" w:rsidRPr="00D31DFB">
        <w:rPr>
          <w:noProof/>
        </w:rPr>
        <w:t>)</w:t>
      </w:r>
      <w:r w:rsidRPr="00D31DFB">
        <w:rPr>
          <w:noProof/>
        </w:rPr>
        <w:t>. "Panel Data Analysis with Stata Part 1 Fixed Effects and Random Effects</w:t>
      </w:r>
      <w:r w:rsidRPr="00A84AA6">
        <w:rPr>
          <w:i/>
          <w:iCs/>
          <w:noProof/>
        </w:rPr>
        <w:t xml:space="preserve"> </w:t>
      </w:r>
      <w:r w:rsidRPr="00D31DFB">
        <w:rPr>
          <w:noProof/>
        </w:rPr>
        <w:t>Models"</w:t>
      </w:r>
      <w:r w:rsidRPr="00A84AA6">
        <w:rPr>
          <w:i/>
          <w:iCs/>
          <w:noProof/>
        </w:rPr>
        <w:t xml:space="preserve">. </w:t>
      </w:r>
      <w:r w:rsidRPr="00D31DFB">
        <w:rPr>
          <w:i/>
          <w:iCs/>
          <w:noProof/>
        </w:rPr>
        <w:t>Munich Personal RePEc Archive,</w:t>
      </w:r>
      <w:r w:rsidRPr="005E2226">
        <w:rPr>
          <w:noProof/>
        </w:rPr>
        <w:t xml:space="preserve"> </w:t>
      </w:r>
      <w:r w:rsidRPr="00A84AA6">
        <w:rPr>
          <w:i/>
          <w:iCs/>
          <w:noProof/>
        </w:rPr>
        <w:t>70986, 1–56.</w:t>
      </w:r>
    </w:p>
    <w:p w:rsidR="00A84AA6" w:rsidRPr="00D31DFB" w:rsidRDefault="00A84AA6" w:rsidP="00FA4FCF">
      <w:pPr>
        <w:widowControl w:val="0"/>
        <w:autoSpaceDE w:val="0"/>
        <w:autoSpaceDN w:val="0"/>
        <w:ind w:left="811" w:hanging="811"/>
        <w:jc w:val="both"/>
        <w:rPr>
          <w:noProof/>
        </w:rPr>
      </w:pPr>
      <w:r w:rsidRPr="00D31DFB">
        <w:rPr>
          <w:noProof/>
        </w:rPr>
        <w:t xml:space="preserve">Pradiatmi, I. N., &amp; Wibowo, H. </w:t>
      </w:r>
      <w:r w:rsidR="005E2226" w:rsidRPr="00D31DFB">
        <w:rPr>
          <w:noProof/>
        </w:rPr>
        <w:t>(</w:t>
      </w:r>
      <w:r w:rsidRPr="00D31DFB">
        <w:rPr>
          <w:noProof/>
        </w:rPr>
        <w:t>2017</w:t>
      </w:r>
      <w:r w:rsidR="005E2226" w:rsidRPr="00D31DFB">
        <w:rPr>
          <w:noProof/>
        </w:rPr>
        <w:t>)</w:t>
      </w:r>
      <w:r w:rsidRPr="00D31DFB">
        <w:rPr>
          <w:noProof/>
        </w:rPr>
        <w:t xml:space="preserve">. "Pengaruh  Kinerja  Keuangan dan  Belanja  Modal  terhadap Pertumbuhan  Ekonomi  pada Kabupaten/Kota  di  Jawa  Tengah". </w:t>
      </w:r>
      <w:r w:rsidR="005C098D" w:rsidRPr="00D31DFB">
        <w:rPr>
          <w:noProof/>
        </w:rPr>
        <w:t xml:space="preserve">                         </w:t>
      </w:r>
      <w:r w:rsidRPr="00D31DFB">
        <w:rPr>
          <w:i/>
          <w:iCs/>
          <w:noProof/>
        </w:rPr>
        <w:t>Jurnal Reviu Akuntansi</w:t>
      </w:r>
      <w:r w:rsidR="00FA4FCF" w:rsidRPr="00D31DFB">
        <w:rPr>
          <w:i/>
          <w:iCs/>
          <w:noProof/>
        </w:rPr>
        <w:t xml:space="preserve"> </w:t>
      </w:r>
      <w:r w:rsidRPr="00D31DFB">
        <w:rPr>
          <w:i/>
          <w:iCs/>
          <w:noProof/>
        </w:rPr>
        <w:t>dan Keuangan,</w:t>
      </w:r>
      <w:r w:rsidRPr="00D31DFB">
        <w:rPr>
          <w:noProof/>
        </w:rPr>
        <w:t xml:space="preserve"> 5</w:t>
      </w:r>
      <w:r w:rsidR="005C098D" w:rsidRPr="00D31DFB">
        <w:rPr>
          <w:noProof/>
        </w:rPr>
        <w:t>(</w:t>
      </w:r>
      <w:r w:rsidRPr="00D31DFB">
        <w:rPr>
          <w:noProof/>
        </w:rPr>
        <w:t>2</w:t>
      </w:r>
      <w:r w:rsidR="005C098D" w:rsidRPr="00D31DFB">
        <w:rPr>
          <w:noProof/>
        </w:rPr>
        <w:t>)</w:t>
      </w:r>
      <w:r w:rsidRPr="00D31DFB">
        <w:rPr>
          <w:noProof/>
        </w:rPr>
        <w:t>, 759–768. https://doi.org/10.22219/jrak.v5i2.5152</w:t>
      </w:r>
    </w:p>
    <w:p w:rsidR="00A84AA6" w:rsidRPr="00D31DFB" w:rsidRDefault="00A84AA6" w:rsidP="00FA4FCF">
      <w:pPr>
        <w:widowControl w:val="0"/>
        <w:autoSpaceDE w:val="0"/>
        <w:autoSpaceDN w:val="0"/>
        <w:ind w:left="811" w:hanging="811"/>
        <w:jc w:val="both"/>
        <w:rPr>
          <w:noProof/>
        </w:rPr>
      </w:pPr>
      <w:r w:rsidRPr="00D31DFB">
        <w:rPr>
          <w:noProof/>
        </w:rPr>
        <w:t xml:space="preserve">Prakosa, K. B. </w:t>
      </w:r>
      <w:r w:rsidR="005E2226" w:rsidRPr="00D31DFB">
        <w:rPr>
          <w:noProof/>
        </w:rPr>
        <w:t>(</w:t>
      </w:r>
      <w:r w:rsidRPr="00D31DFB">
        <w:rPr>
          <w:noProof/>
        </w:rPr>
        <w:t>2004</w:t>
      </w:r>
      <w:r w:rsidR="005E2226" w:rsidRPr="00D31DFB">
        <w:rPr>
          <w:noProof/>
        </w:rPr>
        <w:t>)</w:t>
      </w:r>
      <w:r w:rsidRPr="00D31DFB">
        <w:rPr>
          <w:noProof/>
        </w:rPr>
        <w:t xml:space="preserve">. "Analisis Pengaruh Dana Alokasi Umum (DAU) dan Pendapatan Asli Daerah (PAD) terhadap Prediksi Belanja Daerah (Studi Empirik di Wilayah Propinsi Jawa Tengah dan DIY)". </w:t>
      </w:r>
      <w:r w:rsidRPr="00D31DFB">
        <w:rPr>
          <w:i/>
          <w:iCs/>
          <w:noProof/>
        </w:rPr>
        <w:t>Jurnal Akuntansi &amp; Auditing Indonesia,</w:t>
      </w:r>
      <w:r w:rsidRPr="00D31DFB">
        <w:rPr>
          <w:noProof/>
        </w:rPr>
        <w:t xml:space="preserve"> 8</w:t>
      </w:r>
      <w:r w:rsidR="005C098D" w:rsidRPr="00D31DFB">
        <w:rPr>
          <w:noProof/>
        </w:rPr>
        <w:t>(</w:t>
      </w:r>
      <w:r w:rsidRPr="00D31DFB">
        <w:rPr>
          <w:noProof/>
        </w:rPr>
        <w:t>2</w:t>
      </w:r>
      <w:r w:rsidR="005C098D" w:rsidRPr="00D31DFB">
        <w:rPr>
          <w:noProof/>
        </w:rPr>
        <w:t>)</w:t>
      </w:r>
      <w:r w:rsidRPr="00D31DFB">
        <w:rPr>
          <w:noProof/>
        </w:rPr>
        <w:t>, 101–118.</w:t>
      </w:r>
    </w:p>
    <w:p w:rsidR="00A84AA6" w:rsidRPr="00D31DFB" w:rsidRDefault="00A84AA6" w:rsidP="00FA4FCF">
      <w:pPr>
        <w:widowControl w:val="0"/>
        <w:autoSpaceDE w:val="0"/>
        <w:autoSpaceDN w:val="0"/>
        <w:ind w:left="811" w:hanging="811"/>
        <w:jc w:val="both"/>
        <w:rPr>
          <w:noProof/>
        </w:rPr>
      </w:pPr>
      <w:r w:rsidRPr="00D31DFB">
        <w:rPr>
          <w:noProof/>
        </w:rPr>
        <w:t xml:space="preserve">Prastiwi, Ayu, Nurlaela, S., &amp; dan Chomsatu, Y. </w:t>
      </w:r>
      <w:r w:rsidR="005E2226" w:rsidRPr="00D31DFB">
        <w:rPr>
          <w:noProof/>
        </w:rPr>
        <w:t>(</w:t>
      </w:r>
      <w:r w:rsidRPr="00D31DFB">
        <w:rPr>
          <w:noProof/>
        </w:rPr>
        <w:t>2016</w:t>
      </w:r>
      <w:r w:rsidR="005E2226" w:rsidRPr="00D31DFB">
        <w:rPr>
          <w:noProof/>
        </w:rPr>
        <w:t>)</w:t>
      </w:r>
      <w:r w:rsidRPr="00D31DFB">
        <w:rPr>
          <w:noProof/>
        </w:rPr>
        <w:t xml:space="preserve">. "Pengaruh Pendapatan Asli Daerah, Dana Perimbangan dan Belanja Pengawai terhadap Belanja Modal Pemerintah Kota Surakarta". </w:t>
      </w:r>
      <w:r w:rsidRPr="00D31DFB">
        <w:rPr>
          <w:i/>
          <w:iCs/>
          <w:noProof/>
        </w:rPr>
        <w:t>Seminar Nasional IENACO</w:t>
      </w:r>
      <w:r w:rsidRPr="00D31DFB">
        <w:rPr>
          <w:noProof/>
        </w:rPr>
        <w:t xml:space="preserve">,  872–879. </w:t>
      </w:r>
    </w:p>
    <w:p w:rsidR="00A84AA6" w:rsidRPr="00D31DFB" w:rsidRDefault="00A84AA6" w:rsidP="00FA4FCF">
      <w:pPr>
        <w:widowControl w:val="0"/>
        <w:autoSpaceDE w:val="0"/>
        <w:autoSpaceDN w:val="0"/>
        <w:ind w:left="811" w:hanging="811"/>
        <w:jc w:val="both"/>
        <w:rPr>
          <w:noProof/>
        </w:rPr>
      </w:pPr>
      <w:r w:rsidRPr="00D31DFB">
        <w:rPr>
          <w:noProof/>
        </w:rPr>
        <w:t xml:space="preserve">Putri, N. K. N. I., &amp; Darmayanti, N. P. A. </w:t>
      </w:r>
      <w:r w:rsidR="005E2226" w:rsidRPr="00D31DFB">
        <w:rPr>
          <w:noProof/>
        </w:rPr>
        <w:t>(</w:t>
      </w:r>
      <w:r w:rsidRPr="00D31DFB">
        <w:rPr>
          <w:noProof/>
        </w:rPr>
        <w:t>2019</w:t>
      </w:r>
      <w:r w:rsidR="005E2226" w:rsidRPr="00D31DFB">
        <w:rPr>
          <w:noProof/>
        </w:rPr>
        <w:t>)</w:t>
      </w:r>
      <w:r w:rsidRPr="00D31DFB">
        <w:rPr>
          <w:noProof/>
        </w:rPr>
        <w:t>. "Pengaruh PAD  dan  Dana Perimbangan terhadap Kinerja Keuangan Pemerintah Daerah di Wilayah Sarbagita</w:t>
      </w:r>
      <w:r w:rsidR="00804BA7" w:rsidRPr="00D31DFB">
        <w:rPr>
          <w:noProof/>
        </w:rPr>
        <w:t xml:space="preserve">               </w:t>
      </w:r>
      <w:r w:rsidRPr="00D31DFB">
        <w:rPr>
          <w:noProof/>
        </w:rPr>
        <w:t xml:space="preserve"> </w:t>
      </w:r>
      <w:r w:rsidR="00804BA7" w:rsidRPr="00D31DFB">
        <w:rPr>
          <w:noProof/>
        </w:rPr>
        <w:t xml:space="preserve">                     </w:t>
      </w:r>
      <w:r w:rsidRPr="00D31DFB">
        <w:rPr>
          <w:noProof/>
        </w:rPr>
        <w:t>Provinsi Bali".</w:t>
      </w:r>
      <w:r w:rsidR="00804BA7" w:rsidRPr="00D31DFB">
        <w:rPr>
          <w:noProof/>
        </w:rPr>
        <w:t xml:space="preserve"> </w:t>
      </w:r>
      <w:r w:rsidRPr="00D31DFB">
        <w:rPr>
          <w:i/>
          <w:iCs/>
          <w:noProof/>
        </w:rPr>
        <w:t>E-Jurnal Manajemen,</w:t>
      </w:r>
      <w:r w:rsidRPr="00D31DFB">
        <w:rPr>
          <w:noProof/>
        </w:rPr>
        <w:t xml:space="preserve"> 8</w:t>
      </w:r>
      <w:r w:rsidR="005C098D" w:rsidRPr="00D31DFB">
        <w:rPr>
          <w:noProof/>
        </w:rPr>
        <w:t>(</w:t>
      </w:r>
      <w:r w:rsidRPr="00D31DFB">
        <w:rPr>
          <w:noProof/>
        </w:rPr>
        <w:t>5</w:t>
      </w:r>
      <w:r w:rsidR="005C098D" w:rsidRPr="00D31DFB">
        <w:rPr>
          <w:noProof/>
        </w:rPr>
        <w:t>)</w:t>
      </w:r>
      <w:r w:rsidRPr="00D31DFB">
        <w:rPr>
          <w:noProof/>
        </w:rPr>
        <w:t>, 2834-2861. https://doi.org/10.24843/ejmunud.2019.v08.i05.p09</w:t>
      </w:r>
    </w:p>
    <w:p w:rsidR="00A84AA6" w:rsidRPr="00D31DFB" w:rsidRDefault="00A84AA6" w:rsidP="00FA4FCF">
      <w:pPr>
        <w:widowControl w:val="0"/>
        <w:autoSpaceDE w:val="0"/>
        <w:autoSpaceDN w:val="0"/>
        <w:ind w:left="811" w:hanging="811"/>
        <w:jc w:val="both"/>
        <w:rPr>
          <w:noProof/>
        </w:rPr>
      </w:pPr>
      <w:r w:rsidRPr="00D31DFB">
        <w:rPr>
          <w:noProof/>
        </w:rPr>
        <w:t xml:space="preserve">Putri, R. L., Nirwanto, N., Assih, P., &amp; Darmawan, W. </w:t>
      </w:r>
      <w:r w:rsidR="005E2226" w:rsidRPr="00D31DFB">
        <w:rPr>
          <w:noProof/>
        </w:rPr>
        <w:t>(</w:t>
      </w:r>
      <w:r w:rsidRPr="00D31DFB">
        <w:rPr>
          <w:noProof/>
        </w:rPr>
        <w:t>2020</w:t>
      </w:r>
      <w:r w:rsidR="005E2226" w:rsidRPr="00D31DFB">
        <w:rPr>
          <w:noProof/>
        </w:rPr>
        <w:t>)</w:t>
      </w:r>
      <w:r w:rsidRPr="00D31DFB">
        <w:rPr>
          <w:noProof/>
        </w:rPr>
        <w:t xml:space="preserve">. ""The Importance of Regional Original Income, Balance Fund and Demography on Flypaper Effect through </w:t>
      </w:r>
      <w:r w:rsidR="00D31DFB">
        <w:rPr>
          <w:noProof/>
          <w:lang w:val="en-US"/>
        </w:rPr>
        <w:t>T</w:t>
      </w:r>
      <w:r w:rsidRPr="00D31DFB">
        <w:rPr>
          <w:noProof/>
        </w:rPr>
        <w:t xml:space="preserve">he Regional Government Expenditure". </w:t>
      </w:r>
      <w:r w:rsidRPr="00D31DFB">
        <w:rPr>
          <w:i/>
          <w:iCs/>
          <w:noProof/>
        </w:rPr>
        <w:t xml:space="preserve">International Journal of Research in Humanities and Social Studies, </w:t>
      </w:r>
      <w:r w:rsidRPr="00D31DFB">
        <w:rPr>
          <w:noProof/>
        </w:rPr>
        <w:t>7</w:t>
      </w:r>
      <w:r w:rsidR="005C098D" w:rsidRPr="00D31DFB">
        <w:rPr>
          <w:noProof/>
        </w:rPr>
        <w:t>(</w:t>
      </w:r>
      <w:r w:rsidRPr="00D31DFB">
        <w:rPr>
          <w:noProof/>
        </w:rPr>
        <w:t>2</w:t>
      </w:r>
      <w:r w:rsidR="005C098D" w:rsidRPr="00D31DFB">
        <w:rPr>
          <w:noProof/>
        </w:rPr>
        <w:t>)</w:t>
      </w:r>
      <w:r w:rsidRPr="00D31DFB">
        <w:rPr>
          <w:noProof/>
        </w:rPr>
        <w:t>, 33–45.</w:t>
      </w:r>
    </w:p>
    <w:p w:rsidR="00A84AA6" w:rsidRPr="00A84AA6" w:rsidRDefault="00A84AA6" w:rsidP="00FA4FCF">
      <w:pPr>
        <w:pStyle w:val="NormalWeb"/>
        <w:spacing w:before="0" w:beforeAutospacing="0" w:after="0" w:afterAutospacing="0"/>
        <w:ind w:left="811" w:hanging="811"/>
        <w:jc w:val="both"/>
      </w:pPr>
      <w:r w:rsidRPr="00A84AA6">
        <w:t>Sag ̆bas,</w:t>
      </w:r>
      <w:r w:rsidRPr="00A84AA6">
        <w:rPr>
          <w:lang w:val="en-US"/>
        </w:rPr>
        <w:t xml:space="preserve"> </w:t>
      </w:r>
      <w:r w:rsidRPr="00A84AA6">
        <w:t>I.,</w:t>
      </w:r>
      <w:r w:rsidRPr="00A84AA6">
        <w:rPr>
          <w:lang w:val="en-US"/>
        </w:rPr>
        <w:t xml:space="preserve"> </w:t>
      </w:r>
      <w:r w:rsidRPr="00A84AA6">
        <w:t>&amp;</w:t>
      </w:r>
      <w:r w:rsidRPr="00A84AA6">
        <w:rPr>
          <w:lang w:val="en-US"/>
        </w:rPr>
        <w:t xml:space="preserve"> </w:t>
      </w:r>
      <w:r w:rsidRPr="00A84AA6">
        <w:t>Saruc,</w:t>
      </w:r>
      <w:r w:rsidRPr="00A84AA6">
        <w:rPr>
          <w:lang w:val="en-US"/>
        </w:rPr>
        <w:t xml:space="preserve"> </w:t>
      </w:r>
      <w:r w:rsidRPr="00A84AA6">
        <w:t>N.T.</w:t>
      </w:r>
      <w:r w:rsidR="005E2226">
        <w:rPr>
          <w:lang w:val="en-US"/>
        </w:rPr>
        <w:t xml:space="preserve"> (</w:t>
      </w:r>
      <w:r w:rsidRPr="00A84AA6">
        <w:t>2004</w:t>
      </w:r>
      <w:r w:rsidR="005E2226">
        <w:rPr>
          <w:lang w:val="en-US"/>
        </w:rPr>
        <w:t>)</w:t>
      </w:r>
      <w:r w:rsidRPr="00A84AA6">
        <w:t>.</w:t>
      </w:r>
      <w:r w:rsidRPr="00A84AA6">
        <w:rPr>
          <w:lang w:val="en-US"/>
        </w:rPr>
        <w:t xml:space="preserve"> "</w:t>
      </w:r>
      <w:r w:rsidRPr="00A84AA6">
        <w:t>Intergovernmental</w:t>
      </w:r>
      <w:r w:rsidRPr="00A84AA6">
        <w:rPr>
          <w:lang w:val="en-US"/>
        </w:rPr>
        <w:t xml:space="preserve"> </w:t>
      </w:r>
      <w:r w:rsidRPr="00A84AA6">
        <w:t xml:space="preserve">Transfers </w:t>
      </w:r>
      <w:r w:rsidRPr="00A84AA6">
        <w:rPr>
          <w:lang w:val="en-US"/>
        </w:rPr>
        <w:t>a</w:t>
      </w:r>
      <w:r w:rsidRPr="00A84AA6">
        <w:t>nd The Flypaper Effect In Turkey</w:t>
      </w:r>
      <w:r w:rsidRPr="00A84AA6">
        <w:rPr>
          <w:lang w:val="en-US"/>
        </w:rPr>
        <w:t>"</w:t>
      </w:r>
      <w:r w:rsidRPr="00A84AA6">
        <w:t xml:space="preserve">. </w:t>
      </w:r>
      <w:r w:rsidRPr="005E2226">
        <w:rPr>
          <w:i/>
          <w:iCs/>
        </w:rPr>
        <w:t>Turkish Studies,</w:t>
      </w:r>
      <w:r w:rsidRPr="00A84AA6">
        <w:t xml:space="preserve"> 5</w:t>
      </w:r>
      <w:r w:rsidR="005C098D">
        <w:rPr>
          <w:lang w:val="en-US"/>
        </w:rPr>
        <w:t>(</w:t>
      </w:r>
      <w:r w:rsidRPr="00A84AA6">
        <w:t>2</w:t>
      </w:r>
      <w:r w:rsidR="005C098D">
        <w:rPr>
          <w:lang w:val="en-US"/>
        </w:rPr>
        <w:t>)</w:t>
      </w:r>
      <w:r w:rsidRPr="00A84AA6">
        <w:t xml:space="preserve">, 79–92. DOI: 10.1080/1468384042000228602. </w:t>
      </w:r>
    </w:p>
    <w:p w:rsidR="00A84AA6" w:rsidRPr="00D31DFB" w:rsidRDefault="00A84AA6" w:rsidP="00FA4FCF">
      <w:pPr>
        <w:widowControl w:val="0"/>
        <w:autoSpaceDE w:val="0"/>
        <w:autoSpaceDN w:val="0"/>
        <w:ind w:left="811" w:hanging="811"/>
        <w:jc w:val="both"/>
        <w:rPr>
          <w:noProof/>
        </w:rPr>
      </w:pPr>
      <w:r w:rsidRPr="00D31DFB">
        <w:rPr>
          <w:noProof/>
        </w:rPr>
        <w:t xml:space="preserve">Solikin, A. </w:t>
      </w:r>
      <w:r w:rsidR="005E2226" w:rsidRPr="00D31DFB">
        <w:rPr>
          <w:noProof/>
        </w:rPr>
        <w:t>(</w:t>
      </w:r>
      <w:r w:rsidRPr="00D31DFB">
        <w:rPr>
          <w:noProof/>
        </w:rPr>
        <w:t>2016</w:t>
      </w:r>
      <w:r w:rsidR="005E2226" w:rsidRPr="00D31DFB">
        <w:rPr>
          <w:noProof/>
        </w:rPr>
        <w:t>)</w:t>
      </w:r>
      <w:r w:rsidRPr="00D31DFB">
        <w:rPr>
          <w:noProof/>
        </w:rPr>
        <w:t xml:space="preserve">. "Analisis Flypaper Effect pada Pengujian Pengaruh Dana Alokasi Umum (DAU), Pendapatan Asli Daerah (PAD), dan Sisa Lebih Penghitungan Anggaran (SiLPA) terhadap Belanja Pemerintah Daerah di Indonesia (Studi Tahun 2012-2014)". </w:t>
      </w:r>
      <w:r w:rsidRPr="00D31DFB">
        <w:rPr>
          <w:i/>
          <w:iCs/>
          <w:noProof/>
        </w:rPr>
        <w:t xml:space="preserve">Jurnal Akuntansi dan Bisnis, </w:t>
      </w:r>
      <w:r w:rsidRPr="00D31DFB">
        <w:rPr>
          <w:noProof/>
        </w:rPr>
        <w:t>16</w:t>
      </w:r>
      <w:r w:rsidR="005C098D" w:rsidRPr="00D31DFB">
        <w:rPr>
          <w:noProof/>
        </w:rPr>
        <w:t>(</w:t>
      </w:r>
      <w:r w:rsidRPr="00D31DFB">
        <w:rPr>
          <w:noProof/>
        </w:rPr>
        <w:t>1</w:t>
      </w:r>
      <w:r w:rsidR="005C098D" w:rsidRPr="00D31DFB">
        <w:rPr>
          <w:noProof/>
        </w:rPr>
        <w:t>)</w:t>
      </w:r>
      <w:r w:rsidRPr="00D31DFB">
        <w:rPr>
          <w:noProof/>
        </w:rPr>
        <w:t>, 11. https://doi.org/10.20961/jab.v16i1.187</w:t>
      </w:r>
    </w:p>
    <w:p w:rsidR="00A84AA6" w:rsidRPr="00D31DFB" w:rsidRDefault="00A84AA6" w:rsidP="00FA4FCF">
      <w:pPr>
        <w:pStyle w:val="DaftarParagraf"/>
        <w:spacing w:after="0" w:line="240" w:lineRule="auto"/>
        <w:ind w:left="811" w:hanging="811"/>
        <w:jc w:val="both"/>
        <w:rPr>
          <w:rFonts w:ascii="Times New Roman" w:hAnsi="Times New Roman" w:cs="Times New Roman"/>
          <w:i w:val="0"/>
          <w:iCs w:val="0"/>
          <w:sz w:val="24"/>
          <w:szCs w:val="24"/>
        </w:rPr>
      </w:pPr>
      <w:r w:rsidRPr="00D31DFB">
        <w:rPr>
          <w:rFonts w:ascii="Times New Roman" w:hAnsi="Times New Roman" w:cs="Times New Roman"/>
          <w:i w:val="0"/>
          <w:iCs w:val="0"/>
          <w:sz w:val="24"/>
          <w:szCs w:val="24"/>
        </w:rPr>
        <w:t xml:space="preserve">Sour, L. </w:t>
      </w:r>
      <w:r w:rsidR="005E2226"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2013</w:t>
      </w:r>
      <w:r w:rsidR="005E2226"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 xml:space="preserve">. "The Flypaper Effect in Mexican Local Governments". </w:t>
      </w:r>
      <w:r w:rsidRPr="00D31DFB">
        <w:rPr>
          <w:rFonts w:ascii="Times New Roman" w:hAnsi="Times New Roman" w:cs="Times New Roman"/>
          <w:sz w:val="24"/>
          <w:szCs w:val="24"/>
        </w:rPr>
        <w:t xml:space="preserve">Estudios Economicos, </w:t>
      </w:r>
      <w:r w:rsidRPr="00D31DFB">
        <w:rPr>
          <w:rFonts w:ascii="Times New Roman" w:hAnsi="Times New Roman" w:cs="Times New Roman"/>
          <w:i w:val="0"/>
          <w:iCs w:val="0"/>
          <w:sz w:val="24"/>
          <w:szCs w:val="24"/>
        </w:rPr>
        <w:t>28</w:t>
      </w:r>
      <w:r w:rsidR="005C098D"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1</w:t>
      </w:r>
      <w:r w:rsidR="005C098D"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 165-186.</w:t>
      </w:r>
    </w:p>
    <w:p w:rsidR="00D31DFB" w:rsidRPr="00D31DFB" w:rsidRDefault="00D31DFB" w:rsidP="00D31DFB">
      <w:pPr>
        <w:ind w:left="851" w:hanging="851"/>
        <w:jc w:val="both"/>
      </w:pPr>
      <w:r w:rsidRPr="00D31DFB">
        <w:t xml:space="preserve">Statistics Indonesia (2018). </w:t>
      </w:r>
      <w:r w:rsidRPr="00D31DFB">
        <w:rPr>
          <w:i/>
          <w:iCs/>
        </w:rPr>
        <w:t>Financial Statistics of Regency/Municipality Government</w:t>
      </w:r>
      <w:r w:rsidRPr="00D31DFB">
        <w:t>.</w:t>
      </w:r>
      <w:r w:rsidRPr="00D31DFB">
        <w:rPr>
          <w:lang w:val="en-US"/>
        </w:rPr>
        <w:t xml:space="preserve"> </w:t>
      </w:r>
      <w:r w:rsidRPr="00D31DFB">
        <w:t xml:space="preserve">ISSN </w:t>
      </w:r>
      <w:r w:rsidRPr="00D31DFB">
        <w:rPr>
          <w:color w:val="000000" w:themeColor="text1"/>
          <w:shd w:val="clear" w:color="auto" w:fill="FFFFFF"/>
        </w:rPr>
        <w:t>0126-4699</w:t>
      </w:r>
    </w:p>
    <w:p w:rsidR="00A84AA6" w:rsidRPr="00D31DFB" w:rsidRDefault="00A84AA6" w:rsidP="00FA4FCF">
      <w:pPr>
        <w:pStyle w:val="DaftarParagraf"/>
        <w:spacing w:after="0" w:line="240" w:lineRule="auto"/>
        <w:ind w:left="811" w:hanging="811"/>
        <w:jc w:val="both"/>
        <w:rPr>
          <w:rFonts w:ascii="Times New Roman" w:hAnsi="Times New Roman" w:cs="Times New Roman"/>
          <w:i w:val="0"/>
          <w:iCs w:val="0"/>
          <w:sz w:val="24"/>
          <w:szCs w:val="24"/>
        </w:rPr>
      </w:pPr>
      <w:r w:rsidRPr="00D31DFB">
        <w:rPr>
          <w:rFonts w:ascii="Times New Roman" w:hAnsi="Times New Roman" w:cs="Times New Roman"/>
          <w:i w:val="0"/>
          <w:iCs w:val="0"/>
          <w:sz w:val="24"/>
          <w:szCs w:val="24"/>
        </w:rPr>
        <w:t xml:space="preserve">Suyanto. </w:t>
      </w:r>
      <w:r w:rsidR="005E2226"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2010</w:t>
      </w:r>
      <w:r w:rsidR="005E2226"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 xml:space="preserve">. "Flypaper Effect Theory dalam Implementasi Kebijakan Desentralisasi Fiskal". </w:t>
      </w:r>
      <w:r w:rsidRPr="00D31DFB">
        <w:rPr>
          <w:rFonts w:ascii="Times New Roman" w:hAnsi="Times New Roman" w:cs="Times New Roman"/>
          <w:sz w:val="24"/>
          <w:szCs w:val="24"/>
        </w:rPr>
        <w:t>Jurnal Ekonomi Pembangunan,</w:t>
      </w:r>
      <w:r w:rsidRPr="00D31DFB">
        <w:rPr>
          <w:rFonts w:ascii="Times New Roman" w:hAnsi="Times New Roman" w:cs="Times New Roman"/>
          <w:i w:val="0"/>
          <w:iCs w:val="0"/>
          <w:sz w:val="24"/>
          <w:szCs w:val="24"/>
        </w:rPr>
        <w:t xml:space="preserve"> 11</w:t>
      </w:r>
      <w:r w:rsidR="005C098D"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1</w:t>
      </w:r>
      <w:r w:rsidR="005C098D"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 xml:space="preserve">, 69-92. </w:t>
      </w:r>
    </w:p>
    <w:p w:rsidR="00A84AA6" w:rsidRPr="00D31DFB" w:rsidRDefault="00A84AA6" w:rsidP="00FA4FCF">
      <w:pPr>
        <w:pStyle w:val="DaftarParagraf"/>
        <w:spacing w:after="0" w:line="240" w:lineRule="auto"/>
        <w:ind w:left="811" w:hanging="811"/>
        <w:jc w:val="both"/>
        <w:rPr>
          <w:rFonts w:ascii="Times New Roman" w:hAnsi="Times New Roman" w:cs="Times New Roman"/>
          <w:i w:val="0"/>
          <w:iCs w:val="0"/>
          <w:sz w:val="24"/>
          <w:szCs w:val="24"/>
        </w:rPr>
      </w:pPr>
      <w:r w:rsidRPr="00D31DFB">
        <w:rPr>
          <w:rFonts w:ascii="Times New Roman" w:hAnsi="Times New Roman" w:cs="Times New Roman"/>
          <w:i w:val="0"/>
          <w:iCs w:val="0"/>
          <w:sz w:val="24"/>
          <w:szCs w:val="24"/>
        </w:rPr>
        <w:t xml:space="preserve">Thornton, J. P. </w:t>
      </w:r>
      <w:r w:rsidR="005E2226"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2011</w:t>
      </w:r>
      <w:r w:rsidR="005E2226"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 "Flypaper Nonprofits: The impact of Federal Grant Structure on Nonprofit Expenditure Decision".</w:t>
      </w:r>
      <w:r w:rsidRPr="00D31DFB">
        <w:rPr>
          <w:rFonts w:ascii="Times New Roman" w:hAnsi="Times New Roman" w:cs="Times New Roman"/>
          <w:sz w:val="24"/>
          <w:szCs w:val="24"/>
        </w:rPr>
        <w:t xml:space="preserve"> Public Finance Review</w:t>
      </w:r>
      <w:r w:rsidRPr="00D31DFB">
        <w:rPr>
          <w:rFonts w:ascii="Times New Roman" w:hAnsi="Times New Roman" w:cs="Times New Roman"/>
          <w:i w:val="0"/>
          <w:iCs w:val="0"/>
          <w:sz w:val="24"/>
          <w:szCs w:val="24"/>
        </w:rPr>
        <w:t>, 42</w:t>
      </w:r>
      <w:r w:rsidR="005C098D"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2</w:t>
      </w:r>
      <w:r w:rsidR="005C098D" w:rsidRPr="00D31DFB">
        <w:rPr>
          <w:rFonts w:ascii="Times New Roman" w:hAnsi="Times New Roman" w:cs="Times New Roman"/>
          <w:i w:val="0"/>
          <w:iCs w:val="0"/>
          <w:sz w:val="24"/>
          <w:szCs w:val="24"/>
        </w:rPr>
        <w:t>)</w:t>
      </w:r>
      <w:r w:rsidRPr="00D31DFB">
        <w:rPr>
          <w:rFonts w:ascii="Times New Roman" w:hAnsi="Times New Roman" w:cs="Times New Roman"/>
          <w:i w:val="0"/>
          <w:iCs w:val="0"/>
          <w:sz w:val="24"/>
          <w:szCs w:val="24"/>
        </w:rPr>
        <w:t>, 176-198.</w:t>
      </w:r>
    </w:p>
    <w:p w:rsidR="00A84AA6" w:rsidRPr="00A84AA6" w:rsidRDefault="00A84AA6" w:rsidP="00FA4FCF">
      <w:pPr>
        <w:pStyle w:val="DaftarParagraf"/>
        <w:spacing w:after="0" w:line="240" w:lineRule="auto"/>
        <w:ind w:left="811" w:hanging="811"/>
        <w:jc w:val="both"/>
        <w:rPr>
          <w:rFonts w:ascii="Times New Roman" w:hAnsi="Times New Roman" w:cs="Times New Roman"/>
          <w:i w:val="0"/>
          <w:iCs w:val="0"/>
          <w:sz w:val="24"/>
          <w:szCs w:val="24"/>
        </w:rPr>
      </w:pPr>
      <w:r w:rsidRPr="00A84AA6">
        <w:rPr>
          <w:rFonts w:ascii="Times New Roman" w:hAnsi="Times New Roman" w:cs="Times New Roman"/>
          <w:i w:val="0"/>
          <w:iCs w:val="0"/>
          <w:sz w:val="24"/>
          <w:szCs w:val="24"/>
        </w:rPr>
        <w:t>Vegh, C.A., &amp; Vuletin, G. 2015. Unsticking the Flyaper Effect in an Uncertain Word.</w:t>
      </w:r>
      <w:r w:rsidRPr="00D31DFB">
        <w:rPr>
          <w:rFonts w:ascii="Times New Roman" w:hAnsi="Times New Roman" w:cs="Times New Roman"/>
          <w:sz w:val="24"/>
          <w:szCs w:val="24"/>
        </w:rPr>
        <w:t xml:space="preserve"> Journal of Public Economics, </w:t>
      </w:r>
      <w:r w:rsidRPr="00A84AA6">
        <w:rPr>
          <w:rFonts w:ascii="Times New Roman" w:hAnsi="Times New Roman" w:cs="Times New Roman"/>
          <w:i w:val="0"/>
          <w:iCs w:val="0"/>
          <w:sz w:val="24"/>
          <w:szCs w:val="24"/>
        </w:rPr>
        <w:t xml:space="preserve">131, 142-155. </w:t>
      </w:r>
      <w:hyperlink r:id="rId9" w:history="1">
        <w:r w:rsidRPr="00A84AA6">
          <w:rPr>
            <w:rStyle w:val="Hyperlink"/>
            <w:rFonts w:ascii="Times New Roman" w:hAnsi="Times New Roman" w:cs="Times New Roman"/>
            <w:i w:val="0"/>
            <w:iCs w:val="0"/>
            <w:color w:val="000000" w:themeColor="text1"/>
            <w:sz w:val="24"/>
            <w:szCs w:val="24"/>
          </w:rPr>
          <w:t>https://doi.org/10.1016/j.jpubeco.2015.09.001</w:t>
        </w:r>
      </w:hyperlink>
    </w:p>
    <w:p w:rsidR="00A84AA6" w:rsidRPr="00D31DFB" w:rsidRDefault="00A84AA6" w:rsidP="00FA4FCF">
      <w:pPr>
        <w:widowControl w:val="0"/>
        <w:autoSpaceDE w:val="0"/>
        <w:autoSpaceDN w:val="0"/>
        <w:ind w:left="811" w:hanging="811"/>
        <w:jc w:val="both"/>
        <w:rPr>
          <w:noProof/>
        </w:rPr>
      </w:pPr>
      <w:r w:rsidRPr="00D31DFB">
        <w:rPr>
          <w:noProof/>
        </w:rPr>
        <w:t xml:space="preserve">Wandira,  A. G. </w:t>
      </w:r>
      <w:r w:rsidR="005E2226" w:rsidRPr="00D31DFB">
        <w:rPr>
          <w:noProof/>
        </w:rPr>
        <w:t>(</w:t>
      </w:r>
      <w:r w:rsidRPr="00D31DFB">
        <w:rPr>
          <w:noProof/>
        </w:rPr>
        <w:t>2013</w:t>
      </w:r>
      <w:r w:rsidR="005E2226" w:rsidRPr="00D31DFB">
        <w:rPr>
          <w:noProof/>
        </w:rPr>
        <w:t>)</w:t>
      </w:r>
      <w:r w:rsidRPr="00D31DFB">
        <w:rPr>
          <w:noProof/>
        </w:rPr>
        <w:t xml:space="preserve">. "Pengaruh PAD, DAU, DAK, dan DBH terhadap </w:t>
      </w:r>
      <w:r w:rsidR="005C098D" w:rsidRPr="00D31DFB">
        <w:rPr>
          <w:noProof/>
        </w:rPr>
        <w:t xml:space="preserve">                           </w:t>
      </w:r>
      <w:r w:rsidRPr="00D31DFB">
        <w:rPr>
          <w:noProof/>
        </w:rPr>
        <w:t xml:space="preserve">Pengalokasian Belanja Modal". </w:t>
      </w:r>
      <w:r w:rsidRPr="00D31DFB">
        <w:rPr>
          <w:i/>
          <w:iCs/>
          <w:noProof/>
        </w:rPr>
        <w:t xml:space="preserve">Accounting Analysis Journal, </w:t>
      </w:r>
      <w:r w:rsidRPr="00D31DFB">
        <w:rPr>
          <w:noProof/>
        </w:rPr>
        <w:t>2</w:t>
      </w:r>
      <w:r w:rsidR="005C098D" w:rsidRPr="00D31DFB">
        <w:rPr>
          <w:noProof/>
        </w:rPr>
        <w:t>(</w:t>
      </w:r>
      <w:r w:rsidRPr="00D31DFB">
        <w:rPr>
          <w:noProof/>
        </w:rPr>
        <w:t>1</w:t>
      </w:r>
      <w:r w:rsidR="005C098D" w:rsidRPr="00D31DFB">
        <w:rPr>
          <w:noProof/>
        </w:rPr>
        <w:t>)</w:t>
      </w:r>
      <w:r w:rsidRPr="00D31DFB">
        <w:rPr>
          <w:noProof/>
        </w:rPr>
        <w:t>. https://doi.org/10.15294/aaj.v2i1.1158</w:t>
      </w:r>
    </w:p>
    <w:p w:rsidR="00A84AA6" w:rsidRPr="0080615C" w:rsidRDefault="00A84AA6" w:rsidP="00A84AA6">
      <w:pPr>
        <w:widowControl w:val="0"/>
        <w:autoSpaceDE w:val="0"/>
        <w:autoSpaceDN w:val="0"/>
        <w:adjustRightInd w:val="0"/>
        <w:snapToGrid w:val="0"/>
        <w:ind w:left="567" w:hanging="567"/>
        <w:jc w:val="both"/>
        <w:rPr>
          <w:rFonts w:ascii="Century" w:hAnsi="Century"/>
        </w:rPr>
      </w:pPr>
      <w:r w:rsidRPr="00A84AA6">
        <w:rPr>
          <w:i/>
          <w:iCs/>
        </w:rPr>
        <w:fldChar w:fldCharType="end"/>
      </w:r>
    </w:p>
    <w:p w:rsidR="00A84AA6" w:rsidRDefault="00A84AA6" w:rsidP="007450B1">
      <w:pPr>
        <w:jc w:val="both"/>
        <w:rPr>
          <w:b/>
          <w:i/>
        </w:rPr>
      </w:pPr>
    </w:p>
    <w:p w:rsidR="00AB0D07" w:rsidRPr="00573525" w:rsidRDefault="00AB0D07" w:rsidP="007B42C2">
      <w:pPr>
        <w:pStyle w:val="p0"/>
        <w:ind w:left="811" w:hanging="811"/>
        <w:jc w:val="both"/>
        <w:rPr>
          <w:lang w:val="es-AR"/>
        </w:rPr>
      </w:pPr>
      <w:r w:rsidRPr="00FB3D5F">
        <w:rPr>
          <w:lang w:val="es-AR"/>
        </w:rPr>
        <w:t xml:space="preserve"> </w:t>
      </w:r>
    </w:p>
    <w:sectPr w:rsidR="00AB0D07" w:rsidRPr="00573525" w:rsidSect="007B42C2">
      <w:headerReference w:type="even" r:id="rId10"/>
      <w:headerReference w:type="default" r:id="rId11"/>
      <w:footerReference w:type="even" r:id="rId12"/>
      <w:footerReference w:type="default" r:id="rId13"/>
      <w:headerReference w:type="first" r:id="rId14"/>
      <w:footerReference w:type="first" r:id="rId15"/>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2CBF" w:rsidRDefault="00172CBF">
      <w:r>
        <w:separator/>
      </w:r>
    </w:p>
  </w:endnote>
  <w:endnote w:type="continuationSeparator" w:id="0">
    <w:p w:rsidR="00172CBF" w:rsidRDefault="0017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panose1 w:val="020B0604020202020204"/>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insideV w:val="single" w:sz="4" w:space="0" w:color="auto"/>
      </w:tblBorders>
      <w:tblLook w:val="04A0" w:firstRow="1" w:lastRow="0" w:firstColumn="1" w:lastColumn="0" w:noHBand="0" w:noVBand="1"/>
    </w:tblPr>
    <w:tblGrid>
      <w:gridCol w:w="751"/>
      <w:gridCol w:w="8319"/>
    </w:tblGrid>
    <w:tr w:rsidR="00A84AA6" w:rsidRPr="00EF7480" w:rsidTr="00C769AA">
      <w:trPr>
        <w:jc w:val="center"/>
      </w:trPr>
      <w:tc>
        <w:tcPr>
          <w:tcW w:w="414" w:type="pct"/>
          <w:vAlign w:val="center"/>
        </w:tcPr>
        <w:p w:rsidR="00A84AA6" w:rsidRPr="00EF7480" w:rsidRDefault="00172CBF"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A84AA6" w:rsidRPr="00EF7480">
                <w:rPr>
                  <w:rFonts w:ascii="Tahoma" w:hAnsi="Tahoma" w:cs="Tahoma"/>
                  <w:b/>
                  <w:bCs/>
                  <w:i w:val="0"/>
                  <w:iCs w:val="0"/>
                  <w:sz w:val="24"/>
                  <w:szCs w:val="24"/>
                </w:rPr>
                <w:fldChar w:fldCharType="begin"/>
              </w:r>
              <w:r w:rsidR="00A84AA6" w:rsidRPr="00EF7480">
                <w:rPr>
                  <w:rFonts w:ascii="Tahoma" w:hAnsi="Tahoma" w:cs="Tahoma"/>
                  <w:b/>
                  <w:bCs/>
                  <w:i w:val="0"/>
                  <w:iCs w:val="0"/>
                  <w:sz w:val="24"/>
                  <w:szCs w:val="24"/>
                </w:rPr>
                <w:instrText xml:space="preserve"> PAGE   \* MERGEFORMAT </w:instrText>
              </w:r>
              <w:r w:rsidR="00A84AA6" w:rsidRPr="00EF7480">
                <w:rPr>
                  <w:rFonts w:ascii="Tahoma" w:hAnsi="Tahoma" w:cs="Tahoma"/>
                  <w:b/>
                  <w:bCs/>
                  <w:i w:val="0"/>
                  <w:iCs w:val="0"/>
                  <w:sz w:val="24"/>
                  <w:szCs w:val="24"/>
                </w:rPr>
                <w:fldChar w:fldCharType="separate"/>
              </w:r>
              <w:r w:rsidR="00A84AA6">
                <w:rPr>
                  <w:rFonts w:ascii="Tahoma" w:hAnsi="Tahoma" w:cs="Tahoma"/>
                  <w:b/>
                  <w:bCs/>
                  <w:i w:val="0"/>
                  <w:iCs w:val="0"/>
                  <w:noProof/>
                  <w:sz w:val="24"/>
                  <w:szCs w:val="24"/>
                </w:rPr>
                <w:t>6</w:t>
              </w:r>
              <w:r w:rsidR="00A84AA6" w:rsidRPr="00EF7480">
                <w:rPr>
                  <w:rFonts w:ascii="Tahoma" w:hAnsi="Tahoma" w:cs="Tahoma"/>
                  <w:b/>
                  <w:bCs/>
                  <w:i w:val="0"/>
                  <w:iCs w:val="0"/>
                  <w:noProof/>
                  <w:sz w:val="24"/>
                  <w:szCs w:val="24"/>
                </w:rPr>
                <w:fldChar w:fldCharType="end"/>
              </w:r>
            </w:sdtContent>
          </w:sdt>
        </w:p>
      </w:tc>
      <w:tc>
        <w:tcPr>
          <w:tcW w:w="4586" w:type="pct"/>
          <w:vAlign w:val="center"/>
        </w:tcPr>
        <w:p w:rsidR="00A84AA6" w:rsidRPr="00EF7480" w:rsidRDefault="00A84AA6" w:rsidP="00EF7480">
          <w:pPr>
            <w:pStyle w:val="Footer"/>
            <w:tabs>
              <w:tab w:val="right" w:pos="7938"/>
            </w:tabs>
            <w:spacing w:after="0" w:line="240" w:lineRule="auto"/>
            <w:rPr>
              <w:rFonts w:ascii="Tahoma" w:hAnsi="Tahoma" w:cs="Tahoma"/>
              <w:i w:val="0"/>
              <w:iCs w:val="0"/>
            </w:rPr>
          </w:pPr>
          <w:r w:rsidRPr="003D04EE">
            <w:rPr>
              <w:rFonts w:ascii="Arial Narrow" w:hAnsi="Arial Narrow"/>
              <w:b/>
              <w:i w:val="0"/>
              <w:iCs w:val="0"/>
            </w:rPr>
            <w:t>http://publikasi.mercubuana.ac.id/index.php/profita</w:t>
          </w:r>
        </w:p>
      </w:tc>
    </w:tr>
  </w:tbl>
  <w:p w:rsidR="00A84AA6" w:rsidRPr="00EF7480" w:rsidRDefault="00A84AA6"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insideV w:val="single" w:sz="4" w:space="0" w:color="auto"/>
      </w:tblBorders>
      <w:tblLook w:val="04A0" w:firstRow="1" w:lastRow="0" w:firstColumn="1" w:lastColumn="0" w:noHBand="0" w:noVBand="1"/>
    </w:tblPr>
    <w:tblGrid>
      <w:gridCol w:w="8321"/>
      <w:gridCol w:w="749"/>
    </w:tblGrid>
    <w:tr w:rsidR="00A84AA6" w:rsidTr="00C769AA">
      <w:trPr>
        <w:jc w:val="center"/>
      </w:trPr>
      <w:tc>
        <w:tcPr>
          <w:tcW w:w="4587" w:type="pct"/>
          <w:vAlign w:val="center"/>
        </w:tcPr>
        <w:p w:rsidR="00A84AA6" w:rsidRPr="00EF7480" w:rsidRDefault="00A84AA6" w:rsidP="00EF7480">
          <w:pPr>
            <w:pStyle w:val="Footer"/>
            <w:tabs>
              <w:tab w:val="right" w:pos="7938"/>
            </w:tabs>
            <w:spacing w:after="0" w:line="240" w:lineRule="auto"/>
            <w:jc w:val="right"/>
            <w:rPr>
              <w:rFonts w:ascii="Tahoma" w:hAnsi="Tahoma" w:cs="Tahoma"/>
              <w:i w:val="0"/>
              <w:iCs w:val="0"/>
            </w:rPr>
          </w:pPr>
        </w:p>
      </w:tc>
      <w:tc>
        <w:tcPr>
          <w:tcW w:w="413" w:type="pct"/>
          <w:vAlign w:val="center"/>
        </w:tcPr>
        <w:p w:rsidR="00A84AA6" w:rsidRPr="00EF7480" w:rsidRDefault="00172CBF"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A84AA6" w:rsidRPr="00EF7480">
                <w:rPr>
                  <w:rFonts w:ascii="Tahoma" w:hAnsi="Tahoma" w:cs="Tahoma"/>
                  <w:b/>
                  <w:bCs/>
                  <w:i w:val="0"/>
                  <w:iCs w:val="0"/>
                  <w:sz w:val="24"/>
                  <w:szCs w:val="24"/>
                </w:rPr>
                <w:fldChar w:fldCharType="begin"/>
              </w:r>
              <w:r w:rsidR="00A84AA6" w:rsidRPr="00EF7480">
                <w:rPr>
                  <w:rFonts w:ascii="Tahoma" w:hAnsi="Tahoma" w:cs="Tahoma"/>
                  <w:b/>
                  <w:bCs/>
                  <w:i w:val="0"/>
                  <w:iCs w:val="0"/>
                  <w:sz w:val="24"/>
                  <w:szCs w:val="24"/>
                </w:rPr>
                <w:instrText xml:space="preserve"> PAGE   \* MERGEFORMAT </w:instrText>
              </w:r>
              <w:r w:rsidR="00A84AA6" w:rsidRPr="00EF7480">
                <w:rPr>
                  <w:rFonts w:ascii="Tahoma" w:hAnsi="Tahoma" w:cs="Tahoma"/>
                  <w:b/>
                  <w:bCs/>
                  <w:i w:val="0"/>
                  <w:iCs w:val="0"/>
                  <w:sz w:val="24"/>
                  <w:szCs w:val="24"/>
                </w:rPr>
                <w:fldChar w:fldCharType="separate"/>
              </w:r>
              <w:r w:rsidR="00A84AA6">
                <w:rPr>
                  <w:rFonts w:ascii="Tahoma" w:hAnsi="Tahoma" w:cs="Tahoma"/>
                  <w:b/>
                  <w:bCs/>
                  <w:i w:val="0"/>
                  <w:iCs w:val="0"/>
                  <w:noProof/>
                  <w:sz w:val="24"/>
                  <w:szCs w:val="24"/>
                </w:rPr>
                <w:t>7</w:t>
              </w:r>
              <w:r w:rsidR="00A84AA6" w:rsidRPr="00EF7480">
                <w:rPr>
                  <w:rFonts w:ascii="Tahoma" w:hAnsi="Tahoma" w:cs="Tahoma"/>
                  <w:b/>
                  <w:bCs/>
                  <w:i w:val="0"/>
                  <w:iCs w:val="0"/>
                  <w:noProof/>
                  <w:sz w:val="24"/>
                  <w:szCs w:val="24"/>
                </w:rPr>
                <w:fldChar w:fldCharType="end"/>
              </w:r>
            </w:sdtContent>
          </w:sdt>
        </w:p>
      </w:tc>
    </w:tr>
  </w:tbl>
  <w:p w:rsidR="00A84AA6" w:rsidRPr="00750B04" w:rsidRDefault="00A84AA6"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insideV w:val="single" w:sz="4" w:space="0" w:color="auto"/>
      </w:tblBorders>
      <w:tblLook w:val="04A0" w:firstRow="1" w:lastRow="0" w:firstColumn="1" w:lastColumn="0" w:noHBand="0" w:noVBand="1"/>
    </w:tblPr>
    <w:tblGrid>
      <w:gridCol w:w="8321"/>
      <w:gridCol w:w="749"/>
    </w:tblGrid>
    <w:tr w:rsidR="00A84AA6" w:rsidTr="00A84AA6">
      <w:trPr>
        <w:jc w:val="center"/>
      </w:trPr>
      <w:tc>
        <w:tcPr>
          <w:tcW w:w="4587" w:type="pct"/>
          <w:shd w:val="clear" w:color="auto" w:fill="auto"/>
          <w:vAlign w:val="center"/>
        </w:tcPr>
        <w:p w:rsidR="00A84AA6" w:rsidRPr="00FD5BDB" w:rsidRDefault="00A84AA6" w:rsidP="003D04EE">
          <w:pPr>
            <w:pStyle w:val="Footer"/>
            <w:tabs>
              <w:tab w:val="right" w:pos="7938"/>
            </w:tabs>
            <w:spacing w:after="0" w:line="240" w:lineRule="auto"/>
            <w:jc w:val="both"/>
            <w:rPr>
              <w:rFonts w:ascii="Tahoma" w:hAnsi="Tahoma" w:cs="Tahoma"/>
              <w:i w:val="0"/>
              <w:iCs w:val="0"/>
            </w:rPr>
          </w:pPr>
        </w:p>
      </w:tc>
      <w:tc>
        <w:tcPr>
          <w:tcW w:w="413" w:type="pct"/>
          <w:shd w:val="clear" w:color="auto" w:fill="auto"/>
          <w:vAlign w:val="center"/>
        </w:tcPr>
        <w:p w:rsidR="00A84AA6" w:rsidRPr="00FD5BDB" w:rsidRDefault="00A84AA6"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rsidR="00A84AA6" w:rsidRPr="00750B04" w:rsidRDefault="00A84AA6"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2CBF" w:rsidRDefault="00172CBF">
      <w:r>
        <w:separator/>
      </w:r>
    </w:p>
  </w:footnote>
  <w:footnote w:type="continuationSeparator" w:id="0">
    <w:p w:rsidR="00172CBF" w:rsidRDefault="0017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insideV w:val="single" w:sz="4" w:space="0" w:color="auto"/>
      </w:tblBorders>
      <w:tblLook w:val="04A0" w:firstRow="1" w:lastRow="0" w:firstColumn="1" w:lastColumn="0" w:noHBand="0" w:noVBand="1"/>
    </w:tblPr>
    <w:tblGrid>
      <w:gridCol w:w="7370"/>
      <w:gridCol w:w="1700"/>
    </w:tblGrid>
    <w:tr w:rsidR="00A84AA6" w:rsidTr="00A84AA6">
      <w:trPr>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rsidR="00A84AA6" w:rsidRDefault="00A84AA6"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proofErr w:type="spellStart"/>
              <w:r w:rsidRPr="007B70B1">
                <w:rPr>
                  <w:rFonts w:ascii="Arial Narrow" w:hAnsi="Arial Narrow"/>
                  <w:b/>
                  <w:i w:val="0"/>
                </w:rPr>
                <w:t>Profita</w:t>
              </w:r>
              <w:proofErr w:type="spellEnd"/>
              <w:r w:rsidRPr="007B70B1">
                <w:rPr>
                  <w:rFonts w:ascii="Arial Narrow" w:hAnsi="Arial Narrow"/>
                  <w:b/>
                  <w:i w:val="0"/>
                </w:rPr>
                <w:t xml:space="preserve">: </w:t>
              </w:r>
              <w:proofErr w:type="spellStart"/>
              <w:r w:rsidRPr="007B70B1">
                <w:rPr>
                  <w:rFonts w:ascii="Arial Narrow" w:hAnsi="Arial Narrow"/>
                  <w:b/>
                  <w:i w:val="0"/>
                </w:rPr>
                <w:t>Komunikasi</w:t>
              </w:r>
              <w:proofErr w:type="spellEnd"/>
              <w:r w:rsidRPr="007B70B1">
                <w:rPr>
                  <w:rFonts w:ascii="Arial Narrow" w:hAnsi="Arial Narrow"/>
                  <w:b/>
                  <w:i w:val="0"/>
                </w:rPr>
                <w:t xml:space="preserve"> </w:t>
              </w:r>
              <w:proofErr w:type="spellStart"/>
              <w:r w:rsidRPr="007B70B1">
                <w:rPr>
                  <w:rFonts w:ascii="Arial Narrow" w:hAnsi="Arial Narrow"/>
                  <w:b/>
                  <w:i w:val="0"/>
                </w:rPr>
                <w:t>Ilmiah</w:t>
              </w:r>
              <w:proofErr w:type="spellEnd"/>
              <w:r w:rsidRPr="007B70B1">
                <w:rPr>
                  <w:rFonts w:ascii="Arial Narrow" w:hAnsi="Arial Narrow"/>
                  <w:b/>
                  <w:i w:val="0"/>
                </w:rPr>
                <w:t xml:space="preserve"> </w:t>
              </w:r>
              <w:proofErr w:type="spellStart"/>
              <w:r w:rsidRPr="007B70B1">
                <w:rPr>
                  <w:rFonts w:ascii="Arial Narrow" w:hAnsi="Arial Narrow"/>
                  <w:b/>
                  <w:i w:val="0"/>
                </w:rPr>
                <w:t>Akuntansi</w:t>
              </w:r>
              <w:proofErr w:type="spellEnd"/>
              <w:r w:rsidRPr="007B70B1">
                <w:rPr>
                  <w:rFonts w:ascii="Arial Narrow" w:hAnsi="Arial Narrow"/>
                  <w:b/>
                  <w:i w:val="0"/>
                </w:rPr>
                <w:t xml:space="preserve"> dan </w:t>
              </w:r>
              <w:proofErr w:type="spellStart"/>
              <w:r w:rsidRPr="007B70B1">
                <w:rPr>
                  <w:rFonts w:ascii="Arial Narrow" w:hAnsi="Arial Narrow"/>
                  <w:b/>
                  <w:i w:val="0"/>
                </w:rPr>
                <w:t>Perpajakan</w:t>
              </w:r>
              <w:proofErr w:type="spellEnd"/>
            </w:p>
            <w:p w:rsidR="00A84AA6" w:rsidRPr="00EF7480" w:rsidRDefault="00A84AA6" w:rsidP="00D50408">
              <w:pPr>
                <w:pStyle w:val="Footer"/>
                <w:tabs>
                  <w:tab w:val="center" w:pos="1171"/>
                  <w:tab w:val="right" w:pos="7260"/>
                </w:tabs>
                <w:spacing w:after="0" w:line="240" w:lineRule="auto"/>
                <w:jc w:val="both"/>
                <w:rPr>
                  <w:rFonts w:ascii="Tahoma" w:hAnsi="Tahoma" w:cs="Tahoma"/>
                  <w:i w:val="0"/>
                  <w:iCs w:val="0"/>
                </w:rPr>
              </w:pPr>
              <w:r>
                <w:tab/>
              </w:r>
              <w:proofErr w:type="spellStart"/>
              <w:r w:rsidRPr="00F46C80">
                <w:rPr>
                  <w:rFonts w:ascii="Arial Narrow" w:hAnsi="Arial Narrow" w:cs="Tahoma"/>
                  <w:b/>
                  <w:i w:val="0"/>
                  <w:iCs w:val="0"/>
                  <w:lang w:val="id-ID"/>
                </w:rPr>
                <w:t>Vol</w:t>
              </w:r>
              <w:r>
                <w:rPr>
                  <w:rFonts w:ascii="Arial Narrow" w:hAnsi="Arial Narrow" w:cs="Tahoma"/>
                  <w:b/>
                  <w:i w:val="0"/>
                  <w:iCs w:val="0"/>
                </w:rPr>
                <w:t>ume</w:t>
              </w:r>
              <w:proofErr w:type="spellEnd"/>
              <w:r>
                <w:rPr>
                  <w:rFonts w:ascii="Arial Narrow" w:hAnsi="Arial Narrow" w:cs="Tahoma"/>
                  <w:b/>
                  <w:i w:val="0"/>
                  <w:iCs w:val="0"/>
                  <w:lang w:val="id-ID"/>
                </w:rPr>
                <w:t xml:space="preserve"> </w:t>
              </w:r>
              <w:r w:rsidRPr="00F46C80">
                <w:rPr>
                  <w:rFonts w:ascii="Arial Narrow" w:hAnsi="Arial Narrow" w:cs="Tahoma"/>
                  <w:b/>
                  <w:i w:val="0"/>
                  <w:iCs w:val="0"/>
                  <w:lang w:val="id-ID"/>
                </w:rPr>
                <w:t>1</w:t>
              </w:r>
              <w:r>
                <w:rPr>
                  <w:rFonts w:ascii="Arial Narrow" w:hAnsi="Arial Narrow" w:cs="Tahoma"/>
                  <w:b/>
                  <w:i w:val="0"/>
                  <w:iCs w:val="0"/>
                </w:rPr>
                <w:t>3</w:t>
              </w:r>
              <w:r w:rsidRPr="00F46C80">
                <w:rPr>
                  <w:rFonts w:ascii="Arial Narrow" w:hAnsi="Arial Narrow" w:cs="Tahoma"/>
                  <w:b/>
                  <w:i w:val="0"/>
                  <w:iCs w:val="0"/>
                  <w:lang w:val="id-ID"/>
                </w:rPr>
                <w:t xml:space="preserve"> </w:t>
              </w:r>
              <w:proofErr w:type="spellStart"/>
              <w:r w:rsidRPr="00F46C80">
                <w:rPr>
                  <w:rFonts w:ascii="Arial Narrow" w:hAnsi="Arial Narrow" w:cs="Tahoma"/>
                  <w:b/>
                  <w:i w:val="0"/>
                  <w:iCs w:val="0"/>
                  <w:lang w:val="id-ID"/>
                </w:rPr>
                <w:t>No</w:t>
              </w:r>
              <w:proofErr w:type="spellEnd"/>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April</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rsidR="00A84AA6" w:rsidRDefault="00A84AA6"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A84AA6" w:rsidRPr="00EF7480" w:rsidRDefault="00A84AA6"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A84AA6" w:rsidRPr="007B70B1" w:rsidRDefault="00A84AA6" w:rsidP="00D50408">
    <w:pPr>
      <w:pStyle w:val="Footer"/>
      <w:tabs>
        <w:tab w:val="right" w:pos="7938"/>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insideV w:val="single" w:sz="4" w:space="0" w:color="auto"/>
      </w:tblBorders>
      <w:tblLook w:val="04A0" w:firstRow="1" w:lastRow="0" w:firstColumn="1" w:lastColumn="0" w:noHBand="0" w:noVBand="1"/>
    </w:tblPr>
    <w:tblGrid>
      <w:gridCol w:w="7370"/>
      <w:gridCol w:w="1700"/>
    </w:tblGrid>
    <w:tr w:rsidR="00A84AA6" w:rsidTr="00D50408">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rsidR="00A84AA6" w:rsidRDefault="00A84AA6"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proofErr w:type="spellStart"/>
              <w:r w:rsidRPr="007B70B1">
                <w:rPr>
                  <w:rFonts w:ascii="Arial Narrow" w:hAnsi="Arial Narrow"/>
                  <w:b/>
                  <w:i w:val="0"/>
                </w:rPr>
                <w:t>Profita</w:t>
              </w:r>
              <w:proofErr w:type="spellEnd"/>
              <w:r w:rsidRPr="007B70B1">
                <w:rPr>
                  <w:rFonts w:ascii="Arial Narrow" w:hAnsi="Arial Narrow"/>
                  <w:b/>
                  <w:i w:val="0"/>
                </w:rPr>
                <w:t xml:space="preserve">: </w:t>
              </w:r>
              <w:proofErr w:type="spellStart"/>
              <w:r w:rsidRPr="007B70B1">
                <w:rPr>
                  <w:rFonts w:ascii="Arial Narrow" w:hAnsi="Arial Narrow"/>
                  <w:b/>
                  <w:i w:val="0"/>
                </w:rPr>
                <w:t>Komunikasi</w:t>
              </w:r>
              <w:proofErr w:type="spellEnd"/>
              <w:r w:rsidRPr="007B70B1">
                <w:rPr>
                  <w:rFonts w:ascii="Arial Narrow" w:hAnsi="Arial Narrow"/>
                  <w:b/>
                  <w:i w:val="0"/>
                </w:rPr>
                <w:t xml:space="preserve"> </w:t>
              </w:r>
              <w:proofErr w:type="spellStart"/>
              <w:r w:rsidRPr="007B70B1">
                <w:rPr>
                  <w:rFonts w:ascii="Arial Narrow" w:hAnsi="Arial Narrow"/>
                  <w:b/>
                  <w:i w:val="0"/>
                </w:rPr>
                <w:t>Ilmiah</w:t>
              </w:r>
              <w:proofErr w:type="spellEnd"/>
              <w:r w:rsidRPr="007B70B1">
                <w:rPr>
                  <w:rFonts w:ascii="Arial Narrow" w:hAnsi="Arial Narrow"/>
                  <w:b/>
                  <w:i w:val="0"/>
                </w:rPr>
                <w:t xml:space="preserve"> </w:t>
              </w:r>
              <w:proofErr w:type="spellStart"/>
              <w:r w:rsidRPr="007B70B1">
                <w:rPr>
                  <w:rFonts w:ascii="Arial Narrow" w:hAnsi="Arial Narrow"/>
                  <w:b/>
                  <w:i w:val="0"/>
                </w:rPr>
                <w:t>Akuntansi</w:t>
              </w:r>
              <w:proofErr w:type="spellEnd"/>
              <w:r w:rsidRPr="007B70B1">
                <w:rPr>
                  <w:rFonts w:ascii="Arial Narrow" w:hAnsi="Arial Narrow"/>
                  <w:b/>
                  <w:i w:val="0"/>
                </w:rPr>
                <w:t xml:space="preserve"> dan </w:t>
              </w:r>
              <w:proofErr w:type="spellStart"/>
              <w:r w:rsidRPr="007B70B1">
                <w:rPr>
                  <w:rFonts w:ascii="Arial Narrow" w:hAnsi="Arial Narrow"/>
                  <w:b/>
                  <w:i w:val="0"/>
                </w:rPr>
                <w:t>Perpajakan</w:t>
              </w:r>
              <w:proofErr w:type="spellEnd"/>
            </w:p>
            <w:p w:rsidR="00A84AA6" w:rsidRPr="00EF7480" w:rsidRDefault="00A84AA6" w:rsidP="00D50408">
              <w:pPr>
                <w:pStyle w:val="Footer"/>
                <w:tabs>
                  <w:tab w:val="center" w:pos="1171"/>
                  <w:tab w:val="right" w:pos="7260"/>
                </w:tabs>
                <w:spacing w:after="0" w:line="240" w:lineRule="auto"/>
                <w:jc w:val="both"/>
                <w:rPr>
                  <w:rFonts w:ascii="Tahoma" w:hAnsi="Tahoma" w:cs="Tahoma"/>
                  <w:i w:val="0"/>
                  <w:iCs w:val="0"/>
                </w:rPr>
              </w:pPr>
              <w:r>
                <w:tab/>
              </w:r>
              <w:proofErr w:type="spellStart"/>
              <w:r w:rsidRPr="00F46C80">
                <w:rPr>
                  <w:rFonts w:ascii="Arial Narrow" w:hAnsi="Arial Narrow" w:cs="Tahoma"/>
                  <w:b/>
                  <w:i w:val="0"/>
                  <w:iCs w:val="0"/>
                  <w:lang w:val="id-ID"/>
                </w:rPr>
                <w:t>Vol</w:t>
              </w:r>
              <w:r>
                <w:rPr>
                  <w:rFonts w:ascii="Arial Narrow" w:hAnsi="Arial Narrow" w:cs="Tahoma"/>
                  <w:b/>
                  <w:i w:val="0"/>
                  <w:iCs w:val="0"/>
                </w:rPr>
                <w:t>ume</w:t>
              </w:r>
              <w:proofErr w:type="spellEnd"/>
              <w:r>
                <w:rPr>
                  <w:rFonts w:ascii="Arial Narrow" w:hAnsi="Arial Narrow" w:cs="Tahoma"/>
                  <w:b/>
                  <w:i w:val="0"/>
                  <w:iCs w:val="0"/>
                  <w:lang w:val="id-ID"/>
                </w:rPr>
                <w:t xml:space="preserve"> </w:t>
              </w:r>
              <w:r w:rsidRPr="00F46C80">
                <w:rPr>
                  <w:rFonts w:ascii="Arial Narrow" w:hAnsi="Arial Narrow" w:cs="Tahoma"/>
                  <w:b/>
                  <w:i w:val="0"/>
                  <w:iCs w:val="0"/>
                  <w:lang w:val="id-ID"/>
                </w:rPr>
                <w:t>1</w:t>
              </w:r>
              <w:r>
                <w:rPr>
                  <w:rFonts w:ascii="Arial Narrow" w:hAnsi="Arial Narrow" w:cs="Tahoma"/>
                  <w:b/>
                  <w:i w:val="0"/>
                  <w:iCs w:val="0"/>
                </w:rPr>
                <w:t>3</w:t>
              </w:r>
              <w:r w:rsidRPr="00F46C80">
                <w:rPr>
                  <w:rFonts w:ascii="Arial Narrow" w:hAnsi="Arial Narrow" w:cs="Tahoma"/>
                  <w:b/>
                  <w:i w:val="0"/>
                  <w:iCs w:val="0"/>
                  <w:lang w:val="id-ID"/>
                </w:rPr>
                <w:t xml:space="preserve"> </w:t>
              </w:r>
              <w:proofErr w:type="spellStart"/>
              <w:r w:rsidRPr="00F46C80">
                <w:rPr>
                  <w:rFonts w:ascii="Arial Narrow" w:hAnsi="Arial Narrow" w:cs="Tahoma"/>
                  <w:b/>
                  <w:i w:val="0"/>
                  <w:iCs w:val="0"/>
                  <w:lang w:val="id-ID"/>
                </w:rPr>
                <w:t>No</w:t>
              </w:r>
              <w:proofErr w:type="spellEnd"/>
              <w:r>
                <w:rPr>
                  <w:rFonts w:ascii="Arial Narrow" w:hAnsi="Arial Narrow" w:cs="Tahoma"/>
                  <w:b/>
                  <w:i w:val="0"/>
                  <w:iCs w:val="0"/>
                </w:rPr>
                <w:t>mor</w:t>
              </w:r>
              <w:r w:rsidRPr="00F46C80">
                <w:rPr>
                  <w:rFonts w:ascii="Arial Narrow" w:hAnsi="Arial Narrow" w:cs="Tahoma"/>
                  <w:b/>
                  <w:i w:val="0"/>
                  <w:iCs w:val="0"/>
                  <w:lang w:val="id-ID"/>
                </w:rPr>
                <w:t xml:space="preserve"> </w:t>
              </w:r>
              <w:r>
                <w:rPr>
                  <w:rFonts w:ascii="Arial Narrow" w:hAnsi="Arial Narrow" w:cs="Tahoma"/>
                  <w:b/>
                  <w:i w:val="0"/>
                  <w:iCs w:val="0"/>
                </w:rPr>
                <w:t>1</w:t>
              </w:r>
              <w:r>
                <w:rPr>
                  <w:rFonts w:ascii="Arial Narrow" w:hAnsi="Arial Narrow" w:cs="Tahoma"/>
                  <w:b/>
                  <w:i w:val="0"/>
                  <w:iCs w:val="0"/>
                  <w:lang w:val="id-ID"/>
                </w:rPr>
                <w:t xml:space="preserve"> | </w:t>
              </w:r>
              <w:r>
                <w:rPr>
                  <w:rFonts w:ascii="Arial Narrow" w:hAnsi="Arial Narrow" w:cs="Tahoma"/>
                  <w:b/>
                  <w:i w:val="0"/>
                  <w:iCs w:val="0"/>
                </w:rPr>
                <w:t>April</w:t>
              </w:r>
              <w:r w:rsidRPr="00F46C80">
                <w:rPr>
                  <w:rFonts w:ascii="Arial Narrow" w:hAnsi="Arial Narrow" w:cs="Tahoma"/>
                  <w:b/>
                  <w:i w:val="0"/>
                  <w:iCs w:val="0"/>
                  <w:lang w:val="id-ID"/>
                </w:rPr>
                <w:t xml:space="preserve"> 20</w:t>
              </w:r>
              <w:r>
                <w:rPr>
                  <w:rFonts w:ascii="Arial Narrow" w:hAnsi="Arial Narrow" w:cs="Tahoma"/>
                  <w:b/>
                  <w:i w:val="0"/>
                  <w:iCs w:val="0"/>
                </w:rPr>
                <w:t>20</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p w:rsidR="00A84AA6" w:rsidRDefault="00A84AA6"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A84AA6" w:rsidRPr="00EF7480" w:rsidRDefault="00A84AA6"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A84AA6" w:rsidRPr="007B70B1" w:rsidRDefault="00A84AA6" w:rsidP="00D50408">
    <w:pPr>
      <w:pStyle w:val="Footer"/>
      <w:tabs>
        <w:tab w:val="right" w:pos="7938"/>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Borders>
        <w:insideV w:val="single" w:sz="4" w:space="0" w:color="auto"/>
      </w:tblBorders>
      <w:tblLook w:val="04A0" w:firstRow="1" w:lastRow="0" w:firstColumn="1" w:lastColumn="0" w:noHBand="0" w:noVBand="1"/>
    </w:tblPr>
    <w:tblGrid>
      <w:gridCol w:w="7370"/>
      <w:gridCol w:w="1700"/>
    </w:tblGrid>
    <w:tr w:rsidR="00A84AA6"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rsidR="00A84AA6" w:rsidRDefault="00A84AA6"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proofErr w:type="spellStart"/>
              <w:r w:rsidRPr="007B70B1">
                <w:rPr>
                  <w:rFonts w:ascii="Arial Narrow" w:hAnsi="Arial Narrow"/>
                  <w:b/>
                  <w:i w:val="0"/>
                </w:rPr>
                <w:t>Profita</w:t>
              </w:r>
              <w:proofErr w:type="spellEnd"/>
              <w:r w:rsidRPr="007B70B1">
                <w:rPr>
                  <w:rFonts w:ascii="Arial Narrow" w:hAnsi="Arial Narrow"/>
                  <w:b/>
                  <w:i w:val="0"/>
                </w:rPr>
                <w:t xml:space="preserve">: </w:t>
              </w:r>
              <w:proofErr w:type="spellStart"/>
              <w:r w:rsidRPr="007B70B1">
                <w:rPr>
                  <w:rFonts w:ascii="Arial Narrow" w:hAnsi="Arial Narrow"/>
                  <w:b/>
                  <w:i w:val="0"/>
                </w:rPr>
                <w:t>Komunikasi</w:t>
              </w:r>
              <w:proofErr w:type="spellEnd"/>
              <w:r w:rsidRPr="007B70B1">
                <w:rPr>
                  <w:rFonts w:ascii="Arial Narrow" w:hAnsi="Arial Narrow"/>
                  <w:b/>
                  <w:i w:val="0"/>
                </w:rPr>
                <w:t xml:space="preserve"> </w:t>
              </w:r>
              <w:proofErr w:type="spellStart"/>
              <w:r w:rsidRPr="007B70B1">
                <w:rPr>
                  <w:rFonts w:ascii="Arial Narrow" w:hAnsi="Arial Narrow"/>
                  <w:b/>
                  <w:i w:val="0"/>
                </w:rPr>
                <w:t>Ilmiah</w:t>
              </w:r>
              <w:proofErr w:type="spellEnd"/>
              <w:r w:rsidRPr="007B70B1">
                <w:rPr>
                  <w:rFonts w:ascii="Arial Narrow" w:hAnsi="Arial Narrow"/>
                  <w:b/>
                  <w:i w:val="0"/>
                </w:rPr>
                <w:t xml:space="preserve"> </w:t>
              </w:r>
              <w:proofErr w:type="spellStart"/>
              <w:r w:rsidRPr="007B70B1">
                <w:rPr>
                  <w:rFonts w:ascii="Arial Narrow" w:hAnsi="Arial Narrow"/>
                  <w:b/>
                  <w:i w:val="0"/>
                </w:rPr>
                <w:t>Akuntansi</w:t>
              </w:r>
              <w:proofErr w:type="spellEnd"/>
              <w:r w:rsidRPr="007B70B1">
                <w:rPr>
                  <w:rFonts w:ascii="Arial Narrow" w:hAnsi="Arial Narrow"/>
                  <w:b/>
                  <w:i w:val="0"/>
                </w:rPr>
                <w:t xml:space="preserve"> dan </w:t>
              </w:r>
              <w:proofErr w:type="spellStart"/>
              <w:r w:rsidRPr="007B70B1">
                <w:rPr>
                  <w:rFonts w:ascii="Arial Narrow" w:hAnsi="Arial Narrow"/>
                  <w:b/>
                  <w:i w:val="0"/>
                </w:rPr>
                <w:t>Perpajakan</w:t>
              </w:r>
              <w:proofErr w:type="spellEnd"/>
            </w:p>
            <w:p w:rsidR="00A84AA6" w:rsidRPr="00EF7480" w:rsidRDefault="00A84AA6" w:rsidP="00F778DE">
              <w:pPr>
                <w:pStyle w:val="Footer"/>
                <w:tabs>
                  <w:tab w:val="center" w:pos="1171"/>
                  <w:tab w:val="right" w:pos="7260"/>
                </w:tabs>
                <w:spacing w:after="0" w:line="240" w:lineRule="auto"/>
                <w:jc w:val="both"/>
                <w:rPr>
                  <w:rFonts w:ascii="Tahoma" w:hAnsi="Tahoma" w:cs="Tahoma"/>
                  <w:i w:val="0"/>
                  <w:iCs w:val="0"/>
                </w:rPr>
              </w:pPr>
              <w:proofErr w:type="spellStart"/>
              <w:r w:rsidRPr="00F46C80">
                <w:rPr>
                  <w:rFonts w:ascii="Arial Narrow" w:hAnsi="Arial Narrow" w:cs="Tahoma"/>
                  <w:b/>
                  <w:i w:val="0"/>
                  <w:iCs w:val="0"/>
                  <w:lang w:val="id-ID"/>
                </w:rPr>
                <w:t>Vol</w:t>
              </w:r>
              <w:r>
                <w:rPr>
                  <w:rFonts w:ascii="Arial Narrow" w:hAnsi="Arial Narrow" w:cs="Tahoma"/>
                  <w:b/>
                  <w:i w:val="0"/>
                  <w:iCs w:val="0"/>
                </w:rPr>
                <w:t>ume</w:t>
              </w:r>
              <w:proofErr w:type="spellEnd"/>
              <w:r w:rsidR="00B9526F">
                <w:rPr>
                  <w:rFonts w:ascii="Arial Narrow" w:hAnsi="Arial Narrow" w:cs="Tahoma"/>
                  <w:b/>
                  <w:i w:val="0"/>
                  <w:iCs w:val="0"/>
                </w:rPr>
                <w:t xml:space="preserve"> 14</w:t>
              </w:r>
              <w:r w:rsidR="00E6624D">
                <w:rPr>
                  <w:rFonts w:ascii="Arial Narrow" w:hAnsi="Arial Narrow" w:cs="Tahoma"/>
                  <w:b/>
                  <w:i w:val="0"/>
                  <w:iCs w:val="0"/>
                </w:rPr>
                <w:t xml:space="preserve">, </w:t>
              </w:r>
              <w:proofErr w:type="spellStart"/>
              <w:r w:rsidR="00E6624D">
                <w:rPr>
                  <w:rFonts w:ascii="Arial Narrow" w:hAnsi="Arial Narrow" w:cs="Tahoma"/>
                  <w:b/>
                  <w:i w:val="0"/>
                  <w:iCs w:val="0"/>
                </w:rPr>
                <w:t>Nomor</w:t>
              </w:r>
              <w:proofErr w:type="spellEnd"/>
              <w:r>
                <w:rPr>
                  <w:rFonts w:ascii="Arial Narrow" w:hAnsi="Arial Narrow" w:cs="Tahoma"/>
                  <w:b/>
                  <w:i w:val="0"/>
                  <w:iCs w:val="0"/>
                  <w:lang w:val="id-ID"/>
                </w:rPr>
                <w:t xml:space="preserve"> | </w:t>
              </w:r>
              <w:r w:rsidR="00E6624D">
                <w:rPr>
                  <w:rFonts w:ascii="Arial Narrow" w:hAnsi="Arial Narrow" w:cs="Tahoma"/>
                  <w:b/>
                  <w:i w:val="0"/>
                  <w:iCs w:val="0"/>
                </w:rPr>
                <w:t>2021</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rsidR="00A84AA6" w:rsidRDefault="00A84AA6"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rsidR="00A84AA6" w:rsidRPr="00EF7480" w:rsidRDefault="00A84AA6"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rsidR="00A84AA6" w:rsidRPr="007B70B1" w:rsidRDefault="00A84AA6" w:rsidP="00D50408">
    <w:pPr>
      <w:pStyle w:val="Footer"/>
      <w:tabs>
        <w:tab w:val="right" w:pos="7938"/>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Judul1"/>
      <w:suff w:val="nothing"/>
      <w:lvlText w:val=""/>
      <w:lvlJc w:val="left"/>
      <w:pPr>
        <w:tabs>
          <w:tab w:val="num" w:pos="432"/>
        </w:tabs>
        <w:ind w:left="432" w:hanging="432"/>
      </w:pPr>
      <w:rPr>
        <w:rFonts w:ascii="Arial" w:eastAsia="Calibri" w:hAnsi="Arial" w:cs="Arial"/>
      </w:rPr>
    </w:lvl>
    <w:lvl w:ilvl="1">
      <w:start w:val="1"/>
      <w:numFmt w:val="none"/>
      <w:pStyle w:val="Judul2"/>
      <w:suff w:val="nothing"/>
      <w:lvlText w:val=""/>
      <w:lvlJc w:val="left"/>
      <w:pPr>
        <w:tabs>
          <w:tab w:val="num" w:pos="576"/>
        </w:tabs>
        <w:ind w:left="576" w:hanging="576"/>
      </w:pPr>
      <w:rPr>
        <w:rFonts w:ascii="Courier New" w:hAnsi="Courier New" w:cs="Courier New"/>
      </w:rPr>
    </w:lvl>
    <w:lvl w:ilvl="2">
      <w:start w:val="1"/>
      <w:numFmt w:val="none"/>
      <w:pStyle w:val="Judul3"/>
      <w:suff w:val="nothing"/>
      <w:lvlText w:val=""/>
      <w:lvlJc w:val="left"/>
      <w:pPr>
        <w:tabs>
          <w:tab w:val="num" w:pos="720"/>
        </w:tabs>
        <w:ind w:left="720" w:hanging="720"/>
      </w:pPr>
      <w:rPr>
        <w:rFonts w:ascii="Wingdings" w:hAnsi="Wingdings" w:cs="Wingdings"/>
      </w:rPr>
    </w:lvl>
    <w:lvl w:ilvl="3">
      <w:start w:val="1"/>
      <w:numFmt w:val="none"/>
      <w:pStyle w:val="Judul4"/>
      <w:suff w:val="nothing"/>
      <w:lvlText w:val=""/>
      <w:lvlJc w:val="left"/>
      <w:pPr>
        <w:tabs>
          <w:tab w:val="num" w:pos="864"/>
        </w:tabs>
        <w:ind w:left="864" w:hanging="864"/>
      </w:pPr>
      <w:rPr>
        <w:rFonts w:ascii="Symbol" w:hAnsi="Symbol" w:cs="Symbol"/>
      </w:rPr>
    </w:lvl>
    <w:lvl w:ilvl="4">
      <w:start w:val="1"/>
      <w:numFmt w:val="none"/>
      <w:pStyle w:val="Judul5"/>
      <w:suff w:val="nothing"/>
      <w:lvlText w:val=""/>
      <w:lvlJc w:val="left"/>
      <w:pPr>
        <w:tabs>
          <w:tab w:val="num" w:pos="1008"/>
        </w:tabs>
        <w:ind w:left="1008" w:hanging="1008"/>
      </w:pPr>
    </w:lvl>
    <w:lvl w:ilvl="5">
      <w:start w:val="1"/>
      <w:numFmt w:val="none"/>
      <w:pStyle w:val="Judul6"/>
      <w:suff w:val="nothing"/>
      <w:lvlText w:val=""/>
      <w:lvlJc w:val="left"/>
      <w:pPr>
        <w:tabs>
          <w:tab w:val="num" w:pos="1152"/>
        </w:tabs>
        <w:ind w:left="1152" w:hanging="1152"/>
      </w:pPr>
    </w:lvl>
    <w:lvl w:ilvl="6">
      <w:start w:val="1"/>
      <w:numFmt w:val="none"/>
      <w:pStyle w:val="Judul7"/>
      <w:suff w:val="nothing"/>
      <w:lvlText w:val=""/>
      <w:lvlJc w:val="left"/>
      <w:pPr>
        <w:tabs>
          <w:tab w:val="num" w:pos="1296"/>
        </w:tabs>
        <w:ind w:left="1296" w:hanging="1296"/>
      </w:pPr>
    </w:lvl>
    <w:lvl w:ilvl="7">
      <w:start w:val="1"/>
      <w:numFmt w:val="none"/>
      <w:pStyle w:val="Judul8"/>
      <w:suff w:val="nothing"/>
      <w:lvlText w:val=""/>
      <w:lvlJc w:val="left"/>
      <w:pPr>
        <w:tabs>
          <w:tab w:val="num" w:pos="1440"/>
        </w:tabs>
        <w:ind w:left="1440" w:hanging="1440"/>
      </w:pPr>
    </w:lvl>
    <w:lvl w:ilvl="8">
      <w:start w:val="1"/>
      <w:numFmt w:val="none"/>
      <w:pStyle w:val="Judul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10BA5761"/>
    <w:multiLevelType w:val="hybridMultilevel"/>
    <w:tmpl w:val="F98C22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1E4B6083"/>
    <w:multiLevelType w:val="hybridMultilevel"/>
    <w:tmpl w:val="CA18823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5" w15:restartNumberingAfterBreak="0">
    <w:nsid w:val="42C00A0C"/>
    <w:multiLevelType w:val="hybridMultilevel"/>
    <w:tmpl w:val="292860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7F8387A"/>
    <w:multiLevelType w:val="hybridMultilevel"/>
    <w:tmpl w:val="16F040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8D35CAE"/>
    <w:multiLevelType w:val="hybridMultilevel"/>
    <w:tmpl w:val="60A62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D7BC3"/>
    <w:multiLevelType w:val="hybridMultilevel"/>
    <w:tmpl w:val="92C28652"/>
    <w:lvl w:ilvl="0" w:tplc="7556FE62">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3"/>
  </w:num>
  <w:num w:numId="4">
    <w:abstractNumId w:val="21"/>
  </w:num>
  <w:num w:numId="5">
    <w:abstractNumId w:val="28"/>
  </w:num>
  <w:num w:numId="6">
    <w:abstractNumId w:val="25"/>
  </w:num>
  <w:num w:numId="7">
    <w:abstractNumId w:val="22"/>
  </w:num>
  <w:num w:numId="8">
    <w:abstractNumId w:val="26"/>
  </w:num>
  <w:num w:numId="9">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4F"/>
    <w:rsid w:val="000012D4"/>
    <w:rsid w:val="000019C6"/>
    <w:rsid w:val="000022C9"/>
    <w:rsid w:val="00010A81"/>
    <w:rsid w:val="000202D6"/>
    <w:rsid w:val="00020611"/>
    <w:rsid w:val="00021B1A"/>
    <w:rsid w:val="000234C1"/>
    <w:rsid w:val="00023A60"/>
    <w:rsid w:val="00033854"/>
    <w:rsid w:val="00035519"/>
    <w:rsid w:val="00036133"/>
    <w:rsid w:val="00036A2B"/>
    <w:rsid w:val="000405D2"/>
    <w:rsid w:val="0004126F"/>
    <w:rsid w:val="000426C8"/>
    <w:rsid w:val="00050439"/>
    <w:rsid w:val="00050B59"/>
    <w:rsid w:val="00051484"/>
    <w:rsid w:val="00055BF7"/>
    <w:rsid w:val="00065B48"/>
    <w:rsid w:val="00065FAD"/>
    <w:rsid w:val="00067624"/>
    <w:rsid w:val="0007179B"/>
    <w:rsid w:val="00072C6C"/>
    <w:rsid w:val="00073F22"/>
    <w:rsid w:val="00077797"/>
    <w:rsid w:val="00081140"/>
    <w:rsid w:val="00086A3D"/>
    <w:rsid w:val="00086EB6"/>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2FC7"/>
    <w:rsid w:val="00106191"/>
    <w:rsid w:val="00110BDE"/>
    <w:rsid w:val="00113416"/>
    <w:rsid w:val="00113FE5"/>
    <w:rsid w:val="00114875"/>
    <w:rsid w:val="001173F2"/>
    <w:rsid w:val="00124A6E"/>
    <w:rsid w:val="00127046"/>
    <w:rsid w:val="00136B06"/>
    <w:rsid w:val="00137AFC"/>
    <w:rsid w:val="00141B33"/>
    <w:rsid w:val="00145302"/>
    <w:rsid w:val="00147305"/>
    <w:rsid w:val="001532AD"/>
    <w:rsid w:val="00155D5C"/>
    <w:rsid w:val="00172CBF"/>
    <w:rsid w:val="00176658"/>
    <w:rsid w:val="001804E4"/>
    <w:rsid w:val="001816EE"/>
    <w:rsid w:val="001936B7"/>
    <w:rsid w:val="00193F21"/>
    <w:rsid w:val="00196C2F"/>
    <w:rsid w:val="001B453F"/>
    <w:rsid w:val="001B4DE4"/>
    <w:rsid w:val="001C6BBE"/>
    <w:rsid w:val="001C7693"/>
    <w:rsid w:val="001C7CA1"/>
    <w:rsid w:val="001E4A6A"/>
    <w:rsid w:val="001F0084"/>
    <w:rsid w:val="002106D9"/>
    <w:rsid w:val="00214A9A"/>
    <w:rsid w:val="00217FAE"/>
    <w:rsid w:val="0023054B"/>
    <w:rsid w:val="00241F80"/>
    <w:rsid w:val="002471A3"/>
    <w:rsid w:val="002527E7"/>
    <w:rsid w:val="00256356"/>
    <w:rsid w:val="002570F1"/>
    <w:rsid w:val="0026049F"/>
    <w:rsid w:val="00260DCD"/>
    <w:rsid w:val="00264282"/>
    <w:rsid w:val="0027072F"/>
    <w:rsid w:val="00271886"/>
    <w:rsid w:val="0027597A"/>
    <w:rsid w:val="002818E5"/>
    <w:rsid w:val="002819F0"/>
    <w:rsid w:val="00282435"/>
    <w:rsid w:val="00286207"/>
    <w:rsid w:val="00293AB6"/>
    <w:rsid w:val="002A71FA"/>
    <w:rsid w:val="002B194A"/>
    <w:rsid w:val="002B6C0D"/>
    <w:rsid w:val="002B74AF"/>
    <w:rsid w:val="002C0037"/>
    <w:rsid w:val="002C3E7C"/>
    <w:rsid w:val="002C402F"/>
    <w:rsid w:val="002D080C"/>
    <w:rsid w:val="002D5C52"/>
    <w:rsid w:val="002E26CC"/>
    <w:rsid w:val="002F0841"/>
    <w:rsid w:val="002F2064"/>
    <w:rsid w:val="002F3EB0"/>
    <w:rsid w:val="003024A8"/>
    <w:rsid w:val="00306030"/>
    <w:rsid w:val="0030623E"/>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80B3F"/>
    <w:rsid w:val="00386C14"/>
    <w:rsid w:val="00387F4C"/>
    <w:rsid w:val="003913B1"/>
    <w:rsid w:val="00394770"/>
    <w:rsid w:val="00395FB6"/>
    <w:rsid w:val="003961BA"/>
    <w:rsid w:val="003A218F"/>
    <w:rsid w:val="003A516E"/>
    <w:rsid w:val="003A5234"/>
    <w:rsid w:val="003A657E"/>
    <w:rsid w:val="003C0440"/>
    <w:rsid w:val="003C1163"/>
    <w:rsid w:val="003C11BF"/>
    <w:rsid w:val="003C292F"/>
    <w:rsid w:val="003C6C62"/>
    <w:rsid w:val="003D04EE"/>
    <w:rsid w:val="003D3973"/>
    <w:rsid w:val="003D705B"/>
    <w:rsid w:val="003E085A"/>
    <w:rsid w:val="003E2C71"/>
    <w:rsid w:val="003F0611"/>
    <w:rsid w:val="003F3455"/>
    <w:rsid w:val="003F4DB4"/>
    <w:rsid w:val="00401D6D"/>
    <w:rsid w:val="00402E3C"/>
    <w:rsid w:val="0041443F"/>
    <w:rsid w:val="00414559"/>
    <w:rsid w:val="00422203"/>
    <w:rsid w:val="004231A8"/>
    <w:rsid w:val="0043022B"/>
    <w:rsid w:val="00433EAB"/>
    <w:rsid w:val="00436697"/>
    <w:rsid w:val="00444348"/>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6B03"/>
    <w:rsid w:val="004A12EB"/>
    <w:rsid w:val="004A2114"/>
    <w:rsid w:val="004B19FC"/>
    <w:rsid w:val="004B433B"/>
    <w:rsid w:val="004B7732"/>
    <w:rsid w:val="004C67D2"/>
    <w:rsid w:val="004D0F6A"/>
    <w:rsid w:val="004D216A"/>
    <w:rsid w:val="004D6955"/>
    <w:rsid w:val="004D779C"/>
    <w:rsid w:val="004E3390"/>
    <w:rsid w:val="004E6798"/>
    <w:rsid w:val="004F0385"/>
    <w:rsid w:val="004F308E"/>
    <w:rsid w:val="005042FC"/>
    <w:rsid w:val="005108DB"/>
    <w:rsid w:val="00516B50"/>
    <w:rsid w:val="00524A50"/>
    <w:rsid w:val="00526576"/>
    <w:rsid w:val="00527B79"/>
    <w:rsid w:val="00531437"/>
    <w:rsid w:val="00531827"/>
    <w:rsid w:val="0053225F"/>
    <w:rsid w:val="005334E3"/>
    <w:rsid w:val="00540076"/>
    <w:rsid w:val="005468A3"/>
    <w:rsid w:val="0055783C"/>
    <w:rsid w:val="00561F3E"/>
    <w:rsid w:val="005673DF"/>
    <w:rsid w:val="00571D5F"/>
    <w:rsid w:val="00580016"/>
    <w:rsid w:val="005868C8"/>
    <w:rsid w:val="00592F3B"/>
    <w:rsid w:val="005941ED"/>
    <w:rsid w:val="0059476C"/>
    <w:rsid w:val="00597B15"/>
    <w:rsid w:val="005A4562"/>
    <w:rsid w:val="005A5AA6"/>
    <w:rsid w:val="005A7C47"/>
    <w:rsid w:val="005B0E75"/>
    <w:rsid w:val="005B73D0"/>
    <w:rsid w:val="005B7D6C"/>
    <w:rsid w:val="005C098D"/>
    <w:rsid w:val="005C56B0"/>
    <w:rsid w:val="005C61CA"/>
    <w:rsid w:val="005C745D"/>
    <w:rsid w:val="005E2226"/>
    <w:rsid w:val="005F57C0"/>
    <w:rsid w:val="00601923"/>
    <w:rsid w:val="006033DA"/>
    <w:rsid w:val="006143A8"/>
    <w:rsid w:val="0061455A"/>
    <w:rsid w:val="006145C1"/>
    <w:rsid w:val="006232F7"/>
    <w:rsid w:val="00623F2A"/>
    <w:rsid w:val="00625C59"/>
    <w:rsid w:val="006308E9"/>
    <w:rsid w:val="0063241A"/>
    <w:rsid w:val="006328AA"/>
    <w:rsid w:val="0063596D"/>
    <w:rsid w:val="0063640C"/>
    <w:rsid w:val="0064025E"/>
    <w:rsid w:val="00643F5C"/>
    <w:rsid w:val="00647FAA"/>
    <w:rsid w:val="00655B39"/>
    <w:rsid w:val="0066720D"/>
    <w:rsid w:val="00674DC2"/>
    <w:rsid w:val="006778A9"/>
    <w:rsid w:val="00681EC4"/>
    <w:rsid w:val="006837B4"/>
    <w:rsid w:val="006856BD"/>
    <w:rsid w:val="00694498"/>
    <w:rsid w:val="00695A98"/>
    <w:rsid w:val="006A08C0"/>
    <w:rsid w:val="006A1AC6"/>
    <w:rsid w:val="006A3703"/>
    <w:rsid w:val="006A4988"/>
    <w:rsid w:val="006B08CA"/>
    <w:rsid w:val="006B7ADD"/>
    <w:rsid w:val="006B7C0D"/>
    <w:rsid w:val="006C6FEA"/>
    <w:rsid w:val="006D0A5D"/>
    <w:rsid w:val="006D2553"/>
    <w:rsid w:val="006D6234"/>
    <w:rsid w:val="006E47DF"/>
    <w:rsid w:val="006F546A"/>
    <w:rsid w:val="00710E86"/>
    <w:rsid w:val="00712C3E"/>
    <w:rsid w:val="0071577B"/>
    <w:rsid w:val="007159DB"/>
    <w:rsid w:val="00715E35"/>
    <w:rsid w:val="00722AF2"/>
    <w:rsid w:val="007232CF"/>
    <w:rsid w:val="00725562"/>
    <w:rsid w:val="00726C4B"/>
    <w:rsid w:val="0073256B"/>
    <w:rsid w:val="00733FE8"/>
    <w:rsid w:val="007415FE"/>
    <w:rsid w:val="007429A1"/>
    <w:rsid w:val="00743847"/>
    <w:rsid w:val="007450B1"/>
    <w:rsid w:val="007569DF"/>
    <w:rsid w:val="00757D4E"/>
    <w:rsid w:val="00760DF9"/>
    <w:rsid w:val="00775541"/>
    <w:rsid w:val="00790F07"/>
    <w:rsid w:val="0079181F"/>
    <w:rsid w:val="00794EA4"/>
    <w:rsid w:val="007A1E8B"/>
    <w:rsid w:val="007A212C"/>
    <w:rsid w:val="007A2C84"/>
    <w:rsid w:val="007A30A6"/>
    <w:rsid w:val="007A3DB6"/>
    <w:rsid w:val="007A746D"/>
    <w:rsid w:val="007B373E"/>
    <w:rsid w:val="007B42C2"/>
    <w:rsid w:val="007B682E"/>
    <w:rsid w:val="007C0356"/>
    <w:rsid w:val="007C4184"/>
    <w:rsid w:val="007C5E26"/>
    <w:rsid w:val="007C6722"/>
    <w:rsid w:val="007D0A0B"/>
    <w:rsid w:val="007E29D2"/>
    <w:rsid w:val="007E3242"/>
    <w:rsid w:val="007E58AC"/>
    <w:rsid w:val="007E5D79"/>
    <w:rsid w:val="007F1157"/>
    <w:rsid w:val="007F1BDA"/>
    <w:rsid w:val="007F55CA"/>
    <w:rsid w:val="008031FB"/>
    <w:rsid w:val="00804BA7"/>
    <w:rsid w:val="00810422"/>
    <w:rsid w:val="00814D8A"/>
    <w:rsid w:val="00816970"/>
    <w:rsid w:val="008310E8"/>
    <w:rsid w:val="00836C64"/>
    <w:rsid w:val="008445AF"/>
    <w:rsid w:val="008460EF"/>
    <w:rsid w:val="008502D3"/>
    <w:rsid w:val="008560C6"/>
    <w:rsid w:val="00857C28"/>
    <w:rsid w:val="00874711"/>
    <w:rsid w:val="0087651F"/>
    <w:rsid w:val="0089349F"/>
    <w:rsid w:val="008A4BA9"/>
    <w:rsid w:val="008A4DE6"/>
    <w:rsid w:val="008A5D75"/>
    <w:rsid w:val="008B200A"/>
    <w:rsid w:val="008C169D"/>
    <w:rsid w:val="008C63C1"/>
    <w:rsid w:val="008D2B16"/>
    <w:rsid w:val="008D347E"/>
    <w:rsid w:val="008D3578"/>
    <w:rsid w:val="008D3B0E"/>
    <w:rsid w:val="008D5F14"/>
    <w:rsid w:val="008D72FA"/>
    <w:rsid w:val="008E12E3"/>
    <w:rsid w:val="008F16D8"/>
    <w:rsid w:val="008F3A78"/>
    <w:rsid w:val="008F61F5"/>
    <w:rsid w:val="008F6A05"/>
    <w:rsid w:val="00900DE2"/>
    <w:rsid w:val="00902A54"/>
    <w:rsid w:val="009044BB"/>
    <w:rsid w:val="00905A83"/>
    <w:rsid w:val="0091238B"/>
    <w:rsid w:val="00922F4F"/>
    <w:rsid w:val="00933479"/>
    <w:rsid w:val="00934248"/>
    <w:rsid w:val="009367F4"/>
    <w:rsid w:val="009419E9"/>
    <w:rsid w:val="00943537"/>
    <w:rsid w:val="00950103"/>
    <w:rsid w:val="009515DE"/>
    <w:rsid w:val="00952459"/>
    <w:rsid w:val="00961D2B"/>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ABB"/>
    <w:rsid w:val="009B0BE9"/>
    <w:rsid w:val="009B2A2E"/>
    <w:rsid w:val="009B32A1"/>
    <w:rsid w:val="009B5C12"/>
    <w:rsid w:val="009C4A9F"/>
    <w:rsid w:val="009E2CC9"/>
    <w:rsid w:val="009E54D6"/>
    <w:rsid w:val="009E5C94"/>
    <w:rsid w:val="009E7A1E"/>
    <w:rsid w:val="009F0E2D"/>
    <w:rsid w:val="009F2E02"/>
    <w:rsid w:val="00A07616"/>
    <w:rsid w:val="00A11412"/>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4AA6"/>
    <w:rsid w:val="00A85364"/>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B05DC8"/>
    <w:rsid w:val="00B069F6"/>
    <w:rsid w:val="00B25871"/>
    <w:rsid w:val="00B328CA"/>
    <w:rsid w:val="00B34900"/>
    <w:rsid w:val="00B44AE2"/>
    <w:rsid w:val="00B468B0"/>
    <w:rsid w:val="00B51F0D"/>
    <w:rsid w:val="00B541A8"/>
    <w:rsid w:val="00B54640"/>
    <w:rsid w:val="00B5499F"/>
    <w:rsid w:val="00B54D90"/>
    <w:rsid w:val="00B54FD9"/>
    <w:rsid w:val="00B564B2"/>
    <w:rsid w:val="00B57FAD"/>
    <w:rsid w:val="00B64D45"/>
    <w:rsid w:val="00B7408A"/>
    <w:rsid w:val="00B75C56"/>
    <w:rsid w:val="00B768B0"/>
    <w:rsid w:val="00B85CC9"/>
    <w:rsid w:val="00B86D83"/>
    <w:rsid w:val="00B9526F"/>
    <w:rsid w:val="00BA297F"/>
    <w:rsid w:val="00BB20E9"/>
    <w:rsid w:val="00BD4905"/>
    <w:rsid w:val="00BD4A35"/>
    <w:rsid w:val="00BD55B6"/>
    <w:rsid w:val="00BD6A83"/>
    <w:rsid w:val="00BE407D"/>
    <w:rsid w:val="00BE67AE"/>
    <w:rsid w:val="00BE7933"/>
    <w:rsid w:val="00BF3C4F"/>
    <w:rsid w:val="00BF6C5C"/>
    <w:rsid w:val="00BF7672"/>
    <w:rsid w:val="00BF7688"/>
    <w:rsid w:val="00C03B44"/>
    <w:rsid w:val="00C05251"/>
    <w:rsid w:val="00C05B99"/>
    <w:rsid w:val="00C05DD8"/>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201C"/>
    <w:rsid w:val="00CD44C5"/>
    <w:rsid w:val="00CD6EB6"/>
    <w:rsid w:val="00CD73CB"/>
    <w:rsid w:val="00CF0C7D"/>
    <w:rsid w:val="00CF1156"/>
    <w:rsid w:val="00CF2CE0"/>
    <w:rsid w:val="00D13ECE"/>
    <w:rsid w:val="00D1745C"/>
    <w:rsid w:val="00D22784"/>
    <w:rsid w:val="00D22832"/>
    <w:rsid w:val="00D2397B"/>
    <w:rsid w:val="00D304D6"/>
    <w:rsid w:val="00D31DFB"/>
    <w:rsid w:val="00D33023"/>
    <w:rsid w:val="00D36BE5"/>
    <w:rsid w:val="00D40348"/>
    <w:rsid w:val="00D43C7C"/>
    <w:rsid w:val="00D44340"/>
    <w:rsid w:val="00D50408"/>
    <w:rsid w:val="00D51CA0"/>
    <w:rsid w:val="00D55AFB"/>
    <w:rsid w:val="00D5640F"/>
    <w:rsid w:val="00D614C0"/>
    <w:rsid w:val="00D61DEA"/>
    <w:rsid w:val="00D667CE"/>
    <w:rsid w:val="00D857DF"/>
    <w:rsid w:val="00D87B44"/>
    <w:rsid w:val="00D92247"/>
    <w:rsid w:val="00DA060A"/>
    <w:rsid w:val="00DA1D6B"/>
    <w:rsid w:val="00DA2187"/>
    <w:rsid w:val="00DA26AF"/>
    <w:rsid w:val="00DA281F"/>
    <w:rsid w:val="00DA4F45"/>
    <w:rsid w:val="00DB2F7C"/>
    <w:rsid w:val="00DC6504"/>
    <w:rsid w:val="00DC6F37"/>
    <w:rsid w:val="00DD128C"/>
    <w:rsid w:val="00DE020B"/>
    <w:rsid w:val="00DE1CC8"/>
    <w:rsid w:val="00DE2A75"/>
    <w:rsid w:val="00DE4857"/>
    <w:rsid w:val="00DE5CC0"/>
    <w:rsid w:val="00DF2617"/>
    <w:rsid w:val="00DF424F"/>
    <w:rsid w:val="00DF679C"/>
    <w:rsid w:val="00E034E7"/>
    <w:rsid w:val="00E1047C"/>
    <w:rsid w:val="00E16BCB"/>
    <w:rsid w:val="00E41CDC"/>
    <w:rsid w:val="00E45580"/>
    <w:rsid w:val="00E4613B"/>
    <w:rsid w:val="00E462F8"/>
    <w:rsid w:val="00E46EBC"/>
    <w:rsid w:val="00E5192D"/>
    <w:rsid w:val="00E52BC1"/>
    <w:rsid w:val="00E548CA"/>
    <w:rsid w:val="00E5793A"/>
    <w:rsid w:val="00E60505"/>
    <w:rsid w:val="00E634AE"/>
    <w:rsid w:val="00E65F33"/>
    <w:rsid w:val="00E6624D"/>
    <w:rsid w:val="00E67786"/>
    <w:rsid w:val="00E72827"/>
    <w:rsid w:val="00E740EC"/>
    <w:rsid w:val="00E81243"/>
    <w:rsid w:val="00E835A8"/>
    <w:rsid w:val="00E83B2A"/>
    <w:rsid w:val="00E845BC"/>
    <w:rsid w:val="00E8574A"/>
    <w:rsid w:val="00EA05B9"/>
    <w:rsid w:val="00EA6C83"/>
    <w:rsid w:val="00EA71D0"/>
    <w:rsid w:val="00EB28C9"/>
    <w:rsid w:val="00EB61E0"/>
    <w:rsid w:val="00EB7B2E"/>
    <w:rsid w:val="00EC0052"/>
    <w:rsid w:val="00EC013E"/>
    <w:rsid w:val="00EC04D7"/>
    <w:rsid w:val="00EC1F03"/>
    <w:rsid w:val="00EC77B7"/>
    <w:rsid w:val="00ED0324"/>
    <w:rsid w:val="00ED330C"/>
    <w:rsid w:val="00ED7B7E"/>
    <w:rsid w:val="00EE1496"/>
    <w:rsid w:val="00EE3EA3"/>
    <w:rsid w:val="00EE4BD4"/>
    <w:rsid w:val="00EE5FD1"/>
    <w:rsid w:val="00EE67D3"/>
    <w:rsid w:val="00EF00B7"/>
    <w:rsid w:val="00EF04C2"/>
    <w:rsid w:val="00EF7480"/>
    <w:rsid w:val="00F02085"/>
    <w:rsid w:val="00F04EC3"/>
    <w:rsid w:val="00F11C26"/>
    <w:rsid w:val="00F220E0"/>
    <w:rsid w:val="00F22D65"/>
    <w:rsid w:val="00F22FE9"/>
    <w:rsid w:val="00F23C98"/>
    <w:rsid w:val="00F2414A"/>
    <w:rsid w:val="00F24A3F"/>
    <w:rsid w:val="00F2621E"/>
    <w:rsid w:val="00F26AB7"/>
    <w:rsid w:val="00F3224D"/>
    <w:rsid w:val="00F32C4D"/>
    <w:rsid w:val="00F46C80"/>
    <w:rsid w:val="00F52CA8"/>
    <w:rsid w:val="00F54D51"/>
    <w:rsid w:val="00F60134"/>
    <w:rsid w:val="00F6067E"/>
    <w:rsid w:val="00F60DB7"/>
    <w:rsid w:val="00F6538C"/>
    <w:rsid w:val="00F65999"/>
    <w:rsid w:val="00F65E31"/>
    <w:rsid w:val="00F70650"/>
    <w:rsid w:val="00F73CF7"/>
    <w:rsid w:val="00F778DE"/>
    <w:rsid w:val="00F77E82"/>
    <w:rsid w:val="00F804E3"/>
    <w:rsid w:val="00F82A9A"/>
    <w:rsid w:val="00F83586"/>
    <w:rsid w:val="00F84FAD"/>
    <w:rsid w:val="00F9587C"/>
    <w:rsid w:val="00FA01A1"/>
    <w:rsid w:val="00FA2289"/>
    <w:rsid w:val="00FA3918"/>
    <w:rsid w:val="00FA45B1"/>
    <w:rsid w:val="00FA4FCF"/>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46DBC5"/>
  <w15:docId w15:val="{4721C881-D5F3-E54E-A64E-6457BED8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FB"/>
    <w:rPr>
      <w:sz w:val="24"/>
      <w:szCs w:val="24"/>
    </w:rPr>
  </w:style>
  <w:style w:type="paragraph" w:styleId="Judul1">
    <w:name w:val="heading 1"/>
    <w:basedOn w:val="Normal"/>
    <w:next w:val="Normal"/>
    <w:qFormat/>
    <w:rsid w:val="00147305"/>
    <w:pPr>
      <w:numPr>
        <w:numId w:val="1"/>
      </w:numPr>
      <w:shd w:val="clear" w:color="auto" w:fill="F2DBDB"/>
      <w:suppressAutoHyphens/>
      <w:spacing w:before="480" w:after="100" w:line="264" w:lineRule="auto"/>
      <w:outlineLvl w:val="0"/>
    </w:pPr>
    <w:rPr>
      <w:rFonts w:ascii="Cambria" w:hAnsi="Cambria"/>
      <w:b/>
      <w:bCs/>
      <w:i/>
      <w:iCs/>
      <w:color w:val="622423"/>
      <w:sz w:val="22"/>
      <w:szCs w:val="22"/>
      <w:lang w:val="en-US" w:eastAsia="en-US" w:bidi="en-US"/>
    </w:rPr>
  </w:style>
  <w:style w:type="paragraph" w:styleId="Judul2">
    <w:name w:val="heading 2"/>
    <w:basedOn w:val="Normal"/>
    <w:next w:val="Normal"/>
    <w:link w:val="Judul2KAR"/>
    <w:uiPriority w:val="9"/>
    <w:qFormat/>
    <w:rsid w:val="00147305"/>
    <w:pPr>
      <w:numPr>
        <w:ilvl w:val="1"/>
        <w:numId w:val="1"/>
      </w:numPr>
      <w:suppressAutoHyphens/>
      <w:spacing w:before="200" w:after="100" w:line="264" w:lineRule="auto"/>
      <w:ind w:left="144" w:firstLine="0"/>
      <w:outlineLvl w:val="1"/>
    </w:pPr>
    <w:rPr>
      <w:rFonts w:ascii="Cambria" w:hAnsi="Cambria"/>
      <w:b/>
      <w:bCs/>
      <w:i/>
      <w:iCs/>
      <w:color w:val="943634"/>
      <w:sz w:val="22"/>
      <w:szCs w:val="22"/>
      <w:lang w:val="en-US" w:eastAsia="en-US" w:bidi="en-US"/>
    </w:rPr>
  </w:style>
  <w:style w:type="paragraph" w:styleId="Judul3">
    <w:name w:val="heading 3"/>
    <w:basedOn w:val="Normal"/>
    <w:next w:val="Normal"/>
    <w:qFormat/>
    <w:rsid w:val="00147305"/>
    <w:pPr>
      <w:numPr>
        <w:ilvl w:val="2"/>
        <w:numId w:val="1"/>
      </w:numPr>
      <w:suppressAutoHyphens/>
      <w:spacing w:before="200" w:after="100"/>
      <w:ind w:left="144" w:firstLine="0"/>
      <w:outlineLvl w:val="2"/>
    </w:pPr>
    <w:rPr>
      <w:rFonts w:ascii="Cambria" w:hAnsi="Cambria"/>
      <w:b/>
      <w:bCs/>
      <w:i/>
      <w:iCs/>
      <w:color w:val="943634"/>
      <w:sz w:val="22"/>
      <w:szCs w:val="22"/>
      <w:lang w:val="en-US" w:eastAsia="en-US" w:bidi="en-US"/>
    </w:rPr>
  </w:style>
  <w:style w:type="paragraph" w:styleId="Judul4">
    <w:name w:val="heading 4"/>
    <w:basedOn w:val="Normal"/>
    <w:next w:val="Normal"/>
    <w:qFormat/>
    <w:rsid w:val="00147305"/>
    <w:pPr>
      <w:numPr>
        <w:ilvl w:val="3"/>
        <w:numId w:val="1"/>
      </w:numPr>
      <w:suppressAutoHyphens/>
      <w:spacing w:before="200" w:after="100"/>
      <w:ind w:left="86" w:firstLine="0"/>
      <w:outlineLvl w:val="3"/>
    </w:pPr>
    <w:rPr>
      <w:rFonts w:ascii="Cambria" w:hAnsi="Cambria"/>
      <w:b/>
      <w:bCs/>
      <w:i/>
      <w:iCs/>
      <w:color w:val="943634"/>
      <w:sz w:val="22"/>
      <w:szCs w:val="22"/>
      <w:lang w:val="en-US" w:eastAsia="en-US" w:bidi="en-US"/>
    </w:rPr>
  </w:style>
  <w:style w:type="paragraph" w:styleId="Judul5">
    <w:name w:val="heading 5"/>
    <w:basedOn w:val="Normal"/>
    <w:next w:val="Normal"/>
    <w:qFormat/>
    <w:rsid w:val="00147305"/>
    <w:pPr>
      <w:numPr>
        <w:ilvl w:val="4"/>
        <w:numId w:val="1"/>
      </w:numPr>
      <w:suppressAutoHyphens/>
      <w:spacing w:before="200" w:after="100"/>
      <w:ind w:left="86" w:firstLine="0"/>
      <w:outlineLvl w:val="4"/>
    </w:pPr>
    <w:rPr>
      <w:rFonts w:ascii="Cambria" w:hAnsi="Cambria"/>
      <w:b/>
      <w:bCs/>
      <w:i/>
      <w:iCs/>
      <w:color w:val="943634"/>
      <w:sz w:val="22"/>
      <w:szCs w:val="22"/>
      <w:lang w:val="en-US" w:eastAsia="en-US" w:bidi="en-US"/>
    </w:rPr>
  </w:style>
  <w:style w:type="paragraph" w:styleId="Judul6">
    <w:name w:val="heading 6"/>
    <w:basedOn w:val="Normal"/>
    <w:next w:val="Normal"/>
    <w:qFormat/>
    <w:rsid w:val="00147305"/>
    <w:pPr>
      <w:numPr>
        <w:ilvl w:val="5"/>
        <w:numId w:val="1"/>
      </w:numPr>
      <w:suppressAutoHyphens/>
      <w:spacing w:before="200" w:after="100"/>
      <w:outlineLvl w:val="5"/>
    </w:pPr>
    <w:rPr>
      <w:rFonts w:ascii="Cambria" w:hAnsi="Cambria"/>
      <w:i/>
      <w:iCs/>
      <w:color w:val="943634"/>
      <w:sz w:val="22"/>
      <w:szCs w:val="22"/>
      <w:lang w:val="en-US" w:eastAsia="en-US" w:bidi="en-US"/>
    </w:rPr>
  </w:style>
  <w:style w:type="paragraph" w:styleId="Judul7">
    <w:name w:val="heading 7"/>
    <w:basedOn w:val="Normal"/>
    <w:next w:val="Normal"/>
    <w:qFormat/>
    <w:rsid w:val="00147305"/>
    <w:pPr>
      <w:numPr>
        <w:ilvl w:val="6"/>
        <w:numId w:val="1"/>
      </w:numPr>
      <w:suppressAutoHyphens/>
      <w:spacing w:before="200" w:after="100"/>
      <w:outlineLvl w:val="6"/>
    </w:pPr>
    <w:rPr>
      <w:rFonts w:ascii="Cambria" w:hAnsi="Cambria"/>
      <w:i/>
      <w:iCs/>
      <w:color w:val="943634"/>
      <w:sz w:val="22"/>
      <w:szCs w:val="22"/>
      <w:lang w:val="en-US" w:eastAsia="en-US" w:bidi="en-US"/>
    </w:rPr>
  </w:style>
  <w:style w:type="paragraph" w:styleId="Judul8">
    <w:name w:val="heading 8"/>
    <w:basedOn w:val="Normal"/>
    <w:next w:val="Normal"/>
    <w:qFormat/>
    <w:rsid w:val="00147305"/>
    <w:pPr>
      <w:numPr>
        <w:ilvl w:val="7"/>
        <w:numId w:val="1"/>
      </w:numPr>
      <w:suppressAutoHyphens/>
      <w:spacing w:before="200" w:after="100"/>
      <w:outlineLvl w:val="7"/>
    </w:pPr>
    <w:rPr>
      <w:rFonts w:ascii="Cambria" w:hAnsi="Cambria"/>
      <w:i/>
      <w:iCs/>
      <w:color w:val="C0504D"/>
      <w:sz w:val="22"/>
      <w:szCs w:val="22"/>
      <w:lang w:val="en-US" w:eastAsia="en-US" w:bidi="en-US"/>
    </w:rPr>
  </w:style>
  <w:style w:type="paragraph" w:styleId="Judul9">
    <w:name w:val="heading 9"/>
    <w:basedOn w:val="Normal"/>
    <w:next w:val="Normal"/>
    <w:qFormat/>
    <w:rsid w:val="00147305"/>
    <w:pPr>
      <w:numPr>
        <w:ilvl w:val="8"/>
        <w:numId w:val="1"/>
      </w:numPr>
      <w:suppressAutoHyphens/>
      <w:spacing w:before="200" w:after="100"/>
      <w:outlineLvl w:val="8"/>
    </w:pPr>
    <w:rPr>
      <w:rFonts w:ascii="Cambria" w:hAnsi="Cambria"/>
      <w:i/>
      <w:iCs/>
      <w:color w:val="C0504D"/>
      <w:sz w:val="20"/>
      <w:szCs w:val="20"/>
      <w:lang w:val="en-US" w:eastAsia="en-US" w:bidi="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basedOn w:val="FontParagrafDefault"/>
    <w:link w:val="Judul2"/>
    <w:uiPriority w:val="9"/>
    <w:rsid w:val="00A84AA6"/>
    <w:rPr>
      <w:rFonts w:ascii="Cambria" w:hAnsi="Cambria"/>
      <w:b/>
      <w:bCs/>
      <w:i/>
      <w:iCs/>
      <w:color w:val="943634"/>
      <w:sz w:val="22"/>
      <w:szCs w:val="22"/>
      <w:lang w:val="en-US" w:eastAsia="en-US" w:bidi="en-US"/>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Kuat">
    <w:name w:val="Strong"/>
    <w:qFormat/>
    <w:rsid w:val="00147305"/>
    <w:rPr>
      <w:b/>
      <w:bCs/>
      <w:spacing w:val="0"/>
    </w:rPr>
  </w:style>
  <w:style w:type="character" w:styleId="Penekanan">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PenekananHalus">
    <w:name w:val="Subtle Emphasis"/>
    <w:qFormat/>
    <w:rsid w:val="00147305"/>
    <w:rPr>
      <w:rFonts w:ascii="Cambria" w:eastAsia="Times New Roman" w:hAnsi="Cambria" w:cs="Times New Roman"/>
      <w:i/>
      <w:iCs/>
      <w:color w:val="C0504D"/>
    </w:rPr>
  </w:style>
  <w:style w:type="character" w:styleId="PenekananKera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ReferensiRumit">
    <w:name w:val="Subtle Reference"/>
    <w:qFormat/>
    <w:rsid w:val="00147305"/>
    <w:rPr>
      <w:i/>
      <w:iCs/>
      <w:smallCaps/>
      <w:color w:val="C0504D"/>
    </w:rPr>
  </w:style>
  <w:style w:type="character" w:styleId="ReferensiyangSering">
    <w:name w:val="Intense Reference"/>
    <w:qFormat/>
    <w:rsid w:val="00147305"/>
    <w:rPr>
      <w:b/>
      <w:bCs/>
      <w:i/>
      <w:iCs/>
      <w:smallCaps/>
      <w:color w:val="C0504D"/>
    </w:rPr>
  </w:style>
  <w:style w:type="character" w:styleId="JudulBuku">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TeksIsi"/>
    <w:rsid w:val="00147305"/>
    <w:pPr>
      <w:keepNext/>
      <w:suppressAutoHyphens/>
      <w:spacing w:before="240" w:after="120" w:line="288" w:lineRule="auto"/>
    </w:pPr>
    <w:rPr>
      <w:rFonts w:ascii="Arial" w:eastAsia="MS Mincho" w:hAnsi="Arial" w:cs="Tahoma"/>
      <w:i/>
      <w:iCs/>
      <w:sz w:val="28"/>
      <w:szCs w:val="28"/>
      <w:lang w:val="en-US" w:eastAsia="en-US" w:bidi="en-US"/>
    </w:rPr>
  </w:style>
  <w:style w:type="paragraph" w:styleId="TeksIsi">
    <w:name w:val="Body Text"/>
    <w:basedOn w:val="Normal"/>
    <w:link w:val="TeksIsiKAR"/>
    <w:uiPriority w:val="1"/>
    <w:qFormat/>
    <w:rsid w:val="00147305"/>
    <w:pPr>
      <w:suppressAutoHyphens/>
      <w:spacing w:after="120" w:line="288" w:lineRule="auto"/>
    </w:pPr>
    <w:rPr>
      <w:rFonts w:ascii="Calibri" w:eastAsia="Calibri" w:hAnsi="Calibri" w:cs="Calibri"/>
      <w:i/>
      <w:iCs/>
      <w:sz w:val="20"/>
      <w:szCs w:val="20"/>
      <w:lang w:val="en-US" w:eastAsia="en-US" w:bidi="en-US"/>
    </w:rPr>
  </w:style>
  <w:style w:type="character" w:customStyle="1" w:styleId="TeksIsiKAR">
    <w:name w:val="Teks Isi KAR"/>
    <w:link w:val="TeksIsi"/>
    <w:uiPriority w:val="1"/>
    <w:rsid w:val="00C769AA"/>
    <w:rPr>
      <w:rFonts w:ascii="Calibri" w:eastAsia="Calibri" w:hAnsi="Calibri" w:cs="Calibri"/>
      <w:i/>
      <w:iCs/>
      <w:lang w:val="en-US" w:eastAsia="en-US" w:bidi="en-US"/>
    </w:rPr>
  </w:style>
  <w:style w:type="paragraph" w:styleId="Daftar">
    <w:name w:val="List"/>
    <w:basedOn w:val="TeksIsi"/>
    <w:rsid w:val="00147305"/>
    <w:rPr>
      <w:rFonts w:cs="Tahoma"/>
    </w:rPr>
  </w:style>
  <w:style w:type="paragraph" w:styleId="Keterangan">
    <w:name w:val="caption"/>
    <w:basedOn w:val="Normal"/>
    <w:next w:val="Normal"/>
    <w:qFormat/>
    <w:rsid w:val="00147305"/>
    <w:pPr>
      <w:suppressAutoHyphens/>
      <w:spacing w:after="200" w:line="288" w:lineRule="auto"/>
    </w:pPr>
    <w:rPr>
      <w:rFonts w:ascii="Calibri" w:eastAsia="Calibri" w:hAnsi="Calibri" w:cs="Calibri"/>
      <w:b/>
      <w:bCs/>
      <w:i/>
      <w:iCs/>
      <w:color w:val="943634"/>
      <w:sz w:val="18"/>
      <w:szCs w:val="18"/>
      <w:lang w:val="en-US" w:eastAsia="en-US" w:bidi="en-US"/>
    </w:rPr>
  </w:style>
  <w:style w:type="paragraph" w:customStyle="1" w:styleId="Index">
    <w:name w:val="Index"/>
    <w:basedOn w:val="Normal"/>
    <w:rsid w:val="00147305"/>
    <w:pPr>
      <w:suppressLineNumbers/>
      <w:suppressAutoHyphens/>
      <w:spacing w:after="200" w:line="288" w:lineRule="auto"/>
    </w:pPr>
    <w:rPr>
      <w:rFonts w:ascii="Calibri" w:eastAsia="Calibri" w:hAnsi="Calibri" w:cs="Tahoma"/>
      <w:i/>
      <w:iCs/>
      <w:sz w:val="20"/>
      <w:szCs w:val="20"/>
      <w:lang w:val="en-US" w:eastAsia="en-US" w:bidi="en-US"/>
    </w:rPr>
  </w:style>
  <w:style w:type="paragraph" w:styleId="TidakAdaSpasi">
    <w:name w:val="No Spacing"/>
    <w:basedOn w:val="Normal"/>
    <w:uiPriority w:val="1"/>
    <w:qFormat/>
    <w:rsid w:val="00147305"/>
    <w:pPr>
      <w:suppressAutoHyphens/>
    </w:pPr>
    <w:rPr>
      <w:rFonts w:ascii="Calibri" w:eastAsia="Calibri" w:hAnsi="Calibri" w:cs="Calibri"/>
      <w:i/>
      <w:iCs/>
      <w:sz w:val="20"/>
      <w:szCs w:val="20"/>
      <w:lang w:val="en-US" w:eastAsia="en-US" w:bidi="en-US"/>
    </w:rPr>
  </w:style>
  <w:style w:type="paragraph" w:styleId="Judul">
    <w:name w:val="Title"/>
    <w:basedOn w:val="Normal"/>
    <w:next w:val="Normal"/>
    <w:qFormat/>
    <w:rsid w:val="00147305"/>
    <w:pPr>
      <w:shd w:val="clear" w:color="auto" w:fill="C0504D"/>
      <w:suppressAutoHyphens/>
      <w:jc w:val="center"/>
    </w:pPr>
    <w:rPr>
      <w:rFonts w:ascii="Cambria" w:hAnsi="Cambria"/>
      <w:i/>
      <w:iCs/>
      <w:color w:val="FFFFFF"/>
      <w:spacing w:val="10"/>
      <w:sz w:val="48"/>
      <w:szCs w:val="48"/>
      <w:lang w:val="en-US" w:eastAsia="en-US" w:bidi="en-US"/>
    </w:rPr>
  </w:style>
  <w:style w:type="paragraph" w:styleId="Subjudul">
    <w:name w:val="Subtitle"/>
    <w:basedOn w:val="Normal"/>
    <w:next w:val="Normal"/>
    <w:qFormat/>
    <w:rsid w:val="00147305"/>
    <w:pPr>
      <w:suppressAutoHyphens/>
      <w:spacing w:before="200" w:after="900"/>
      <w:jc w:val="center"/>
    </w:pPr>
    <w:rPr>
      <w:rFonts w:ascii="Cambria" w:hAnsi="Cambria"/>
      <w:i/>
      <w:iCs/>
      <w:color w:val="622423"/>
      <w:lang w:val="en-US" w:eastAsia="en-US" w:bidi="en-US"/>
    </w:rPr>
  </w:style>
  <w:style w:type="paragraph" w:styleId="DaftarParagraf">
    <w:name w:val="List Paragraph"/>
    <w:basedOn w:val="Normal"/>
    <w:link w:val="DaftarParagrafKAR"/>
    <w:uiPriority w:val="34"/>
    <w:qFormat/>
    <w:rsid w:val="00147305"/>
    <w:pPr>
      <w:suppressAutoHyphens/>
      <w:spacing w:after="200" w:line="288" w:lineRule="auto"/>
      <w:ind w:left="720"/>
    </w:pPr>
    <w:rPr>
      <w:rFonts w:ascii="Calibri" w:eastAsia="Calibri" w:hAnsi="Calibri" w:cs="Calibri"/>
      <w:i/>
      <w:iCs/>
      <w:sz w:val="20"/>
      <w:szCs w:val="20"/>
      <w:lang w:val="en-US" w:eastAsia="en-US" w:bidi="en-US"/>
    </w:rPr>
  </w:style>
  <w:style w:type="character" w:customStyle="1" w:styleId="DaftarParagrafKAR">
    <w:name w:val="Daftar Paragraf KAR"/>
    <w:link w:val="DaftarParagraf"/>
    <w:uiPriority w:val="34"/>
    <w:locked/>
    <w:rsid w:val="006D2553"/>
    <w:rPr>
      <w:rFonts w:ascii="Calibri" w:eastAsia="Calibri" w:hAnsi="Calibri" w:cs="Calibri"/>
      <w:i/>
      <w:iCs/>
      <w:lang w:val="en-US" w:eastAsia="en-US" w:bidi="en-US"/>
    </w:rPr>
  </w:style>
  <w:style w:type="paragraph" w:styleId="Kutipan">
    <w:name w:val="Quote"/>
    <w:basedOn w:val="Normal"/>
    <w:next w:val="Normal"/>
    <w:qFormat/>
    <w:rsid w:val="00147305"/>
    <w:pPr>
      <w:suppressAutoHyphens/>
      <w:spacing w:after="200" w:line="288" w:lineRule="auto"/>
    </w:pPr>
    <w:rPr>
      <w:rFonts w:ascii="Calibri" w:eastAsia="Calibri" w:hAnsi="Calibri" w:cs="Calibri"/>
      <w:color w:val="943634"/>
      <w:sz w:val="20"/>
      <w:szCs w:val="20"/>
      <w:lang w:val="en-US" w:eastAsia="en-US" w:bidi="en-US"/>
    </w:rPr>
  </w:style>
  <w:style w:type="paragraph" w:styleId="KutipanyangSering">
    <w:name w:val="Intense Quote"/>
    <w:basedOn w:val="Normal"/>
    <w:next w:val="Normal"/>
    <w:qFormat/>
    <w:rsid w:val="00147305"/>
    <w:pPr>
      <w:suppressAutoHyphens/>
      <w:spacing w:after="200" w:line="300" w:lineRule="auto"/>
      <w:ind w:left="2160" w:right="2160"/>
      <w:jc w:val="center"/>
    </w:pPr>
    <w:rPr>
      <w:rFonts w:ascii="Cambria" w:hAnsi="Cambria"/>
      <w:b/>
      <w:bCs/>
      <w:i/>
      <w:iCs/>
      <w:color w:val="C0504D"/>
      <w:sz w:val="20"/>
      <w:szCs w:val="20"/>
      <w:lang w:val="en-US" w:eastAsia="en-US" w:bidi="en-US"/>
    </w:rPr>
  </w:style>
  <w:style w:type="paragraph" w:styleId="JudulTOC">
    <w:name w:val="TOC Heading"/>
    <w:basedOn w:val="Judul1"/>
    <w:next w:val="Normal"/>
    <w:qFormat/>
    <w:rsid w:val="00147305"/>
    <w:pPr>
      <w:numPr>
        <w:numId w:val="0"/>
      </w:numPr>
    </w:pPr>
  </w:style>
  <w:style w:type="paragraph" w:styleId="Header">
    <w:name w:val="header"/>
    <w:basedOn w:val="Normal"/>
    <w:link w:val="HeaderKAR"/>
    <w:uiPriority w:val="99"/>
    <w:rsid w:val="00147305"/>
    <w:pPr>
      <w:tabs>
        <w:tab w:val="center" w:pos="4513"/>
        <w:tab w:val="right" w:pos="9026"/>
      </w:tabs>
      <w:suppressAutoHyphens/>
      <w:spacing w:after="200" w:line="288" w:lineRule="auto"/>
    </w:pPr>
    <w:rPr>
      <w:rFonts w:ascii="Calibri" w:eastAsia="Calibri" w:hAnsi="Calibri" w:cs="Calibri"/>
      <w:i/>
      <w:iCs/>
      <w:sz w:val="20"/>
      <w:szCs w:val="20"/>
      <w:lang w:val="en-US" w:eastAsia="en-US" w:bidi="en-US"/>
    </w:rPr>
  </w:style>
  <w:style w:type="character" w:customStyle="1" w:styleId="HeaderKAR">
    <w:name w:val="Header KAR"/>
    <w:basedOn w:val="FontParagrafDefault"/>
    <w:link w:val="Header"/>
    <w:uiPriority w:val="99"/>
    <w:rsid w:val="00A84AA6"/>
    <w:rPr>
      <w:rFonts w:ascii="Calibri" w:eastAsia="Calibri" w:hAnsi="Calibri" w:cs="Calibri"/>
      <w:i/>
      <w:iCs/>
      <w:lang w:val="en-US" w:eastAsia="en-US" w:bidi="en-US"/>
    </w:rPr>
  </w:style>
  <w:style w:type="paragraph" w:styleId="Footer">
    <w:name w:val="footer"/>
    <w:basedOn w:val="Normal"/>
    <w:link w:val="FooterKAR"/>
    <w:uiPriority w:val="99"/>
    <w:rsid w:val="00147305"/>
    <w:pPr>
      <w:tabs>
        <w:tab w:val="center" w:pos="4513"/>
        <w:tab w:val="right" w:pos="9026"/>
      </w:tabs>
      <w:suppressAutoHyphens/>
      <w:spacing w:after="200" w:line="288" w:lineRule="auto"/>
    </w:pPr>
    <w:rPr>
      <w:rFonts w:ascii="Calibri" w:eastAsia="Calibri" w:hAnsi="Calibri" w:cs="Calibri"/>
      <w:i/>
      <w:iCs/>
      <w:sz w:val="20"/>
      <w:szCs w:val="20"/>
      <w:lang w:val="en-US" w:eastAsia="en-US" w:bidi="en-US"/>
    </w:rPr>
  </w:style>
  <w:style w:type="character" w:customStyle="1" w:styleId="FooterKAR">
    <w:name w:val="Footer KAR"/>
    <w:basedOn w:val="FontParagrafDefault"/>
    <w:link w:val="Footer"/>
    <w:uiPriority w:val="99"/>
    <w:rsid w:val="00A84AA6"/>
    <w:rPr>
      <w:rFonts w:ascii="Calibri" w:eastAsia="Calibri" w:hAnsi="Calibri" w:cs="Calibri"/>
      <w:i/>
      <w:iCs/>
      <w:lang w:val="en-US" w:eastAsia="en-US" w:bidi="en-US"/>
    </w:rPr>
  </w:style>
  <w:style w:type="paragraph" w:customStyle="1" w:styleId="TableContents">
    <w:name w:val="Table Contents"/>
    <w:basedOn w:val="Normal"/>
    <w:rsid w:val="00147305"/>
    <w:pPr>
      <w:suppressLineNumbers/>
      <w:suppressAutoHyphens/>
      <w:spacing w:after="200" w:line="288" w:lineRule="auto"/>
    </w:pPr>
    <w:rPr>
      <w:rFonts w:ascii="Calibri" w:eastAsia="Calibri" w:hAnsi="Calibri" w:cs="Calibri"/>
      <w:i/>
      <w:iCs/>
      <w:sz w:val="20"/>
      <w:szCs w:val="20"/>
      <w:lang w:val="en-US" w:eastAsia="en-US" w:bidi="en-US"/>
    </w:rPr>
  </w:style>
  <w:style w:type="paragraph" w:customStyle="1" w:styleId="TableHeading">
    <w:name w:val="Table Heading"/>
    <w:basedOn w:val="TableContents"/>
    <w:rsid w:val="00147305"/>
    <w:pPr>
      <w:jc w:val="center"/>
    </w:pPr>
    <w:rPr>
      <w:b/>
      <w:bCs/>
    </w:rPr>
  </w:style>
  <w:style w:type="paragraph" w:styleId="TeksBalon">
    <w:name w:val="Balloon Text"/>
    <w:basedOn w:val="Normal"/>
    <w:link w:val="TeksBalonKAR"/>
    <w:uiPriority w:val="99"/>
    <w:rsid w:val="00147305"/>
    <w:pPr>
      <w:suppressAutoHyphens/>
    </w:pPr>
    <w:rPr>
      <w:rFonts w:ascii="Tahoma" w:eastAsia="Calibri" w:hAnsi="Tahoma" w:cs="Tahoma"/>
      <w:i/>
      <w:iCs/>
      <w:sz w:val="16"/>
      <w:szCs w:val="16"/>
      <w:lang w:val="en-US" w:eastAsia="en-US" w:bidi="en-US"/>
    </w:rPr>
  </w:style>
  <w:style w:type="character" w:customStyle="1" w:styleId="TeksBalonKAR">
    <w:name w:val="Teks Balon KAR"/>
    <w:basedOn w:val="FontParagrafDefault"/>
    <w:link w:val="TeksBalon"/>
    <w:uiPriority w:val="99"/>
    <w:rsid w:val="00A84AA6"/>
    <w:rPr>
      <w:rFonts w:ascii="Tahoma" w:eastAsia="Calibri" w:hAnsi="Tahoma" w:cs="Tahoma"/>
      <w:i/>
      <w:iCs/>
      <w:sz w:val="16"/>
      <w:szCs w:val="16"/>
      <w:lang w:val="en-US" w:eastAsia="en-US" w:bidi="en-US"/>
    </w:rPr>
  </w:style>
  <w:style w:type="character" w:styleId="Hyperlink">
    <w:name w:val="Hyperlink"/>
    <w:uiPriority w:val="99"/>
    <w:unhideWhenUsed/>
    <w:rsid w:val="00531437"/>
    <w:rPr>
      <w:color w:val="0000FF"/>
      <w:u w:val="single"/>
    </w:rPr>
  </w:style>
  <w:style w:type="table" w:styleId="KisiTabel">
    <w:name w:val="Table Grid"/>
    <w:basedOn w:val="Tabel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FontParagrafDefault"/>
    <w:uiPriority w:val="99"/>
    <w:semiHidden/>
    <w:unhideWhenUsed/>
    <w:rsid w:val="001C7CA1"/>
    <w:rPr>
      <w:color w:val="605E5C"/>
      <w:shd w:val="clear" w:color="auto" w:fill="E1DFDD"/>
    </w:rPr>
  </w:style>
  <w:style w:type="paragraph" w:customStyle="1" w:styleId="p0">
    <w:name w:val="p0"/>
    <w:basedOn w:val="Normal"/>
    <w:rsid w:val="0063640C"/>
    <w:rPr>
      <w:lang w:val="en-US" w:eastAsia="en-US"/>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bulletlist">
    <w:name w:val="bullet list"/>
    <w:basedOn w:val="TeksIsi"/>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pacing w:before="240" w:after="240" w:line="216" w:lineRule="auto"/>
      <w:jc w:val="center"/>
    </w:pPr>
    <w:rPr>
      <w:rFonts w:ascii="Symbol" w:eastAsia="SimSun" w:hAnsi="Symbol" w:cs="Symbol"/>
      <w:sz w:val="20"/>
      <w:szCs w:val="20"/>
      <w:lang w:val="en-US" w:eastAsia="en-US"/>
    </w:rPr>
  </w:style>
  <w:style w:type="paragraph" w:customStyle="1" w:styleId="tablecolhead">
    <w:name w:val="table col head"/>
    <w:basedOn w:val="Normal"/>
    <w:rsid w:val="000022C9"/>
    <w:pPr>
      <w:jc w:val="center"/>
    </w:pPr>
    <w:rPr>
      <w:rFonts w:eastAsia="SimSun"/>
      <w:b/>
      <w:bCs/>
      <w:sz w:val="16"/>
      <w:szCs w:val="16"/>
      <w:lang w:val="en-US" w:eastAsia="en-US"/>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Judul"/>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pacing w:before="240" w:after="40"/>
      <w:jc w:val="center"/>
    </w:pPr>
    <w:rPr>
      <w:rFonts w:eastAsia="SimSun"/>
      <w:b/>
      <w:bCs/>
      <w:noProof/>
      <w:sz w:val="22"/>
      <w:szCs w:val="22"/>
      <w:lang w:val="en-US" w:eastAsia="en-US"/>
    </w:rPr>
  </w:style>
  <w:style w:type="paragraph" w:customStyle="1" w:styleId="abstrak">
    <w:name w:val="abstrak"/>
    <w:basedOn w:val="TeksIsi"/>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styleId="NormalWeb">
    <w:name w:val="Normal (Web)"/>
    <w:basedOn w:val="Normal"/>
    <w:uiPriority w:val="99"/>
    <w:unhideWhenUsed/>
    <w:rsid w:val="00BF3C4F"/>
    <w:pPr>
      <w:spacing w:before="100" w:beforeAutospacing="1" w:after="100" w:afterAutospacing="1"/>
    </w:pPr>
  </w:style>
  <w:style w:type="character" w:styleId="HiperlinkyangDiikuti">
    <w:name w:val="FollowedHyperlink"/>
    <w:basedOn w:val="FontParagrafDefault"/>
    <w:uiPriority w:val="99"/>
    <w:semiHidden/>
    <w:unhideWhenUsed/>
    <w:rsid w:val="00F11C26"/>
    <w:rPr>
      <w:color w:val="800080" w:themeColor="followedHyperlink"/>
      <w:u w:val="single"/>
    </w:rPr>
  </w:style>
  <w:style w:type="paragraph" w:customStyle="1" w:styleId="EndNoteBibliographyTitle">
    <w:name w:val="EndNote Bibliography Title"/>
    <w:basedOn w:val="Normal"/>
    <w:link w:val="EndNoteBibliographyTitleChar"/>
    <w:rsid w:val="00A84AA6"/>
    <w:pPr>
      <w:spacing w:line="259" w:lineRule="auto"/>
      <w:jc w:val="center"/>
    </w:pPr>
    <w:rPr>
      <w:rFonts w:eastAsiaTheme="minorHAnsi"/>
      <w:noProof/>
      <w:szCs w:val="22"/>
      <w:lang w:val="en-US" w:eastAsia="en-US"/>
    </w:rPr>
  </w:style>
  <w:style w:type="character" w:customStyle="1" w:styleId="EndNoteBibliographyTitleChar">
    <w:name w:val="EndNote Bibliography Title Char"/>
    <w:basedOn w:val="FontParagrafDefault"/>
    <w:link w:val="EndNoteBibliographyTitle"/>
    <w:rsid w:val="00A84AA6"/>
    <w:rPr>
      <w:rFonts w:eastAsiaTheme="minorHAnsi"/>
      <w:noProof/>
      <w:sz w:val="24"/>
      <w:szCs w:val="22"/>
      <w:lang w:val="en-US" w:eastAsia="en-US"/>
    </w:rPr>
  </w:style>
  <w:style w:type="paragraph" w:customStyle="1" w:styleId="EndNoteBibliography">
    <w:name w:val="EndNote Bibliography"/>
    <w:basedOn w:val="Normal"/>
    <w:link w:val="EndNoteBibliographyChar"/>
    <w:rsid w:val="00A84AA6"/>
    <w:pPr>
      <w:spacing w:after="160"/>
      <w:jc w:val="both"/>
    </w:pPr>
    <w:rPr>
      <w:rFonts w:eastAsiaTheme="minorHAnsi"/>
      <w:noProof/>
      <w:szCs w:val="22"/>
      <w:lang w:val="en-US" w:eastAsia="en-US"/>
    </w:rPr>
  </w:style>
  <w:style w:type="character" w:customStyle="1" w:styleId="EndNoteBibliographyChar">
    <w:name w:val="EndNote Bibliography Char"/>
    <w:basedOn w:val="FontParagrafDefault"/>
    <w:link w:val="EndNoteBibliography"/>
    <w:rsid w:val="00A84AA6"/>
    <w:rPr>
      <w:rFonts w:eastAsiaTheme="minorHAnsi"/>
      <w:noProof/>
      <w:sz w:val="24"/>
      <w:szCs w:val="22"/>
      <w:lang w:val="en-US" w:eastAsia="en-US"/>
    </w:rPr>
  </w:style>
  <w:style w:type="character" w:customStyle="1" w:styleId="HTMLSudahDiformatKAR">
    <w:name w:val="HTML Sudah Diformat KAR"/>
    <w:basedOn w:val="FontParagrafDefault"/>
    <w:link w:val="HTMLSudahDiformat"/>
    <w:uiPriority w:val="99"/>
    <w:semiHidden/>
    <w:rsid w:val="00A84AA6"/>
    <w:rPr>
      <w:rFonts w:ascii="Courier New" w:hAnsi="Courier New" w:cs="Courier New"/>
    </w:rPr>
  </w:style>
  <w:style w:type="paragraph" w:styleId="HTMLSudahDiformat">
    <w:name w:val="HTML Preformatted"/>
    <w:basedOn w:val="Normal"/>
    <w:link w:val="HTMLSudahDiformatKAR"/>
    <w:uiPriority w:val="99"/>
    <w:semiHidden/>
    <w:unhideWhenUsed/>
    <w:rsid w:val="00A8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
      <w:iCs/>
    </w:rPr>
  </w:style>
  <w:style w:type="paragraph" w:customStyle="1" w:styleId="TableParagraph">
    <w:name w:val="Table Paragraph"/>
    <w:basedOn w:val="Normal"/>
    <w:uiPriority w:val="1"/>
    <w:qFormat/>
    <w:rsid w:val="00A84AA6"/>
    <w:pPr>
      <w:widowControl w:val="0"/>
      <w:autoSpaceDE w:val="0"/>
      <w:autoSpaceDN w:val="0"/>
    </w:pPr>
    <w:rPr>
      <w:rFonts w:ascii="Courier New" w:eastAsia="Courier New" w:hAnsi="Courier New" w:cs="Courier New"/>
      <w:sz w:val="22"/>
      <w:szCs w:val="22"/>
      <w:lang w:val="en-US" w:eastAsia="en-US"/>
    </w:rPr>
  </w:style>
  <w:style w:type="character" w:customStyle="1" w:styleId="TeksCatatanAkhirKAR">
    <w:name w:val="Teks Catatan Akhir KAR"/>
    <w:basedOn w:val="FontParagrafDefault"/>
    <w:link w:val="TeksCatatanAkhir"/>
    <w:uiPriority w:val="99"/>
    <w:semiHidden/>
    <w:rsid w:val="00A84AA6"/>
  </w:style>
  <w:style w:type="paragraph" w:styleId="TeksCatatanAkhir">
    <w:name w:val="endnote text"/>
    <w:basedOn w:val="Normal"/>
    <w:link w:val="TeksCatatanAkhirKAR"/>
    <w:uiPriority w:val="99"/>
    <w:semiHidden/>
    <w:unhideWhenUsed/>
    <w:rsid w:val="00A84A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004694420">
      <w:bodyDiv w:val="1"/>
      <w:marLeft w:val="0"/>
      <w:marRight w:val="0"/>
      <w:marTop w:val="0"/>
      <w:marBottom w:val="0"/>
      <w:divBdr>
        <w:top w:val="none" w:sz="0" w:space="0" w:color="auto"/>
        <w:left w:val="none" w:sz="0" w:space="0" w:color="auto"/>
        <w:bottom w:val="none" w:sz="0" w:space="0" w:color="auto"/>
        <w:right w:val="none" w:sz="0" w:space="0" w:color="auto"/>
      </w:divBdr>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016/j.jpubeco.2015.09.001"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urfitrianahamsyi/Documents/ME/PROFITA/template_artikel_profi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C74A8F-4E4F-491E-93D2-B990AEBE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template_artikel_profita.dotx</Template>
  <TotalTime>135</TotalTime>
  <Pages>12</Pages>
  <Words>16211</Words>
  <Characters>92407</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108402</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Microsoft Office User</dc:creator>
  <cp:lastModifiedBy>NUR FITRIANA HAMSYI</cp:lastModifiedBy>
  <cp:revision>49</cp:revision>
  <cp:lastPrinted>2017-01-26T11:37:00Z</cp:lastPrinted>
  <dcterms:created xsi:type="dcterms:W3CDTF">2021-01-30T01:39:00Z</dcterms:created>
  <dcterms:modified xsi:type="dcterms:W3CDTF">2021-01-31T08:55:00Z</dcterms:modified>
</cp:coreProperties>
</file>