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7E6E" w:rsidRDefault="00D0002E">
      <w:pPr>
        <w:widowControl w:val="0"/>
        <w:pBdr>
          <w:top w:val="nil"/>
          <w:left w:val="nil"/>
          <w:bottom w:val="nil"/>
          <w:right w:val="nil"/>
          <w:between w:val="nil"/>
        </w:pBdr>
        <w:spacing w:after="0"/>
        <w:ind w:left="0" w:hanging="2"/>
      </w:pPr>
      <w:r>
        <w:pict w14:anchorId="065F53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0;margin-top:0;width:50pt;height:50pt;z-index:251657728;visibility:hidden">
            <v:path o:extrusionok="t"/>
            <o:lock v:ext="edit" selection="t"/>
          </v:shape>
        </w:pict>
      </w:r>
    </w:p>
    <w:p w:rsidR="00BC7E6E" w:rsidRDefault="00BC7E6E">
      <w:pPr>
        <w:widowControl w:val="0"/>
        <w:pBdr>
          <w:top w:val="nil"/>
          <w:left w:val="nil"/>
          <w:bottom w:val="nil"/>
          <w:right w:val="nil"/>
          <w:between w:val="nil"/>
        </w:pBdr>
        <w:spacing w:after="0"/>
        <w:ind w:left="0" w:hanging="2"/>
        <w:rPr>
          <w:rFonts w:ascii="Arial" w:eastAsia="Arial" w:hAnsi="Arial" w:cs="Arial"/>
          <w:color w:val="000000"/>
        </w:rPr>
      </w:pPr>
    </w:p>
    <w:tbl>
      <w:tblPr>
        <w:tblStyle w:val="a"/>
        <w:tblW w:w="928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504"/>
        <w:gridCol w:w="784"/>
      </w:tblGrid>
      <w:tr w:rsidR="00BC7E6E">
        <w:tc>
          <w:tcPr>
            <w:tcW w:w="8504" w:type="dxa"/>
          </w:tcPr>
          <w:p w:rsidR="009E5645" w:rsidRDefault="009E5645">
            <w:pPr>
              <w:pStyle w:val="Title"/>
              <w:ind w:left="1" w:hanging="3"/>
              <w:jc w:val="left"/>
              <w:rPr>
                <w:rFonts w:ascii="Arial" w:eastAsia="Arial" w:hAnsi="Arial" w:cs="Arial"/>
                <w:lang w:val="en-ID"/>
              </w:rPr>
            </w:pPr>
            <w:r>
              <w:rPr>
                <w:rFonts w:ascii="Arial" w:eastAsia="Arial" w:hAnsi="Arial" w:cs="Arial"/>
                <w:lang w:val="en-ID"/>
              </w:rPr>
              <w:t>Forecast of Sugar Demand in Retail Using SARIMA and Decomposition Models</w:t>
            </w:r>
          </w:p>
          <w:p w:rsidR="00BC7E6E" w:rsidRDefault="009E5645" w:rsidP="009E5645">
            <w:pPr>
              <w:pStyle w:val="Title"/>
              <w:ind w:left="1" w:hanging="3"/>
              <w:jc w:val="left"/>
              <w:rPr>
                <w:rFonts w:ascii="Arial" w:eastAsia="Arial" w:hAnsi="Arial" w:cs="Arial"/>
              </w:rPr>
            </w:pPr>
            <w:r>
              <w:rPr>
                <w:rFonts w:ascii="Arial" w:eastAsia="Arial" w:hAnsi="Arial" w:cs="Arial"/>
                <w:lang w:val="en-ID"/>
              </w:rPr>
              <w:t>Study Case: A Retail Store in Indonesia</w:t>
            </w:r>
          </w:p>
        </w:tc>
        <w:tc>
          <w:tcPr>
            <w:tcW w:w="784" w:type="dxa"/>
            <w:vAlign w:val="center"/>
          </w:tcPr>
          <w:p w:rsidR="00BC7E6E" w:rsidRDefault="007266B7">
            <w:pPr>
              <w:pStyle w:val="Title"/>
              <w:ind w:left="1" w:hanging="3"/>
              <w:rPr>
                <w:rFonts w:ascii="Arial" w:eastAsia="Arial" w:hAnsi="Arial" w:cs="Arial"/>
              </w:rPr>
            </w:pPr>
            <w:r>
              <w:rPr>
                <w:rFonts w:ascii="Arial" w:eastAsia="Arial" w:hAnsi="Arial" w:cs="Arial"/>
                <w:noProof/>
                <w:lang w:val="en-ID" w:eastAsia="en-ID"/>
              </w:rPr>
              <w:drawing>
                <wp:inline distT="0" distB="0" distL="114300" distR="114300">
                  <wp:extent cx="360045" cy="360045"/>
                  <wp:effectExtent l="0" t="0" r="0" b="0"/>
                  <wp:docPr id="1033"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9"/>
                          <a:srcRect/>
                          <a:stretch>
                            <a:fillRect/>
                          </a:stretch>
                        </pic:blipFill>
                        <pic:spPr>
                          <a:xfrm>
                            <a:off x="0" y="0"/>
                            <a:ext cx="360045" cy="360045"/>
                          </a:xfrm>
                          <a:prstGeom prst="rect">
                            <a:avLst/>
                          </a:prstGeom>
                          <a:ln/>
                        </pic:spPr>
                      </pic:pic>
                    </a:graphicData>
                  </a:graphic>
                </wp:inline>
              </w:drawing>
            </w:r>
          </w:p>
        </w:tc>
      </w:tr>
    </w:tbl>
    <w:p w:rsidR="00BC7E6E" w:rsidRDefault="00BC7E6E">
      <w:pPr>
        <w:pStyle w:val="Title"/>
        <w:ind w:left="1" w:hanging="3"/>
        <w:rPr>
          <w:rFonts w:ascii="Arial" w:eastAsia="Arial" w:hAnsi="Arial" w:cs="Arial"/>
        </w:rPr>
      </w:pPr>
    </w:p>
    <w:p w:rsidR="00BC7E6E" w:rsidRDefault="00BA0F23">
      <w:pPr>
        <w:widowControl w:val="0"/>
        <w:spacing w:after="0" w:line="240" w:lineRule="auto"/>
        <w:ind w:left="0" w:hanging="2"/>
        <w:rPr>
          <w:rFonts w:ascii="Arial" w:eastAsia="Arial" w:hAnsi="Arial" w:cs="Arial"/>
          <w:sz w:val="20"/>
          <w:szCs w:val="20"/>
        </w:rPr>
      </w:pPr>
      <w:r>
        <w:rPr>
          <w:rFonts w:ascii="Arial" w:eastAsia="Arial" w:hAnsi="Arial" w:cs="Arial"/>
          <w:b/>
          <w:sz w:val="20"/>
          <w:szCs w:val="20"/>
        </w:rPr>
        <w:t>Titi Sari</w:t>
      </w:r>
      <w:r w:rsidR="007266B7">
        <w:rPr>
          <w:rFonts w:ascii="Arial" w:eastAsia="Arial" w:hAnsi="Arial" w:cs="Arial"/>
          <w:b/>
          <w:sz w:val="20"/>
          <w:szCs w:val="20"/>
          <w:vertAlign w:val="superscript"/>
        </w:rPr>
        <w:t>1*</w:t>
      </w:r>
    </w:p>
    <w:p w:rsidR="001A6388" w:rsidRDefault="007266B7" w:rsidP="001A6388">
      <w:pPr>
        <w:widowControl w:val="0"/>
        <w:tabs>
          <w:tab w:val="left" w:pos="9020"/>
        </w:tabs>
        <w:spacing w:after="0" w:line="240" w:lineRule="auto"/>
        <w:ind w:left="0" w:hanging="2"/>
        <w:rPr>
          <w:rFonts w:ascii="Arial" w:eastAsia="Arial" w:hAnsi="Arial" w:cs="Arial"/>
          <w:sz w:val="16"/>
          <w:szCs w:val="16"/>
        </w:rPr>
      </w:pPr>
      <w:r>
        <w:rPr>
          <w:rFonts w:ascii="Arial" w:eastAsia="Arial" w:hAnsi="Arial" w:cs="Arial"/>
          <w:sz w:val="16"/>
          <w:szCs w:val="16"/>
          <w:vertAlign w:val="superscript"/>
        </w:rPr>
        <w:t>1</w:t>
      </w:r>
      <w:r w:rsidR="001A6388">
        <w:rPr>
          <w:rFonts w:ascii="Arial" w:eastAsia="Arial" w:hAnsi="Arial" w:cs="Arial"/>
          <w:sz w:val="16"/>
          <w:szCs w:val="16"/>
        </w:rPr>
        <w:t xml:space="preserve">Industrial Engineering Study Program, </w:t>
      </w:r>
      <w:proofErr w:type="spellStart"/>
      <w:r w:rsidR="001A6388">
        <w:rPr>
          <w:rFonts w:ascii="Arial" w:eastAsia="Arial" w:hAnsi="Arial" w:cs="Arial"/>
          <w:sz w:val="16"/>
          <w:szCs w:val="16"/>
        </w:rPr>
        <w:t>Universitas</w:t>
      </w:r>
      <w:proofErr w:type="spellEnd"/>
      <w:r w:rsidR="001A6388">
        <w:rPr>
          <w:rFonts w:ascii="Arial" w:eastAsia="Arial" w:hAnsi="Arial" w:cs="Arial"/>
          <w:sz w:val="16"/>
          <w:szCs w:val="16"/>
        </w:rPr>
        <w:t xml:space="preserve"> Islam </w:t>
      </w:r>
      <w:proofErr w:type="spellStart"/>
      <w:r w:rsidR="001A6388">
        <w:rPr>
          <w:rFonts w:ascii="Arial" w:eastAsia="Arial" w:hAnsi="Arial" w:cs="Arial"/>
          <w:sz w:val="16"/>
          <w:szCs w:val="16"/>
        </w:rPr>
        <w:t>Negeri</w:t>
      </w:r>
      <w:proofErr w:type="spellEnd"/>
      <w:r w:rsidR="001A6388">
        <w:rPr>
          <w:rFonts w:ascii="Arial" w:eastAsia="Arial" w:hAnsi="Arial" w:cs="Arial"/>
          <w:sz w:val="16"/>
          <w:szCs w:val="16"/>
        </w:rPr>
        <w:t xml:space="preserve"> </w:t>
      </w:r>
      <w:proofErr w:type="spellStart"/>
      <w:r w:rsidR="001A6388">
        <w:rPr>
          <w:rFonts w:ascii="Arial" w:eastAsia="Arial" w:hAnsi="Arial" w:cs="Arial"/>
          <w:sz w:val="16"/>
          <w:szCs w:val="16"/>
        </w:rPr>
        <w:t>Sunan</w:t>
      </w:r>
      <w:proofErr w:type="spellEnd"/>
      <w:r w:rsidR="001A6388">
        <w:rPr>
          <w:rFonts w:ascii="Arial" w:eastAsia="Arial" w:hAnsi="Arial" w:cs="Arial"/>
          <w:sz w:val="16"/>
          <w:szCs w:val="16"/>
        </w:rPr>
        <w:t xml:space="preserve"> </w:t>
      </w:r>
      <w:proofErr w:type="spellStart"/>
      <w:r w:rsidR="001A6388">
        <w:rPr>
          <w:rFonts w:ascii="Arial" w:eastAsia="Arial" w:hAnsi="Arial" w:cs="Arial"/>
          <w:sz w:val="16"/>
          <w:szCs w:val="16"/>
        </w:rPr>
        <w:t>Kalijaga</w:t>
      </w:r>
      <w:proofErr w:type="spellEnd"/>
      <w:r w:rsidR="001A6388">
        <w:rPr>
          <w:rFonts w:ascii="Arial" w:eastAsia="Arial" w:hAnsi="Arial" w:cs="Arial"/>
          <w:sz w:val="16"/>
          <w:szCs w:val="16"/>
        </w:rPr>
        <w:t>, Indonesia</w:t>
      </w:r>
    </w:p>
    <w:p w:rsidR="00BC7E6E" w:rsidRDefault="00BC7E6E">
      <w:pPr>
        <w:widowControl w:val="0"/>
        <w:tabs>
          <w:tab w:val="left" w:pos="9020"/>
        </w:tabs>
        <w:spacing w:after="0" w:line="240" w:lineRule="auto"/>
        <w:ind w:left="0" w:hanging="2"/>
        <w:rPr>
          <w:rFonts w:ascii="Arial" w:eastAsia="Arial" w:hAnsi="Arial" w:cs="Arial"/>
          <w:sz w:val="16"/>
          <w:szCs w:val="16"/>
        </w:rPr>
      </w:pPr>
    </w:p>
    <w:p w:rsidR="00BC7E6E" w:rsidRDefault="00BC7E6E">
      <w:pPr>
        <w:widowControl w:val="0"/>
        <w:tabs>
          <w:tab w:val="left" w:pos="9020"/>
        </w:tabs>
        <w:spacing w:after="0" w:line="240" w:lineRule="auto"/>
        <w:ind w:left="0" w:hanging="2"/>
        <w:rPr>
          <w:rFonts w:ascii="Arial" w:eastAsia="Arial" w:hAnsi="Arial" w:cs="Arial"/>
          <w:sz w:val="20"/>
          <w:szCs w:val="20"/>
        </w:rPr>
      </w:pPr>
      <w:bookmarkStart w:id="0" w:name="_heading=h.gjdgxs" w:colFirst="0" w:colLast="0"/>
      <w:bookmarkEnd w:id="0"/>
    </w:p>
    <w:tbl>
      <w:tblPr>
        <w:tblStyle w:val="a0"/>
        <w:tblW w:w="9071" w:type="dxa"/>
        <w:tblInd w:w="-108" w:type="dxa"/>
        <w:tblBorders>
          <w:top w:val="single" w:sz="12" w:space="0" w:color="000000"/>
          <w:left w:val="nil"/>
          <w:bottom w:val="single" w:sz="12" w:space="0" w:color="000000"/>
          <w:right w:val="nil"/>
          <w:insideH w:val="nil"/>
          <w:insideV w:val="nil"/>
        </w:tblBorders>
        <w:tblLayout w:type="fixed"/>
        <w:tblLook w:val="0000" w:firstRow="0" w:lastRow="0" w:firstColumn="0" w:lastColumn="0" w:noHBand="0" w:noVBand="0"/>
      </w:tblPr>
      <w:tblGrid>
        <w:gridCol w:w="6236"/>
        <w:gridCol w:w="2835"/>
      </w:tblGrid>
      <w:tr w:rsidR="00BC7E6E">
        <w:tc>
          <w:tcPr>
            <w:tcW w:w="6236" w:type="dxa"/>
            <w:shd w:val="clear" w:color="auto" w:fill="9CC2E5"/>
          </w:tcPr>
          <w:p w:rsidR="00BC7E6E" w:rsidRDefault="007266B7">
            <w:pPr>
              <w:shd w:val="clear" w:color="auto" w:fill="9CC2E5"/>
              <w:spacing w:before="120" w:after="0" w:line="240" w:lineRule="auto"/>
              <w:ind w:left="0" w:hanging="2"/>
              <w:jc w:val="both"/>
              <w:rPr>
                <w:rFonts w:ascii="Arial" w:eastAsia="Arial" w:hAnsi="Arial" w:cs="Arial"/>
                <w:sz w:val="20"/>
                <w:szCs w:val="20"/>
              </w:rPr>
            </w:pPr>
            <w:r>
              <w:rPr>
                <w:rFonts w:ascii="Arial" w:eastAsia="Arial" w:hAnsi="Arial" w:cs="Arial"/>
                <w:b/>
                <w:i/>
                <w:sz w:val="20"/>
                <w:szCs w:val="20"/>
              </w:rPr>
              <w:t xml:space="preserve">Abstract </w:t>
            </w:r>
          </w:p>
          <w:p w:rsidR="00AE1334" w:rsidRDefault="00814063">
            <w:pPr>
              <w:spacing w:after="0" w:line="240" w:lineRule="auto"/>
              <w:ind w:left="0" w:hanging="2"/>
              <w:jc w:val="both"/>
              <w:rPr>
                <w:rFonts w:ascii="Arial" w:eastAsia="Arial" w:hAnsi="Arial" w:cs="Arial"/>
                <w:sz w:val="20"/>
                <w:szCs w:val="20"/>
              </w:rPr>
            </w:pPr>
            <w:r>
              <w:rPr>
                <w:rFonts w:ascii="Arial" w:hAnsi="Arial" w:cs="Arial"/>
                <w:i/>
                <w:sz w:val="20"/>
                <w:szCs w:val="20"/>
              </w:rPr>
              <w:t xml:space="preserve">Forecasting </w:t>
            </w:r>
            <w:r w:rsidR="00C973FB">
              <w:rPr>
                <w:rFonts w:ascii="Arial" w:hAnsi="Arial" w:cs="Arial"/>
                <w:i/>
                <w:sz w:val="20"/>
                <w:szCs w:val="20"/>
              </w:rPr>
              <w:t>at</w:t>
            </w:r>
            <w:r>
              <w:rPr>
                <w:rFonts w:ascii="Arial" w:hAnsi="Arial" w:cs="Arial"/>
                <w:i/>
                <w:sz w:val="20"/>
                <w:szCs w:val="20"/>
              </w:rPr>
              <w:t xml:space="preserve"> </w:t>
            </w:r>
            <w:r w:rsidR="00C973FB">
              <w:rPr>
                <w:rFonts w:ascii="Arial" w:hAnsi="Arial" w:cs="Arial"/>
                <w:i/>
                <w:sz w:val="20"/>
                <w:szCs w:val="20"/>
              </w:rPr>
              <w:t xml:space="preserve">the </w:t>
            </w:r>
            <w:r>
              <w:rPr>
                <w:rFonts w:ascii="Arial" w:hAnsi="Arial" w:cs="Arial"/>
                <w:i/>
                <w:sz w:val="20"/>
                <w:szCs w:val="20"/>
              </w:rPr>
              <w:t>retail level has been gaining atte</w:t>
            </w:r>
            <w:r w:rsidR="00585AF4">
              <w:rPr>
                <w:rFonts w:ascii="Arial" w:hAnsi="Arial" w:cs="Arial"/>
                <w:i/>
                <w:sz w:val="20"/>
                <w:szCs w:val="20"/>
              </w:rPr>
              <w:t xml:space="preserve">ntion because </w:t>
            </w:r>
            <w:r w:rsidR="00C973FB">
              <w:rPr>
                <w:rFonts w:ascii="Arial" w:hAnsi="Arial" w:cs="Arial"/>
                <w:i/>
                <w:sz w:val="20"/>
                <w:szCs w:val="20"/>
              </w:rPr>
              <w:t xml:space="preserve">of </w:t>
            </w:r>
            <w:r w:rsidR="00585AF4">
              <w:rPr>
                <w:rFonts w:ascii="Arial" w:hAnsi="Arial" w:cs="Arial"/>
                <w:i/>
                <w:sz w:val="20"/>
                <w:szCs w:val="20"/>
              </w:rPr>
              <w:t>its</w:t>
            </w:r>
            <w:r>
              <w:rPr>
                <w:rFonts w:ascii="Arial" w:hAnsi="Arial" w:cs="Arial"/>
                <w:i/>
                <w:sz w:val="20"/>
                <w:szCs w:val="20"/>
              </w:rPr>
              <w:t xml:space="preserve"> challenge due to </w:t>
            </w:r>
            <w:r w:rsidR="00B771DA">
              <w:rPr>
                <w:rFonts w:ascii="Arial" w:hAnsi="Arial" w:cs="Arial"/>
                <w:i/>
                <w:sz w:val="20"/>
                <w:szCs w:val="20"/>
              </w:rPr>
              <w:t xml:space="preserve">the high </w:t>
            </w:r>
            <w:r w:rsidR="004048C6">
              <w:rPr>
                <w:rFonts w:ascii="Arial" w:hAnsi="Arial" w:cs="Arial"/>
                <w:i/>
                <w:sz w:val="20"/>
                <w:szCs w:val="20"/>
              </w:rPr>
              <w:t>sales variability</w:t>
            </w:r>
            <w:r>
              <w:rPr>
                <w:rFonts w:ascii="Arial" w:hAnsi="Arial" w:cs="Arial"/>
                <w:i/>
                <w:sz w:val="20"/>
                <w:szCs w:val="20"/>
              </w:rPr>
              <w:t xml:space="preserve"> This study discusses forecasting demand in a retail store, </w:t>
            </w:r>
            <w:r w:rsidR="00B30528">
              <w:rPr>
                <w:rFonts w:ascii="Arial" w:hAnsi="Arial" w:cs="Arial"/>
                <w:i/>
                <w:sz w:val="20"/>
                <w:szCs w:val="20"/>
              </w:rPr>
              <w:t xml:space="preserve">focusing </w:t>
            </w:r>
            <w:r w:rsidR="00C973FB">
              <w:rPr>
                <w:rFonts w:ascii="Arial" w:hAnsi="Arial" w:cs="Arial"/>
                <w:i/>
                <w:sz w:val="20"/>
                <w:szCs w:val="20"/>
              </w:rPr>
              <w:t xml:space="preserve">on </w:t>
            </w:r>
            <w:r w:rsidR="00B30528">
              <w:rPr>
                <w:rFonts w:ascii="Arial" w:hAnsi="Arial" w:cs="Arial"/>
                <w:i/>
                <w:sz w:val="20"/>
                <w:szCs w:val="20"/>
              </w:rPr>
              <w:t>sugar as the research object</w:t>
            </w:r>
            <w:r>
              <w:rPr>
                <w:rFonts w:ascii="Arial" w:hAnsi="Arial" w:cs="Arial"/>
                <w:i/>
                <w:sz w:val="20"/>
                <w:szCs w:val="20"/>
              </w:rPr>
              <w:t xml:space="preserve">. </w:t>
            </w:r>
            <w:r w:rsidR="00936143">
              <w:rPr>
                <w:rFonts w:ascii="Arial" w:hAnsi="Arial" w:cs="Arial"/>
                <w:i/>
                <w:sz w:val="20"/>
                <w:szCs w:val="20"/>
              </w:rPr>
              <w:t>Every count</w:t>
            </w:r>
            <w:r w:rsidR="00C973FB">
              <w:rPr>
                <w:rFonts w:ascii="Arial" w:hAnsi="Arial" w:cs="Arial"/>
                <w:i/>
                <w:sz w:val="20"/>
                <w:szCs w:val="20"/>
              </w:rPr>
              <w:t>r</w:t>
            </w:r>
            <w:r w:rsidR="001D2E8C">
              <w:rPr>
                <w:rFonts w:ascii="Arial" w:hAnsi="Arial" w:cs="Arial"/>
                <w:i/>
                <w:sz w:val="20"/>
                <w:szCs w:val="20"/>
              </w:rPr>
              <w:t xml:space="preserve">y consumes sugar and it </w:t>
            </w:r>
            <w:r w:rsidR="00306FF3" w:rsidRPr="00306FF3">
              <w:rPr>
                <w:rFonts w:ascii="Arial" w:hAnsi="Arial" w:cs="Arial"/>
                <w:i/>
                <w:sz w:val="20"/>
                <w:szCs w:val="20"/>
              </w:rPr>
              <w:t>is one of the staple foods in</w:t>
            </w:r>
            <w:r w:rsidR="00936143">
              <w:rPr>
                <w:rFonts w:ascii="Arial" w:hAnsi="Arial" w:cs="Arial"/>
                <w:i/>
                <w:sz w:val="20"/>
                <w:szCs w:val="20"/>
              </w:rPr>
              <w:t xml:space="preserve"> Indonesia</w:t>
            </w:r>
            <w:r w:rsidR="00306FF3" w:rsidRPr="00306FF3">
              <w:rPr>
                <w:rFonts w:ascii="Arial" w:hAnsi="Arial" w:cs="Arial"/>
                <w:i/>
                <w:sz w:val="20"/>
                <w:szCs w:val="20"/>
              </w:rPr>
              <w:t xml:space="preserve">. </w:t>
            </w:r>
            <w:r w:rsidR="00585AF4">
              <w:rPr>
                <w:rFonts w:ascii="Arial" w:hAnsi="Arial" w:cs="Arial"/>
                <w:i/>
                <w:sz w:val="20"/>
                <w:szCs w:val="20"/>
              </w:rPr>
              <w:t xml:space="preserve">Despite its importance, </w:t>
            </w:r>
            <w:r w:rsidR="00B3125B">
              <w:rPr>
                <w:rFonts w:ascii="Arial" w:hAnsi="Arial" w:cs="Arial"/>
                <w:i/>
                <w:sz w:val="20"/>
                <w:szCs w:val="20"/>
              </w:rPr>
              <w:t>not m</w:t>
            </w:r>
            <w:r w:rsidR="00C973FB">
              <w:rPr>
                <w:rFonts w:ascii="Arial" w:hAnsi="Arial" w:cs="Arial"/>
                <w:i/>
                <w:sz w:val="20"/>
                <w:szCs w:val="20"/>
              </w:rPr>
              <w:t>uch</w:t>
            </w:r>
            <w:r w:rsidR="00B3125B">
              <w:rPr>
                <w:rFonts w:ascii="Arial" w:hAnsi="Arial" w:cs="Arial"/>
                <w:i/>
                <w:sz w:val="20"/>
                <w:szCs w:val="20"/>
              </w:rPr>
              <w:t xml:space="preserve"> research</w:t>
            </w:r>
            <w:r w:rsidR="00585AF4">
              <w:rPr>
                <w:rFonts w:ascii="Arial" w:hAnsi="Arial" w:cs="Arial"/>
                <w:i/>
                <w:sz w:val="20"/>
                <w:szCs w:val="20"/>
              </w:rPr>
              <w:t xml:space="preserve"> </w:t>
            </w:r>
            <w:r w:rsidR="00277C80">
              <w:rPr>
                <w:rFonts w:ascii="Arial" w:hAnsi="Arial" w:cs="Arial"/>
                <w:i/>
                <w:sz w:val="20"/>
                <w:szCs w:val="20"/>
              </w:rPr>
              <w:t>ha</w:t>
            </w:r>
            <w:r w:rsidR="00C973FB">
              <w:rPr>
                <w:rFonts w:ascii="Arial" w:hAnsi="Arial" w:cs="Arial"/>
                <w:i/>
                <w:sz w:val="20"/>
                <w:szCs w:val="20"/>
              </w:rPr>
              <w:t>s</w:t>
            </w:r>
            <w:r w:rsidR="00277C80">
              <w:rPr>
                <w:rFonts w:ascii="Arial" w:hAnsi="Arial" w:cs="Arial"/>
                <w:i/>
                <w:sz w:val="20"/>
                <w:szCs w:val="20"/>
              </w:rPr>
              <w:t xml:space="preserve"> </w:t>
            </w:r>
            <w:r w:rsidR="00C973FB">
              <w:rPr>
                <w:rFonts w:ascii="Arial" w:hAnsi="Arial" w:cs="Arial"/>
                <w:i/>
                <w:sz w:val="20"/>
                <w:szCs w:val="20"/>
              </w:rPr>
              <w:t>been done</w:t>
            </w:r>
            <w:r w:rsidR="00B3125B">
              <w:rPr>
                <w:rFonts w:ascii="Arial" w:hAnsi="Arial" w:cs="Arial"/>
                <w:i/>
                <w:sz w:val="20"/>
                <w:szCs w:val="20"/>
              </w:rPr>
              <w:t xml:space="preserve"> </w:t>
            </w:r>
            <w:r w:rsidR="00C973FB">
              <w:rPr>
                <w:rFonts w:ascii="Arial" w:hAnsi="Arial" w:cs="Arial"/>
                <w:i/>
                <w:sz w:val="20"/>
                <w:szCs w:val="20"/>
              </w:rPr>
              <w:t>on</w:t>
            </w:r>
            <w:r w:rsidR="00936143">
              <w:rPr>
                <w:rFonts w:ascii="Arial" w:hAnsi="Arial" w:cs="Arial"/>
                <w:i/>
                <w:sz w:val="20"/>
                <w:szCs w:val="20"/>
              </w:rPr>
              <w:t xml:space="preserve"> sugar </w:t>
            </w:r>
            <w:r w:rsidR="00C973FB">
              <w:rPr>
                <w:rFonts w:ascii="Arial" w:hAnsi="Arial" w:cs="Arial"/>
                <w:i/>
                <w:sz w:val="20"/>
                <w:szCs w:val="20"/>
              </w:rPr>
              <w:t>at</w:t>
            </w:r>
            <w:r w:rsidR="00936143">
              <w:rPr>
                <w:rFonts w:ascii="Arial" w:hAnsi="Arial" w:cs="Arial"/>
                <w:i/>
                <w:sz w:val="20"/>
                <w:szCs w:val="20"/>
              </w:rPr>
              <w:t xml:space="preserve"> </w:t>
            </w:r>
            <w:r w:rsidR="00C973FB">
              <w:rPr>
                <w:rFonts w:ascii="Arial" w:hAnsi="Arial" w:cs="Arial"/>
                <w:i/>
                <w:sz w:val="20"/>
                <w:szCs w:val="20"/>
              </w:rPr>
              <w:t xml:space="preserve">the </w:t>
            </w:r>
            <w:r w:rsidR="00936143">
              <w:rPr>
                <w:rFonts w:ascii="Arial" w:hAnsi="Arial" w:cs="Arial"/>
                <w:i/>
                <w:sz w:val="20"/>
                <w:szCs w:val="20"/>
              </w:rPr>
              <w:t>retail level</w:t>
            </w:r>
            <w:r w:rsidR="00AE1334">
              <w:rPr>
                <w:rFonts w:ascii="Arial" w:hAnsi="Arial" w:cs="Arial"/>
                <w:i/>
                <w:sz w:val="20"/>
                <w:szCs w:val="20"/>
              </w:rPr>
              <w:t>,</w:t>
            </w:r>
            <w:r w:rsidR="00936143">
              <w:rPr>
                <w:rFonts w:ascii="Arial" w:hAnsi="Arial" w:cs="Arial"/>
                <w:i/>
                <w:sz w:val="20"/>
                <w:szCs w:val="20"/>
              </w:rPr>
              <w:t xml:space="preserve"> </w:t>
            </w:r>
            <w:r w:rsidR="00AE1334">
              <w:rPr>
                <w:rFonts w:ascii="Arial" w:hAnsi="Arial" w:cs="Arial"/>
                <w:i/>
                <w:sz w:val="20"/>
                <w:szCs w:val="20"/>
              </w:rPr>
              <w:t>especially</w:t>
            </w:r>
            <w:r w:rsidR="00936143">
              <w:rPr>
                <w:rFonts w:ascii="Arial" w:hAnsi="Arial" w:cs="Arial"/>
                <w:i/>
                <w:sz w:val="20"/>
                <w:szCs w:val="20"/>
              </w:rPr>
              <w:t xml:space="preserve"> in Indonesia.</w:t>
            </w:r>
            <w:r w:rsidR="00DD1FAF">
              <w:rPr>
                <w:rFonts w:ascii="Arial" w:hAnsi="Arial" w:cs="Arial"/>
                <w:i/>
                <w:sz w:val="20"/>
                <w:szCs w:val="20"/>
              </w:rPr>
              <w:t xml:space="preserve"> This study </w:t>
            </w:r>
            <w:r w:rsidR="00B35F0C">
              <w:rPr>
                <w:rFonts w:ascii="Arial" w:hAnsi="Arial" w:cs="Arial"/>
                <w:i/>
                <w:sz w:val="20"/>
                <w:szCs w:val="20"/>
              </w:rPr>
              <w:t xml:space="preserve">aims to </w:t>
            </w:r>
            <w:r w:rsidR="000D58AB">
              <w:rPr>
                <w:rFonts w:ascii="Arial" w:hAnsi="Arial" w:cs="Arial"/>
                <w:i/>
                <w:sz w:val="20"/>
                <w:szCs w:val="20"/>
              </w:rPr>
              <w:t>find the most suitable forecast model t</w:t>
            </w:r>
            <w:r w:rsidR="001D2E8C">
              <w:rPr>
                <w:rFonts w:ascii="Arial" w:hAnsi="Arial" w:cs="Arial"/>
                <w:i/>
                <w:sz w:val="20"/>
                <w:szCs w:val="20"/>
              </w:rPr>
              <w:t>hat can capture data patterns well to</w:t>
            </w:r>
            <w:r w:rsidR="000D58AB">
              <w:rPr>
                <w:rFonts w:ascii="Arial" w:hAnsi="Arial" w:cs="Arial"/>
                <w:i/>
                <w:sz w:val="20"/>
                <w:szCs w:val="20"/>
              </w:rPr>
              <w:t xml:space="preserve"> </w:t>
            </w:r>
            <w:r w:rsidR="001D2E8C">
              <w:rPr>
                <w:rFonts w:ascii="Arial" w:hAnsi="Arial" w:cs="Arial"/>
                <w:i/>
                <w:sz w:val="20"/>
                <w:szCs w:val="20"/>
              </w:rPr>
              <w:t xml:space="preserve">give a good prediction of </w:t>
            </w:r>
            <w:r w:rsidR="000D58AB">
              <w:rPr>
                <w:rFonts w:ascii="Arial" w:hAnsi="Arial" w:cs="Arial"/>
                <w:i/>
                <w:sz w:val="20"/>
                <w:szCs w:val="20"/>
              </w:rPr>
              <w:t>sugar sales in a retail</w:t>
            </w:r>
            <w:r w:rsidR="00C0411B">
              <w:rPr>
                <w:rFonts w:ascii="Arial" w:hAnsi="Arial" w:cs="Arial"/>
                <w:i/>
                <w:sz w:val="20"/>
                <w:szCs w:val="20"/>
              </w:rPr>
              <w:t xml:space="preserve"> store </w:t>
            </w:r>
            <w:r w:rsidR="000D58AB">
              <w:rPr>
                <w:rFonts w:ascii="Arial" w:hAnsi="Arial" w:cs="Arial"/>
                <w:i/>
                <w:sz w:val="20"/>
                <w:szCs w:val="20"/>
              </w:rPr>
              <w:t>in Indonesia by comparing ARIMA</w:t>
            </w:r>
            <w:r w:rsidR="00B30528">
              <w:rPr>
                <w:rFonts w:ascii="Arial" w:hAnsi="Arial" w:cs="Arial"/>
                <w:i/>
                <w:sz w:val="20"/>
                <w:szCs w:val="20"/>
              </w:rPr>
              <w:t xml:space="preserve"> and decomposition </w:t>
            </w:r>
            <w:r w:rsidR="000D58AB">
              <w:rPr>
                <w:rFonts w:ascii="Arial" w:hAnsi="Arial" w:cs="Arial"/>
                <w:i/>
                <w:sz w:val="20"/>
                <w:szCs w:val="20"/>
              </w:rPr>
              <w:t>models</w:t>
            </w:r>
            <w:r w:rsidR="00FF2B4C">
              <w:rPr>
                <w:rFonts w:ascii="Arial" w:hAnsi="Arial" w:cs="Arial"/>
                <w:i/>
                <w:sz w:val="20"/>
                <w:szCs w:val="20"/>
              </w:rPr>
              <w:t>.</w:t>
            </w:r>
            <w:r w:rsidR="00C0411B">
              <w:rPr>
                <w:rFonts w:ascii="Arial" w:hAnsi="Arial" w:cs="Arial"/>
                <w:i/>
                <w:sz w:val="20"/>
                <w:szCs w:val="20"/>
              </w:rPr>
              <w:t xml:space="preserve"> </w:t>
            </w:r>
            <w:r w:rsidR="001759FC">
              <w:rPr>
                <w:rFonts w:ascii="Arial" w:hAnsi="Arial" w:cs="Arial"/>
                <w:i/>
                <w:sz w:val="20"/>
                <w:szCs w:val="20"/>
              </w:rPr>
              <w:t>This study uses s</w:t>
            </w:r>
            <w:r w:rsidR="00C0411B">
              <w:rPr>
                <w:rFonts w:ascii="Arial" w:hAnsi="Arial" w:cs="Arial"/>
                <w:i/>
                <w:sz w:val="20"/>
                <w:szCs w:val="20"/>
              </w:rPr>
              <w:t>tationary test and</w:t>
            </w:r>
            <w:r w:rsidR="00AC03D4">
              <w:rPr>
                <w:rFonts w:ascii="Arial" w:hAnsi="Arial" w:cs="Arial"/>
                <w:i/>
                <w:sz w:val="20"/>
                <w:szCs w:val="20"/>
              </w:rPr>
              <w:t xml:space="preserve"> </w:t>
            </w:r>
            <w:r w:rsidR="0080425B">
              <w:rPr>
                <w:rFonts w:ascii="Arial" w:hAnsi="Arial" w:cs="Arial"/>
                <w:i/>
                <w:sz w:val="20"/>
                <w:szCs w:val="20"/>
              </w:rPr>
              <w:t xml:space="preserve">ACF </w:t>
            </w:r>
            <w:r w:rsidR="00AC03D4">
              <w:rPr>
                <w:rFonts w:ascii="Arial" w:hAnsi="Arial" w:cs="Arial"/>
                <w:i/>
                <w:sz w:val="20"/>
                <w:szCs w:val="20"/>
              </w:rPr>
              <w:t>p</w:t>
            </w:r>
            <w:r w:rsidR="00C0411B">
              <w:rPr>
                <w:rFonts w:ascii="Arial" w:hAnsi="Arial" w:cs="Arial"/>
                <w:i/>
                <w:sz w:val="20"/>
                <w:szCs w:val="20"/>
              </w:rPr>
              <w:t>attern analys</w:t>
            </w:r>
            <w:r w:rsidR="001759FC">
              <w:rPr>
                <w:rFonts w:ascii="Arial" w:hAnsi="Arial" w:cs="Arial"/>
                <w:i/>
                <w:sz w:val="20"/>
                <w:szCs w:val="20"/>
              </w:rPr>
              <w:t>e</w:t>
            </w:r>
            <w:r w:rsidR="00C0411B">
              <w:rPr>
                <w:rFonts w:ascii="Arial" w:hAnsi="Arial" w:cs="Arial"/>
                <w:i/>
                <w:sz w:val="20"/>
                <w:szCs w:val="20"/>
              </w:rPr>
              <w:t>s</w:t>
            </w:r>
            <w:r w:rsidR="00D91DC3">
              <w:rPr>
                <w:rFonts w:ascii="Arial" w:hAnsi="Arial" w:cs="Arial"/>
                <w:i/>
                <w:sz w:val="20"/>
                <w:szCs w:val="20"/>
              </w:rPr>
              <w:t xml:space="preserve"> </w:t>
            </w:r>
            <w:r w:rsidR="00C0411B">
              <w:rPr>
                <w:rFonts w:ascii="Arial" w:hAnsi="Arial" w:cs="Arial"/>
                <w:i/>
                <w:sz w:val="20"/>
                <w:szCs w:val="20"/>
              </w:rPr>
              <w:t>to prepare the data</w:t>
            </w:r>
            <w:r w:rsidR="00C973FB">
              <w:rPr>
                <w:rFonts w:ascii="Arial" w:hAnsi="Arial" w:cs="Arial"/>
                <w:i/>
                <w:sz w:val="20"/>
                <w:szCs w:val="20"/>
              </w:rPr>
              <w:t>,</w:t>
            </w:r>
            <w:r w:rsidR="00B3125B">
              <w:rPr>
                <w:rFonts w:ascii="Arial" w:hAnsi="Arial" w:cs="Arial"/>
                <w:i/>
                <w:sz w:val="20"/>
                <w:szCs w:val="20"/>
              </w:rPr>
              <w:t xml:space="preserve"> </w:t>
            </w:r>
            <w:r w:rsidR="00C973FB">
              <w:rPr>
                <w:rFonts w:ascii="Arial" w:hAnsi="Arial" w:cs="Arial"/>
                <w:i/>
                <w:sz w:val="20"/>
                <w:szCs w:val="20"/>
              </w:rPr>
              <w:t xml:space="preserve">a </w:t>
            </w:r>
            <w:r w:rsidR="00C0411B">
              <w:rPr>
                <w:rFonts w:ascii="Arial" w:hAnsi="Arial" w:cs="Arial"/>
                <w:i/>
                <w:sz w:val="20"/>
                <w:szCs w:val="20"/>
              </w:rPr>
              <w:t>r</w:t>
            </w:r>
            <w:r w:rsidR="002F0F77">
              <w:rPr>
                <w:rFonts w:ascii="Arial" w:hAnsi="Arial" w:cs="Arial"/>
                <w:i/>
                <w:sz w:val="20"/>
                <w:szCs w:val="20"/>
              </w:rPr>
              <w:t xml:space="preserve">esidual </w:t>
            </w:r>
            <w:r w:rsidR="00C0411B">
              <w:rPr>
                <w:rFonts w:ascii="Arial" w:hAnsi="Arial" w:cs="Arial"/>
                <w:i/>
                <w:sz w:val="20"/>
                <w:szCs w:val="20"/>
              </w:rPr>
              <w:t xml:space="preserve">test to avoid </w:t>
            </w:r>
            <w:r w:rsidR="00B3125B">
              <w:rPr>
                <w:rFonts w:ascii="Arial" w:hAnsi="Arial" w:cs="Arial"/>
                <w:i/>
                <w:sz w:val="20"/>
                <w:szCs w:val="20"/>
              </w:rPr>
              <w:t xml:space="preserve">forecast </w:t>
            </w:r>
            <w:r w:rsidR="001759FC">
              <w:rPr>
                <w:rFonts w:ascii="Arial" w:hAnsi="Arial" w:cs="Arial"/>
                <w:i/>
                <w:sz w:val="20"/>
                <w:szCs w:val="20"/>
              </w:rPr>
              <w:t>bias, c</w:t>
            </w:r>
            <w:r w:rsidR="00C0411B">
              <w:rPr>
                <w:rFonts w:ascii="Arial" w:hAnsi="Arial" w:cs="Arial"/>
                <w:i/>
                <w:sz w:val="20"/>
                <w:szCs w:val="20"/>
              </w:rPr>
              <w:t>ross</w:t>
            </w:r>
            <w:r w:rsidR="00C973FB">
              <w:rPr>
                <w:rFonts w:ascii="Arial" w:hAnsi="Arial" w:cs="Arial"/>
                <w:i/>
                <w:sz w:val="20"/>
                <w:szCs w:val="20"/>
              </w:rPr>
              <w:t>-</w:t>
            </w:r>
            <w:r w:rsidR="00C0411B">
              <w:rPr>
                <w:rFonts w:ascii="Arial" w:hAnsi="Arial" w:cs="Arial"/>
                <w:i/>
                <w:sz w:val="20"/>
                <w:szCs w:val="20"/>
              </w:rPr>
              <w:t>validation to check the forecast model</w:t>
            </w:r>
            <w:r w:rsidR="000C412C">
              <w:rPr>
                <w:rFonts w:ascii="Arial" w:hAnsi="Arial" w:cs="Arial"/>
                <w:i/>
                <w:sz w:val="20"/>
                <w:szCs w:val="20"/>
              </w:rPr>
              <w:t xml:space="preserve"> performance</w:t>
            </w:r>
            <w:r w:rsidR="001759FC">
              <w:rPr>
                <w:rFonts w:ascii="Arial" w:hAnsi="Arial" w:cs="Arial"/>
                <w:i/>
                <w:sz w:val="20"/>
                <w:szCs w:val="20"/>
              </w:rPr>
              <w:t>, and</w:t>
            </w:r>
            <w:r w:rsidR="00C0411B">
              <w:rPr>
                <w:rFonts w:ascii="Arial" w:hAnsi="Arial" w:cs="Arial"/>
                <w:i/>
                <w:sz w:val="20"/>
                <w:szCs w:val="20"/>
              </w:rPr>
              <w:t xml:space="preserve"> MAPE as the performance indicator.</w:t>
            </w:r>
            <w:r w:rsidR="00690F33">
              <w:rPr>
                <w:rFonts w:ascii="Arial" w:hAnsi="Arial" w:cs="Arial"/>
                <w:i/>
                <w:sz w:val="20"/>
                <w:szCs w:val="20"/>
              </w:rPr>
              <w:t xml:space="preserve"> </w:t>
            </w:r>
            <w:proofErr w:type="gramStart"/>
            <w:r w:rsidR="000D58AB" w:rsidRPr="00306FF3">
              <w:rPr>
                <w:rFonts w:ascii="Arial" w:hAnsi="Arial" w:cs="Arial"/>
                <w:i/>
                <w:sz w:val="20"/>
                <w:szCs w:val="20"/>
              </w:rPr>
              <w:t>SARIMA</w:t>
            </w:r>
            <w:r w:rsidR="000D58AB">
              <w:rPr>
                <w:rFonts w:ascii="Arial" w:hAnsi="Arial" w:cs="Arial"/>
                <w:i/>
                <w:sz w:val="20"/>
                <w:szCs w:val="20"/>
              </w:rPr>
              <w:t>(</w:t>
            </w:r>
            <w:proofErr w:type="gramEnd"/>
            <w:r w:rsidR="000D58AB">
              <w:rPr>
                <w:rFonts w:ascii="Arial" w:hAnsi="Arial" w:cs="Arial"/>
                <w:i/>
                <w:sz w:val="20"/>
                <w:szCs w:val="20"/>
              </w:rPr>
              <w:t>0,0,0)(0,1,1)8</w:t>
            </w:r>
            <w:r w:rsidR="000D58AB" w:rsidRPr="00306FF3">
              <w:rPr>
                <w:rFonts w:ascii="Arial" w:hAnsi="Arial" w:cs="Arial"/>
                <w:i/>
                <w:sz w:val="20"/>
                <w:szCs w:val="20"/>
              </w:rPr>
              <w:t xml:space="preserve"> and multiplicative decomposition with </w:t>
            </w:r>
            <w:r w:rsidR="000D58AB">
              <w:rPr>
                <w:rFonts w:ascii="Arial" w:hAnsi="Arial" w:cs="Arial"/>
                <w:i/>
                <w:sz w:val="20"/>
                <w:szCs w:val="20"/>
              </w:rPr>
              <w:t xml:space="preserve"> </w:t>
            </w:r>
            <w:r w:rsidR="000E4029">
              <w:rPr>
                <w:rFonts w:ascii="Arial" w:hAnsi="Arial" w:cs="Arial"/>
                <w:i/>
                <w:sz w:val="20"/>
                <w:szCs w:val="20"/>
              </w:rPr>
              <w:t>3</w:t>
            </w:r>
            <w:r w:rsidR="000D58AB">
              <w:rPr>
                <w:rFonts w:ascii="Arial" w:hAnsi="Arial" w:cs="Arial"/>
                <w:i/>
                <w:sz w:val="20"/>
                <w:szCs w:val="20"/>
              </w:rPr>
              <w:t xml:space="preserve"> period</w:t>
            </w:r>
            <w:r w:rsidR="00C973FB">
              <w:rPr>
                <w:rFonts w:ascii="Arial" w:hAnsi="Arial" w:cs="Arial"/>
                <w:i/>
                <w:sz w:val="20"/>
                <w:szCs w:val="20"/>
              </w:rPr>
              <w:t>s</w:t>
            </w:r>
            <w:r w:rsidR="000D58AB">
              <w:rPr>
                <w:rFonts w:ascii="Arial" w:hAnsi="Arial" w:cs="Arial"/>
                <w:i/>
                <w:sz w:val="20"/>
                <w:szCs w:val="20"/>
              </w:rPr>
              <w:t xml:space="preserve"> of </w:t>
            </w:r>
            <w:r w:rsidR="000E178A">
              <w:rPr>
                <w:rFonts w:ascii="Arial" w:hAnsi="Arial" w:cs="Arial"/>
                <w:i/>
                <w:sz w:val="20"/>
                <w:szCs w:val="20"/>
              </w:rPr>
              <w:t>double-</w:t>
            </w:r>
            <w:r w:rsidR="000D58AB" w:rsidRPr="00306FF3">
              <w:rPr>
                <w:rFonts w:ascii="Arial" w:hAnsi="Arial" w:cs="Arial"/>
                <w:i/>
                <w:sz w:val="20"/>
                <w:szCs w:val="20"/>
              </w:rPr>
              <w:t>moving average models</w:t>
            </w:r>
            <w:r w:rsidR="000D58AB">
              <w:rPr>
                <w:rFonts w:ascii="Arial" w:hAnsi="Arial" w:cs="Arial"/>
                <w:i/>
                <w:sz w:val="20"/>
                <w:szCs w:val="20"/>
              </w:rPr>
              <w:t xml:space="preserve"> </w:t>
            </w:r>
            <w:r w:rsidR="00D91DC3">
              <w:rPr>
                <w:rFonts w:ascii="Arial" w:hAnsi="Arial" w:cs="Arial"/>
                <w:i/>
                <w:sz w:val="20"/>
                <w:szCs w:val="20"/>
              </w:rPr>
              <w:t xml:space="preserve">are the best models among </w:t>
            </w:r>
            <w:r w:rsidR="00B771DA">
              <w:rPr>
                <w:rFonts w:ascii="Arial" w:hAnsi="Arial" w:cs="Arial"/>
                <w:i/>
                <w:sz w:val="20"/>
                <w:szCs w:val="20"/>
              </w:rPr>
              <w:t xml:space="preserve">other </w:t>
            </w:r>
            <w:r w:rsidR="00B3125B">
              <w:rPr>
                <w:rFonts w:ascii="Arial" w:hAnsi="Arial" w:cs="Arial"/>
                <w:i/>
                <w:sz w:val="20"/>
                <w:szCs w:val="20"/>
              </w:rPr>
              <w:t xml:space="preserve">possible </w:t>
            </w:r>
            <w:r w:rsidR="00D91DC3">
              <w:rPr>
                <w:rFonts w:ascii="Arial" w:hAnsi="Arial" w:cs="Arial"/>
                <w:i/>
                <w:sz w:val="20"/>
                <w:szCs w:val="20"/>
              </w:rPr>
              <w:t>SARIMA and decomposition models</w:t>
            </w:r>
            <w:r w:rsidR="005478AE">
              <w:rPr>
                <w:rFonts w:ascii="Arial" w:hAnsi="Arial" w:cs="Arial"/>
                <w:i/>
                <w:sz w:val="20"/>
                <w:szCs w:val="20"/>
              </w:rPr>
              <w:t>.</w:t>
            </w:r>
            <w:r w:rsidR="00D91DC3">
              <w:rPr>
                <w:rFonts w:ascii="Arial" w:hAnsi="Arial" w:cs="Arial"/>
                <w:i/>
                <w:sz w:val="20"/>
                <w:szCs w:val="20"/>
              </w:rPr>
              <w:t xml:space="preserve"> </w:t>
            </w:r>
            <w:r w:rsidR="00F83815">
              <w:rPr>
                <w:rFonts w:ascii="Arial" w:hAnsi="Arial" w:cs="Arial"/>
                <w:i/>
                <w:sz w:val="20"/>
                <w:szCs w:val="20"/>
              </w:rPr>
              <w:t>B</w:t>
            </w:r>
            <w:r w:rsidR="00B771DA">
              <w:rPr>
                <w:rFonts w:ascii="Arial" w:hAnsi="Arial" w:cs="Arial"/>
                <w:i/>
                <w:sz w:val="20"/>
                <w:szCs w:val="20"/>
              </w:rPr>
              <w:t>ot</w:t>
            </w:r>
            <w:r w:rsidR="00B771DA" w:rsidRPr="00306FF3">
              <w:rPr>
                <w:rFonts w:ascii="Arial" w:hAnsi="Arial" w:cs="Arial"/>
                <w:i/>
                <w:sz w:val="20"/>
                <w:szCs w:val="20"/>
              </w:rPr>
              <w:t xml:space="preserve">h models have </w:t>
            </w:r>
            <w:r w:rsidR="00C441BD">
              <w:rPr>
                <w:rFonts w:ascii="Arial" w:hAnsi="Arial" w:cs="Arial"/>
                <w:i/>
                <w:sz w:val="20"/>
                <w:szCs w:val="20"/>
              </w:rPr>
              <w:t>s</w:t>
            </w:r>
            <w:r w:rsidR="00011F35">
              <w:rPr>
                <w:rFonts w:ascii="Arial" w:hAnsi="Arial" w:cs="Arial"/>
                <w:i/>
                <w:sz w:val="20"/>
                <w:szCs w:val="20"/>
              </w:rPr>
              <w:t>imilar pattern</w:t>
            </w:r>
            <w:r w:rsidR="00C441BD">
              <w:rPr>
                <w:rFonts w:ascii="Arial" w:hAnsi="Arial" w:cs="Arial"/>
                <w:i/>
                <w:sz w:val="20"/>
                <w:szCs w:val="20"/>
              </w:rPr>
              <w:t>s</w:t>
            </w:r>
            <w:r w:rsidR="00011F35">
              <w:rPr>
                <w:rFonts w:ascii="Arial" w:hAnsi="Arial" w:cs="Arial"/>
                <w:i/>
                <w:sz w:val="20"/>
                <w:szCs w:val="20"/>
              </w:rPr>
              <w:t xml:space="preserve"> but</w:t>
            </w:r>
            <w:r w:rsidR="00C441BD">
              <w:rPr>
                <w:rFonts w:ascii="Arial" w:hAnsi="Arial" w:cs="Arial"/>
                <w:i/>
                <w:sz w:val="20"/>
                <w:szCs w:val="20"/>
              </w:rPr>
              <w:t xml:space="preserve"> di</w:t>
            </w:r>
            <w:r w:rsidR="00B771DA" w:rsidRPr="00306FF3">
              <w:rPr>
                <w:rFonts w:ascii="Arial" w:hAnsi="Arial" w:cs="Arial"/>
                <w:i/>
                <w:sz w:val="20"/>
                <w:szCs w:val="20"/>
              </w:rPr>
              <w:t>fferent slope</w:t>
            </w:r>
            <w:r w:rsidR="00C441BD">
              <w:rPr>
                <w:rFonts w:ascii="Arial" w:hAnsi="Arial" w:cs="Arial"/>
                <w:i/>
                <w:sz w:val="20"/>
                <w:szCs w:val="20"/>
              </w:rPr>
              <w:t>s</w:t>
            </w:r>
            <w:r w:rsidR="00B771DA" w:rsidRPr="00306FF3">
              <w:rPr>
                <w:rFonts w:ascii="Arial" w:hAnsi="Arial" w:cs="Arial"/>
                <w:i/>
                <w:sz w:val="20"/>
                <w:szCs w:val="20"/>
              </w:rPr>
              <w:t xml:space="preserve"> </w:t>
            </w:r>
            <w:r w:rsidR="009C5B47">
              <w:rPr>
                <w:rFonts w:ascii="Arial" w:hAnsi="Arial" w:cs="Arial"/>
                <w:i/>
                <w:sz w:val="20"/>
                <w:szCs w:val="20"/>
              </w:rPr>
              <w:t>because the d</w:t>
            </w:r>
            <w:r w:rsidR="00622F19">
              <w:rPr>
                <w:rFonts w:ascii="Arial" w:hAnsi="Arial" w:cs="Arial"/>
                <w:i/>
                <w:sz w:val="20"/>
                <w:szCs w:val="20"/>
              </w:rPr>
              <w:t>ecomposi</w:t>
            </w:r>
            <w:r w:rsidR="00936143">
              <w:rPr>
                <w:rFonts w:ascii="Arial" w:hAnsi="Arial" w:cs="Arial"/>
                <w:i/>
                <w:sz w:val="20"/>
                <w:szCs w:val="20"/>
              </w:rPr>
              <w:t>tion model is more sen</w:t>
            </w:r>
            <w:r w:rsidR="00622F19">
              <w:rPr>
                <w:rFonts w:ascii="Arial" w:hAnsi="Arial" w:cs="Arial"/>
                <w:i/>
                <w:sz w:val="20"/>
                <w:szCs w:val="20"/>
              </w:rPr>
              <w:t xml:space="preserve">sitive </w:t>
            </w:r>
            <w:r w:rsidR="00C973FB">
              <w:rPr>
                <w:rFonts w:ascii="Arial" w:hAnsi="Arial" w:cs="Arial"/>
                <w:i/>
                <w:sz w:val="20"/>
                <w:szCs w:val="20"/>
              </w:rPr>
              <w:t>to</w:t>
            </w:r>
            <w:r w:rsidR="00622F19">
              <w:rPr>
                <w:rFonts w:ascii="Arial" w:hAnsi="Arial" w:cs="Arial"/>
                <w:i/>
                <w:sz w:val="20"/>
                <w:szCs w:val="20"/>
              </w:rPr>
              <w:t xml:space="preserve"> data pattern</w:t>
            </w:r>
            <w:r w:rsidR="00C973FB">
              <w:rPr>
                <w:rFonts w:ascii="Arial" w:hAnsi="Arial" w:cs="Arial"/>
                <w:i/>
                <w:sz w:val="20"/>
                <w:szCs w:val="20"/>
              </w:rPr>
              <w:t>s</w:t>
            </w:r>
            <w:r w:rsidR="00622F19">
              <w:rPr>
                <w:rFonts w:ascii="Arial" w:hAnsi="Arial" w:cs="Arial"/>
                <w:i/>
                <w:sz w:val="20"/>
                <w:szCs w:val="20"/>
              </w:rPr>
              <w:t>, r</w:t>
            </w:r>
            <w:r w:rsidR="00B771DA">
              <w:rPr>
                <w:rFonts w:ascii="Arial" w:hAnsi="Arial" w:cs="Arial"/>
                <w:i/>
                <w:sz w:val="20"/>
                <w:szCs w:val="20"/>
              </w:rPr>
              <w:t xml:space="preserve">esulting </w:t>
            </w:r>
            <w:r w:rsidR="00C973FB">
              <w:rPr>
                <w:rFonts w:ascii="Arial" w:hAnsi="Arial" w:cs="Arial"/>
                <w:i/>
                <w:sz w:val="20"/>
                <w:szCs w:val="20"/>
              </w:rPr>
              <w:t xml:space="preserve">in </w:t>
            </w:r>
            <w:r w:rsidR="00011F35">
              <w:rPr>
                <w:rFonts w:ascii="Arial" w:hAnsi="Arial" w:cs="Arial"/>
                <w:i/>
                <w:sz w:val="20"/>
                <w:szCs w:val="20"/>
              </w:rPr>
              <w:t xml:space="preserve">different </w:t>
            </w:r>
            <w:r w:rsidR="00B771DA">
              <w:rPr>
                <w:rFonts w:ascii="Arial" w:hAnsi="Arial" w:cs="Arial"/>
                <w:i/>
                <w:sz w:val="20"/>
                <w:szCs w:val="20"/>
              </w:rPr>
              <w:t>MAPE</w:t>
            </w:r>
            <w:r w:rsidR="005478AE">
              <w:rPr>
                <w:rFonts w:ascii="Arial" w:hAnsi="Arial" w:cs="Arial"/>
                <w:i/>
                <w:sz w:val="20"/>
                <w:szCs w:val="20"/>
              </w:rPr>
              <w:t>s, which are 1</w:t>
            </w:r>
            <w:r w:rsidR="00B771DA" w:rsidRPr="00306FF3">
              <w:rPr>
                <w:rFonts w:ascii="Arial" w:hAnsi="Arial" w:cs="Arial"/>
                <w:i/>
                <w:sz w:val="20"/>
                <w:szCs w:val="20"/>
              </w:rPr>
              <w:t>5.22% and 13.64%</w:t>
            </w:r>
            <w:r w:rsidR="00B771DA">
              <w:rPr>
                <w:rFonts w:ascii="Arial" w:hAnsi="Arial" w:cs="Arial"/>
                <w:i/>
                <w:sz w:val="20"/>
                <w:szCs w:val="20"/>
              </w:rPr>
              <w:t xml:space="preserve">. </w:t>
            </w:r>
            <w:r w:rsidR="00584211">
              <w:rPr>
                <w:rFonts w:ascii="Arial" w:hAnsi="Arial" w:cs="Arial"/>
                <w:i/>
                <w:sz w:val="20"/>
                <w:szCs w:val="20"/>
              </w:rPr>
              <w:t xml:space="preserve"> Despite the popularity of ARIMA or SARIMA, decomposition can be an interesting alternative to be used since it can capture the data pattern better.</w:t>
            </w:r>
            <w:r w:rsidR="00584211">
              <w:rPr>
                <w:rFonts w:ascii="Arial" w:eastAsia="Arial" w:hAnsi="Arial" w:cs="Arial"/>
                <w:sz w:val="20"/>
                <w:szCs w:val="20"/>
              </w:rPr>
              <w:t xml:space="preserve"> </w:t>
            </w:r>
          </w:p>
          <w:p w:rsidR="00182450" w:rsidRDefault="00182450" w:rsidP="00182450">
            <w:pPr>
              <w:spacing w:after="0" w:line="240" w:lineRule="auto"/>
              <w:ind w:leftChars="0" w:left="0" w:firstLineChars="0" w:firstLine="0"/>
              <w:jc w:val="both"/>
              <w:rPr>
                <w:rFonts w:ascii="Arial" w:eastAsia="Arial" w:hAnsi="Arial" w:cs="Arial"/>
                <w:sz w:val="20"/>
                <w:szCs w:val="20"/>
              </w:rPr>
            </w:pPr>
          </w:p>
          <w:p w:rsidR="00BC7E6E" w:rsidRDefault="007266B7">
            <w:pPr>
              <w:spacing w:after="0" w:line="240" w:lineRule="auto"/>
              <w:ind w:left="0" w:hanging="2"/>
              <w:jc w:val="right"/>
              <w:rPr>
                <w:rFonts w:ascii="Arial" w:eastAsia="Arial" w:hAnsi="Arial" w:cs="Arial"/>
                <w:sz w:val="20"/>
                <w:szCs w:val="20"/>
              </w:rPr>
            </w:pPr>
            <w:r>
              <w:rPr>
                <w:rFonts w:ascii="Arial" w:eastAsia="Arial" w:hAnsi="Arial" w:cs="Arial"/>
                <w:i/>
                <w:sz w:val="20"/>
                <w:szCs w:val="20"/>
              </w:rPr>
              <w:t>This is an open</w:t>
            </w:r>
            <w:r w:rsidR="00BD1DF1">
              <w:rPr>
                <w:rFonts w:ascii="Arial" w:eastAsia="Arial" w:hAnsi="Arial" w:cs="Arial"/>
                <w:i/>
                <w:sz w:val="20"/>
                <w:szCs w:val="20"/>
              </w:rPr>
              <w:t>-</w:t>
            </w:r>
            <w:r>
              <w:rPr>
                <w:rFonts w:ascii="Arial" w:eastAsia="Arial" w:hAnsi="Arial" w:cs="Arial"/>
                <w:i/>
                <w:sz w:val="20"/>
                <w:szCs w:val="20"/>
              </w:rPr>
              <w:t xml:space="preserve">access article under the </w:t>
            </w:r>
            <w:hyperlink r:id="rId10">
              <w:r>
                <w:rPr>
                  <w:rFonts w:ascii="Arial" w:eastAsia="Arial" w:hAnsi="Arial" w:cs="Arial"/>
                  <w:i/>
                  <w:color w:val="0000FF"/>
                  <w:sz w:val="20"/>
                  <w:szCs w:val="20"/>
                  <w:u w:val="single"/>
                </w:rPr>
                <w:t>CC BY-SA</w:t>
              </w:r>
            </w:hyperlink>
            <w:r>
              <w:rPr>
                <w:rFonts w:ascii="Arial" w:eastAsia="Arial" w:hAnsi="Arial" w:cs="Arial"/>
                <w:i/>
                <w:sz w:val="20"/>
                <w:szCs w:val="20"/>
              </w:rPr>
              <w:t xml:space="preserve"> license</w:t>
            </w:r>
          </w:p>
          <w:p w:rsidR="00BC7E6E" w:rsidRDefault="007266B7">
            <w:pPr>
              <w:spacing w:before="60" w:after="60" w:line="240" w:lineRule="auto"/>
              <w:ind w:left="0" w:hanging="2"/>
              <w:jc w:val="right"/>
              <w:rPr>
                <w:rFonts w:ascii="Arial" w:eastAsia="Arial" w:hAnsi="Arial" w:cs="Arial"/>
                <w:sz w:val="20"/>
                <w:szCs w:val="20"/>
              </w:rPr>
            </w:pPr>
            <w:r>
              <w:rPr>
                <w:rFonts w:ascii="Arial" w:eastAsia="Arial" w:hAnsi="Arial" w:cs="Arial"/>
                <w:i/>
                <w:noProof/>
                <w:sz w:val="20"/>
                <w:szCs w:val="20"/>
                <w:lang w:val="en-ID" w:eastAsia="en-ID"/>
              </w:rPr>
              <w:drawing>
                <wp:inline distT="0" distB="0" distL="114300" distR="114300">
                  <wp:extent cx="915670" cy="321310"/>
                  <wp:effectExtent l="0" t="0" r="0" b="0"/>
                  <wp:docPr id="103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1"/>
                          <a:srcRect/>
                          <a:stretch>
                            <a:fillRect/>
                          </a:stretch>
                        </pic:blipFill>
                        <pic:spPr>
                          <a:xfrm>
                            <a:off x="0" y="0"/>
                            <a:ext cx="915670" cy="321310"/>
                          </a:xfrm>
                          <a:prstGeom prst="rect">
                            <a:avLst/>
                          </a:prstGeom>
                          <a:ln/>
                        </pic:spPr>
                      </pic:pic>
                    </a:graphicData>
                  </a:graphic>
                </wp:inline>
              </w:drawing>
            </w:r>
          </w:p>
        </w:tc>
        <w:tc>
          <w:tcPr>
            <w:tcW w:w="2835" w:type="dxa"/>
            <w:shd w:val="clear" w:color="auto" w:fill="FFFFFF"/>
          </w:tcPr>
          <w:p w:rsidR="00BC7E6E" w:rsidRDefault="007266B7">
            <w:pPr>
              <w:widowControl w:val="0"/>
              <w:spacing w:before="120" w:after="0" w:line="240" w:lineRule="auto"/>
              <w:ind w:left="0" w:hanging="2"/>
              <w:rPr>
                <w:rFonts w:ascii="Arial" w:eastAsia="Arial" w:hAnsi="Arial" w:cs="Arial"/>
                <w:sz w:val="18"/>
                <w:szCs w:val="18"/>
              </w:rPr>
            </w:pPr>
            <w:r>
              <w:rPr>
                <w:rFonts w:ascii="Arial" w:eastAsia="Arial" w:hAnsi="Arial" w:cs="Arial"/>
                <w:b/>
                <w:i/>
                <w:sz w:val="18"/>
                <w:szCs w:val="18"/>
              </w:rPr>
              <w:t xml:space="preserve">Keywords: </w:t>
            </w:r>
          </w:p>
          <w:p w:rsidR="00BC7E6E" w:rsidRDefault="0084211C">
            <w:pPr>
              <w:widowControl w:val="0"/>
              <w:spacing w:after="0" w:line="240" w:lineRule="auto"/>
              <w:ind w:left="0" w:hanging="2"/>
              <w:rPr>
                <w:rFonts w:ascii="Arial" w:eastAsia="Arial" w:hAnsi="Arial" w:cs="Arial"/>
                <w:sz w:val="18"/>
                <w:szCs w:val="18"/>
              </w:rPr>
            </w:pPr>
            <w:r>
              <w:rPr>
                <w:rFonts w:ascii="Arial" w:eastAsia="Arial" w:hAnsi="Arial" w:cs="Arial"/>
                <w:i/>
                <w:sz w:val="18"/>
                <w:szCs w:val="18"/>
              </w:rPr>
              <w:t>Forecast</w:t>
            </w:r>
            <w:r w:rsidR="007266B7">
              <w:rPr>
                <w:rFonts w:ascii="Arial" w:eastAsia="Arial" w:hAnsi="Arial" w:cs="Arial"/>
                <w:i/>
                <w:sz w:val="18"/>
                <w:szCs w:val="18"/>
              </w:rPr>
              <w:t xml:space="preserve">; </w:t>
            </w:r>
          </w:p>
          <w:p w:rsidR="00BC7E6E" w:rsidRDefault="0084211C" w:rsidP="00AE504B">
            <w:pPr>
              <w:widowControl w:val="0"/>
              <w:spacing w:after="0" w:line="240" w:lineRule="auto"/>
              <w:ind w:leftChars="0" w:left="0" w:firstLineChars="0" w:firstLine="0"/>
              <w:rPr>
                <w:rFonts w:ascii="Arial" w:eastAsia="Arial" w:hAnsi="Arial" w:cs="Arial"/>
                <w:sz w:val="18"/>
                <w:szCs w:val="18"/>
              </w:rPr>
            </w:pPr>
            <w:r>
              <w:rPr>
                <w:rFonts w:ascii="Arial" w:eastAsia="Arial" w:hAnsi="Arial" w:cs="Arial"/>
                <w:i/>
                <w:sz w:val="18"/>
                <w:szCs w:val="18"/>
              </w:rPr>
              <w:t>SARIMA</w:t>
            </w:r>
            <w:r w:rsidR="007266B7">
              <w:rPr>
                <w:rFonts w:ascii="Arial" w:eastAsia="Arial" w:hAnsi="Arial" w:cs="Arial"/>
                <w:i/>
                <w:sz w:val="18"/>
                <w:szCs w:val="18"/>
              </w:rPr>
              <w:t xml:space="preserve">; </w:t>
            </w:r>
            <w:r>
              <w:rPr>
                <w:rFonts w:ascii="Arial" w:eastAsia="Arial" w:hAnsi="Arial" w:cs="Arial"/>
                <w:i/>
                <w:sz w:val="18"/>
                <w:szCs w:val="18"/>
              </w:rPr>
              <w:t>Decomposi</w:t>
            </w:r>
            <w:r w:rsidR="00AE0ABE">
              <w:rPr>
                <w:rFonts w:ascii="Arial" w:eastAsia="Arial" w:hAnsi="Arial" w:cs="Arial"/>
                <w:i/>
                <w:sz w:val="18"/>
                <w:szCs w:val="18"/>
              </w:rPr>
              <w:t>tion</w:t>
            </w:r>
            <w:r w:rsidR="00AE504B">
              <w:rPr>
                <w:rFonts w:ascii="Arial" w:eastAsia="Arial" w:hAnsi="Arial" w:cs="Arial"/>
                <w:i/>
                <w:sz w:val="18"/>
                <w:szCs w:val="18"/>
              </w:rPr>
              <w:t>;</w:t>
            </w:r>
            <w:r w:rsidR="007266B7">
              <w:rPr>
                <w:rFonts w:ascii="Arial" w:eastAsia="Arial" w:hAnsi="Arial" w:cs="Arial"/>
                <w:i/>
                <w:sz w:val="18"/>
                <w:szCs w:val="18"/>
              </w:rPr>
              <w:t xml:space="preserve"> </w:t>
            </w:r>
          </w:p>
          <w:p w:rsidR="00BC7E6E" w:rsidRDefault="00AE0ABE">
            <w:pPr>
              <w:widowControl w:val="0"/>
              <w:spacing w:after="0" w:line="240" w:lineRule="auto"/>
              <w:ind w:left="0" w:hanging="2"/>
              <w:rPr>
                <w:rFonts w:ascii="Arial" w:eastAsia="Arial" w:hAnsi="Arial" w:cs="Arial"/>
                <w:sz w:val="18"/>
                <w:szCs w:val="18"/>
              </w:rPr>
            </w:pPr>
            <w:r>
              <w:rPr>
                <w:rFonts w:ascii="Arial" w:eastAsia="Arial" w:hAnsi="Arial" w:cs="Arial"/>
                <w:i/>
                <w:sz w:val="18"/>
                <w:szCs w:val="18"/>
              </w:rPr>
              <w:t>Retail</w:t>
            </w:r>
            <w:r w:rsidR="007266B7">
              <w:rPr>
                <w:rFonts w:ascii="Arial" w:eastAsia="Arial" w:hAnsi="Arial" w:cs="Arial"/>
                <w:i/>
                <w:sz w:val="18"/>
                <w:szCs w:val="18"/>
              </w:rPr>
              <w:t>;</w:t>
            </w:r>
            <w:r>
              <w:rPr>
                <w:rFonts w:ascii="Arial" w:eastAsia="Arial" w:hAnsi="Arial" w:cs="Arial"/>
                <w:i/>
                <w:sz w:val="18"/>
                <w:szCs w:val="18"/>
              </w:rPr>
              <w:t xml:space="preserve"> Sugar</w:t>
            </w:r>
          </w:p>
          <w:p w:rsidR="00BC7E6E" w:rsidRDefault="00BC7E6E">
            <w:pPr>
              <w:widowControl w:val="0"/>
              <w:tabs>
                <w:tab w:val="left" w:pos="9020"/>
              </w:tabs>
              <w:spacing w:after="0" w:line="240" w:lineRule="auto"/>
              <w:ind w:left="0" w:hanging="2"/>
              <w:rPr>
                <w:rFonts w:ascii="Arial" w:eastAsia="Arial" w:hAnsi="Arial" w:cs="Arial"/>
                <w:sz w:val="18"/>
                <w:szCs w:val="18"/>
              </w:rPr>
            </w:pPr>
          </w:p>
          <w:p w:rsidR="00BC7E6E" w:rsidRDefault="007266B7">
            <w:pPr>
              <w:widowControl w:val="0"/>
              <w:tabs>
                <w:tab w:val="left" w:pos="9020"/>
              </w:tabs>
              <w:spacing w:after="0" w:line="240" w:lineRule="auto"/>
              <w:ind w:left="0" w:hanging="2"/>
              <w:rPr>
                <w:rFonts w:ascii="Arial" w:eastAsia="Arial" w:hAnsi="Arial" w:cs="Arial"/>
                <w:sz w:val="18"/>
                <w:szCs w:val="18"/>
              </w:rPr>
            </w:pPr>
            <w:r>
              <w:rPr>
                <w:rFonts w:ascii="Arial" w:eastAsia="Arial" w:hAnsi="Arial" w:cs="Arial"/>
                <w:b/>
                <w:i/>
                <w:sz w:val="18"/>
                <w:szCs w:val="18"/>
              </w:rPr>
              <w:t>Article History:</w:t>
            </w:r>
          </w:p>
          <w:p w:rsidR="00BC7E6E" w:rsidRDefault="00AE0ABE">
            <w:pPr>
              <w:widowControl w:val="0"/>
              <w:tabs>
                <w:tab w:val="left" w:pos="9020"/>
              </w:tabs>
              <w:spacing w:after="0" w:line="240" w:lineRule="auto"/>
              <w:ind w:left="0" w:hanging="2"/>
              <w:rPr>
                <w:rFonts w:ascii="Arial" w:eastAsia="Arial" w:hAnsi="Arial" w:cs="Arial"/>
                <w:sz w:val="18"/>
                <w:szCs w:val="18"/>
              </w:rPr>
            </w:pPr>
            <w:r>
              <w:rPr>
                <w:rFonts w:ascii="Arial" w:eastAsia="Arial" w:hAnsi="Arial" w:cs="Arial"/>
                <w:i/>
                <w:sz w:val="18"/>
                <w:szCs w:val="18"/>
              </w:rPr>
              <w:t xml:space="preserve">Received: </w:t>
            </w:r>
          </w:p>
          <w:p w:rsidR="00BC7E6E" w:rsidRDefault="00AE0ABE">
            <w:pPr>
              <w:widowControl w:val="0"/>
              <w:tabs>
                <w:tab w:val="left" w:pos="9020"/>
              </w:tabs>
              <w:spacing w:after="0" w:line="240" w:lineRule="auto"/>
              <w:ind w:left="0" w:hanging="2"/>
              <w:rPr>
                <w:rFonts w:ascii="Arial" w:eastAsia="Arial" w:hAnsi="Arial" w:cs="Arial"/>
                <w:sz w:val="18"/>
                <w:szCs w:val="18"/>
              </w:rPr>
            </w:pPr>
            <w:r>
              <w:rPr>
                <w:rFonts w:ascii="Arial" w:eastAsia="Arial" w:hAnsi="Arial" w:cs="Arial"/>
                <w:i/>
                <w:sz w:val="18"/>
                <w:szCs w:val="18"/>
              </w:rPr>
              <w:t xml:space="preserve">Revised: </w:t>
            </w:r>
          </w:p>
          <w:p w:rsidR="00BC7E6E" w:rsidRDefault="00AE0ABE">
            <w:pPr>
              <w:widowControl w:val="0"/>
              <w:tabs>
                <w:tab w:val="left" w:pos="9020"/>
              </w:tabs>
              <w:spacing w:after="0" w:line="240" w:lineRule="auto"/>
              <w:ind w:left="0" w:hanging="2"/>
              <w:rPr>
                <w:rFonts w:ascii="Arial" w:eastAsia="Arial" w:hAnsi="Arial" w:cs="Arial"/>
                <w:sz w:val="18"/>
                <w:szCs w:val="18"/>
              </w:rPr>
            </w:pPr>
            <w:r>
              <w:rPr>
                <w:rFonts w:ascii="Arial" w:eastAsia="Arial" w:hAnsi="Arial" w:cs="Arial"/>
                <w:i/>
                <w:sz w:val="18"/>
                <w:szCs w:val="18"/>
              </w:rPr>
              <w:t xml:space="preserve">Accepted: </w:t>
            </w:r>
          </w:p>
          <w:p w:rsidR="00BC7E6E" w:rsidRDefault="00AE0ABE">
            <w:pPr>
              <w:widowControl w:val="0"/>
              <w:tabs>
                <w:tab w:val="left" w:pos="9020"/>
              </w:tabs>
              <w:spacing w:after="0" w:line="240" w:lineRule="auto"/>
              <w:ind w:left="0" w:hanging="2"/>
              <w:rPr>
                <w:rFonts w:ascii="Arial" w:eastAsia="Arial" w:hAnsi="Arial" w:cs="Arial"/>
                <w:sz w:val="18"/>
                <w:szCs w:val="18"/>
              </w:rPr>
            </w:pPr>
            <w:r>
              <w:rPr>
                <w:rFonts w:ascii="Arial" w:eastAsia="Arial" w:hAnsi="Arial" w:cs="Arial"/>
                <w:i/>
                <w:sz w:val="18"/>
                <w:szCs w:val="18"/>
              </w:rPr>
              <w:t xml:space="preserve">Published: </w:t>
            </w:r>
          </w:p>
          <w:p w:rsidR="00BC7E6E" w:rsidRDefault="00BC7E6E">
            <w:pPr>
              <w:widowControl w:val="0"/>
              <w:tabs>
                <w:tab w:val="left" w:pos="9020"/>
              </w:tabs>
              <w:spacing w:after="0" w:line="240" w:lineRule="auto"/>
              <w:ind w:left="0" w:hanging="2"/>
              <w:rPr>
                <w:rFonts w:ascii="Arial" w:eastAsia="Arial" w:hAnsi="Arial" w:cs="Arial"/>
                <w:sz w:val="18"/>
                <w:szCs w:val="18"/>
              </w:rPr>
            </w:pPr>
          </w:p>
          <w:p w:rsidR="00BC7E6E" w:rsidRDefault="007266B7">
            <w:pPr>
              <w:widowControl w:val="0"/>
              <w:tabs>
                <w:tab w:val="left" w:pos="9020"/>
              </w:tabs>
              <w:spacing w:after="0" w:line="240" w:lineRule="auto"/>
              <w:ind w:left="0" w:hanging="2"/>
              <w:rPr>
                <w:rFonts w:ascii="Arial" w:eastAsia="Arial" w:hAnsi="Arial" w:cs="Arial"/>
                <w:sz w:val="18"/>
                <w:szCs w:val="18"/>
              </w:rPr>
            </w:pPr>
            <w:r>
              <w:rPr>
                <w:rFonts w:ascii="Arial" w:eastAsia="Arial" w:hAnsi="Arial" w:cs="Arial"/>
                <w:b/>
                <w:i/>
                <w:sz w:val="18"/>
                <w:szCs w:val="18"/>
              </w:rPr>
              <w:t>Corresponding Author:</w:t>
            </w:r>
          </w:p>
          <w:p w:rsidR="00AE0ABE" w:rsidRDefault="00AE0ABE">
            <w:pPr>
              <w:widowControl w:val="0"/>
              <w:tabs>
                <w:tab w:val="left" w:pos="9020"/>
              </w:tabs>
              <w:spacing w:after="0" w:line="240" w:lineRule="auto"/>
              <w:ind w:left="0" w:hanging="2"/>
              <w:rPr>
                <w:rFonts w:ascii="Arial" w:eastAsia="Arial" w:hAnsi="Arial" w:cs="Arial"/>
                <w:i/>
                <w:sz w:val="18"/>
                <w:szCs w:val="18"/>
              </w:rPr>
            </w:pPr>
            <w:r>
              <w:rPr>
                <w:rFonts w:ascii="Arial" w:eastAsia="Arial" w:hAnsi="Arial" w:cs="Arial"/>
                <w:i/>
                <w:sz w:val="18"/>
                <w:szCs w:val="18"/>
              </w:rPr>
              <w:t>Titi Sari</w:t>
            </w:r>
          </w:p>
          <w:p w:rsidR="00AE0ABE" w:rsidRDefault="00AE0ABE">
            <w:pPr>
              <w:widowControl w:val="0"/>
              <w:tabs>
                <w:tab w:val="left" w:pos="9020"/>
              </w:tabs>
              <w:spacing w:after="0" w:line="240" w:lineRule="auto"/>
              <w:ind w:left="0" w:hanging="2"/>
              <w:rPr>
                <w:rFonts w:ascii="Arial" w:eastAsia="Arial" w:hAnsi="Arial" w:cs="Arial"/>
                <w:i/>
                <w:sz w:val="18"/>
                <w:szCs w:val="18"/>
              </w:rPr>
            </w:pPr>
            <w:r>
              <w:rPr>
                <w:rFonts w:ascii="Arial" w:eastAsia="Arial" w:hAnsi="Arial" w:cs="Arial"/>
                <w:i/>
                <w:sz w:val="18"/>
                <w:szCs w:val="18"/>
              </w:rPr>
              <w:t xml:space="preserve">Industrial Engineering </w:t>
            </w:r>
          </w:p>
          <w:p w:rsidR="00AE0ABE" w:rsidRDefault="00AE0ABE" w:rsidP="00AE0ABE">
            <w:pPr>
              <w:widowControl w:val="0"/>
              <w:tabs>
                <w:tab w:val="left" w:pos="9020"/>
              </w:tabs>
              <w:spacing w:after="0" w:line="240" w:lineRule="auto"/>
              <w:ind w:left="0" w:hanging="2"/>
              <w:rPr>
                <w:rFonts w:ascii="Arial" w:eastAsia="Arial" w:hAnsi="Arial" w:cs="Arial"/>
                <w:i/>
                <w:sz w:val="18"/>
                <w:szCs w:val="18"/>
              </w:rPr>
            </w:pPr>
            <w:r>
              <w:rPr>
                <w:rFonts w:ascii="Arial" w:eastAsia="Arial" w:hAnsi="Arial" w:cs="Arial"/>
                <w:i/>
                <w:sz w:val="18"/>
                <w:szCs w:val="18"/>
              </w:rPr>
              <w:t>Study Program,</w:t>
            </w:r>
          </w:p>
          <w:p w:rsidR="001A6388" w:rsidRDefault="001A6388" w:rsidP="00AE0ABE">
            <w:pPr>
              <w:widowControl w:val="0"/>
              <w:tabs>
                <w:tab w:val="left" w:pos="9020"/>
              </w:tabs>
              <w:spacing w:after="0" w:line="240" w:lineRule="auto"/>
              <w:ind w:left="0" w:hanging="2"/>
              <w:rPr>
                <w:rFonts w:ascii="Arial" w:eastAsia="Arial" w:hAnsi="Arial" w:cs="Arial"/>
                <w:i/>
                <w:color w:val="76923C" w:themeColor="accent3" w:themeShade="BF"/>
                <w:sz w:val="18"/>
                <w:szCs w:val="18"/>
              </w:rPr>
            </w:pPr>
            <w:proofErr w:type="spellStart"/>
            <w:r w:rsidRPr="00310638">
              <w:rPr>
                <w:rFonts w:ascii="Arial" w:eastAsia="Arial" w:hAnsi="Arial" w:cs="Arial"/>
                <w:i/>
                <w:sz w:val="18"/>
                <w:szCs w:val="18"/>
              </w:rPr>
              <w:t>Universitas</w:t>
            </w:r>
            <w:proofErr w:type="spellEnd"/>
            <w:r w:rsidRPr="00310638">
              <w:rPr>
                <w:rFonts w:ascii="Arial" w:eastAsia="Arial" w:hAnsi="Arial" w:cs="Arial"/>
                <w:i/>
                <w:sz w:val="18"/>
                <w:szCs w:val="18"/>
              </w:rPr>
              <w:t xml:space="preserve"> Islam </w:t>
            </w:r>
            <w:proofErr w:type="spellStart"/>
            <w:r w:rsidRPr="00310638">
              <w:rPr>
                <w:rFonts w:ascii="Arial" w:eastAsia="Arial" w:hAnsi="Arial" w:cs="Arial"/>
                <w:i/>
                <w:sz w:val="18"/>
                <w:szCs w:val="18"/>
              </w:rPr>
              <w:t>Negeri</w:t>
            </w:r>
            <w:proofErr w:type="spellEnd"/>
            <w:r w:rsidRPr="00310638">
              <w:rPr>
                <w:rFonts w:ascii="Arial" w:eastAsia="Arial" w:hAnsi="Arial" w:cs="Arial"/>
                <w:i/>
                <w:sz w:val="18"/>
                <w:szCs w:val="18"/>
              </w:rPr>
              <w:t xml:space="preserve"> </w:t>
            </w:r>
            <w:proofErr w:type="spellStart"/>
            <w:r w:rsidRPr="00310638">
              <w:rPr>
                <w:rFonts w:ascii="Arial" w:eastAsia="Arial" w:hAnsi="Arial" w:cs="Arial"/>
                <w:i/>
                <w:sz w:val="18"/>
                <w:szCs w:val="18"/>
              </w:rPr>
              <w:t>Sunan</w:t>
            </w:r>
            <w:proofErr w:type="spellEnd"/>
            <w:r w:rsidRPr="00310638">
              <w:rPr>
                <w:rFonts w:ascii="Arial" w:eastAsia="Arial" w:hAnsi="Arial" w:cs="Arial"/>
                <w:i/>
                <w:sz w:val="18"/>
                <w:szCs w:val="18"/>
              </w:rPr>
              <w:t xml:space="preserve"> </w:t>
            </w:r>
            <w:proofErr w:type="spellStart"/>
            <w:r w:rsidRPr="00310638">
              <w:rPr>
                <w:rFonts w:ascii="Arial" w:eastAsia="Arial" w:hAnsi="Arial" w:cs="Arial"/>
                <w:i/>
                <w:sz w:val="18"/>
                <w:szCs w:val="18"/>
              </w:rPr>
              <w:t>Kalijaga</w:t>
            </w:r>
            <w:proofErr w:type="spellEnd"/>
            <w:r w:rsidR="00F63435">
              <w:rPr>
                <w:rFonts w:ascii="Arial" w:eastAsia="Arial" w:hAnsi="Arial" w:cs="Arial"/>
                <w:i/>
                <w:sz w:val="18"/>
                <w:szCs w:val="18"/>
              </w:rPr>
              <w:t xml:space="preserve"> (Islamic State of University)</w:t>
            </w:r>
            <w:r w:rsidRPr="00310638">
              <w:rPr>
                <w:rFonts w:ascii="Arial" w:eastAsia="Arial" w:hAnsi="Arial" w:cs="Arial"/>
                <w:i/>
                <w:sz w:val="18"/>
                <w:szCs w:val="18"/>
              </w:rPr>
              <w:t>, Indonesia</w:t>
            </w:r>
          </w:p>
          <w:p w:rsidR="00BC7E6E" w:rsidRDefault="007266B7">
            <w:pPr>
              <w:pBdr>
                <w:top w:val="nil"/>
                <w:left w:val="nil"/>
                <w:bottom w:val="nil"/>
                <w:right w:val="nil"/>
                <w:between w:val="nil"/>
              </w:pBdr>
              <w:tabs>
                <w:tab w:val="left" w:pos="0"/>
              </w:tabs>
              <w:spacing w:after="0" w:line="240" w:lineRule="auto"/>
              <w:ind w:left="0" w:hanging="2"/>
              <w:rPr>
                <w:rFonts w:ascii="Arial" w:eastAsia="Arial" w:hAnsi="Arial" w:cs="Arial"/>
                <w:color w:val="000000"/>
                <w:sz w:val="18"/>
                <w:szCs w:val="18"/>
              </w:rPr>
            </w:pPr>
            <w:r>
              <w:rPr>
                <w:rFonts w:ascii="Arial" w:eastAsia="Arial" w:hAnsi="Arial" w:cs="Arial"/>
                <w:i/>
                <w:color w:val="000000"/>
                <w:sz w:val="18"/>
                <w:szCs w:val="18"/>
              </w:rPr>
              <w:t xml:space="preserve">Email: </w:t>
            </w:r>
            <w:hyperlink r:id="rId12" w:history="1">
              <w:r w:rsidR="009E5645" w:rsidRPr="005E0028">
                <w:rPr>
                  <w:rStyle w:val="Hyperlink"/>
                  <w:rFonts w:ascii="Arial" w:eastAsia="Arial" w:hAnsi="Arial" w:cs="Arial"/>
                  <w:i/>
                  <w:sz w:val="18"/>
                  <w:szCs w:val="18"/>
                </w:rPr>
                <w:t>titi.sari@uin-suka.ac.id</w:t>
              </w:r>
            </w:hyperlink>
            <w:r>
              <w:rPr>
                <w:rFonts w:ascii="Arial" w:eastAsia="Arial" w:hAnsi="Arial" w:cs="Arial"/>
                <w:i/>
                <w:color w:val="000000"/>
                <w:sz w:val="18"/>
                <w:szCs w:val="18"/>
              </w:rPr>
              <w:t xml:space="preserve"> </w:t>
            </w:r>
          </w:p>
          <w:p w:rsidR="00BC7E6E" w:rsidRDefault="00BC7E6E">
            <w:pPr>
              <w:widowControl w:val="0"/>
              <w:tabs>
                <w:tab w:val="left" w:pos="9020"/>
              </w:tabs>
              <w:spacing w:after="0" w:line="240" w:lineRule="auto"/>
              <w:ind w:left="0" w:hanging="2"/>
              <w:rPr>
                <w:rFonts w:ascii="Arial" w:eastAsia="Arial" w:hAnsi="Arial" w:cs="Arial"/>
                <w:sz w:val="18"/>
                <w:szCs w:val="18"/>
              </w:rPr>
            </w:pPr>
          </w:p>
        </w:tc>
      </w:tr>
    </w:tbl>
    <w:p w:rsidR="00BC7E6E" w:rsidRDefault="00BC7E6E">
      <w:pPr>
        <w:widowControl w:val="0"/>
        <w:tabs>
          <w:tab w:val="left" w:pos="9020"/>
        </w:tabs>
        <w:spacing w:after="0" w:line="240" w:lineRule="auto"/>
        <w:ind w:left="0" w:hanging="2"/>
        <w:jc w:val="center"/>
        <w:rPr>
          <w:rFonts w:ascii="Arial" w:eastAsia="Arial" w:hAnsi="Arial" w:cs="Arial"/>
          <w:sz w:val="20"/>
          <w:szCs w:val="20"/>
        </w:rPr>
        <w:sectPr w:rsidR="00BC7E6E">
          <w:headerReference w:type="even" r:id="rId13"/>
          <w:headerReference w:type="default" r:id="rId14"/>
          <w:footerReference w:type="even" r:id="rId15"/>
          <w:footerReference w:type="default" r:id="rId16"/>
          <w:headerReference w:type="first" r:id="rId17"/>
          <w:footerReference w:type="first" r:id="rId18"/>
          <w:pgSz w:w="11907" w:h="16840"/>
          <w:pgMar w:top="1701" w:right="1134" w:bottom="1701" w:left="1701" w:header="680" w:footer="680" w:gutter="0"/>
          <w:pgNumType w:start="1"/>
          <w:cols w:space="720"/>
          <w:titlePg/>
        </w:sectPr>
      </w:pPr>
    </w:p>
    <w:p w:rsidR="00BC7E6E" w:rsidRDefault="007266B7">
      <w:pPr>
        <w:widowControl w:val="0"/>
        <w:spacing w:after="0" w:line="240" w:lineRule="auto"/>
        <w:ind w:left="0" w:hanging="2"/>
        <w:jc w:val="both"/>
        <w:rPr>
          <w:rFonts w:ascii="Arial" w:eastAsia="Arial" w:hAnsi="Arial" w:cs="Arial"/>
          <w:color w:val="1F4E79"/>
          <w:sz w:val="20"/>
          <w:szCs w:val="20"/>
        </w:rPr>
      </w:pPr>
      <w:r>
        <w:rPr>
          <w:rFonts w:ascii="Arial" w:eastAsia="Arial" w:hAnsi="Arial" w:cs="Arial"/>
          <w:b/>
          <w:color w:val="1F4E79"/>
          <w:sz w:val="20"/>
          <w:szCs w:val="20"/>
        </w:rPr>
        <w:t>INTRODUCTION (R: 31, G: 78, B: 121)</w:t>
      </w:r>
    </w:p>
    <w:p w:rsidR="00CF2703" w:rsidRDefault="00D04053" w:rsidP="00B84106">
      <w:pPr>
        <w:spacing w:after="0" w:line="240" w:lineRule="auto"/>
        <w:ind w:left="0" w:hanging="2"/>
        <w:jc w:val="both"/>
        <w:rPr>
          <w:rFonts w:ascii="Arial" w:hAnsi="Arial" w:cs="Arial"/>
          <w:sz w:val="20"/>
          <w:szCs w:val="20"/>
        </w:rPr>
      </w:pPr>
      <w:r>
        <w:rPr>
          <w:rFonts w:ascii="Arial" w:hAnsi="Arial" w:cs="Arial"/>
          <w:sz w:val="20"/>
          <w:szCs w:val="20"/>
        </w:rPr>
        <w:t>F</w:t>
      </w:r>
      <w:r w:rsidRPr="00140803">
        <w:rPr>
          <w:rFonts w:ascii="Arial" w:hAnsi="Arial" w:cs="Arial"/>
          <w:sz w:val="20"/>
          <w:szCs w:val="20"/>
        </w:rPr>
        <w:t>orecasting</w:t>
      </w:r>
      <w:r w:rsidR="00AF4BB5">
        <w:rPr>
          <w:rFonts w:ascii="Arial" w:hAnsi="Arial" w:cs="Arial"/>
          <w:sz w:val="20"/>
          <w:szCs w:val="20"/>
        </w:rPr>
        <w:t xml:space="preserve"> or demand prediction</w:t>
      </w:r>
      <w:r w:rsidRPr="00140803">
        <w:rPr>
          <w:rFonts w:ascii="Arial" w:hAnsi="Arial" w:cs="Arial"/>
          <w:sz w:val="20"/>
          <w:szCs w:val="20"/>
        </w:rPr>
        <w:t xml:space="preserve"> for retail has been receiving a lot of atten</w:t>
      </w:r>
      <w:r w:rsidR="007A5840">
        <w:rPr>
          <w:rFonts w:ascii="Arial" w:hAnsi="Arial" w:cs="Arial"/>
          <w:sz w:val="20"/>
          <w:szCs w:val="20"/>
        </w:rPr>
        <w:t xml:space="preserve">tion for a long time due to its </w:t>
      </w:r>
      <w:r w:rsidRPr="00140803">
        <w:rPr>
          <w:rFonts w:ascii="Arial" w:hAnsi="Arial" w:cs="Arial"/>
          <w:sz w:val="20"/>
          <w:szCs w:val="20"/>
        </w:rPr>
        <w:t xml:space="preserve">difficulty because of the high variability of demand </w:t>
      </w:r>
      <w:r w:rsidRPr="00140803">
        <w:rPr>
          <w:rFonts w:ascii="Arial" w:hAnsi="Arial" w:cs="Arial"/>
          <w:sz w:val="20"/>
          <w:szCs w:val="20"/>
        </w:rPr>
        <w:fldChar w:fldCharType="begin" w:fldLock="1"/>
      </w:r>
      <w:r w:rsidR="00DA23BE">
        <w:rPr>
          <w:rFonts w:ascii="Arial" w:hAnsi="Arial" w:cs="Arial"/>
          <w:sz w:val="20"/>
          <w:szCs w:val="20"/>
        </w:rPr>
        <w:instrText>ADDIN CSL_CITATION {"citationItems":[{"id":"ITEM-1","itemData":{"DOI":"10.1016/j.jretconser.2019.101921","ISSN":"09696989","abstract":"In this study, we examine the influence of weather on daily sales in brick-and-mortar retailing using empirical data for 673 stores. We develop a random coefficient model that considers non-linear effects and seasonal differences using different weather parameters. In the ex-post analysis using historic weather data, we quantify the explanatory power of weather information on daily sales, identify store-specific effects and analyze the influence of specific sales themes. We find that the weather has generally a complex effect on daily sales while the magnitude and the direction of the weather effect depend on the store location and the sales theme. The effect on daily sales can be as high as 23.1% based on the store location and as high as 40.7% based on the sales theme. We also find that the impact of extreme bad and good weather occurrences can be misestimated by traditional models that do not consider non-linear effects. In the ex-ante analysis, we analyze if weather forecasts can be used to improve the daily sales forecast. We show that including weather forecast information improves sales forecast accuracy up to seven days ahead. However, the improvement of the forecast accuracy diminishes with a higher forecast horizon.","author":[{"dropping-particle":"","family":"Badorf","given":"Florian","non-dropping-particle":"","parse-names":false,"suffix":""},{"dropping-particle":"","family":"Hoberg","given":"Kai","non-dropping-particle":"","parse-names":false,"suffix":""}],"container-title":"Journal of Retailing and Consumer Services","id":"ITEM-1","issue":"March 2019","issued":{"date-parts":[["2020"]]},"page":"101921","publisher":"Elsevier Ltd","title":"The impact of daily weather on retail sales: An empirical study in brick-and-mortar stores","type":"article-journal","volume":"52"},"uris":["http://www.mendeley.com/documents/?uuid=8677c97d-a69f-4327-bd4f-f15ea9ebdb27"]}],"mendeley":{"formattedCitation":"[1]","plainTextFormattedCitation":"[1]","previouslyFormattedCitation":"[1]"},"properties":{"noteIndex":0},"schema":"https://github.com/citation-style-language/schema/raw/master/csl-citation.json"}</w:instrText>
      </w:r>
      <w:r w:rsidRPr="00140803">
        <w:rPr>
          <w:rFonts w:ascii="Arial" w:hAnsi="Arial" w:cs="Arial"/>
          <w:sz w:val="20"/>
          <w:szCs w:val="20"/>
        </w:rPr>
        <w:fldChar w:fldCharType="separate"/>
      </w:r>
      <w:r w:rsidR="00546E20" w:rsidRPr="00546E20">
        <w:rPr>
          <w:rFonts w:ascii="Arial" w:hAnsi="Arial" w:cs="Arial"/>
          <w:noProof/>
          <w:sz w:val="20"/>
          <w:szCs w:val="20"/>
        </w:rPr>
        <w:t>[1]</w:t>
      </w:r>
      <w:r w:rsidRPr="00140803">
        <w:rPr>
          <w:rFonts w:ascii="Arial" w:hAnsi="Arial" w:cs="Arial"/>
          <w:sz w:val="20"/>
          <w:szCs w:val="20"/>
        </w:rPr>
        <w:fldChar w:fldCharType="end"/>
      </w:r>
      <w:r>
        <w:rPr>
          <w:rFonts w:ascii="Arial" w:hAnsi="Arial" w:cs="Arial"/>
          <w:sz w:val="20"/>
          <w:szCs w:val="20"/>
        </w:rPr>
        <w:t xml:space="preserve">, </w:t>
      </w:r>
      <w:r w:rsidRPr="00140803">
        <w:rPr>
          <w:rFonts w:ascii="Arial" w:hAnsi="Arial" w:cs="Arial"/>
          <w:sz w:val="20"/>
          <w:szCs w:val="20"/>
        </w:rPr>
        <w:fldChar w:fldCharType="begin" w:fldLock="1"/>
      </w:r>
      <w:r w:rsidR="00DA23BE">
        <w:rPr>
          <w:rFonts w:ascii="Arial" w:hAnsi="Arial" w:cs="Arial"/>
          <w:sz w:val="20"/>
          <w:szCs w:val="20"/>
        </w:rPr>
        <w:instrText>ADDIN CSL_CITATION {"citationItems":[{"id":"ITEM-1","itemData":{"DOI":"10.1057/s41270-022-00162-x","ISBN":"0123456789","ISSN":"20503326","abstract":"Time series forecasting in retail plays an important role for retailers due to its capacity to aid managers in strategic planning to meet demand. In this article, a comparative experiment between two demand forecasting models is conducted to forecast an aggregate time series in Brazilian food retail on a twelve-year horizon. Performance was analyzed by comparing the accuracy of a linear model, Seasonal Autoregressive Integrated Moving Average (SARIMA), and a non-linear model, and Wavelets Neural Network (WNN). Performance was validated by the Mean Absolute Percentage Error (MAPE) and U-Theil, with a view to achieving the most accurate measurement of demand responsiveness, using the Fill Rate (FR). WNN had the best performance, with a FR of 98.43%, whereas SARIMA achieved a FR of 102.23%. Demand forecasting using WNN can be considered a resource for differentiation between retail organizations when it is incorporated into their operations. This article makes three contributions to the field with an application to retail and strengthening the argument for choosing a promising technique that can be used by managers to aid their decision making.","author":[{"dropping-particle":"","family":"Almeida","given":"Wesley Marcos","non-dropping-particle":"de","parse-names":false,"suffix":""},{"dropping-particle":"","family":"Veiga","given":"Claudimar Pereira","non-dropping-particle":"da","parse-names":false,"suffix":""}],"container-title":"Journal of Marketing Analytics","id":"ITEM-1","issue":"2","issued":{"date-parts":[["2023"]]},"page":"219-232","publisher":"Palgrave Macmillan UK","title":"Does demand forecasting matter to retailing?","type":"article-journal","volume":"11"},"uris":["http://www.mendeley.com/documents/?uuid=b05c72ae-5e63-40d2-bd2e-350692d8cfbc"]}],"mendeley":{"formattedCitation":"[2]","plainTextFormattedCitation":"[2]","previouslyFormattedCitation":"[2]"},"properties":{"noteIndex":0},"schema":"https://github.com/citation-style-language/schema/raw/master/csl-citation.json"}</w:instrText>
      </w:r>
      <w:r w:rsidRPr="00140803">
        <w:rPr>
          <w:rFonts w:ascii="Arial" w:hAnsi="Arial" w:cs="Arial"/>
          <w:sz w:val="20"/>
          <w:szCs w:val="20"/>
        </w:rPr>
        <w:fldChar w:fldCharType="separate"/>
      </w:r>
      <w:r w:rsidR="00546E20" w:rsidRPr="00546E20">
        <w:rPr>
          <w:rFonts w:ascii="Arial" w:hAnsi="Arial" w:cs="Arial"/>
          <w:noProof/>
          <w:sz w:val="20"/>
          <w:szCs w:val="20"/>
        </w:rPr>
        <w:t>[2]</w:t>
      </w:r>
      <w:r w:rsidRPr="00140803">
        <w:rPr>
          <w:rFonts w:ascii="Arial" w:hAnsi="Arial" w:cs="Arial"/>
          <w:sz w:val="20"/>
          <w:szCs w:val="20"/>
        </w:rPr>
        <w:fldChar w:fldCharType="end"/>
      </w:r>
      <w:r w:rsidRPr="00140803">
        <w:rPr>
          <w:rFonts w:ascii="Arial" w:hAnsi="Arial" w:cs="Arial"/>
          <w:sz w:val="20"/>
          <w:szCs w:val="20"/>
        </w:rPr>
        <w:t>.</w:t>
      </w:r>
      <w:r>
        <w:rPr>
          <w:rFonts w:ascii="Arial" w:hAnsi="Arial" w:cs="Arial"/>
          <w:sz w:val="20"/>
          <w:szCs w:val="20"/>
        </w:rPr>
        <w:t xml:space="preserve"> </w:t>
      </w:r>
      <w:r w:rsidR="00672B92">
        <w:rPr>
          <w:rFonts w:ascii="Arial" w:hAnsi="Arial" w:cs="Arial"/>
          <w:sz w:val="20"/>
          <w:szCs w:val="20"/>
        </w:rPr>
        <w:t xml:space="preserve">Ma and </w:t>
      </w:r>
      <w:proofErr w:type="spellStart"/>
      <w:r w:rsidR="00672B92">
        <w:rPr>
          <w:rFonts w:ascii="Arial" w:hAnsi="Arial" w:cs="Arial"/>
          <w:sz w:val="20"/>
          <w:szCs w:val="20"/>
        </w:rPr>
        <w:t>Fildes</w:t>
      </w:r>
      <w:proofErr w:type="spellEnd"/>
      <w:r w:rsidR="00686F9C">
        <w:rPr>
          <w:rFonts w:ascii="Arial" w:hAnsi="Arial" w:cs="Arial"/>
          <w:sz w:val="20"/>
          <w:szCs w:val="20"/>
        </w:rPr>
        <w:t xml:space="preserve"> </w:t>
      </w:r>
      <w:r w:rsidR="00B2716F">
        <w:rPr>
          <w:rFonts w:ascii="Arial" w:hAnsi="Arial" w:cs="Arial"/>
          <w:sz w:val="20"/>
          <w:szCs w:val="20"/>
        </w:rPr>
        <w:fldChar w:fldCharType="begin" w:fldLock="1"/>
      </w:r>
      <w:r w:rsidR="00B2716F">
        <w:rPr>
          <w:rFonts w:ascii="Arial" w:hAnsi="Arial" w:cs="Arial"/>
          <w:sz w:val="20"/>
          <w:szCs w:val="20"/>
        </w:rPr>
        <w:instrText>ADDIN CSL_CITATION {"citationItems":[{"id":"ITEM-1","itemData":{"DOI":"10.1016/j.ejor.2020.05.038","ISSN":"03772217","abstract":"Retail sales forecasting often requires forecasts for thousands of products for many stores. We present a meta-learning framework based on newly developed deep convolutional neural networks, which can first learn a feature representation from raw sales time series data automatically, and then link the learnt features with a set of weights which are used to combine a pool of base-forecasting methods. The experiments which are based on IRI weekly data show that the proposed meta-learner provides superior forecasting performance compared with a number of state-of-art benchmarks, though the accuracy gains over some more sophisticated meta ensemble benchmarks are modest and the learnt features lack interpretability. When designing a meta-learner in forecasting retail sales, we recommend building a pool of base-forecasters including both individual and pooled forecasting methods, and target finding the best combination forecasts instead of the best individual method.","author":[{"dropping-particle":"","family":"Ma","given":"Shaohui","non-dropping-particle":"","parse-names":false,"suffix":""},{"dropping-particle":"","family":"Fildes","given":"Robert","non-dropping-particle":"","parse-names":false,"suffix":""}],"container-title":"European Journal of Operational Research","id":"ITEM-1","issue":"1","issued":{"date-parts":[["2021"]]},"page":"111-128","publisher":"Elsevier B.V.","title":"Retail sales forecasting with meta-learning","type":"article-journal","volume":"288"},"uris":["http://www.mendeley.com/documents/?uuid=14c2c490-ff95-4240-a8f5-61f8f0b246b5"]}],"mendeley":{"formattedCitation":"[3]","plainTextFormattedCitation":"[3]","previouslyFormattedCitation":"[3]"},"properties":{"noteIndex":0},"schema":"https://github.com/citation-style-language/schema/raw/master/csl-citation.json"}</w:instrText>
      </w:r>
      <w:r w:rsidR="00B2716F">
        <w:rPr>
          <w:rFonts w:ascii="Arial" w:hAnsi="Arial" w:cs="Arial"/>
          <w:sz w:val="20"/>
          <w:szCs w:val="20"/>
        </w:rPr>
        <w:fldChar w:fldCharType="separate"/>
      </w:r>
      <w:r w:rsidR="00B2716F" w:rsidRPr="00B2716F">
        <w:rPr>
          <w:rFonts w:ascii="Arial" w:hAnsi="Arial" w:cs="Arial"/>
          <w:noProof/>
          <w:sz w:val="20"/>
          <w:szCs w:val="20"/>
        </w:rPr>
        <w:t>[3]</w:t>
      </w:r>
      <w:r w:rsidR="00B2716F">
        <w:rPr>
          <w:rFonts w:ascii="Arial" w:hAnsi="Arial" w:cs="Arial"/>
          <w:sz w:val="20"/>
          <w:szCs w:val="20"/>
        </w:rPr>
        <w:fldChar w:fldCharType="end"/>
      </w:r>
      <w:r w:rsidR="00672B92">
        <w:rPr>
          <w:rFonts w:ascii="Arial" w:hAnsi="Arial" w:cs="Arial"/>
          <w:sz w:val="20"/>
          <w:szCs w:val="20"/>
        </w:rPr>
        <w:t xml:space="preserve"> and </w:t>
      </w:r>
      <w:proofErr w:type="spellStart"/>
      <w:r w:rsidR="00672B92">
        <w:rPr>
          <w:rFonts w:ascii="Arial" w:hAnsi="Arial" w:cs="Arial"/>
          <w:sz w:val="20"/>
          <w:szCs w:val="20"/>
        </w:rPr>
        <w:t>V</w:t>
      </w:r>
      <w:r w:rsidR="00B2716F">
        <w:rPr>
          <w:rFonts w:ascii="Arial" w:hAnsi="Arial" w:cs="Arial"/>
          <w:sz w:val="20"/>
          <w:szCs w:val="20"/>
        </w:rPr>
        <w:t>eiga</w:t>
      </w:r>
      <w:proofErr w:type="spellEnd"/>
      <w:r w:rsidR="00B2716F">
        <w:rPr>
          <w:rFonts w:ascii="Arial" w:hAnsi="Arial" w:cs="Arial"/>
          <w:sz w:val="20"/>
          <w:szCs w:val="20"/>
        </w:rPr>
        <w:t xml:space="preserve"> et al. </w:t>
      </w:r>
      <w:r w:rsidR="00B2716F">
        <w:rPr>
          <w:rFonts w:ascii="Arial" w:hAnsi="Arial" w:cs="Arial"/>
          <w:sz w:val="20"/>
          <w:szCs w:val="20"/>
        </w:rPr>
        <w:fldChar w:fldCharType="begin" w:fldLock="1"/>
      </w:r>
      <w:r w:rsidR="0071316D">
        <w:rPr>
          <w:rFonts w:ascii="Arial" w:hAnsi="Arial" w:cs="Arial"/>
          <w:sz w:val="20"/>
          <w:szCs w:val="20"/>
        </w:rPr>
        <w:instrText>ADDIN CSL_CITATION {"citationItems":[{"id":"ITEM-1","itemData":{"DOI":"10.1016/j.jretconser.2016.03.008","ISSN":"09696989","abstract":"The purpose of this paper is to compare the accuracy of demand forecasting between two classical linear forecasting models (Autoregressive and Integrated Moving Average -ARIMA and Holt-Winter) and two nonlinear forecasting models based on natural computing approaches (Wavelets Neural Networks - WNN and Takagi-Sugeno Fuzzy System - TS), all applied to the aggregated retail sales of three groups of perishable food products from 2005 to 2013. Moreover, this paper evaluates the impact of demand forecasting accuracy on the demand satisfaction rate and on the overall economic performance of retail business operations. The most accurate model, WNN, had a demand satisfaction rate of 98.27% for Group A, 98.83% for Group B and 98.80% for Group C. WNN estimated a loss of revenue of R$1329.14 million/year with a minimum loss of 166 tons/year, which means that the results of WNN are 37.67% more efficient than the TS, 57.49% higher than the ARIMA and 76.79% higher than HW. This paper presents three main contributions: (i) it examines a question not evaluated in the literature on demand forecasting based on natural computing approaches in the foodstuff retail segment that generates better practical results, (ii) it proposes that a single forecasting model could be applied to different product groups and serves the organization as a whole with a good relationship between the cost and the benefit of the process and (iii) like previous studies, it proves that demand forecasting plays an important role and can generate a competitive advantage for the organization to be incorporated into its strategy.","author":[{"dropping-particle":"","family":"Veiga","given":"Claudimar Pereira","non-dropping-particle":"da","parse-names":false,"suffix":""},{"dropping-particle":"","family":"Veiga","given":"Cássia Rita Pereira","non-dropping-particle":"da","parse-names":false,"suffix":""},{"dropping-particle":"","family":"Puchalski","given":"Weslly","non-dropping-particle":"","parse-names":false,"suffix":""},{"dropping-particle":"","family":"Coelho","given":"Leandro dos Santos","non-dropping-particle":"","parse-names":false,"suffix":""},{"dropping-particle":"","family":"Tortato","given":"Ubiratã","non-dropping-particle":"","parse-names":false,"suffix":""}],"container-title":"Journal of Retailing and Consumer Services","id":"ITEM-1","issued":{"date-parts":[["2016"]]},"page":"174-181","publisher":"Elsevier","title":"Demand forecasting based on natural computing approaches applied to the foodstuff retail segment","type":"article-journal","volume":"31"},"uris":["http://www.mendeley.com/documents/?uuid=fbd49d73-9ef0-4b7d-8046-1471852c0896"]}],"mendeley":{"formattedCitation":"[4]","plainTextFormattedCitation":"[4]","previouslyFormattedCitation":"[4]"},"properties":{"noteIndex":0},"schema":"https://github.com/citation-style-language/schema/raw/master/csl-citation.json"}</w:instrText>
      </w:r>
      <w:r w:rsidR="00B2716F">
        <w:rPr>
          <w:rFonts w:ascii="Arial" w:hAnsi="Arial" w:cs="Arial"/>
          <w:sz w:val="20"/>
          <w:szCs w:val="20"/>
        </w:rPr>
        <w:fldChar w:fldCharType="separate"/>
      </w:r>
      <w:r w:rsidR="00B2716F" w:rsidRPr="00B2716F">
        <w:rPr>
          <w:rFonts w:ascii="Arial" w:hAnsi="Arial" w:cs="Arial"/>
          <w:noProof/>
          <w:sz w:val="20"/>
          <w:szCs w:val="20"/>
        </w:rPr>
        <w:t>[4]</w:t>
      </w:r>
      <w:r w:rsidR="00B2716F">
        <w:rPr>
          <w:rFonts w:ascii="Arial" w:hAnsi="Arial" w:cs="Arial"/>
          <w:sz w:val="20"/>
          <w:szCs w:val="20"/>
        </w:rPr>
        <w:fldChar w:fldCharType="end"/>
      </w:r>
      <w:r w:rsidR="00672B92">
        <w:rPr>
          <w:rFonts w:ascii="Arial" w:hAnsi="Arial" w:cs="Arial"/>
          <w:sz w:val="20"/>
          <w:szCs w:val="20"/>
        </w:rPr>
        <w:t xml:space="preserve"> </w:t>
      </w:r>
      <w:r w:rsidR="007A5840">
        <w:rPr>
          <w:rFonts w:ascii="Arial" w:hAnsi="Arial" w:cs="Arial"/>
          <w:sz w:val="20"/>
          <w:szCs w:val="20"/>
        </w:rPr>
        <w:t>show</w:t>
      </w:r>
      <w:r w:rsidR="00B2716F">
        <w:rPr>
          <w:rFonts w:ascii="Arial" w:hAnsi="Arial" w:cs="Arial"/>
          <w:sz w:val="20"/>
          <w:szCs w:val="20"/>
        </w:rPr>
        <w:t xml:space="preserve"> that h</w:t>
      </w:r>
      <w:r w:rsidR="007A5840">
        <w:rPr>
          <w:rFonts w:ascii="Arial" w:hAnsi="Arial" w:cs="Arial"/>
          <w:sz w:val="20"/>
          <w:szCs w:val="20"/>
        </w:rPr>
        <w:t xml:space="preserve">aving </w:t>
      </w:r>
      <w:r w:rsidR="00AE1334">
        <w:rPr>
          <w:rFonts w:ascii="Arial" w:hAnsi="Arial" w:cs="Arial"/>
          <w:sz w:val="20"/>
          <w:szCs w:val="20"/>
        </w:rPr>
        <w:t xml:space="preserve">a </w:t>
      </w:r>
      <w:r w:rsidR="007A5840">
        <w:rPr>
          <w:rFonts w:ascii="Arial" w:hAnsi="Arial" w:cs="Arial"/>
          <w:sz w:val="20"/>
          <w:szCs w:val="20"/>
        </w:rPr>
        <w:t>good forecast can improve</w:t>
      </w:r>
      <w:r w:rsidR="00AE1334">
        <w:rPr>
          <w:rFonts w:ascii="Arial" w:hAnsi="Arial" w:cs="Arial"/>
          <w:sz w:val="20"/>
          <w:szCs w:val="20"/>
        </w:rPr>
        <w:t xml:space="preserve"> service level and </w:t>
      </w:r>
      <w:r w:rsidR="00672B92">
        <w:rPr>
          <w:rFonts w:ascii="Arial" w:hAnsi="Arial" w:cs="Arial"/>
          <w:sz w:val="20"/>
          <w:szCs w:val="20"/>
        </w:rPr>
        <w:t>d</w:t>
      </w:r>
      <w:r w:rsidR="00AE1334">
        <w:rPr>
          <w:rFonts w:ascii="Arial" w:hAnsi="Arial" w:cs="Arial"/>
          <w:sz w:val="20"/>
          <w:szCs w:val="20"/>
        </w:rPr>
        <w:t xml:space="preserve">emand satisfaction rate; it can also </w:t>
      </w:r>
      <w:r w:rsidR="00672B92">
        <w:rPr>
          <w:rFonts w:ascii="Arial" w:hAnsi="Arial" w:cs="Arial"/>
          <w:sz w:val="20"/>
          <w:szCs w:val="20"/>
        </w:rPr>
        <w:t xml:space="preserve">reduce </w:t>
      </w:r>
      <w:r w:rsidR="00B51C46">
        <w:rPr>
          <w:rFonts w:ascii="Arial" w:hAnsi="Arial" w:cs="Arial"/>
          <w:sz w:val="20"/>
          <w:szCs w:val="20"/>
        </w:rPr>
        <w:t xml:space="preserve">total cost </w:t>
      </w:r>
      <w:r w:rsidR="006D582D">
        <w:rPr>
          <w:rFonts w:ascii="Arial" w:hAnsi="Arial" w:cs="Arial"/>
          <w:sz w:val="20"/>
          <w:szCs w:val="20"/>
        </w:rPr>
        <w:t>operations</w:t>
      </w:r>
      <w:r w:rsidR="00672B92">
        <w:rPr>
          <w:rFonts w:ascii="Arial" w:hAnsi="Arial" w:cs="Arial"/>
          <w:sz w:val="20"/>
          <w:szCs w:val="20"/>
        </w:rPr>
        <w:t xml:space="preserve"> in retail</w:t>
      </w:r>
      <w:r w:rsidR="00B2716F">
        <w:rPr>
          <w:rFonts w:ascii="Arial" w:hAnsi="Arial" w:cs="Arial"/>
          <w:sz w:val="20"/>
          <w:szCs w:val="20"/>
        </w:rPr>
        <w:t>.</w:t>
      </w:r>
      <w:r w:rsidR="00672B92" w:rsidRPr="00672B92">
        <w:rPr>
          <w:rFonts w:ascii="Arial" w:hAnsi="Arial" w:cs="Arial"/>
          <w:sz w:val="20"/>
          <w:szCs w:val="20"/>
        </w:rPr>
        <w:t xml:space="preserve"> This is </w:t>
      </w:r>
      <w:r w:rsidR="00026252">
        <w:rPr>
          <w:rFonts w:ascii="Arial" w:hAnsi="Arial" w:cs="Arial"/>
          <w:sz w:val="20"/>
          <w:szCs w:val="20"/>
        </w:rPr>
        <w:t>because retail can anticipate</w:t>
      </w:r>
      <w:r w:rsidR="006D582D">
        <w:rPr>
          <w:rFonts w:ascii="Arial" w:hAnsi="Arial" w:cs="Arial"/>
          <w:sz w:val="20"/>
          <w:szCs w:val="20"/>
        </w:rPr>
        <w:t xml:space="preserve"> the change </w:t>
      </w:r>
      <w:r w:rsidR="00AE1334">
        <w:rPr>
          <w:rFonts w:ascii="Arial" w:hAnsi="Arial" w:cs="Arial"/>
          <w:sz w:val="20"/>
          <w:szCs w:val="20"/>
        </w:rPr>
        <w:t>in</w:t>
      </w:r>
      <w:r w:rsidR="006D582D">
        <w:rPr>
          <w:rFonts w:ascii="Arial" w:hAnsi="Arial" w:cs="Arial"/>
          <w:sz w:val="20"/>
          <w:szCs w:val="20"/>
        </w:rPr>
        <w:t xml:space="preserve"> demand better.</w:t>
      </w:r>
      <w:r w:rsidR="008F7599">
        <w:rPr>
          <w:rFonts w:ascii="Arial" w:hAnsi="Arial" w:cs="Arial"/>
          <w:sz w:val="20"/>
          <w:szCs w:val="20"/>
        </w:rPr>
        <w:t xml:space="preserve"> </w:t>
      </w:r>
      <w:r w:rsidR="00BC4C5C">
        <w:rPr>
          <w:rFonts w:ascii="Arial" w:hAnsi="Arial" w:cs="Arial"/>
          <w:sz w:val="20"/>
          <w:szCs w:val="20"/>
        </w:rPr>
        <w:t>T</w:t>
      </w:r>
      <w:r w:rsidR="00AF4BB5">
        <w:rPr>
          <w:rFonts w:ascii="Arial" w:hAnsi="Arial" w:cs="Arial"/>
          <w:sz w:val="20"/>
          <w:szCs w:val="20"/>
        </w:rPr>
        <w:t>hus, forecasting</w:t>
      </w:r>
      <w:r w:rsidR="00BC4C5C">
        <w:rPr>
          <w:rFonts w:ascii="Arial" w:hAnsi="Arial" w:cs="Arial"/>
          <w:sz w:val="20"/>
          <w:szCs w:val="20"/>
        </w:rPr>
        <w:t xml:space="preserve"> can </w:t>
      </w:r>
      <w:r w:rsidR="00AE1334">
        <w:rPr>
          <w:rFonts w:ascii="Arial" w:hAnsi="Arial" w:cs="Arial"/>
          <w:sz w:val="20"/>
          <w:szCs w:val="20"/>
        </w:rPr>
        <w:t>serve</w:t>
      </w:r>
      <w:r w:rsidR="00BC4C5C">
        <w:rPr>
          <w:rFonts w:ascii="Arial" w:hAnsi="Arial" w:cs="Arial"/>
          <w:sz w:val="20"/>
          <w:szCs w:val="20"/>
        </w:rPr>
        <w:t xml:space="preserve"> as a tool for decision</w:t>
      </w:r>
      <w:r w:rsidR="00AE1334">
        <w:rPr>
          <w:rFonts w:ascii="Arial" w:hAnsi="Arial" w:cs="Arial"/>
          <w:sz w:val="20"/>
          <w:szCs w:val="20"/>
        </w:rPr>
        <w:t>-</w:t>
      </w:r>
      <w:r w:rsidR="00BC4C5C">
        <w:rPr>
          <w:rFonts w:ascii="Arial" w:hAnsi="Arial" w:cs="Arial"/>
          <w:sz w:val="20"/>
          <w:szCs w:val="20"/>
        </w:rPr>
        <w:t xml:space="preserve">making in operating retail </w:t>
      </w:r>
      <w:r w:rsidR="00BC4C5C">
        <w:rPr>
          <w:rFonts w:ascii="Arial" w:hAnsi="Arial" w:cs="Arial"/>
          <w:sz w:val="20"/>
          <w:szCs w:val="20"/>
        </w:rPr>
        <w:fldChar w:fldCharType="begin" w:fldLock="1"/>
      </w:r>
      <w:r w:rsidR="00B538C3">
        <w:rPr>
          <w:rFonts w:ascii="Arial" w:hAnsi="Arial" w:cs="Arial"/>
          <w:sz w:val="20"/>
          <w:szCs w:val="20"/>
        </w:rPr>
        <w:instrText>ADDIN CSL_CITATION {"citationItems":[{"id":"ITEM-1","itemData":{"DOI":"10.1057/s41270-022-00162-x","ISBN":"0123456789","ISSN":"20503326","abstract":"Time series forecasting in retail plays an important role for retailers due to its capacity to aid managers in strategic planning to meet demand. In this article, a comparative experiment between two demand forecasting models is conducted to forecast an aggregate time series in Brazilian food retail on a twelve-year horizon. Performance was analyzed by comparing the accuracy of a linear model, Seasonal Autoregressive Integrated Moving Average (SARIMA), and a non-linear model, and Wavelets Neural Network (WNN). Performance was validated by the Mean Absolute Percentage Error (MAPE) and U-Theil, with a view to achieving the most accurate measurement of demand responsiveness, using the Fill Rate (FR). WNN had the best performance, with a FR of 98.43%, whereas SARIMA achieved a FR of 102.23%. Demand forecasting using WNN can be considered a resource for differentiation between retail organizations when it is incorporated into their operations. This article makes three contributions to the field with an application to retail and strengthening the argument for choosing a promising technique that can be used by managers to aid their decision making.","author":[{"dropping-particle":"","family":"Almeida","given":"Wesley Marcos","non-dropping-particle":"de","parse-names":false,"suffix":""},{"dropping-particle":"","family":"Veiga","given":"Claudimar Pereira","non-dropping-particle":"da","parse-names":false,"suffix":""}],"container-title":"Journal of Marketing Analytics","id":"ITEM-1","issue":"2","issued":{"date-parts":[["2023"]]},"page":"219-232","publisher":"Palgrave Macmillan UK","title":"Does demand forecasting matter to retailing?","type":"article-journal","volume":"11"},"uris":["http://www.mendeley.com/documents/?uuid=b05c72ae-5e63-40d2-bd2e-350692d8cfbc"]}],"mendeley":{"formattedCitation":"[2]","plainTextFormattedCitation":"[2]","previouslyFormattedCitation":"[2]"},"properties":{"noteIndex":0},"schema":"https://github.com/citation-style-language/schema/raw/master/csl-citation.json"}</w:instrText>
      </w:r>
      <w:r w:rsidR="00BC4C5C">
        <w:rPr>
          <w:rFonts w:ascii="Arial" w:hAnsi="Arial" w:cs="Arial"/>
          <w:sz w:val="20"/>
          <w:szCs w:val="20"/>
        </w:rPr>
        <w:fldChar w:fldCharType="separate"/>
      </w:r>
      <w:r w:rsidR="00BC4C5C" w:rsidRPr="00BC4C5C">
        <w:rPr>
          <w:rFonts w:ascii="Arial" w:hAnsi="Arial" w:cs="Arial"/>
          <w:noProof/>
          <w:sz w:val="20"/>
          <w:szCs w:val="20"/>
        </w:rPr>
        <w:t>[2]</w:t>
      </w:r>
      <w:r w:rsidR="00BC4C5C">
        <w:rPr>
          <w:rFonts w:ascii="Arial" w:hAnsi="Arial" w:cs="Arial"/>
          <w:sz w:val="20"/>
          <w:szCs w:val="20"/>
        </w:rPr>
        <w:fldChar w:fldCharType="end"/>
      </w:r>
      <w:r w:rsidR="00BC4C5C">
        <w:rPr>
          <w:rFonts w:ascii="Arial" w:hAnsi="Arial" w:cs="Arial"/>
          <w:sz w:val="20"/>
          <w:szCs w:val="20"/>
        </w:rPr>
        <w:t xml:space="preserve"> and</w:t>
      </w:r>
      <w:r w:rsidR="000679DF">
        <w:rPr>
          <w:rFonts w:ascii="Arial" w:hAnsi="Arial" w:cs="Arial"/>
          <w:sz w:val="20"/>
          <w:szCs w:val="20"/>
        </w:rPr>
        <w:t xml:space="preserve"> </w:t>
      </w:r>
      <w:r w:rsidR="000679DF">
        <w:rPr>
          <w:rFonts w:ascii="Arial" w:hAnsi="Arial" w:cs="Arial"/>
          <w:sz w:val="20"/>
          <w:szCs w:val="20"/>
        </w:rPr>
        <w:t>be an important part of retail to ensure the sustainability of retail operations.</w:t>
      </w:r>
    </w:p>
    <w:p w:rsidR="00A35DF4" w:rsidRPr="005174B3" w:rsidRDefault="003B2207" w:rsidP="008052A9">
      <w:pPr>
        <w:spacing w:after="0" w:line="240" w:lineRule="auto"/>
        <w:ind w:left="0" w:hanging="2"/>
        <w:jc w:val="both"/>
        <w:rPr>
          <w:rFonts w:ascii="Arial" w:hAnsi="Arial" w:cs="Arial"/>
          <w:sz w:val="20"/>
          <w:szCs w:val="20"/>
        </w:rPr>
      </w:pPr>
      <w:r>
        <w:rPr>
          <w:rFonts w:ascii="Arial" w:hAnsi="Arial" w:cs="Arial"/>
          <w:sz w:val="20"/>
          <w:szCs w:val="20"/>
        </w:rPr>
        <w:t xml:space="preserve">Despite </w:t>
      </w:r>
      <w:r w:rsidR="00617661">
        <w:rPr>
          <w:rFonts w:ascii="Arial" w:hAnsi="Arial" w:cs="Arial"/>
          <w:sz w:val="20"/>
          <w:szCs w:val="20"/>
        </w:rPr>
        <w:t>m</w:t>
      </w:r>
      <w:r w:rsidR="00AE1334">
        <w:rPr>
          <w:rFonts w:ascii="Arial" w:hAnsi="Arial" w:cs="Arial"/>
          <w:sz w:val="20"/>
          <w:szCs w:val="20"/>
        </w:rPr>
        <w:t>uch</w:t>
      </w:r>
      <w:r w:rsidR="00617661">
        <w:rPr>
          <w:rFonts w:ascii="Arial" w:hAnsi="Arial" w:cs="Arial"/>
          <w:sz w:val="20"/>
          <w:szCs w:val="20"/>
        </w:rPr>
        <w:t xml:space="preserve"> research </w:t>
      </w:r>
      <w:r w:rsidR="00AF4BB5">
        <w:rPr>
          <w:rFonts w:ascii="Arial" w:hAnsi="Arial" w:cs="Arial"/>
          <w:sz w:val="20"/>
          <w:szCs w:val="20"/>
        </w:rPr>
        <w:t>condu</w:t>
      </w:r>
      <w:r w:rsidR="00617661">
        <w:rPr>
          <w:rFonts w:ascii="Arial" w:hAnsi="Arial" w:cs="Arial"/>
          <w:sz w:val="20"/>
          <w:szCs w:val="20"/>
        </w:rPr>
        <w:t xml:space="preserve">cted </w:t>
      </w:r>
      <w:r w:rsidR="002B0A35">
        <w:rPr>
          <w:rFonts w:ascii="Arial" w:hAnsi="Arial" w:cs="Arial"/>
          <w:sz w:val="20"/>
          <w:szCs w:val="20"/>
        </w:rPr>
        <w:t>about</w:t>
      </w:r>
      <w:r w:rsidR="0018258C">
        <w:rPr>
          <w:rFonts w:ascii="Arial" w:hAnsi="Arial" w:cs="Arial"/>
          <w:sz w:val="20"/>
          <w:szCs w:val="20"/>
        </w:rPr>
        <w:t xml:space="preserve"> forecast</w:t>
      </w:r>
      <w:r w:rsidR="00AE1334">
        <w:rPr>
          <w:rFonts w:ascii="Arial" w:hAnsi="Arial" w:cs="Arial"/>
          <w:sz w:val="20"/>
          <w:szCs w:val="20"/>
        </w:rPr>
        <w:t>s</w:t>
      </w:r>
      <w:r w:rsidR="008F7599">
        <w:rPr>
          <w:rFonts w:ascii="Arial" w:hAnsi="Arial" w:cs="Arial"/>
          <w:sz w:val="20"/>
          <w:szCs w:val="20"/>
        </w:rPr>
        <w:t xml:space="preserve">, </w:t>
      </w:r>
      <w:r w:rsidR="00AE1334">
        <w:rPr>
          <w:rFonts w:ascii="Arial" w:hAnsi="Arial" w:cs="Arial"/>
          <w:sz w:val="20"/>
          <w:szCs w:val="20"/>
        </w:rPr>
        <w:t xml:space="preserve">a </w:t>
      </w:r>
      <w:r w:rsidR="00BC4C5C">
        <w:rPr>
          <w:rFonts w:ascii="Arial" w:hAnsi="Arial" w:cs="Arial"/>
          <w:sz w:val="20"/>
          <w:szCs w:val="20"/>
        </w:rPr>
        <w:t xml:space="preserve">recent study done by </w:t>
      </w:r>
      <w:r w:rsidR="0071316D">
        <w:rPr>
          <w:rFonts w:ascii="Arial" w:hAnsi="Arial" w:cs="Arial"/>
          <w:sz w:val="20"/>
          <w:szCs w:val="20"/>
        </w:rPr>
        <w:t xml:space="preserve">Kumar et al. </w:t>
      </w:r>
      <w:r w:rsidR="0071316D">
        <w:rPr>
          <w:rFonts w:ascii="Arial" w:hAnsi="Arial" w:cs="Arial"/>
          <w:sz w:val="20"/>
          <w:szCs w:val="20"/>
        </w:rPr>
        <w:fldChar w:fldCharType="begin" w:fldLock="1"/>
      </w:r>
      <w:r w:rsidR="00BC4C5C">
        <w:rPr>
          <w:rFonts w:ascii="Arial" w:hAnsi="Arial" w:cs="Arial"/>
          <w:sz w:val="20"/>
          <w:szCs w:val="20"/>
        </w:rPr>
        <w:instrText>ADDIN CSL_CITATION {"citationItems":[{"id":"ITEM-1","itemData":{"DOI":"10.1016/j.indmarman.2019.05.003","ISSN":"00198501","abstract":"This study aims to investigate the contributions of promotional marketing activities, historical demand and other factors to predict, and develop a big data-driven fuzzy classifier-based framework, also called “demand-driven forecasting,” that can shape, sense and respond to real customer demands. The availability of timely information about future customer needs is a key success factor for any business. For profit maximization, manufacturers want to sense demand signals and shape future demands using price, sales, promotion and others economic factors so that they can fulfil customer's orders immediately. However, most demand forecasting systems offer limited insight to manufacturers as they fail to capture contemporary market trends, product seasonality and the impact of forecasting on the magnitude of the bullwhip effect. This paper aims to improve the accuracy of demand forecasts. In order to achieve this, a back-propagation neural network-based model is trained by fuzzy inputs and compared with benchmark forecasting methods on a time series data, by using historical demand and sales data in combination with advertising effectiveness, expenditure, promotions, and marketing events data. A statistical analysis is conducted, and the experiments show that the method used in the proposed framework outperforms in optimality, efficiency and other statistical metrics. Finally, some invaluable insights for managers are presented to improve the forecast accuracy of fuzzy neural networks, develop marketing plans for products and discuss their implications in several fields.","author":[{"dropping-particle":"","family":"Kumar","given":"Ajay","non-dropping-particle":"","parse-names":false,"suffix":""},{"dropping-particle":"","family":"Shankar","given":"Ravi","non-dropping-particle":"","parse-names":false,"suffix":""},{"dropping-particle":"","family":"Aljohani","given":"Naif Radi","non-dropping-particle":"","parse-names":false,"suffix":""}],"container-title":"Industrial Marketing Management","id":"ITEM-1","issue":"November 2018","issued":{"date-parts":[["2020"]]},"page":"493-507","publisher":"Elsevier","title":"A big data driven framework for demand-driven forecasting with effects of marketing-mix variables","type":"article-journal","volume":"90"},"uris":["http://www.mendeley.com/documents/?uuid=6128c807-a4fc-4656-8603-a3434fec39c1"]}],"mendeley":{"formattedCitation":"[5]","plainTextFormattedCitation":"[5]","previouslyFormattedCitation":"[5]"},"properties":{"noteIndex":0},"schema":"https://github.com/citation-style-language/schema/raw/master/csl-citation.json"}</w:instrText>
      </w:r>
      <w:r w:rsidR="0071316D">
        <w:rPr>
          <w:rFonts w:ascii="Arial" w:hAnsi="Arial" w:cs="Arial"/>
          <w:sz w:val="20"/>
          <w:szCs w:val="20"/>
        </w:rPr>
        <w:fldChar w:fldCharType="separate"/>
      </w:r>
      <w:r w:rsidR="0071316D" w:rsidRPr="0071316D">
        <w:rPr>
          <w:rFonts w:ascii="Arial" w:hAnsi="Arial" w:cs="Arial"/>
          <w:noProof/>
          <w:sz w:val="20"/>
          <w:szCs w:val="20"/>
        </w:rPr>
        <w:t>[5]</w:t>
      </w:r>
      <w:r w:rsidR="0071316D">
        <w:rPr>
          <w:rFonts w:ascii="Arial" w:hAnsi="Arial" w:cs="Arial"/>
          <w:sz w:val="20"/>
          <w:szCs w:val="20"/>
        </w:rPr>
        <w:fldChar w:fldCharType="end"/>
      </w:r>
      <w:r w:rsidR="0071316D">
        <w:rPr>
          <w:rFonts w:ascii="Arial" w:hAnsi="Arial" w:cs="Arial"/>
          <w:sz w:val="20"/>
          <w:szCs w:val="20"/>
        </w:rPr>
        <w:t xml:space="preserve"> </w:t>
      </w:r>
      <w:r w:rsidR="008F7599">
        <w:rPr>
          <w:rFonts w:ascii="Arial" w:hAnsi="Arial" w:cs="Arial"/>
          <w:sz w:val="20"/>
          <w:szCs w:val="20"/>
        </w:rPr>
        <w:t>mentioned</w:t>
      </w:r>
      <w:r w:rsidRPr="00F36092">
        <w:rPr>
          <w:rFonts w:ascii="Arial" w:hAnsi="Arial" w:cs="Arial"/>
          <w:color w:val="FF0000"/>
          <w:sz w:val="20"/>
          <w:szCs w:val="20"/>
        </w:rPr>
        <w:t xml:space="preserve"> </w:t>
      </w:r>
      <w:r w:rsidR="00195B44">
        <w:rPr>
          <w:rFonts w:ascii="Arial" w:hAnsi="Arial" w:cs="Arial"/>
          <w:sz w:val="20"/>
          <w:szCs w:val="20"/>
        </w:rPr>
        <w:t xml:space="preserve">there is </w:t>
      </w:r>
      <w:r w:rsidR="00617661">
        <w:rPr>
          <w:rFonts w:ascii="Arial" w:hAnsi="Arial" w:cs="Arial"/>
          <w:sz w:val="20"/>
          <w:szCs w:val="20"/>
        </w:rPr>
        <w:t xml:space="preserve">still </w:t>
      </w:r>
      <w:r>
        <w:rPr>
          <w:rFonts w:ascii="Arial" w:hAnsi="Arial" w:cs="Arial"/>
          <w:sz w:val="20"/>
          <w:szCs w:val="20"/>
        </w:rPr>
        <w:t>a limitation of good forecasting in retail because the forecast method</w:t>
      </w:r>
      <w:r w:rsidR="002B0A35">
        <w:rPr>
          <w:rFonts w:ascii="Arial" w:hAnsi="Arial" w:cs="Arial"/>
          <w:sz w:val="20"/>
          <w:szCs w:val="20"/>
        </w:rPr>
        <w:t>s fail</w:t>
      </w:r>
      <w:r>
        <w:rPr>
          <w:rFonts w:ascii="Arial" w:hAnsi="Arial" w:cs="Arial"/>
          <w:sz w:val="20"/>
          <w:szCs w:val="20"/>
        </w:rPr>
        <w:t xml:space="preserve"> to capture the pattern of the demand, such as</w:t>
      </w:r>
      <w:r w:rsidR="00F36092">
        <w:rPr>
          <w:rFonts w:ascii="Arial" w:hAnsi="Arial" w:cs="Arial"/>
          <w:sz w:val="20"/>
          <w:szCs w:val="20"/>
        </w:rPr>
        <w:t xml:space="preserve"> the trend and seasonal pattern.</w:t>
      </w:r>
      <w:r w:rsidR="00C378C2" w:rsidRPr="00C378C2">
        <w:rPr>
          <w:rFonts w:ascii="Arial" w:hAnsi="Arial" w:cs="Arial"/>
          <w:color w:val="FF0000"/>
          <w:sz w:val="20"/>
          <w:szCs w:val="20"/>
        </w:rPr>
        <w:t xml:space="preserve"> </w:t>
      </w:r>
      <w:r w:rsidR="004048C6">
        <w:rPr>
          <w:rFonts w:ascii="Arial" w:hAnsi="Arial" w:cs="Arial"/>
          <w:sz w:val="20"/>
          <w:szCs w:val="20"/>
        </w:rPr>
        <w:t>To have a good prediction, the forecast model should be able to capture and accommodate the data patterns.</w:t>
      </w:r>
    </w:p>
    <w:p w:rsidR="00356912" w:rsidRDefault="000F03EB" w:rsidP="00356912">
      <w:pPr>
        <w:spacing w:after="0" w:line="240" w:lineRule="auto"/>
        <w:ind w:left="0" w:hanging="2"/>
        <w:jc w:val="both"/>
        <w:rPr>
          <w:rFonts w:ascii="Arial" w:hAnsi="Arial" w:cs="Arial"/>
          <w:sz w:val="20"/>
          <w:szCs w:val="20"/>
        </w:rPr>
      </w:pPr>
      <w:r>
        <w:rPr>
          <w:rFonts w:ascii="Arial" w:hAnsi="Arial" w:cs="Arial"/>
          <w:sz w:val="20"/>
          <w:szCs w:val="20"/>
        </w:rPr>
        <w:t>Based on this concern</w:t>
      </w:r>
      <w:r w:rsidR="00C378C2">
        <w:rPr>
          <w:rFonts w:ascii="Arial" w:hAnsi="Arial" w:cs="Arial"/>
          <w:sz w:val="20"/>
          <w:szCs w:val="20"/>
        </w:rPr>
        <w:t>, this study aims to discuss for</w:t>
      </w:r>
      <w:r w:rsidR="00AE1334">
        <w:rPr>
          <w:rFonts w:ascii="Arial" w:hAnsi="Arial" w:cs="Arial"/>
          <w:sz w:val="20"/>
          <w:szCs w:val="20"/>
        </w:rPr>
        <w:t>e</w:t>
      </w:r>
      <w:r w:rsidR="00C378C2">
        <w:rPr>
          <w:rFonts w:ascii="Arial" w:hAnsi="Arial" w:cs="Arial"/>
          <w:sz w:val="20"/>
          <w:szCs w:val="20"/>
        </w:rPr>
        <w:t xml:space="preserve">casting in retail using ARIMA or SARIMA and </w:t>
      </w:r>
      <w:r w:rsidR="00C378C2">
        <w:rPr>
          <w:rFonts w:ascii="Arial" w:hAnsi="Arial" w:cs="Arial"/>
          <w:sz w:val="20"/>
          <w:szCs w:val="20"/>
        </w:rPr>
        <w:lastRenderedPageBreak/>
        <w:t>decomposition models. T</w:t>
      </w:r>
      <w:r w:rsidR="00AF4BB5">
        <w:rPr>
          <w:rFonts w:ascii="Arial" w:hAnsi="Arial" w:cs="Arial"/>
          <w:sz w:val="20"/>
          <w:szCs w:val="20"/>
        </w:rPr>
        <w:t>hese models are used because both</w:t>
      </w:r>
      <w:r w:rsidR="00A233DC">
        <w:rPr>
          <w:rFonts w:ascii="Arial" w:hAnsi="Arial" w:cs="Arial"/>
          <w:sz w:val="20"/>
          <w:szCs w:val="20"/>
        </w:rPr>
        <w:t xml:space="preserve"> models </w:t>
      </w:r>
      <w:r w:rsidR="00AA5E59">
        <w:rPr>
          <w:rFonts w:ascii="Arial" w:hAnsi="Arial" w:cs="Arial"/>
          <w:sz w:val="20"/>
          <w:szCs w:val="20"/>
        </w:rPr>
        <w:t>are built</w:t>
      </w:r>
      <w:r w:rsidR="00DF6DC6">
        <w:rPr>
          <w:rFonts w:ascii="Arial" w:hAnsi="Arial" w:cs="Arial"/>
          <w:sz w:val="20"/>
          <w:szCs w:val="20"/>
        </w:rPr>
        <w:t xml:space="preserve"> </w:t>
      </w:r>
      <w:r w:rsidR="00A233DC">
        <w:rPr>
          <w:rFonts w:ascii="Arial" w:hAnsi="Arial" w:cs="Arial"/>
          <w:sz w:val="20"/>
          <w:szCs w:val="20"/>
        </w:rPr>
        <w:t>to analyze</w:t>
      </w:r>
      <w:r w:rsidR="00C378C2">
        <w:rPr>
          <w:rFonts w:ascii="Arial" w:hAnsi="Arial" w:cs="Arial"/>
          <w:sz w:val="20"/>
          <w:szCs w:val="20"/>
        </w:rPr>
        <w:t xml:space="preserve"> and </w:t>
      </w:r>
      <w:r w:rsidR="00F63967">
        <w:rPr>
          <w:rFonts w:ascii="Arial" w:hAnsi="Arial" w:cs="Arial"/>
          <w:sz w:val="20"/>
          <w:szCs w:val="20"/>
        </w:rPr>
        <w:t>treat the pattern of the data before proceed</w:t>
      </w:r>
      <w:r w:rsidR="003B20B2">
        <w:rPr>
          <w:rFonts w:ascii="Arial" w:hAnsi="Arial" w:cs="Arial"/>
          <w:sz w:val="20"/>
          <w:szCs w:val="20"/>
        </w:rPr>
        <w:t>ing</w:t>
      </w:r>
      <w:r w:rsidR="00BA6677">
        <w:rPr>
          <w:rFonts w:ascii="Arial" w:hAnsi="Arial" w:cs="Arial"/>
          <w:sz w:val="20"/>
          <w:szCs w:val="20"/>
        </w:rPr>
        <w:t xml:space="preserve"> with</w:t>
      </w:r>
      <w:r w:rsidR="00AE1334">
        <w:rPr>
          <w:rFonts w:ascii="Arial" w:hAnsi="Arial" w:cs="Arial"/>
          <w:sz w:val="20"/>
          <w:szCs w:val="20"/>
        </w:rPr>
        <w:t xml:space="preserve"> </w:t>
      </w:r>
      <w:r w:rsidR="00A35DF4">
        <w:rPr>
          <w:rFonts w:ascii="Arial" w:hAnsi="Arial" w:cs="Arial"/>
          <w:sz w:val="20"/>
          <w:szCs w:val="20"/>
        </w:rPr>
        <w:t>the forecast</w:t>
      </w:r>
      <w:r w:rsidR="00AA5E59">
        <w:rPr>
          <w:rFonts w:ascii="Arial" w:hAnsi="Arial" w:cs="Arial"/>
          <w:sz w:val="20"/>
          <w:szCs w:val="20"/>
        </w:rPr>
        <w:t xml:space="preserve"> </w:t>
      </w:r>
      <w:r w:rsidR="00AA5E59">
        <w:rPr>
          <w:rFonts w:ascii="Arial" w:hAnsi="Arial" w:cs="Arial"/>
          <w:sz w:val="20"/>
          <w:szCs w:val="20"/>
        </w:rPr>
        <w:fldChar w:fldCharType="begin" w:fldLock="1"/>
      </w:r>
      <w:r w:rsidR="00AA5E59">
        <w:rPr>
          <w:rFonts w:ascii="Arial" w:hAnsi="Arial" w:cs="Arial"/>
          <w:sz w:val="20"/>
          <w:szCs w:val="20"/>
        </w:rPr>
        <w:instrText>ADDIN CSL_CITATION {"citationItems":[{"id":"ITEM-1","itemData":{"author":[{"dropping-particle":"","family":"Hyndman","given":"Rob J","non-dropping-particle":"","parse-names":false,"suffix":""},{"dropping-particle":"","family":"Athanasopoulos","given":"George","non-dropping-particle":"","parse-names":false,"suffix":""}],"edition":"3th","id":"ITEM-1","issued":{"date-parts":[["2021"]]},"publisher-place":"Melbourne, Australia","title":"Forecasting : Principles and Practice","type":"book"},"uris":["http://www.mendeley.com/documents/?uuid=51ab2751-17b3-4670-a13a-db2b84473a56"]}],"mendeley":{"formattedCitation":"[6]","plainTextFormattedCitation":"[6]","previouslyFormattedCitation":"[6]"},"properties":{"noteIndex":0},"schema":"https://github.com/citation-style-language/schema/raw/master/csl-citation.json"}</w:instrText>
      </w:r>
      <w:r w:rsidR="00AA5E59">
        <w:rPr>
          <w:rFonts w:ascii="Arial" w:hAnsi="Arial" w:cs="Arial"/>
          <w:sz w:val="20"/>
          <w:szCs w:val="20"/>
        </w:rPr>
        <w:fldChar w:fldCharType="separate"/>
      </w:r>
      <w:r w:rsidR="00AA5E59" w:rsidRPr="00AA5E59">
        <w:rPr>
          <w:rFonts w:ascii="Arial" w:hAnsi="Arial" w:cs="Arial"/>
          <w:noProof/>
          <w:sz w:val="20"/>
          <w:szCs w:val="20"/>
        </w:rPr>
        <w:t>[6]</w:t>
      </w:r>
      <w:r w:rsidR="00AA5E59">
        <w:rPr>
          <w:rFonts w:ascii="Arial" w:hAnsi="Arial" w:cs="Arial"/>
          <w:sz w:val="20"/>
          <w:szCs w:val="20"/>
        </w:rPr>
        <w:fldChar w:fldCharType="end"/>
      </w:r>
      <w:r w:rsidR="00A35DF4">
        <w:rPr>
          <w:rFonts w:ascii="Arial" w:hAnsi="Arial" w:cs="Arial"/>
          <w:sz w:val="20"/>
          <w:szCs w:val="20"/>
        </w:rPr>
        <w:t>. F</w:t>
      </w:r>
      <w:r w:rsidR="00F63967">
        <w:rPr>
          <w:rFonts w:ascii="Arial" w:hAnsi="Arial" w:cs="Arial"/>
          <w:sz w:val="20"/>
          <w:szCs w:val="20"/>
        </w:rPr>
        <w:t>orcing the forecas</w:t>
      </w:r>
      <w:r w:rsidR="008C1560">
        <w:rPr>
          <w:rFonts w:ascii="Arial" w:hAnsi="Arial" w:cs="Arial"/>
          <w:sz w:val="20"/>
          <w:szCs w:val="20"/>
        </w:rPr>
        <w:t>t model</w:t>
      </w:r>
      <w:r w:rsidR="008E4FB5">
        <w:rPr>
          <w:rFonts w:ascii="Arial" w:hAnsi="Arial" w:cs="Arial"/>
          <w:sz w:val="20"/>
          <w:szCs w:val="20"/>
        </w:rPr>
        <w:t xml:space="preserve">s </w:t>
      </w:r>
      <w:proofErr w:type="spellStart"/>
      <w:r w:rsidR="008E4FB5">
        <w:rPr>
          <w:rFonts w:ascii="Arial" w:hAnsi="Arial" w:cs="Arial"/>
          <w:sz w:val="20"/>
          <w:szCs w:val="20"/>
        </w:rPr>
        <w:t>can not</w:t>
      </w:r>
      <w:proofErr w:type="spellEnd"/>
      <w:r w:rsidR="008C1560">
        <w:rPr>
          <w:rFonts w:ascii="Arial" w:hAnsi="Arial" w:cs="Arial"/>
          <w:sz w:val="20"/>
          <w:szCs w:val="20"/>
        </w:rPr>
        <w:t xml:space="preserve"> neglect the trend and seasonal data pattern.</w:t>
      </w:r>
    </w:p>
    <w:p w:rsidR="00810B88" w:rsidRDefault="00810B88" w:rsidP="00356912">
      <w:pPr>
        <w:spacing w:after="0" w:line="240" w:lineRule="auto"/>
        <w:ind w:left="0" w:hanging="2"/>
        <w:jc w:val="both"/>
        <w:rPr>
          <w:rFonts w:ascii="Arial" w:hAnsi="Arial" w:cs="Arial"/>
          <w:sz w:val="20"/>
          <w:szCs w:val="20"/>
        </w:rPr>
      </w:pPr>
      <w:r>
        <w:rPr>
          <w:rFonts w:ascii="Arial" w:hAnsi="Arial" w:cs="Arial"/>
          <w:sz w:val="20"/>
          <w:szCs w:val="20"/>
        </w:rPr>
        <w:t xml:space="preserve">Moreover, </w:t>
      </w:r>
      <w:r w:rsidR="000F71D7">
        <w:rPr>
          <w:rFonts w:ascii="Arial" w:hAnsi="Arial" w:cs="Arial"/>
          <w:sz w:val="20"/>
          <w:szCs w:val="20"/>
        </w:rPr>
        <w:t xml:space="preserve">Almeida </w:t>
      </w:r>
      <w:r w:rsidR="00231587">
        <w:rPr>
          <w:rFonts w:ascii="Arial" w:hAnsi="Arial" w:cs="Arial"/>
          <w:sz w:val="20"/>
          <w:szCs w:val="20"/>
        </w:rPr>
        <w:t xml:space="preserve">and </w:t>
      </w:r>
      <w:proofErr w:type="spellStart"/>
      <w:r w:rsidR="00231587">
        <w:rPr>
          <w:rFonts w:ascii="Arial" w:hAnsi="Arial" w:cs="Arial"/>
          <w:sz w:val="20"/>
          <w:szCs w:val="20"/>
        </w:rPr>
        <w:t>Veiga</w:t>
      </w:r>
      <w:proofErr w:type="spellEnd"/>
      <w:r w:rsidR="000F71D7">
        <w:rPr>
          <w:rFonts w:ascii="Arial" w:hAnsi="Arial" w:cs="Arial"/>
          <w:sz w:val="20"/>
          <w:szCs w:val="20"/>
        </w:rPr>
        <w:t xml:space="preserve"> </w:t>
      </w:r>
      <w:r w:rsidR="000F71D7">
        <w:rPr>
          <w:rFonts w:ascii="Arial" w:hAnsi="Arial" w:cs="Arial"/>
          <w:sz w:val="20"/>
          <w:szCs w:val="20"/>
        </w:rPr>
        <w:fldChar w:fldCharType="begin" w:fldLock="1"/>
      </w:r>
      <w:r w:rsidR="000F71D7">
        <w:rPr>
          <w:rFonts w:ascii="Arial" w:hAnsi="Arial" w:cs="Arial"/>
          <w:sz w:val="20"/>
          <w:szCs w:val="20"/>
        </w:rPr>
        <w:instrText>ADDIN CSL_CITATION {"citationItems":[{"id":"ITEM-1","itemData":{"DOI":"10.1057/s41270-022-00162-x","ISBN":"0123456789","ISSN":"20503326","abstract":"Time series forecasting in retail plays an important role for retailers due to its capacity to aid managers in strategic planning to meet demand. In this article, a comparative experiment between two demand forecasting models is conducted to forecast an aggregate time series in Brazilian food retail on a twelve-year horizon. Performance was analyzed by comparing the accuracy of a linear model, Seasonal Autoregressive Integrated Moving Average (SARIMA), and a non-linear model, and Wavelets Neural Network (WNN). Performance was validated by the Mean Absolute Percentage Error (MAPE) and U-Theil, with a view to achieving the most accurate measurement of demand responsiveness, using the Fill Rate (FR). WNN had the best performance, with a FR of 98.43%, whereas SARIMA achieved a FR of 102.23%. Demand forecasting using WNN can be considered a resource for differentiation between retail organizations when it is incorporated into their operations. This article makes three contributions to the field with an application to retail and strengthening the argument for choosing a promising technique that can be used by managers to aid their decision making.","author":[{"dropping-particle":"","family":"Almeida","given":"Wesley Marcos","non-dropping-particle":"de","parse-names":false,"suffix":""},{"dropping-particle":"","family":"Veiga","given":"Claudimar Pereira","non-dropping-particle":"da","parse-names":false,"suffix":""}],"container-title":"Journal of Marketing Analytics","id":"ITEM-1","issue":"2","issued":{"date-parts":[["2023"]]},"page":"219-232","publisher":"Palgrave Macmillan UK","title":"Does demand forecasting matter to retailing?","type":"article-journal","volume":"11"},"uris":["http://www.mendeley.com/documents/?uuid=b05c72ae-5e63-40d2-bd2e-350692d8cfbc"]}],"mendeley":{"formattedCitation":"[2]","plainTextFormattedCitation":"[2]","previouslyFormattedCitation":"[2]"},"properties":{"noteIndex":0},"schema":"https://github.com/citation-style-language/schema/raw/master/csl-citation.json"}</w:instrText>
      </w:r>
      <w:r w:rsidR="000F71D7">
        <w:rPr>
          <w:rFonts w:ascii="Arial" w:hAnsi="Arial" w:cs="Arial"/>
          <w:sz w:val="20"/>
          <w:szCs w:val="20"/>
        </w:rPr>
        <w:fldChar w:fldCharType="separate"/>
      </w:r>
      <w:r w:rsidR="000F71D7" w:rsidRPr="000F71D7">
        <w:rPr>
          <w:rFonts w:ascii="Arial" w:hAnsi="Arial" w:cs="Arial"/>
          <w:noProof/>
          <w:sz w:val="20"/>
          <w:szCs w:val="20"/>
        </w:rPr>
        <w:t>[2]</w:t>
      </w:r>
      <w:r w:rsidR="000F71D7">
        <w:rPr>
          <w:rFonts w:ascii="Arial" w:hAnsi="Arial" w:cs="Arial"/>
          <w:sz w:val="20"/>
          <w:szCs w:val="20"/>
        </w:rPr>
        <w:fldChar w:fldCharType="end"/>
      </w:r>
      <w:r w:rsidR="00AA5E59">
        <w:rPr>
          <w:rFonts w:ascii="Arial" w:hAnsi="Arial" w:cs="Arial"/>
          <w:sz w:val="20"/>
          <w:szCs w:val="20"/>
        </w:rPr>
        <w:t>,</w:t>
      </w:r>
      <w:r w:rsidR="000F71D7">
        <w:rPr>
          <w:rFonts w:ascii="Arial" w:hAnsi="Arial" w:cs="Arial"/>
          <w:sz w:val="20"/>
          <w:szCs w:val="20"/>
        </w:rPr>
        <w:t xml:space="preserve"> </w:t>
      </w:r>
      <w:r w:rsidR="000A22A3">
        <w:rPr>
          <w:rFonts w:ascii="Arial" w:hAnsi="Arial" w:cs="Arial"/>
          <w:noProof/>
          <w:sz w:val="20"/>
          <w:szCs w:val="24"/>
        </w:rPr>
        <w:t xml:space="preserve">Hyndman and </w:t>
      </w:r>
      <w:r w:rsidR="000A22A3" w:rsidRPr="00AA5E59">
        <w:rPr>
          <w:rFonts w:ascii="Arial" w:hAnsi="Arial" w:cs="Arial"/>
          <w:noProof/>
          <w:sz w:val="20"/>
          <w:szCs w:val="24"/>
        </w:rPr>
        <w:t>Athanasopoulos</w:t>
      </w:r>
      <w:r w:rsidR="000A22A3">
        <w:rPr>
          <w:rFonts w:ascii="Arial" w:hAnsi="Arial" w:cs="Arial"/>
          <w:noProof/>
          <w:sz w:val="20"/>
          <w:szCs w:val="24"/>
        </w:rPr>
        <w:t xml:space="preserve"> </w:t>
      </w:r>
      <w:r w:rsidR="000A22A3">
        <w:rPr>
          <w:rFonts w:ascii="Arial" w:hAnsi="Arial" w:cs="Arial"/>
          <w:noProof/>
          <w:sz w:val="20"/>
          <w:szCs w:val="24"/>
        </w:rPr>
        <w:fldChar w:fldCharType="begin" w:fldLock="1"/>
      </w:r>
      <w:r w:rsidR="000A22A3">
        <w:rPr>
          <w:rFonts w:ascii="Arial" w:hAnsi="Arial" w:cs="Arial"/>
          <w:noProof/>
          <w:sz w:val="20"/>
          <w:szCs w:val="24"/>
        </w:rPr>
        <w:instrText>ADDIN CSL_CITATION {"citationItems":[{"id":"ITEM-1","itemData":{"author":[{"dropping-particle":"","family":"Hyndman","given":"Rob J","non-dropping-particle":"","parse-names":false,"suffix":""},{"dropping-particle":"","family":"Athanasopoulos","given":"George","non-dropping-particle":"","parse-names":false,"suffix":""}],"edition":"3th","id":"ITEM-1","issued":{"date-parts":[["2021"]]},"publisher-place":"Melbourne, Australia","title":"Forecasting : Principles and Practice","type":"book"},"uris":["http://www.mendeley.com/documents/?uuid=51ab2751-17b3-4670-a13a-db2b84473a56"]}],"mendeley":{"formattedCitation":"[6]","plainTextFormattedCitation":"[6]","previouslyFormattedCitation":"[6]"},"properties":{"noteIndex":0},"schema":"https://github.com/citation-style-language/schema/raw/master/csl-citation.json"}</w:instrText>
      </w:r>
      <w:r w:rsidR="000A22A3">
        <w:rPr>
          <w:rFonts w:ascii="Arial" w:hAnsi="Arial" w:cs="Arial"/>
          <w:noProof/>
          <w:sz w:val="20"/>
          <w:szCs w:val="24"/>
        </w:rPr>
        <w:fldChar w:fldCharType="separate"/>
      </w:r>
      <w:r w:rsidR="000A22A3" w:rsidRPr="00AA5E59">
        <w:rPr>
          <w:rFonts w:ascii="Arial" w:hAnsi="Arial" w:cs="Arial"/>
          <w:noProof/>
          <w:sz w:val="20"/>
          <w:szCs w:val="24"/>
        </w:rPr>
        <w:t>[6]</w:t>
      </w:r>
      <w:r w:rsidR="000A22A3">
        <w:rPr>
          <w:rFonts w:ascii="Arial" w:hAnsi="Arial" w:cs="Arial"/>
          <w:noProof/>
          <w:sz w:val="20"/>
          <w:szCs w:val="24"/>
        </w:rPr>
        <w:fldChar w:fldCharType="end"/>
      </w:r>
      <w:r w:rsidR="000A22A3">
        <w:rPr>
          <w:rFonts w:ascii="Arial" w:hAnsi="Arial" w:cs="Arial"/>
          <w:noProof/>
          <w:sz w:val="20"/>
          <w:szCs w:val="24"/>
        </w:rPr>
        <w:t xml:space="preserve">, and </w:t>
      </w:r>
      <w:r w:rsidR="00CA453F">
        <w:rPr>
          <w:rFonts w:ascii="Arial" w:hAnsi="Arial" w:cs="Arial"/>
          <w:sz w:val="20"/>
          <w:szCs w:val="20"/>
        </w:rPr>
        <w:t xml:space="preserve">Hasan et al </w:t>
      </w:r>
      <w:r w:rsidR="00CA453F">
        <w:rPr>
          <w:rFonts w:ascii="Arial" w:hAnsi="Arial" w:cs="Arial"/>
          <w:sz w:val="20"/>
          <w:szCs w:val="20"/>
        </w:rPr>
        <w:fldChar w:fldCharType="begin" w:fldLock="1"/>
      </w:r>
      <w:r w:rsidR="00AA5E59">
        <w:rPr>
          <w:rFonts w:ascii="Arial" w:hAnsi="Arial" w:cs="Arial"/>
          <w:sz w:val="20"/>
          <w:szCs w:val="20"/>
        </w:rPr>
        <w:instrText>ADDIN CSL_CITATION {"citationItems":[{"id":"ITEM-1","itemData":{"abstract":"Predicting product sales of large retail companies is a challenging task considering volatile nature of trends, seasonalities, events as well as unknown factors such as market competitions, change in customer's preferences, or unforeseen events, e.g., COVID-19 outbreak. In this paper, we benchmark forecasting models on historical sales data from Walmart to predict their future sales. We provide a comprehensive theoretical overview and analysis of the state-of-the-art timeseries forecasting models. Then, we apply these models on the forecasting challenge dataset (M5 forecasting by Kaggle). Specifically, we use a traditional model, namely, ARIMA (Autoregressive Integrated Moving Average), and recently developed advanced models e.g., Prophet model developed by Facebook, light gradient boosting machine (LightGBM) model developed by Microsoft and benchmark their performances. Results suggest that ARIMA model outperforms the Facebook Prophet and LightGBM model while the LightGBM model achieves huge computational gain for the large dataset with negligible compromise in the prediction accuracy.","author":[{"dropping-particle":"","family":"Hasan","given":"Md Rashidul","non-dropping-particle":"","parse-names":false,"suffix":""},{"dropping-particle":"","family":"Kabir","given":"Muntasir A","non-dropping-particle":"","parse-names":false,"suffix":""},{"dropping-particle":"","family":"Shuvro","given":"Rezoan A","non-dropping-particle":"","parse-names":false,"suffix":""},{"dropping-particle":"","family":"Das","given":"Pankaz","non-dropping-particle":"","parse-names":false,"suffix":""}],"container-title":"arXiv","id":"ITEM-1","issued":{"date-parts":[["2022"]]},"page":"1-14","title":"A Comparative Study on Forecasting of Retail Sales","type":"article-journal"},"uris":["http://www.mendeley.com/documents/?uuid=56a486b1-2cd6-47df-a8fe-fe57b753cba8"]}],"mendeley":{"formattedCitation":"[7]","plainTextFormattedCitation":"[7]","previouslyFormattedCitation":"[7]"},"properties":{"noteIndex":0},"schema":"https://github.com/citation-style-language/schema/raw/master/csl-citation.json"}</w:instrText>
      </w:r>
      <w:r w:rsidR="00CA453F">
        <w:rPr>
          <w:rFonts w:ascii="Arial" w:hAnsi="Arial" w:cs="Arial"/>
          <w:sz w:val="20"/>
          <w:szCs w:val="20"/>
        </w:rPr>
        <w:fldChar w:fldCharType="separate"/>
      </w:r>
      <w:r w:rsidR="00AA5E59" w:rsidRPr="00AA5E59">
        <w:rPr>
          <w:rFonts w:ascii="Arial" w:hAnsi="Arial" w:cs="Arial"/>
          <w:noProof/>
          <w:sz w:val="20"/>
          <w:szCs w:val="20"/>
        </w:rPr>
        <w:t>[7]</w:t>
      </w:r>
      <w:r w:rsidR="00CA453F">
        <w:rPr>
          <w:rFonts w:ascii="Arial" w:hAnsi="Arial" w:cs="Arial"/>
          <w:sz w:val="20"/>
          <w:szCs w:val="20"/>
        </w:rPr>
        <w:fldChar w:fldCharType="end"/>
      </w:r>
      <w:r w:rsidR="00AA5E59">
        <w:rPr>
          <w:rFonts w:ascii="Arial" w:hAnsi="Arial" w:cs="Arial"/>
          <w:sz w:val="20"/>
          <w:szCs w:val="20"/>
        </w:rPr>
        <w:t>,</w:t>
      </w:r>
      <w:r w:rsidR="000F71D7">
        <w:rPr>
          <w:rFonts w:ascii="Arial" w:hAnsi="Arial" w:cs="Arial"/>
          <w:sz w:val="20"/>
          <w:szCs w:val="20"/>
        </w:rPr>
        <w:t xml:space="preserve"> mentioned</w:t>
      </w:r>
      <w:r w:rsidR="002B0A35">
        <w:rPr>
          <w:rFonts w:ascii="Arial" w:hAnsi="Arial" w:cs="Arial"/>
          <w:sz w:val="20"/>
          <w:szCs w:val="20"/>
        </w:rPr>
        <w:t xml:space="preserve"> that</w:t>
      </w:r>
      <w:r w:rsidR="00CA453F">
        <w:rPr>
          <w:rFonts w:ascii="Arial" w:hAnsi="Arial" w:cs="Arial"/>
          <w:sz w:val="20"/>
          <w:szCs w:val="20"/>
        </w:rPr>
        <w:t xml:space="preserve"> </w:t>
      </w:r>
      <w:r w:rsidR="00AA5E59">
        <w:rPr>
          <w:rFonts w:ascii="Arial" w:hAnsi="Arial" w:cs="Arial"/>
          <w:sz w:val="20"/>
          <w:szCs w:val="20"/>
        </w:rPr>
        <w:t xml:space="preserve">ARIMA or </w:t>
      </w:r>
      <w:r w:rsidR="00CA453F">
        <w:rPr>
          <w:rFonts w:ascii="Arial" w:hAnsi="Arial" w:cs="Arial"/>
          <w:sz w:val="20"/>
          <w:szCs w:val="20"/>
        </w:rPr>
        <w:t>S</w:t>
      </w:r>
      <w:r w:rsidRPr="00170F49">
        <w:rPr>
          <w:rFonts w:ascii="Arial" w:hAnsi="Arial" w:cs="Arial"/>
          <w:sz w:val="20"/>
          <w:szCs w:val="20"/>
        </w:rPr>
        <w:t>ARIMA</w:t>
      </w:r>
      <w:r w:rsidR="00CA453F">
        <w:rPr>
          <w:rFonts w:ascii="Arial" w:hAnsi="Arial" w:cs="Arial"/>
          <w:sz w:val="20"/>
          <w:szCs w:val="20"/>
        </w:rPr>
        <w:t xml:space="preserve"> </w:t>
      </w:r>
      <w:r w:rsidR="000F71D7">
        <w:rPr>
          <w:rFonts w:ascii="Arial" w:hAnsi="Arial" w:cs="Arial"/>
          <w:sz w:val="20"/>
          <w:szCs w:val="20"/>
        </w:rPr>
        <w:t xml:space="preserve">is widely used because it </w:t>
      </w:r>
      <w:r w:rsidR="00CA453F">
        <w:rPr>
          <w:rFonts w:ascii="Arial" w:hAnsi="Arial" w:cs="Arial"/>
          <w:sz w:val="20"/>
          <w:szCs w:val="20"/>
        </w:rPr>
        <w:t xml:space="preserve">can </w:t>
      </w:r>
      <w:r w:rsidRPr="00170F49">
        <w:rPr>
          <w:rFonts w:ascii="Arial" w:hAnsi="Arial" w:cs="Arial"/>
          <w:sz w:val="20"/>
          <w:szCs w:val="20"/>
        </w:rPr>
        <w:t xml:space="preserve">forecast demand well </w:t>
      </w:r>
      <w:r>
        <w:rPr>
          <w:rFonts w:ascii="Arial" w:hAnsi="Arial" w:cs="Arial"/>
          <w:sz w:val="20"/>
          <w:szCs w:val="20"/>
        </w:rPr>
        <w:t xml:space="preserve">even when </w:t>
      </w:r>
      <w:r w:rsidRPr="00170F49">
        <w:rPr>
          <w:rFonts w:ascii="Arial" w:hAnsi="Arial" w:cs="Arial"/>
          <w:sz w:val="20"/>
          <w:szCs w:val="20"/>
        </w:rPr>
        <w:t>compare</w:t>
      </w:r>
      <w:r w:rsidR="00B538C3">
        <w:rPr>
          <w:rFonts w:ascii="Arial" w:hAnsi="Arial" w:cs="Arial"/>
          <w:sz w:val="20"/>
          <w:szCs w:val="20"/>
        </w:rPr>
        <w:t>d to more recent forecast model</w:t>
      </w:r>
      <w:r w:rsidR="00AE1334">
        <w:rPr>
          <w:rFonts w:ascii="Arial" w:hAnsi="Arial" w:cs="Arial"/>
          <w:sz w:val="20"/>
          <w:szCs w:val="20"/>
        </w:rPr>
        <w:t>s</w:t>
      </w:r>
      <w:r w:rsidR="00B538C3">
        <w:rPr>
          <w:rFonts w:ascii="Arial" w:hAnsi="Arial" w:cs="Arial"/>
          <w:sz w:val="20"/>
          <w:szCs w:val="20"/>
        </w:rPr>
        <w:t xml:space="preserve">. </w:t>
      </w:r>
      <w:r>
        <w:rPr>
          <w:rFonts w:ascii="Arial" w:hAnsi="Arial" w:cs="Arial"/>
          <w:sz w:val="20"/>
          <w:szCs w:val="20"/>
        </w:rPr>
        <w:t xml:space="preserve">It is worth noting that </w:t>
      </w:r>
      <w:r w:rsidRPr="00170F49">
        <w:rPr>
          <w:rFonts w:ascii="Arial" w:hAnsi="Arial" w:cs="Arial"/>
          <w:sz w:val="20"/>
          <w:szCs w:val="20"/>
        </w:rPr>
        <w:t>SARIMA is the extension of the ARIMA model</w:t>
      </w:r>
      <w:r>
        <w:rPr>
          <w:rFonts w:ascii="Arial" w:hAnsi="Arial" w:cs="Arial"/>
          <w:sz w:val="20"/>
          <w:szCs w:val="20"/>
        </w:rPr>
        <w:t xml:space="preserve"> for </w:t>
      </w:r>
      <w:r w:rsidR="00B538C3">
        <w:rPr>
          <w:rFonts w:ascii="Arial" w:hAnsi="Arial" w:cs="Arial"/>
          <w:sz w:val="20"/>
          <w:szCs w:val="20"/>
        </w:rPr>
        <w:t>accommodating</w:t>
      </w:r>
      <w:r>
        <w:rPr>
          <w:rFonts w:ascii="Arial" w:hAnsi="Arial" w:cs="Arial"/>
          <w:sz w:val="20"/>
          <w:szCs w:val="20"/>
        </w:rPr>
        <w:t xml:space="preserve"> seasonal data pattern</w:t>
      </w:r>
      <w:r w:rsidR="00AE1334">
        <w:rPr>
          <w:rFonts w:ascii="Arial" w:hAnsi="Arial" w:cs="Arial"/>
          <w:sz w:val="20"/>
          <w:szCs w:val="20"/>
        </w:rPr>
        <w:t>s</w:t>
      </w:r>
      <w:r w:rsidRPr="00170F49">
        <w:rPr>
          <w:rFonts w:ascii="Arial" w:hAnsi="Arial" w:cs="Arial"/>
          <w:sz w:val="20"/>
          <w:szCs w:val="20"/>
        </w:rPr>
        <w:t>.</w:t>
      </w:r>
    </w:p>
    <w:p w:rsidR="007174B8" w:rsidRDefault="00356912" w:rsidP="003A1B83">
      <w:pPr>
        <w:spacing w:after="0" w:line="240" w:lineRule="auto"/>
        <w:ind w:left="0" w:hanging="2"/>
        <w:jc w:val="both"/>
        <w:rPr>
          <w:rFonts w:ascii="Arial" w:hAnsi="Arial" w:cs="Arial"/>
          <w:sz w:val="20"/>
          <w:szCs w:val="20"/>
        </w:rPr>
      </w:pPr>
      <w:r>
        <w:rPr>
          <w:rFonts w:ascii="Arial" w:hAnsi="Arial" w:cs="Arial"/>
          <w:sz w:val="20"/>
          <w:szCs w:val="20"/>
        </w:rPr>
        <w:t xml:space="preserve">Despite the similar way of proceeding </w:t>
      </w:r>
      <w:r w:rsidR="00AE1334">
        <w:rPr>
          <w:rFonts w:ascii="Arial" w:hAnsi="Arial" w:cs="Arial"/>
          <w:sz w:val="20"/>
          <w:szCs w:val="20"/>
        </w:rPr>
        <w:t xml:space="preserve">with </w:t>
      </w:r>
      <w:r>
        <w:rPr>
          <w:rFonts w:ascii="Arial" w:hAnsi="Arial" w:cs="Arial"/>
          <w:sz w:val="20"/>
          <w:szCs w:val="20"/>
        </w:rPr>
        <w:t xml:space="preserve">the forecast, there is still </w:t>
      </w:r>
      <w:r w:rsidR="00AE1334">
        <w:rPr>
          <w:rFonts w:ascii="Arial" w:hAnsi="Arial" w:cs="Arial"/>
          <w:sz w:val="20"/>
          <w:szCs w:val="20"/>
        </w:rPr>
        <w:t xml:space="preserve">a </w:t>
      </w:r>
      <w:r>
        <w:rPr>
          <w:rFonts w:ascii="Arial" w:hAnsi="Arial" w:cs="Arial"/>
          <w:sz w:val="20"/>
          <w:szCs w:val="20"/>
        </w:rPr>
        <w:t>lack of study that compare</w:t>
      </w:r>
      <w:r w:rsidR="00AE1334">
        <w:rPr>
          <w:rFonts w:ascii="Arial" w:hAnsi="Arial" w:cs="Arial"/>
          <w:sz w:val="20"/>
          <w:szCs w:val="20"/>
        </w:rPr>
        <w:t>s</w:t>
      </w:r>
      <w:r>
        <w:rPr>
          <w:rFonts w:ascii="Arial" w:hAnsi="Arial" w:cs="Arial"/>
          <w:sz w:val="20"/>
          <w:szCs w:val="20"/>
        </w:rPr>
        <w:t xml:space="preserve"> both models to find the model that </w:t>
      </w:r>
      <w:r w:rsidR="00AE1334">
        <w:rPr>
          <w:rFonts w:ascii="Arial" w:hAnsi="Arial" w:cs="Arial"/>
          <w:sz w:val="20"/>
          <w:szCs w:val="20"/>
        </w:rPr>
        <w:t xml:space="preserve">is </w:t>
      </w:r>
      <w:r>
        <w:rPr>
          <w:rFonts w:ascii="Arial" w:hAnsi="Arial" w:cs="Arial"/>
          <w:sz w:val="20"/>
          <w:szCs w:val="20"/>
        </w:rPr>
        <w:t xml:space="preserve">more sensitive </w:t>
      </w:r>
      <w:r w:rsidR="00AE1334">
        <w:rPr>
          <w:rFonts w:ascii="Arial" w:hAnsi="Arial" w:cs="Arial"/>
          <w:sz w:val="20"/>
          <w:szCs w:val="20"/>
        </w:rPr>
        <w:t>to</w:t>
      </w:r>
      <w:r w:rsidR="004F5BA9">
        <w:rPr>
          <w:rFonts w:ascii="Arial" w:hAnsi="Arial" w:cs="Arial"/>
          <w:sz w:val="20"/>
          <w:szCs w:val="20"/>
        </w:rPr>
        <w:t xml:space="preserve"> the </w:t>
      </w:r>
      <w:r>
        <w:rPr>
          <w:rFonts w:ascii="Arial" w:hAnsi="Arial" w:cs="Arial"/>
          <w:sz w:val="20"/>
          <w:szCs w:val="20"/>
        </w:rPr>
        <w:t>data</w:t>
      </w:r>
      <w:r w:rsidR="004F5BA9">
        <w:rPr>
          <w:rFonts w:ascii="Arial" w:hAnsi="Arial" w:cs="Arial"/>
          <w:sz w:val="20"/>
          <w:szCs w:val="20"/>
        </w:rPr>
        <w:t xml:space="preserve"> pattern</w:t>
      </w:r>
      <w:r w:rsidR="00B869E3">
        <w:rPr>
          <w:rFonts w:ascii="Arial" w:hAnsi="Arial" w:cs="Arial"/>
          <w:sz w:val="20"/>
          <w:szCs w:val="20"/>
        </w:rPr>
        <w:t xml:space="preserve">. </w:t>
      </w:r>
      <w:r w:rsidR="003A1B83">
        <w:rPr>
          <w:rFonts w:ascii="Arial" w:hAnsi="Arial" w:cs="Arial"/>
          <w:sz w:val="20"/>
          <w:szCs w:val="20"/>
        </w:rPr>
        <w:t xml:space="preserve">Based on the writer's knowledge, only one study analyzed the comparison of SARIMA and decomposition forecast models; that was done by </w:t>
      </w:r>
      <w:proofErr w:type="spellStart"/>
      <w:r w:rsidR="003A1B83">
        <w:rPr>
          <w:rFonts w:ascii="Arial" w:hAnsi="Arial" w:cs="Arial"/>
          <w:sz w:val="20"/>
          <w:szCs w:val="20"/>
        </w:rPr>
        <w:t>Guarnaccia</w:t>
      </w:r>
      <w:proofErr w:type="spellEnd"/>
      <w:r w:rsidR="003A1B83">
        <w:rPr>
          <w:rFonts w:ascii="Arial" w:hAnsi="Arial" w:cs="Arial"/>
          <w:sz w:val="20"/>
          <w:szCs w:val="20"/>
        </w:rPr>
        <w:t xml:space="preserve"> et al. </w:t>
      </w:r>
      <w:r w:rsidR="003A1B83">
        <w:rPr>
          <w:rFonts w:ascii="Arial" w:hAnsi="Arial" w:cs="Arial"/>
          <w:sz w:val="20"/>
          <w:szCs w:val="20"/>
        </w:rPr>
        <w:fldChar w:fldCharType="begin" w:fldLock="1"/>
      </w:r>
      <w:r w:rsidR="00AA5E59">
        <w:rPr>
          <w:rFonts w:ascii="Arial" w:hAnsi="Arial" w:cs="Arial"/>
          <w:sz w:val="20"/>
          <w:szCs w:val="20"/>
        </w:rPr>
        <w:instrText>ADDIN CSL_CITATION {"citationItems":[{"id":"ITEM-1","itemData":{"DOI":"10.1063/1.4982019","ISBN":"9780735415065","ISSN":"15517616","abstract":"One of the most hazardous physical polluting agents, considering their effects on human health, is acoustical noise. Airports are a strong source of acoustical noise, due to the airplanes turbines, to the aero-dynamical noise of transits, to the acceleration or the breaking during the take-off and landing phases of aircrafts, to the road traffic around the airport, etc.. The monitoring and the prediction of the acoustical level emitted by airports can be very useful to assess the impact on human health and activities. In the airports noise scenario, thanks to flights scheduling, the predominant sources may have a periodic behaviour. Thus, a Time Series Analysis approach can be adopted, considering that a general trend and a seasonal behaviour can be highlighted and used to build a predictive model. In this paper, two different approaches are adopted, thus two predictive models are constructed and tested. The first model is based on deterministic decomposition and is built composing the trend, that is the long term behaviour, the seasonality, that is the periodic component, and the random variations. The second model is based on seasonal autoregressive moving average, and it belongs to the stochastic class of models. The two different models are fitted on an acoustical level dataset collected close to the Nice (France) international airport. Results will be encouraging and will show good prediction performances of both the adopted strategies. A residual analysis is performed, in order to quantify the forecasting error features.","author":[{"dropping-particle":"","family":"Guarnaccia","given":"Claudio","non-dropping-particle":"","parse-names":false,"suffix":""},{"dropping-particle":"","family":"Quartieri","given":"Joseph","non-dropping-particle":"","parse-names":false,"suffix":""},{"dropping-particle":"","family":"Tepedino","given":"Carmine","non-dropping-particle":"","parse-names":false,"suffix":""}],"container-title":"AIP Conference Proceedings","id":"ITEM-1","issued":{"date-parts":[["2017"]]},"title":"Deterministic decomposition and seasonal ARIMA time series models applied to airport noise forecasting","type":"article-journal","volume":"1836"},"uris":["http://www.mendeley.com/documents/?uuid=4fcbb52c-4128-484b-bfb0-a88762e0a176"]}],"mendeley":{"formattedCitation":"[8]","plainTextFormattedCitation":"[8]","previouslyFormattedCitation":"[8]"},"properties":{"noteIndex":0},"schema":"https://github.com/citation-style-language/schema/raw/master/csl-citation.json"}</w:instrText>
      </w:r>
      <w:r w:rsidR="003A1B83">
        <w:rPr>
          <w:rFonts w:ascii="Arial" w:hAnsi="Arial" w:cs="Arial"/>
          <w:sz w:val="20"/>
          <w:szCs w:val="20"/>
        </w:rPr>
        <w:fldChar w:fldCharType="separate"/>
      </w:r>
      <w:r w:rsidR="00AA5E59" w:rsidRPr="00AA5E59">
        <w:rPr>
          <w:rFonts w:ascii="Arial" w:hAnsi="Arial" w:cs="Arial"/>
          <w:noProof/>
          <w:sz w:val="20"/>
          <w:szCs w:val="20"/>
        </w:rPr>
        <w:t>[8]</w:t>
      </w:r>
      <w:r w:rsidR="003A1B83">
        <w:rPr>
          <w:rFonts w:ascii="Arial" w:hAnsi="Arial" w:cs="Arial"/>
          <w:sz w:val="20"/>
          <w:szCs w:val="20"/>
        </w:rPr>
        <w:fldChar w:fldCharType="end"/>
      </w:r>
      <w:r w:rsidR="003A1B83">
        <w:rPr>
          <w:rFonts w:ascii="Arial" w:hAnsi="Arial" w:cs="Arial"/>
          <w:sz w:val="20"/>
          <w:szCs w:val="20"/>
        </w:rPr>
        <w:t xml:space="preserve">. The result describes that both </w:t>
      </w:r>
      <w:r w:rsidR="000679DF">
        <w:rPr>
          <w:rFonts w:ascii="Arial" w:hAnsi="Arial" w:cs="Arial"/>
          <w:sz w:val="20"/>
          <w:szCs w:val="20"/>
        </w:rPr>
        <w:t xml:space="preserve">models </w:t>
      </w:r>
      <w:r w:rsidR="003A1B83">
        <w:rPr>
          <w:rFonts w:ascii="Arial" w:hAnsi="Arial" w:cs="Arial"/>
          <w:sz w:val="20"/>
          <w:szCs w:val="20"/>
        </w:rPr>
        <w:t xml:space="preserve">perform well, but decomposition is better than SARIMA. </w:t>
      </w:r>
    </w:p>
    <w:p w:rsidR="003A1B83" w:rsidRDefault="00E642B9" w:rsidP="003A1B83">
      <w:pPr>
        <w:spacing w:after="0" w:line="240" w:lineRule="auto"/>
        <w:ind w:left="0" w:hanging="2"/>
        <w:jc w:val="both"/>
        <w:rPr>
          <w:rFonts w:ascii="Arial" w:hAnsi="Arial" w:cs="Arial"/>
          <w:sz w:val="20"/>
          <w:szCs w:val="20"/>
        </w:rPr>
      </w:pPr>
      <w:r>
        <w:rPr>
          <w:rFonts w:ascii="Arial" w:hAnsi="Arial" w:cs="Arial"/>
          <w:sz w:val="20"/>
          <w:szCs w:val="20"/>
        </w:rPr>
        <w:t xml:space="preserve">Several improvements can be made from previous study. </w:t>
      </w:r>
      <w:proofErr w:type="spellStart"/>
      <w:r>
        <w:rPr>
          <w:rFonts w:ascii="Arial" w:hAnsi="Arial" w:cs="Arial"/>
          <w:sz w:val="20"/>
          <w:szCs w:val="20"/>
        </w:rPr>
        <w:t>Guarnaccia</w:t>
      </w:r>
      <w:proofErr w:type="spellEnd"/>
      <w:r>
        <w:rPr>
          <w:rFonts w:ascii="Arial" w:hAnsi="Arial" w:cs="Arial"/>
          <w:sz w:val="20"/>
          <w:szCs w:val="20"/>
        </w:rPr>
        <w:t xml:space="preserve"> et al. </w:t>
      </w:r>
      <w:r>
        <w:rPr>
          <w:rFonts w:ascii="Arial" w:hAnsi="Arial" w:cs="Arial"/>
          <w:sz w:val="20"/>
          <w:szCs w:val="20"/>
        </w:rPr>
        <w:fldChar w:fldCharType="begin" w:fldLock="1"/>
      </w:r>
      <w:r>
        <w:rPr>
          <w:rFonts w:ascii="Arial" w:hAnsi="Arial" w:cs="Arial"/>
          <w:sz w:val="20"/>
          <w:szCs w:val="20"/>
        </w:rPr>
        <w:instrText>ADDIN CSL_CITATION {"citationItems":[{"id":"ITEM-1","itemData":{"DOI":"10.1063/1.4982019","ISBN":"9780735415065","ISSN":"15517616","abstract":"One of the most hazardous physical polluting agents, considering their effects on human health, is acoustical noise. Airports are a strong source of acoustical noise, due to the airplanes turbines, to the aero-dynamical noise of transits, to the acceleration or the breaking during the take-off and landing phases of aircrafts, to the road traffic around the airport, etc.. The monitoring and the prediction of the acoustical level emitted by airports can be very useful to assess the impact on human health and activities. In the airports noise scenario, thanks to flights scheduling, the predominant sources may have a periodic behaviour. Thus, a Time Series Analysis approach can be adopted, considering that a general trend and a seasonal behaviour can be highlighted and used to build a predictive model. In this paper, two different approaches are adopted, thus two predictive models are constructed and tested. The first model is based on deterministic decomposition and is built composing the trend, that is the long term behaviour, the seasonality, that is the periodic component, and the random variations. The second model is based on seasonal autoregressive moving average, and it belongs to the stochastic class of models. The two different models are fitted on an acoustical level dataset collected close to the Nice (France) international airport. Results will be encouraging and will show good prediction performances of both the adopted strategies. A residual analysis is performed, in order to quantify the forecasting error features.","author":[{"dropping-particle":"","family":"Guarnaccia","given":"Claudio","non-dropping-particle":"","parse-names":false,"suffix":""},{"dropping-particle":"","family":"Quartieri","given":"Joseph","non-dropping-particle":"","parse-names":false,"suffix":""},{"dropping-particle":"","family":"Tepedino","given":"Carmine","non-dropping-particle":"","parse-names":false,"suffix":""}],"container-title":"AIP Conference Proceedings","id":"ITEM-1","issued":{"date-parts":[["2017"]]},"title":"Deterministic decomposition and seasonal ARIMA time series models applied to airport noise forecasting","type":"article-journal","volume":"1836"},"uris":["http://www.mendeley.com/documents/?uuid=4fcbb52c-4128-484b-bfb0-a88762e0a176"]}],"mendeley":{"formattedCitation":"[8]","plainTextFormattedCitation":"[8]","previouslyFormattedCitation":"[8]"},"properties":{"noteIndex":0},"schema":"https://github.com/citation-style-language/schema/raw/master/csl-citation.json"}</w:instrText>
      </w:r>
      <w:r>
        <w:rPr>
          <w:rFonts w:ascii="Arial" w:hAnsi="Arial" w:cs="Arial"/>
          <w:sz w:val="20"/>
          <w:szCs w:val="20"/>
        </w:rPr>
        <w:fldChar w:fldCharType="separate"/>
      </w:r>
      <w:r w:rsidRPr="00AA5E59">
        <w:rPr>
          <w:rFonts w:ascii="Arial" w:hAnsi="Arial" w:cs="Arial"/>
          <w:noProof/>
          <w:sz w:val="20"/>
          <w:szCs w:val="20"/>
        </w:rPr>
        <w:t>[8]</w:t>
      </w:r>
      <w:r>
        <w:rPr>
          <w:rFonts w:ascii="Arial" w:hAnsi="Arial" w:cs="Arial"/>
          <w:sz w:val="20"/>
          <w:szCs w:val="20"/>
        </w:rPr>
        <w:fldChar w:fldCharType="end"/>
      </w:r>
      <w:r>
        <w:rPr>
          <w:rFonts w:ascii="Arial" w:hAnsi="Arial" w:cs="Arial"/>
          <w:sz w:val="20"/>
          <w:szCs w:val="20"/>
        </w:rPr>
        <w:t xml:space="preserve"> use basic statistics to analyze the residual forecast to compare the performance of both models. However, a deeper analysis of residual testing can be implemented to improve the analysis and avoid bias. Both SARIMA and decomposition have residual assumptions that should be fulfilled and part of the model characteristics </w:t>
      </w:r>
      <w:r>
        <w:rPr>
          <w:rFonts w:ascii="Arial" w:hAnsi="Arial" w:cs="Arial"/>
          <w:sz w:val="20"/>
          <w:szCs w:val="20"/>
        </w:rPr>
        <w:fldChar w:fldCharType="begin" w:fldLock="1"/>
      </w:r>
      <w:r w:rsidR="00CA2445">
        <w:rPr>
          <w:rFonts w:ascii="Arial" w:hAnsi="Arial" w:cs="Arial"/>
          <w:sz w:val="20"/>
          <w:szCs w:val="20"/>
        </w:rPr>
        <w:instrText>ADDIN CSL_CITATION {"citationItems":[{"id":"ITEM-1","itemData":{"author":[{"dropping-particle":"","family":"Hyndman","given":"Rob J","non-dropping-particle":"","parse-names":false,"suffix":""},{"dropping-particle":"","family":"Athanasopoulos","given":"George","non-dropping-particle":"","parse-names":false,"suffix":""}],"edition":"3th","id":"ITEM-1","issued":{"date-parts":[["2021"]]},"publisher-place":"Melbourne, Australia","title":"Forecasting : Principles and Practice","type":"book"},"uris":["http://www.mendeley.com/documents/?uuid=51ab2751-17b3-4670-a13a-db2b84473a56"]},{"id":"ITEM-2","itemData":{"DOI":"10.4236/oalib.1106435","ISSN":"2333-9721","abstract":"This paper demonstrates the use of Buys-Ballot table for identification of decomposition model using graphical method, when the trend cycle component is quadratic. A suitable ARIMA model was fitted, and was used for forecasting. Using the Buys-Ballot techniques, the column means, variances and standard deviation were estimated for the model identification. The additive model had no seasonal effect but, the multiplicative model had seasonal effect. The result of the illustrative example using the data of Nigeria Spot component price of oil (US Dollar per Barrel) showed the additive model to be the appropriate model for decomposition of this series. AR(2) model was identified as a suitable ARIMA model for the de-trended Nigeria Spot component price of oil. This was used to make forecast for the next twelve months. The obtained expected oil prices were compared with the observed prices. The comparison of expected and observed prices showed no significance difference between them, using Mean Absolute Percentage Error (MAPE).","author":[{"dropping-particle":"","family":"Emmanuel","given":"Biu O.","non-dropping-particle":"","parse-names":false,"suffix":""},{"dropping-particle":"","family":"Enegesele","given":"Dennis","non-dropping-particle":"","parse-names":false,"suffix":""},{"dropping-particle":"","family":"Arimie","given":"C. O.","non-dropping-particle":"","parse-names":false,"suffix":""}],"container-title":"OALib","id":"ITEM-2","issue":"07","issued":{"date-parts":[["2020"]]},"page":"1-20","title":"Additive Decomposition with Arima Model Forecasts When the Trend Component Is Quadratic","type":"article-journal","volume":"07"},"uris":["http://www.mendeley.com/documents/?uuid=9babbbcb-86ef-48a8-b678-8c05e713f95d"]}],"mendeley":{"formattedCitation":"[6], [9]","plainTextFormattedCitation":"[6], [9]","previouslyFormattedCitation":"[6], [9]"},"properties":{"noteIndex":0},"schema":"https://github.com/citation-style-language/schema/raw/master/csl-citation.json"}</w:instrText>
      </w:r>
      <w:r>
        <w:rPr>
          <w:rFonts w:ascii="Arial" w:hAnsi="Arial" w:cs="Arial"/>
          <w:sz w:val="20"/>
          <w:szCs w:val="20"/>
        </w:rPr>
        <w:fldChar w:fldCharType="separate"/>
      </w:r>
      <w:r w:rsidRPr="00E642B9">
        <w:rPr>
          <w:rFonts w:ascii="Arial" w:hAnsi="Arial" w:cs="Arial"/>
          <w:noProof/>
          <w:sz w:val="20"/>
          <w:szCs w:val="20"/>
        </w:rPr>
        <w:t>[6], [9]</w:t>
      </w:r>
      <w:r>
        <w:rPr>
          <w:rFonts w:ascii="Arial" w:hAnsi="Arial" w:cs="Arial"/>
          <w:sz w:val="20"/>
          <w:szCs w:val="20"/>
        </w:rPr>
        <w:fldChar w:fldCharType="end"/>
      </w:r>
      <w:r>
        <w:rPr>
          <w:rFonts w:ascii="Arial" w:hAnsi="Arial" w:cs="Arial"/>
          <w:sz w:val="20"/>
          <w:szCs w:val="20"/>
        </w:rPr>
        <w:t xml:space="preserve">, which are not discussed deeply in the previous study. Furthermore, the previous study does not state which decomposition model is used, </w:t>
      </w:r>
      <w:r w:rsidR="003A1B83">
        <w:rPr>
          <w:rFonts w:ascii="Arial" w:hAnsi="Arial" w:cs="Arial"/>
          <w:sz w:val="20"/>
          <w:szCs w:val="20"/>
        </w:rPr>
        <w:t xml:space="preserve">whether additive or multiplicative model. </w:t>
      </w:r>
      <w:r w:rsidR="007174B8" w:rsidRPr="00CD0FD0">
        <w:rPr>
          <w:rFonts w:ascii="Arial" w:hAnsi="Arial" w:cs="Arial"/>
          <w:sz w:val="20"/>
          <w:szCs w:val="20"/>
        </w:rPr>
        <w:t>There are two typ</w:t>
      </w:r>
      <w:r w:rsidR="007174B8">
        <w:rPr>
          <w:rFonts w:ascii="Arial" w:hAnsi="Arial" w:cs="Arial"/>
          <w:sz w:val="20"/>
          <w:szCs w:val="20"/>
        </w:rPr>
        <w:t xml:space="preserve">es of decomposition </w:t>
      </w:r>
      <w:r w:rsidR="007174B8" w:rsidRPr="00CD0FD0">
        <w:rPr>
          <w:rFonts w:ascii="Arial" w:hAnsi="Arial" w:cs="Arial"/>
          <w:sz w:val="20"/>
          <w:szCs w:val="20"/>
        </w:rPr>
        <w:t xml:space="preserve">models; those are additive and multiplicative decomposition models. </w:t>
      </w:r>
      <w:r w:rsidR="007174B8">
        <w:rPr>
          <w:rFonts w:ascii="Arial" w:hAnsi="Arial" w:cs="Arial"/>
          <w:sz w:val="20"/>
          <w:szCs w:val="20"/>
        </w:rPr>
        <w:t xml:space="preserve">The decision to choose between both models </w:t>
      </w:r>
      <w:r w:rsidR="007174B8" w:rsidRPr="00CD0FD0">
        <w:rPr>
          <w:rFonts w:ascii="Arial" w:hAnsi="Arial" w:cs="Arial"/>
          <w:sz w:val="20"/>
          <w:szCs w:val="20"/>
        </w:rPr>
        <w:t xml:space="preserve">is based on the data </w:t>
      </w:r>
      <w:r>
        <w:rPr>
          <w:rFonts w:ascii="Arial" w:hAnsi="Arial" w:cs="Arial"/>
          <w:sz w:val="20"/>
          <w:szCs w:val="20"/>
        </w:rPr>
        <w:t xml:space="preserve">graph or </w:t>
      </w:r>
      <w:r w:rsidR="007174B8">
        <w:rPr>
          <w:rFonts w:ascii="Arial" w:hAnsi="Arial" w:cs="Arial"/>
          <w:sz w:val="20"/>
          <w:szCs w:val="20"/>
        </w:rPr>
        <w:t xml:space="preserve">residual testing </w:t>
      </w:r>
      <w:r w:rsidR="007174B8">
        <w:rPr>
          <w:rFonts w:ascii="Arial" w:hAnsi="Arial" w:cs="Arial"/>
          <w:sz w:val="20"/>
          <w:szCs w:val="20"/>
        </w:rPr>
        <w:fldChar w:fldCharType="begin" w:fldLock="1"/>
      </w:r>
      <w:r w:rsidR="00AA5E59">
        <w:rPr>
          <w:rFonts w:ascii="Arial" w:hAnsi="Arial" w:cs="Arial"/>
          <w:sz w:val="20"/>
          <w:szCs w:val="20"/>
        </w:rPr>
        <w:instrText>ADDIN CSL_CITATION {"citationItems":[{"id":"ITEM-1","itemData":{"DOI":"10.4236/oalib.1106435","ISSN":"2333-9721","abstract":"This paper demonstrates the use of Buys-Ballot table for identification of decomposition model using graphical method, when the trend cycle component is quadratic. A suitable ARIMA model was fitted, and was used for forecasting. Using the Buys-Ballot techniques, the column means, variances and standard deviation were estimated for the model identification. The additive model had no seasonal effect but, the multiplicative model had seasonal effect. The result of the illustrative example using the data of Nigeria Spot component price of oil (US Dollar per Barrel) showed the additive model to be the appropriate model for decomposition of this series. AR(2) model was identified as a suitable ARIMA model for the de-trended Nigeria Spot component price of oil. This was used to make forecast for the next twelve months. The obtained expected oil prices were compared with the observed prices. The comparison of expected and observed prices showed no significance difference between them, using Mean Absolute Percentage Error (MAPE).","author":[{"dropping-particle":"","family":"Emmanuel","given":"Biu O.","non-dropping-particle":"","parse-names":false,"suffix":""},{"dropping-particle":"","family":"Enegesele","given":"Dennis","non-dropping-particle":"","parse-names":false,"suffix":""},{"dropping-particle":"","family":"Arimie","given":"C. O.","non-dropping-particle":"","parse-names":false,"suffix":""}],"container-title":"OALib","id":"ITEM-1","issue":"07","issued":{"date-parts":[["2020"]]},"page":"1-20","title":"Additive Decomposition with Arima Model Forecasts When the Trend Component Is Quadratic","type":"article-journal","volume":"07"},"uris":["http://www.mendeley.com/documents/?uuid=9babbbcb-86ef-48a8-b678-8c05e713f95d"]}],"mendeley":{"formattedCitation":"[9]","plainTextFormattedCitation":"[9]","previouslyFormattedCitation":"[9]"},"properties":{"noteIndex":0},"schema":"https://github.com/citation-style-language/schema/raw/master/csl-citation.json"}</w:instrText>
      </w:r>
      <w:r w:rsidR="007174B8">
        <w:rPr>
          <w:rFonts w:ascii="Arial" w:hAnsi="Arial" w:cs="Arial"/>
          <w:sz w:val="20"/>
          <w:szCs w:val="20"/>
        </w:rPr>
        <w:fldChar w:fldCharType="separate"/>
      </w:r>
      <w:r w:rsidR="00AA5E59" w:rsidRPr="00AA5E59">
        <w:rPr>
          <w:rFonts w:ascii="Arial" w:hAnsi="Arial" w:cs="Arial"/>
          <w:noProof/>
          <w:sz w:val="20"/>
          <w:szCs w:val="20"/>
        </w:rPr>
        <w:t>[9]</w:t>
      </w:r>
      <w:r w:rsidR="007174B8">
        <w:rPr>
          <w:rFonts w:ascii="Arial" w:hAnsi="Arial" w:cs="Arial"/>
          <w:sz w:val="20"/>
          <w:szCs w:val="20"/>
        </w:rPr>
        <w:fldChar w:fldCharType="end"/>
      </w:r>
      <w:r w:rsidR="007174B8" w:rsidRPr="00CD0FD0">
        <w:rPr>
          <w:rFonts w:ascii="Arial" w:hAnsi="Arial" w:cs="Arial"/>
          <w:sz w:val="20"/>
          <w:szCs w:val="20"/>
        </w:rPr>
        <w:t>.</w:t>
      </w:r>
      <w:r w:rsidR="007174B8">
        <w:rPr>
          <w:rFonts w:ascii="Arial" w:hAnsi="Arial" w:cs="Arial"/>
          <w:sz w:val="20"/>
          <w:szCs w:val="20"/>
        </w:rPr>
        <w:t xml:space="preserve"> </w:t>
      </w:r>
      <w:r w:rsidR="003A1B83">
        <w:rPr>
          <w:rFonts w:ascii="Arial" w:hAnsi="Arial" w:cs="Arial"/>
          <w:sz w:val="20"/>
          <w:szCs w:val="20"/>
        </w:rPr>
        <w:t xml:space="preserve">Considering this condition, this study </w:t>
      </w:r>
      <w:r>
        <w:rPr>
          <w:rFonts w:ascii="Arial" w:hAnsi="Arial" w:cs="Arial"/>
          <w:sz w:val="20"/>
          <w:szCs w:val="20"/>
        </w:rPr>
        <w:t xml:space="preserve">does two residual analyses. First, </w:t>
      </w:r>
      <w:r w:rsidR="003A1B83">
        <w:rPr>
          <w:rFonts w:ascii="Arial" w:hAnsi="Arial" w:cs="Arial"/>
          <w:sz w:val="20"/>
          <w:szCs w:val="20"/>
        </w:rPr>
        <w:t>check both the residual test for ARIMA or SARIMA and decompositi</w:t>
      </w:r>
      <w:r>
        <w:rPr>
          <w:rFonts w:ascii="Arial" w:hAnsi="Arial" w:cs="Arial"/>
          <w:sz w:val="20"/>
          <w:szCs w:val="20"/>
        </w:rPr>
        <w:t>on models to avoid bias. Second,</w:t>
      </w:r>
      <w:r w:rsidR="003A1B83">
        <w:rPr>
          <w:rFonts w:ascii="Arial" w:hAnsi="Arial" w:cs="Arial"/>
          <w:sz w:val="20"/>
          <w:szCs w:val="20"/>
        </w:rPr>
        <w:t xml:space="preserve"> compare</w:t>
      </w:r>
      <w:r>
        <w:rPr>
          <w:rFonts w:ascii="Arial" w:hAnsi="Arial" w:cs="Arial"/>
          <w:sz w:val="20"/>
          <w:szCs w:val="20"/>
        </w:rPr>
        <w:t xml:space="preserve"> both residual models as</w:t>
      </w:r>
      <w:r w:rsidR="003A1B83">
        <w:rPr>
          <w:rFonts w:ascii="Arial" w:hAnsi="Arial" w:cs="Arial"/>
          <w:sz w:val="20"/>
          <w:szCs w:val="20"/>
        </w:rPr>
        <w:t xml:space="preserve"> the performance </w:t>
      </w:r>
      <w:r>
        <w:rPr>
          <w:rFonts w:ascii="Arial" w:hAnsi="Arial" w:cs="Arial"/>
          <w:sz w:val="20"/>
          <w:szCs w:val="20"/>
        </w:rPr>
        <w:t xml:space="preserve">comparison </w:t>
      </w:r>
      <w:r w:rsidR="003A1B83">
        <w:rPr>
          <w:rFonts w:ascii="Arial" w:hAnsi="Arial" w:cs="Arial"/>
          <w:sz w:val="20"/>
          <w:szCs w:val="20"/>
        </w:rPr>
        <w:t xml:space="preserve">to find the most suitable forecast model. </w:t>
      </w:r>
    </w:p>
    <w:p w:rsidR="000B6CD7" w:rsidRDefault="00DD40E5" w:rsidP="000B6CD7">
      <w:pPr>
        <w:spacing w:after="0" w:line="240" w:lineRule="auto"/>
        <w:ind w:left="0" w:hanging="2"/>
        <w:jc w:val="both"/>
        <w:rPr>
          <w:rFonts w:ascii="Arial" w:hAnsi="Arial" w:cs="Arial"/>
          <w:sz w:val="20"/>
          <w:szCs w:val="20"/>
        </w:rPr>
      </w:pPr>
      <w:r>
        <w:rPr>
          <w:rFonts w:ascii="Arial" w:hAnsi="Arial" w:cs="Arial"/>
          <w:sz w:val="20"/>
          <w:szCs w:val="20"/>
        </w:rPr>
        <w:t>T</w:t>
      </w:r>
      <w:r w:rsidR="000B6CD7">
        <w:rPr>
          <w:rFonts w:ascii="Arial" w:hAnsi="Arial" w:cs="Arial"/>
          <w:sz w:val="20"/>
          <w:szCs w:val="20"/>
        </w:rPr>
        <w:t>h</w:t>
      </w:r>
      <w:r w:rsidR="00BF6C65">
        <w:rPr>
          <w:rFonts w:ascii="Arial" w:hAnsi="Arial" w:cs="Arial"/>
          <w:sz w:val="20"/>
          <w:szCs w:val="20"/>
        </w:rPr>
        <w:t xml:space="preserve">e research object of this study is sugar demand or sales in retail. </w:t>
      </w:r>
      <w:r w:rsidR="000B6CD7">
        <w:rPr>
          <w:rFonts w:ascii="Arial" w:hAnsi="Arial" w:cs="Arial"/>
          <w:sz w:val="20"/>
          <w:szCs w:val="20"/>
        </w:rPr>
        <w:t xml:space="preserve">Sugar is chosen in this study because </w:t>
      </w:r>
      <w:r w:rsidR="00736711">
        <w:rPr>
          <w:rFonts w:ascii="Arial" w:hAnsi="Arial" w:cs="Arial"/>
          <w:sz w:val="20"/>
          <w:szCs w:val="20"/>
        </w:rPr>
        <w:t xml:space="preserve">every country consumes sugar and </w:t>
      </w:r>
      <w:r w:rsidR="000B6CD7">
        <w:rPr>
          <w:rFonts w:ascii="Arial" w:hAnsi="Arial" w:cs="Arial"/>
          <w:sz w:val="20"/>
          <w:szCs w:val="20"/>
        </w:rPr>
        <w:t>it is part of the</w:t>
      </w:r>
      <w:r w:rsidR="00736711">
        <w:rPr>
          <w:rFonts w:ascii="Arial" w:hAnsi="Arial" w:cs="Arial"/>
          <w:sz w:val="20"/>
          <w:szCs w:val="20"/>
        </w:rPr>
        <w:t xml:space="preserve"> staple food</w:t>
      </w:r>
      <w:r w:rsidR="00AE1334">
        <w:rPr>
          <w:rFonts w:ascii="Arial" w:hAnsi="Arial" w:cs="Arial"/>
          <w:sz w:val="20"/>
          <w:szCs w:val="20"/>
        </w:rPr>
        <w:t>s</w:t>
      </w:r>
      <w:r w:rsidR="00736711">
        <w:rPr>
          <w:rFonts w:ascii="Arial" w:hAnsi="Arial" w:cs="Arial"/>
          <w:sz w:val="20"/>
          <w:szCs w:val="20"/>
        </w:rPr>
        <w:t xml:space="preserve"> in Indonesia. Furthermore</w:t>
      </w:r>
      <w:r w:rsidR="005030B3">
        <w:rPr>
          <w:rFonts w:ascii="Arial" w:hAnsi="Arial" w:cs="Arial"/>
          <w:sz w:val="20"/>
          <w:szCs w:val="20"/>
        </w:rPr>
        <w:t xml:space="preserve">, </w:t>
      </w:r>
      <w:r w:rsidR="00AE1334">
        <w:rPr>
          <w:rFonts w:ascii="Arial" w:hAnsi="Arial" w:cs="Arial"/>
          <w:sz w:val="20"/>
          <w:szCs w:val="20"/>
        </w:rPr>
        <w:t>in</w:t>
      </w:r>
      <w:r w:rsidR="000679DF">
        <w:rPr>
          <w:rFonts w:ascii="Arial" w:hAnsi="Arial" w:cs="Arial"/>
          <w:sz w:val="20"/>
          <w:szCs w:val="20"/>
        </w:rPr>
        <w:t xml:space="preserve"> general,</w:t>
      </w:r>
      <w:r w:rsidR="00736711">
        <w:rPr>
          <w:rFonts w:ascii="Arial" w:hAnsi="Arial" w:cs="Arial"/>
          <w:sz w:val="20"/>
          <w:szCs w:val="20"/>
        </w:rPr>
        <w:t xml:space="preserve"> </w:t>
      </w:r>
      <w:r w:rsidR="00AF7287">
        <w:rPr>
          <w:rFonts w:ascii="Arial" w:hAnsi="Arial" w:cs="Arial"/>
          <w:sz w:val="20"/>
          <w:szCs w:val="20"/>
        </w:rPr>
        <w:t>the research that discus</w:t>
      </w:r>
      <w:r w:rsidR="00AE1334">
        <w:rPr>
          <w:rFonts w:ascii="Arial" w:hAnsi="Arial" w:cs="Arial"/>
          <w:sz w:val="20"/>
          <w:szCs w:val="20"/>
        </w:rPr>
        <w:t>se</w:t>
      </w:r>
      <w:r w:rsidR="00AF7287">
        <w:rPr>
          <w:rFonts w:ascii="Arial" w:hAnsi="Arial" w:cs="Arial"/>
          <w:sz w:val="20"/>
          <w:szCs w:val="20"/>
        </w:rPr>
        <w:t>s</w:t>
      </w:r>
      <w:r w:rsidR="000B6CD7">
        <w:rPr>
          <w:rFonts w:ascii="Arial" w:hAnsi="Arial" w:cs="Arial"/>
          <w:sz w:val="20"/>
          <w:szCs w:val="20"/>
        </w:rPr>
        <w:t xml:space="preserve"> sugar </w:t>
      </w:r>
      <w:r w:rsidR="00AE1334">
        <w:rPr>
          <w:rFonts w:ascii="Arial" w:hAnsi="Arial" w:cs="Arial"/>
          <w:sz w:val="20"/>
          <w:szCs w:val="20"/>
        </w:rPr>
        <w:t>at</w:t>
      </w:r>
      <w:r w:rsidR="000B6CD7">
        <w:rPr>
          <w:rFonts w:ascii="Arial" w:hAnsi="Arial" w:cs="Arial"/>
          <w:sz w:val="20"/>
          <w:szCs w:val="20"/>
        </w:rPr>
        <w:t xml:space="preserve"> </w:t>
      </w:r>
      <w:r w:rsidR="00AE1334">
        <w:rPr>
          <w:rFonts w:ascii="Arial" w:hAnsi="Arial" w:cs="Arial"/>
          <w:sz w:val="20"/>
          <w:szCs w:val="20"/>
        </w:rPr>
        <w:t xml:space="preserve">the </w:t>
      </w:r>
      <w:r w:rsidR="00736711">
        <w:rPr>
          <w:rFonts w:ascii="Arial" w:hAnsi="Arial" w:cs="Arial"/>
          <w:sz w:val="20"/>
          <w:szCs w:val="20"/>
        </w:rPr>
        <w:t xml:space="preserve">retail level </w:t>
      </w:r>
      <w:r w:rsidR="005030B3">
        <w:rPr>
          <w:rFonts w:ascii="Arial" w:hAnsi="Arial" w:cs="Arial"/>
          <w:sz w:val="20"/>
          <w:szCs w:val="20"/>
        </w:rPr>
        <w:t xml:space="preserve">is limited, </w:t>
      </w:r>
      <w:r w:rsidR="00AF7287">
        <w:rPr>
          <w:rFonts w:ascii="Arial" w:hAnsi="Arial" w:cs="Arial"/>
          <w:sz w:val="20"/>
          <w:szCs w:val="20"/>
        </w:rPr>
        <w:t>especially,</w:t>
      </w:r>
      <w:r w:rsidR="00572988">
        <w:rPr>
          <w:rFonts w:ascii="Arial" w:hAnsi="Arial" w:cs="Arial"/>
          <w:sz w:val="20"/>
          <w:szCs w:val="20"/>
        </w:rPr>
        <w:t xml:space="preserve"> </w:t>
      </w:r>
      <w:r w:rsidR="00BD1DF1">
        <w:rPr>
          <w:rFonts w:ascii="Arial" w:hAnsi="Arial" w:cs="Arial"/>
          <w:sz w:val="20"/>
          <w:szCs w:val="20"/>
        </w:rPr>
        <w:t xml:space="preserve">since </w:t>
      </w:r>
      <w:r w:rsidR="00572988">
        <w:rPr>
          <w:rFonts w:ascii="Arial" w:hAnsi="Arial" w:cs="Arial"/>
          <w:sz w:val="20"/>
          <w:szCs w:val="20"/>
        </w:rPr>
        <w:t>the studies</w:t>
      </w:r>
      <w:r w:rsidR="005030B3">
        <w:rPr>
          <w:rFonts w:ascii="Arial" w:hAnsi="Arial" w:cs="Arial"/>
          <w:sz w:val="20"/>
          <w:szCs w:val="20"/>
        </w:rPr>
        <w:t xml:space="preserve"> related </w:t>
      </w:r>
      <w:r w:rsidR="00AE1334">
        <w:rPr>
          <w:rFonts w:ascii="Arial" w:hAnsi="Arial" w:cs="Arial"/>
          <w:sz w:val="20"/>
          <w:szCs w:val="20"/>
        </w:rPr>
        <w:t xml:space="preserve">to </w:t>
      </w:r>
      <w:r w:rsidR="005030B3">
        <w:rPr>
          <w:rFonts w:ascii="Arial" w:hAnsi="Arial" w:cs="Arial"/>
          <w:sz w:val="20"/>
          <w:szCs w:val="20"/>
        </w:rPr>
        <w:t xml:space="preserve">sugar in </w:t>
      </w:r>
      <w:r w:rsidR="00572988">
        <w:rPr>
          <w:rFonts w:ascii="Arial" w:hAnsi="Arial" w:cs="Arial"/>
          <w:sz w:val="20"/>
          <w:szCs w:val="20"/>
        </w:rPr>
        <w:t>Indonesia are</w:t>
      </w:r>
      <w:r w:rsidR="005030B3">
        <w:rPr>
          <w:rFonts w:ascii="Arial" w:hAnsi="Arial" w:cs="Arial"/>
          <w:sz w:val="20"/>
          <w:szCs w:val="20"/>
        </w:rPr>
        <w:t xml:space="preserve"> not many</w:t>
      </w:r>
      <w:r w:rsidR="000B6CD7">
        <w:rPr>
          <w:rFonts w:ascii="Arial" w:hAnsi="Arial" w:cs="Arial"/>
          <w:sz w:val="20"/>
          <w:szCs w:val="20"/>
        </w:rPr>
        <w:t>.</w:t>
      </w:r>
    </w:p>
    <w:p w:rsidR="007A1B45" w:rsidRDefault="00D73609" w:rsidP="000B6CD7">
      <w:pPr>
        <w:spacing w:after="0" w:line="240" w:lineRule="auto"/>
        <w:ind w:left="0" w:hanging="2"/>
        <w:jc w:val="both"/>
        <w:rPr>
          <w:rFonts w:ascii="Arial" w:hAnsi="Arial" w:cs="Arial"/>
          <w:sz w:val="20"/>
          <w:szCs w:val="20"/>
        </w:rPr>
      </w:pPr>
      <w:r w:rsidRPr="00812B27">
        <w:rPr>
          <w:rFonts w:ascii="Arial" w:hAnsi="Arial" w:cs="Arial"/>
          <w:sz w:val="20"/>
          <w:szCs w:val="20"/>
        </w:rPr>
        <w:t>Indonesia</w:t>
      </w:r>
      <w:r w:rsidR="00FD55D5">
        <w:rPr>
          <w:rFonts w:ascii="Arial" w:hAnsi="Arial" w:cs="Arial"/>
          <w:sz w:val="20"/>
          <w:szCs w:val="20"/>
        </w:rPr>
        <w:t>'s</w:t>
      </w:r>
      <w:r w:rsidRPr="00812B27">
        <w:rPr>
          <w:rFonts w:ascii="Arial" w:hAnsi="Arial" w:cs="Arial"/>
          <w:sz w:val="20"/>
          <w:szCs w:val="20"/>
        </w:rPr>
        <w:t xml:space="preserve"> sugar consumption value is fluctuating; however it keeps increasing and to meet this demand, Indonesia has been importing sugar since 1967</w:t>
      </w:r>
      <w:r w:rsidR="00812B27" w:rsidRPr="00812B27">
        <w:rPr>
          <w:rFonts w:ascii="Arial" w:hAnsi="Arial" w:cs="Arial"/>
          <w:sz w:val="20"/>
          <w:szCs w:val="20"/>
        </w:rPr>
        <w:t xml:space="preserve"> </w:t>
      </w:r>
      <w:r w:rsidR="00812B27" w:rsidRPr="00812B27">
        <w:rPr>
          <w:rFonts w:ascii="Arial" w:hAnsi="Arial" w:cs="Arial"/>
          <w:sz w:val="20"/>
          <w:szCs w:val="20"/>
        </w:rPr>
        <w:fldChar w:fldCharType="begin" w:fldLock="1"/>
      </w:r>
      <w:r w:rsidR="00AA5E59">
        <w:rPr>
          <w:rFonts w:ascii="Arial" w:hAnsi="Arial" w:cs="Arial"/>
          <w:sz w:val="20"/>
          <w:szCs w:val="20"/>
        </w:rPr>
        <w:instrText>ADDIN CSL_CITATION {"citationItems":[{"id":"ITEM-1","itemData":{"ISSN":"2375-4389","abstract":"Sugar is one of the most important staple foods after rice Indonesia. Currently, sugar production cannot fulfill the demand for sugar in the country, so the government absorbs the lack of sugar by import. The purpose of this research is to analyze factors which influence the sugar demand and import in the country. This research is used econometrics model through the simultaneous system of functions with time series data of 1982-2013. Estimated model was conducted by Two-Stage Least Squares method. The research result is, Indonesian sugar demand (Dg) is influenced by sugar price (Pg), income level (ini) and sugar demand in the previous year (Dg1). Import of Indonesian sugar (Mg) is influenced by the difference between demand and production of Indonesian sugar (Dg-Qg), time, and sugar imports in the previous year.","author":[{"dropping-particle":"","family":"Muhaimin","given":"Wahib","non-dropping-particle":"","parse-names":false,"suffix":""},{"dropping-particle":"","family":"Sari","given":"Dyana","non-dropping-particle":"","parse-names":false,"suffix":""}],"container-title":"Journal of Global Economics","id":"ITEM-1","issue":"2","issued":{"date-parts":[["2019"]]},"page":"1-3","title":"Factors Affecting the Demand and Import of Indonesian Sugar","type":"article-journal","volume":"7"},"uris":["http://www.mendeley.com/documents/?uuid=370f2b9f-5a19-4d90-8a80-47b3a68d5da9"]},{"id":"ITEM-2","itemData":{"DOI":"10.15408/sjie.v12i2.28044","ISSN":"2087-2046","abstract":"Indonesian sugar imports have increased due to a steady increase in sugar consumption, while domestic sugar output has increased but has not kept pace with consumption. This study aims to examine the impact of sugar consumption, income per capita, sugarcane harvested area, and sugarcane productivity on sugar imports in Indonesia. The data in this study include time series data from 1995 to 2021 that were analyzed using multiple regression. Sugar consumption and income per capita have a statistically significant positive effect on sugar import, whereas sugarcane harvested area and sugarcane productivity significantly negatively affect sugar import. Several policy options for reducing sugar imports are recommended, including reducing sugar consumption through education and healthy lifestyle programs, extending sugarcane-harvested areas, and rejuvenating and building new sugar mill.JEL Classification: F14, C22How to Cite:Inayaturrohmah, W. P., Istiqomah &amp; Gunawan, R.S. (2023). Determinant of Sugar Import. Signifikan: Jurnal Ilmu Ekonomi, 12(2), 275-286. https://doi.org/10.15408/sjie.v12i2.28044. ","author":[{"dropping-particle":"","family":"Inayaturrohmah","given":"Winni Putri","non-dropping-particle":"","parse-names":false,"suffix":""},{"dropping-particle":"","family":"Istiqomah","given":"Istiqomah","non-dropping-particle":"","parse-names":false,"suffix":""},{"dropping-particle":"","family":"Gunawan","given":"Ratna Setyawati","non-dropping-particle":"","parse-names":false,"suffix":""}],"container-title":"Signifikan: Jurnal Ilmu Ekonomi","id":"ITEM-2","issue":"2","issued":{"date-parts":[["2023"]]},"page":"275-286","title":"Determinants of Indonesian Sugar Import","type":"article-journal","volume":"12"},"uris":["http://www.mendeley.com/documents/?uuid=17295ad8-afcd-47a2-91f5-8aaf0a2c26eb"]}],"mendeley":{"formattedCitation":"[10], [11]","plainTextFormattedCitation":"[10], [11]","previouslyFormattedCitation":"[10], [11]"},"properties":{"noteIndex":0},"schema":"https://github.com/citation-style-language/schema/raw/master/csl-citation.json"}</w:instrText>
      </w:r>
      <w:r w:rsidR="00812B27" w:rsidRPr="00812B27">
        <w:rPr>
          <w:rFonts w:ascii="Arial" w:hAnsi="Arial" w:cs="Arial"/>
          <w:sz w:val="20"/>
          <w:szCs w:val="20"/>
        </w:rPr>
        <w:fldChar w:fldCharType="separate"/>
      </w:r>
      <w:r w:rsidR="00AA5E59" w:rsidRPr="00AA5E59">
        <w:rPr>
          <w:rFonts w:ascii="Arial" w:hAnsi="Arial" w:cs="Arial"/>
          <w:noProof/>
          <w:sz w:val="20"/>
          <w:szCs w:val="20"/>
        </w:rPr>
        <w:t>[10], [11]</w:t>
      </w:r>
      <w:r w:rsidR="00812B27" w:rsidRPr="00812B27">
        <w:rPr>
          <w:rFonts w:ascii="Arial" w:hAnsi="Arial" w:cs="Arial"/>
          <w:sz w:val="20"/>
          <w:szCs w:val="20"/>
        </w:rPr>
        <w:fldChar w:fldCharType="end"/>
      </w:r>
      <w:r w:rsidR="00812B27" w:rsidRPr="00812B27">
        <w:rPr>
          <w:rFonts w:ascii="Arial" w:hAnsi="Arial" w:cs="Arial"/>
          <w:sz w:val="20"/>
          <w:szCs w:val="20"/>
        </w:rPr>
        <w:t xml:space="preserve">. This high consumption </w:t>
      </w:r>
      <w:r w:rsidR="00812B27" w:rsidRPr="00812B27">
        <w:rPr>
          <w:rFonts w:ascii="Arial" w:hAnsi="Arial" w:cs="Arial"/>
          <w:sz w:val="20"/>
          <w:szCs w:val="20"/>
        </w:rPr>
        <w:t xml:space="preserve">makes Indonesia </w:t>
      </w:r>
      <w:r w:rsidR="00FD55D5">
        <w:rPr>
          <w:rFonts w:ascii="Arial" w:hAnsi="Arial" w:cs="Arial"/>
          <w:sz w:val="20"/>
          <w:szCs w:val="20"/>
        </w:rPr>
        <w:t>the</w:t>
      </w:r>
      <w:r w:rsidR="00812B27" w:rsidRPr="00812B27">
        <w:rPr>
          <w:rFonts w:ascii="Arial" w:hAnsi="Arial" w:cs="Arial"/>
          <w:sz w:val="20"/>
          <w:szCs w:val="20"/>
        </w:rPr>
        <w:t xml:space="preserve"> sixth country that has the highest sugar consumpti</w:t>
      </w:r>
      <w:r w:rsidR="001C29FB">
        <w:rPr>
          <w:rFonts w:ascii="Arial" w:hAnsi="Arial" w:cs="Arial"/>
          <w:sz w:val="20"/>
          <w:szCs w:val="20"/>
        </w:rPr>
        <w:t>on</w:t>
      </w:r>
      <w:r w:rsidR="00812B27" w:rsidRPr="00812B27">
        <w:rPr>
          <w:rFonts w:ascii="Arial" w:hAnsi="Arial" w:cs="Arial"/>
          <w:sz w:val="20"/>
          <w:szCs w:val="20"/>
        </w:rPr>
        <w:t xml:space="preserve"> in the world </w:t>
      </w:r>
      <w:r w:rsidR="00812B27" w:rsidRPr="00812B27">
        <w:rPr>
          <w:rFonts w:ascii="Arial" w:hAnsi="Arial" w:cs="Arial"/>
          <w:sz w:val="20"/>
          <w:szCs w:val="20"/>
        </w:rPr>
        <w:fldChar w:fldCharType="begin" w:fldLock="1"/>
      </w:r>
      <w:r w:rsidR="00AA5E59">
        <w:rPr>
          <w:rFonts w:ascii="Arial" w:hAnsi="Arial" w:cs="Arial"/>
          <w:sz w:val="20"/>
          <w:szCs w:val="20"/>
        </w:rPr>
        <w:instrText>ADDIN CSL_CITATION {"citationItems":[{"id":"ITEM-1","itemData":{"author":[{"dropping-particle":"","family":"United States Department of Agriculture","given":"Foreign Agricultural Service","non-dropping-particle":"","parse-names":false,"suffix":""}],"id":"ITEM-1","issue":"May","issued":{"date-parts":[["2024"]]},"title":"Sugar : World Markets and Trade Guatemala Sugar Exports are Down While Domestic Demand Continues to Grow Guatemala is a Top 5 Exporter","type":"report"},"uris":["http://www.mendeley.com/documents/?uuid=917a6bc1-812a-4baa-8ef6-0f527356006b"]}],"mendeley":{"formattedCitation":"[12]","plainTextFormattedCitation":"[12]","previouslyFormattedCitation":"[12]"},"properties":{"noteIndex":0},"schema":"https://github.com/citation-style-language/schema/raw/master/csl-citation.json"}</w:instrText>
      </w:r>
      <w:r w:rsidR="00812B27" w:rsidRPr="00812B27">
        <w:rPr>
          <w:rFonts w:ascii="Arial" w:hAnsi="Arial" w:cs="Arial"/>
          <w:sz w:val="20"/>
          <w:szCs w:val="20"/>
        </w:rPr>
        <w:fldChar w:fldCharType="separate"/>
      </w:r>
      <w:r w:rsidR="00AA5E59" w:rsidRPr="00AA5E59">
        <w:rPr>
          <w:rFonts w:ascii="Arial" w:hAnsi="Arial" w:cs="Arial"/>
          <w:noProof/>
          <w:sz w:val="20"/>
          <w:szCs w:val="20"/>
        </w:rPr>
        <w:t>[12]</w:t>
      </w:r>
      <w:r w:rsidR="00812B27" w:rsidRPr="00812B27">
        <w:rPr>
          <w:rFonts w:ascii="Arial" w:hAnsi="Arial" w:cs="Arial"/>
          <w:sz w:val="20"/>
          <w:szCs w:val="20"/>
        </w:rPr>
        <w:fldChar w:fldCharType="end"/>
      </w:r>
      <w:r w:rsidR="001C29FB">
        <w:rPr>
          <w:rFonts w:ascii="Arial" w:hAnsi="Arial" w:cs="Arial"/>
          <w:color w:val="FF0000"/>
          <w:sz w:val="20"/>
          <w:szCs w:val="20"/>
        </w:rPr>
        <w:t>.</w:t>
      </w:r>
    </w:p>
    <w:p w:rsidR="005414FD" w:rsidRDefault="005414FD" w:rsidP="008052A9">
      <w:pPr>
        <w:spacing w:after="0" w:line="240" w:lineRule="auto"/>
        <w:ind w:left="-2" w:firstLineChars="0" w:firstLine="0"/>
        <w:jc w:val="both"/>
        <w:rPr>
          <w:rFonts w:ascii="Arial" w:hAnsi="Arial" w:cs="Arial"/>
          <w:sz w:val="20"/>
          <w:szCs w:val="20"/>
        </w:rPr>
      </w:pPr>
      <w:r w:rsidRPr="005414FD">
        <w:rPr>
          <w:rFonts w:ascii="Arial" w:hAnsi="Arial" w:cs="Arial"/>
          <w:sz w:val="20"/>
          <w:szCs w:val="20"/>
        </w:rPr>
        <w:t>Indonesia</w:t>
      </w:r>
      <w:r w:rsidR="00FD55D5">
        <w:rPr>
          <w:rFonts w:ascii="Arial" w:hAnsi="Arial" w:cs="Arial"/>
          <w:sz w:val="20"/>
          <w:szCs w:val="20"/>
        </w:rPr>
        <w:t>n</w:t>
      </w:r>
      <w:r w:rsidRPr="005414FD">
        <w:rPr>
          <w:rFonts w:ascii="Arial" w:hAnsi="Arial" w:cs="Arial"/>
          <w:sz w:val="20"/>
          <w:szCs w:val="20"/>
        </w:rPr>
        <w:t xml:space="preserve"> government regards sugar as one of the staple foods and this decision is written down in </w:t>
      </w:r>
      <w:r w:rsidR="00FD55D5">
        <w:rPr>
          <w:rFonts w:ascii="Arial" w:hAnsi="Arial" w:cs="Arial"/>
          <w:sz w:val="20"/>
          <w:szCs w:val="20"/>
        </w:rPr>
        <w:t xml:space="preserve">the </w:t>
      </w:r>
      <w:r w:rsidRPr="005414FD">
        <w:rPr>
          <w:rFonts w:ascii="Arial" w:hAnsi="Arial" w:cs="Arial"/>
          <w:sz w:val="20"/>
          <w:szCs w:val="20"/>
        </w:rPr>
        <w:t>Presidential Degree of Republic Indonesia (</w:t>
      </w:r>
      <w:proofErr w:type="spellStart"/>
      <w:r w:rsidRPr="005414FD">
        <w:rPr>
          <w:rFonts w:ascii="Arial" w:hAnsi="Arial" w:cs="Arial"/>
          <w:sz w:val="20"/>
          <w:szCs w:val="20"/>
        </w:rPr>
        <w:t>Perpres</w:t>
      </w:r>
      <w:proofErr w:type="spellEnd"/>
      <w:r w:rsidRPr="005414FD">
        <w:rPr>
          <w:rFonts w:ascii="Arial" w:hAnsi="Arial" w:cs="Arial"/>
          <w:sz w:val="20"/>
          <w:szCs w:val="20"/>
        </w:rPr>
        <w:t xml:space="preserve"> </w:t>
      </w:r>
      <w:proofErr w:type="spellStart"/>
      <w:r w:rsidRPr="005414FD">
        <w:rPr>
          <w:rFonts w:ascii="Arial" w:hAnsi="Arial" w:cs="Arial"/>
          <w:sz w:val="20"/>
          <w:szCs w:val="20"/>
        </w:rPr>
        <w:t>Republik</w:t>
      </w:r>
      <w:proofErr w:type="spellEnd"/>
      <w:r w:rsidRPr="005414FD">
        <w:rPr>
          <w:rFonts w:ascii="Arial" w:hAnsi="Arial" w:cs="Arial"/>
          <w:sz w:val="20"/>
          <w:szCs w:val="20"/>
        </w:rPr>
        <w:t xml:space="preserve"> Indonesia) No</w:t>
      </w:r>
      <w:r w:rsidR="00C64A49">
        <w:rPr>
          <w:rFonts w:ascii="Arial" w:hAnsi="Arial" w:cs="Arial"/>
          <w:sz w:val="20"/>
          <w:szCs w:val="20"/>
        </w:rPr>
        <w:t>.</w:t>
      </w:r>
      <w:r w:rsidRPr="005414FD">
        <w:rPr>
          <w:rFonts w:ascii="Arial" w:hAnsi="Arial" w:cs="Arial"/>
          <w:sz w:val="20"/>
          <w:szCs w:val="20"/>
        </w:rPr>
        <w:t xml:space="preserve"> 59 Year 2020 about the govern</w:t>
      </w:r>
      <w:r w:rsidR="00542C02">
        <w:rPr>
          <w:rFonts w:ascii="Arial" w:hAnsi="Arial" w:cs="Arial"/>
          <w:sz w:val="20"/>
          <w:szCs w:val="20"/>
        </w:rPr>
        <w:t>ment arrangement and storage of staple g</w:t>
      </w:r>
      <w:r w:rsidRPr="005414FD">
        <w:rPr>
          <w:rFonts w:ascii="Arial" w:hAnsi="Arial" w:cs="Arial"/>
          <w:sz w:val="20"/>
          <w:szCs w:val="20"/>
        </w:rPr>
        <w:t xml:space="preserve">oods </w:t>
      </w:r>
      <w:r w:rsidRPr="005414FD">
        <w:rPr>
          <w:rFonts w:ascii="Arial" w:hAnsi="Arial" w:cs="Arial"/>
          <w:sz w:val="20"/>
          <w:szCs w:val="20"/>
        </w:rPr>
        <w:fldChar w:fldCharType="begin" w:fldLock="1"/>
      </w:r>
      <w:r w:rsidR="00AA5E59">
        <w:rPr>
          <w:rFonts w:ascii="Arial" w:hAnsi="Arial" w:cs="Arial"/>
          <w:sz w:val="20"/>
          <w:szCs w:val="20"/>
        </w:rPr>
        <w:instrText>ADDIN CSL_CITATION {"citationItems":[{"id":"ITEM-1","itemData":{"author":[{"dropping-particle":"","family":"Widodo","given":"Joko","non-dropping-particle":"","parse-names":false,"suffix":""}],"id":"ITEM-1","issued":{"date-parts":[["2020"]]},"publisher-place":"Jakarta, Indonesia","title":"(1) Undang-Undang","type":"report"},"uris":["http://www.mendeley.com/documents/?uuid=271a3381-013c-4fa5-8e4e-8a269146cd5b"]}],"mendeley":{"formattedCitation":"[13]","plainTextFormattedCitation":"[13]","previouslyFormattedCitation":"[13]"},"properties":{"noteIndex":0},"schema":"https://github.com/citation-style-language/schema/raw/master/csl-citation.json"}</w:instrText>
      </w:r>
      <w:r w:rsidRPr="005414FD">
        <w:rPr>
          <w:rFonts w:ascii="Arial" w:hAnsi="Arial" w:cs="Arial"/>
          <w:sz w:val="20"/>
          <w:szCs w:val="20"/>
        </w:rPr>
        <w:fldChar w:fldCharType="separate"/>
      </w:r>
      <w:r w:rsidR="00AA5E59" w:rsidRPr="00AA5E59">
        <w:rPr>
          <w:rFonts w:ascii="Arial" w:hAnsi="Arial" w:cs="Arial"/>
          <w:noProof/>
          <w:sz w:val="20"/>
          <w:szCs w:val="20"/>
        </w:rPr>
        <w:t>[13]</w:t>
      </w:r>
      <w:r w:rsidRPr="005414FD">
        <w:rPr>
          <w:rFonts w:ascii="Arial" w:hAnsi="Arial" w:cs="Arial"/>
          <w:sz w:val="20"/>
          <w:szCs w:val="20"/>
        </w:rPr>
        <w:fldChar w:fldCharType="end"/>
      </w:r>
      <w:r w:rsidRPr="005414FD">
        <w:rPr>
          <w:rFonts w:ascii="Arial" w:hAnsi="Arial" w:cs="Arial"/>
          <w:sz w:val="20"/>
          <w:szCs w:val="20"/>
        </w:rPr>
        <w:t>. This consideration is because a lot of household expenses are spent on sugar and its availability impacts national inflation.</w:t>
      </w:r>
    </w:p>
    <w:p w:rsidR="00664B9D" w:rsidRDefault="00664B9D" w:rsidP="008052A9">
      <w:pPr>
        <w:spacing w:after="0" w:line="240" w:lineRule="auto"/>
        <w:ind w:left="-2" w:firstLineChars="0" w:firstLine="0"/>
        <w:jc w:val="both"/>
        <w:rPr>
          <w:rFonts w:ascii="Arial" w:hAnsi="Arial" w:cs="Arial"/>
          <w:sz w:val="20"/>
          <w:szCs w:val="20"/>
        </w:rPr>
      </w:pPr>
      <w:r w:rsidRPr="00664B9D">
        <w:rPr>
          <w:rFonts w:ascii="Arial" w:hAnsi="Arial" w:cs="Arial"/>
          <w:sz w:val="20"/>
          <w:szCs w:val="20"/>
        </w:rPr>
        <w:t xml:space="preserve">Sugar consumption is divided into two groups, sugar consumption for industry and sugar consumption for households. The household can buy sugar directly from retail. Based on the Central Statistics Agency </w:t>
      </w:r>
      <w:r w:rsidRPr="00664B9D">
        <w:rPr>
          <w:rFonts w:ascii="Arial" w:hAnsi="Arial" w:cs="Arial"/>
          <w:sz w:val="20"/>
          <w:szCs w:val="20"/>
        </w:rPr>
        <w:fldChar w:fldCharType="begin" w:fldLock="1"/>
      </w:r>
      <w:r w:rsidR="00AA5E59">
        <w:rPr>
          <w:rFonts w:ascii="Arial" w:hAnsi="Arial" w:cs="Arial"/>
          <w:sz w:val="20"/>
          <w:szCs w:val="20"/>
        </w:rPr>
        <w:instrText>ADDIN CSL_CITATION {"citationItems":[{"id":"ITEM-1","itemData":{"author":[{"dropping-particle":"","family":"Statistik","given":"Badan Pusat","non-dropping-particle":"","parse-names":false,"suffix":""}],"id":"ITEM-1","issued":{"date-parts":[["2023"]]},"title":"Subjek Tabel Terkait Rata - Rata Konsumsi Perkapita Seminggu Menurut Kelompok Bahan Makanan Lainnya Per Kabupaten / Kota Rata - Rata Konsumsi Perkapita Seminggu Di Daerah Pedesaan Menurut Komoditi Makanan Dan Golongan Pengeluaran Per Kapita Seminggu Rata","type":"report"},"uris":["http://www.mendeley.com/documents/?uuid=5072bd58-5771-4d0c-882b-0743a3e52dcc"]}],"mendeley":{"formattedCitation":"[14]","plainTextFormattedCitation":"[14]","previouslyFormattedCitation":"[14]"},"properties":{"noteIndex":0},"schema":"https://github.com/citation-style-language/schema/raw/master/csl-citation.json"}</w:instrText>
      </w:r>
      <w:r w:rsidRPr="00664B9D">
        <w:rPr>
          <w:rFonts w:ascii="Arial" w:hAnsi="Arial" w:cs="Arial"/>
          <w:sz w:val="20"/>
          <w:szCs w:val="20"/>
        </w:rPr>
        <w:fldChar w:fldCharType="separate"/>
      </w:r>
      <w:r w:rsidR="00AA5E59" w:rsidRPr="00AA5E59">
        <w:rPr>
          <w:rFonts w:ascii="Arial" w:hAnsi="Arial" w:cs="Arial"/>
          <w:noProof/>
          <w:sz w:val="20"/>
          <w:szCs w:val="20"/>
        </w:rPr>
        <w:t>[14]</w:t>
      </w:r>
      <w:r w:rsidRPr="00664B9D">
        <w:rPr>
          <w:rFonts w:ascii="Arial" w:hAnsi="Arial" w:cs="Arial"/>
          <w:sz w:val="20"/>
          <w:szCs w:val="20"/>
        </w:rPr>
        <w:fldChar w:fldCharType="end"/>
      </w:r>
      <w:r w:rsidRPr="00664B9D">
        <w:rPr>
          <w:rFonts w:ascii="Arial" w:hAnsi="Arial" w:cs="Arial"/>
          <w:sz w:val="20"/>
          <w:szCs w:val="20"/>
        </w:rPr>
        <w:t>, Indonesian people consume around 31.5 grams of sugar per capita weekly for household consumption in 2023. It means that ther</w:t>
      </w:r>
      <w:r w:rsidR="00542C02">
        <w:rPr>
          <w:rFonts w:ascii="Arial" w:hAnsi="Arial" w:cs="Arial"/>
          <w:sz w:val="20"/>
          <w:szCs w:val="20"/>
        </w:rPr>
        <w:t xml:space="preserve">e is a certain </w:t>
      </w:r>
      <w:r w:rsidRPr="00664B9D">
        <w:rPr>
          <w:rFonts w:ascii="Arial" w:hAnsi="Arial" w:cs="Arial"/>
          <w:sz w:val="20"/>
          <w:szCs w:val="20"/>
        </w:rPr>
        <w:t xml:space="preserve">demand for sugar in the retail. Therefore, retail should provide sugar and maintain its stock efficiently so that it can achieve customer satisfaction due to the stock availability and avoid high inventory because of excessive stock. To achieve this, retail should </w:t>
      </w:r>
      <w:r w:rsidR="00736988">
        <w:rPr>
          <w:rFonts w:ascii="Arial" w:hAnsi="Arial" w:cs="Arial"/>
          <w:sz w:val="20"/>
          <w:szCs w:val="20"/>
        </w:rPr>
        <w:t xml:space="preserve">have a good </w:t>
      </w:r>
      <w:r w:rsidRPr="00664B9D">
        <w:rPr>
          <w:rFonts w:ascii="Arial" w:hAnsi="Arial" w:cs="Arial"/>
          <w:sz w:val="20"/>
          <w:szCs w:val="20"/>
        </w:rPr>
        <w:t>pred</w:t>
      </w:r>
      <w:r w:rsidR="00736988">
        <w:rPr>
          <w:rFonts w:ascii="Arial" w:hAnsi="Arial" w:cs="Arial"/>
          <w:sz w:val="20"/>
          <w:szCs w:val="20"/>
        </w:rPr>
        <w:t>iction for sugar demand</w:t>
      </w:r>
      <w:r>
        <w:rPr>
          <w:rFonts w:ascii="Arial" w:hAnsi="Arial" w:cs="Arial"/>
          <w:sz w:val="20"/>
          <w:szCs w:val="20"/>
        </w:rPr>
        <w:t>.</w:t>
      </w:r>
    </w:p>
    <w:p w:rsidR="008052A9" w:rsidRDefault="00983644" w:rsidP="00455AC7">
      <w:pPr>
        <w:spacing w:after="0" w:line="240" w:lineRule="auto"/>
        <w:ind w:left="-2" w:firstLineChars="0" w:firstLine="0"/>
        <w:jc w:val="both"/>
        <w:rPr>
          <w:rFonts w:ascii="Arial" w:hAnsi="Arial" w:cs="Arial"/>
          <w:sz w:val="20"/>
          <w:szCs w:val="20"/>
        </w:rPr>
      </w:pPr>
      <w:r w:rsidRPr="00983644">
        <w:rPr>
          <w:rFonts w:ascii="Arial" w:hAnsi="Arial" w:cs="Arial"/>
          <w:sz w:val="20"/>
          <w:szCs w:val="20"/>
        </w:rPr>
        <w:t xml:space="preserve">Despite the importance </w:t>
      </w:r>
      <w:r w:rsidR="00E03FBA">
        <w:rPr>
          <w:rFonts w:ascii="Arial" w:hAnsi="Arial" w:cs="Arial"/>
          <w:sz w:val="20"/>
          <w:szCs w:val="20"/>
        </w:rPr>
        <w:t xml:space="preserve">of </w:t>
      </w:r>
      <w:r w:rsidRPr="00983644">
        <w:rPr>
          <w:rFonts w:ascii="Arial" w:hAnsi="Arial" w:cs="Arial"/>
          <w:sz w:val="20"/>
          <w:szCs w:val="20"/>
        </w:rPr>
        <w:t xml:space="preserve">the </w:t>
      </w:r>
      <w:r w:rsidR="00561258">
        <w:rPr>
          <w:rFonts w:ascii="Arial" w:hAnsi="Arial" w:cs="Arial"/>
          <w:sz w:val="20"/>
          <w:szCs w:val="20"/>
        </w:rPr>
        <w:t xml:space="preserve">sugar demand </w:t>
      </w:r>
      <w:r w:rsidR="00497F40">
        <w:rPr>
          <w:rFonts w:ascii="Arial" w:hAnsi="Arial" w:cs="Arial"/>
          <w:sz w:val="20"/>
          <w:szCs w:val="20"/>
        </w:rPr>
        <w:t xml:space="preserve">prediction </w:t>
      </w:r>
      <w:r w:rsidR="00561258">
        <w:rPr>
          <w:rFonts w:ascii="Arial" w:hAnsi="Arial" w:cs="Arial"/>
          <w:sz w:val="20"/>
          <w:szCs w:val="20"/>
        </w:rPr>
        <w:t>in retail,</w:t>
      </w:r>
      <w:r w:rsidRPr="00983644">
        <w:rPr>
          <w:rFonts w:ascii="Arial" w:hAnsi="Arial" w:cs="Arial"/>
          <w:sz w:val="20"/>
          <w:szCs w:val="20"/>
        </w:rPr>
        <w:t xml:space="preserve"> there </w:t>
      </w:r>
      <w:r w:rsidR="00AE1334">
        <w:rPr>
          <w:rFonts w:ascii="Arial" w:hAnsi="Arial" w:cs="Arial"/>
          <w:sz w:val="20"/>
          <w:szCs w:val="20"/>
        </w:rPr>
        <w:t>are</w:t>
      </w:r>
      <w:r w:rsidR="00DF3AB8">
        <w:rPr>
          <w:rFonts w:ascii="Arial" w:hAnsi="Arial" w:cs="Arial"/>
          <w:sz w:val="20"/>
          <w:szCs w:val="20"/>
        </w:rPr>
        <w:t xml:space="preserve"> no studies di</w:t>
      </w:r>
      <w:r w:rsidR="00AE1334">
        <w:rPr>
          <w:rFonts w:ascii="Arial" w:hAnsi="Arial" w:cs="Arial"/>
          <w:sz w:val="20"/>
          <w:szCs w:val="20"/>
        </w:rPr>
        <w:t>s</w:t>
      </w:r>
      <w:r w:rsidR="00DF3AB8">
        <w:rPr>
          <w:rFonts w:ascii="Arial" w:hAnsi="Arial" w:cs="Arial"/>
          <w:sz w:val="20"/>
          <w:szCs w:val="20"/>
        </w:rPr>
        <w:t>cussed it</w:t>
      </w:r>
      <w:r w:rsidR="00C06A05">
        <w:rPr>
          <w:rFonts w:ascii="Arial" w:hAnsi="Arial" w:cs="Arial"/>
          <w:sz w:val="20"/>
          <w:szCs w:val="20"/>
        </w:rPr>
        <w:t xml:space="preserve"> worldwide</w:t>
      </w:r>
      <w:r w:rsidRPr="00983644">
        <w:rPr>
          <w:rFonts w:ascii="Arial" w:hAnsi="Arial" w:cs="Arial"/>
          <w:sz w:val="20"/>
          <w:szCs w:val="20"/>
        </w:rPr>
        <w:t>; instead, several studies about a prediction of sugarcane production</w:t>
      </w:r>
      <w:r w:rsidR="00914107">
        <w:rPr>
          <w:rFonts w:ascii="Arial" w:hAnsi="Arial" w:cs="Arial"/>
          <w:sz w:val="20"/>
          <w:szCs w:val="20"/>
        </w:rPr>
        <w:t xml:space="preserve"> </w:t>
      </w:r>
      <w:r w:rsidR="00BD0EAA">
        <w:rPr>
          <w:rFonts w:ascii="Arial" w:hAnsi="Arial" w:cs="Arial"/>
          <w:sz w:val="20"/>
          <w:szCs w:val="20"/>
        </w:rPr>
        <w:fldChar w:fldCharType="begin" w:fldLock="1"/>
      </w:r>
      <w:r w:rsidR="00AA5E59">
        <w:rPr>
          <w:rFonts w:ascii="Arial" w:hAnsi="Arial" w:cs="Arial"/>
          <w:sz w:val="20"/>
          <w:szCs w:val="20"/>
        </w:rPr>
        <w:instrText>ADDIN CSL_CITATION {"citationItems":[{"id":"ITEM-1","itemData":{"DOI":"10.1007/s12355-021-01004-3","ISSN":"09740740","abstract":"Sugarcane plays an essential role in the economy of the India. During 2018, 79.9% of total sugarcane production of India was used in the manufacture of white sugar, 11.29% was used for jaggery production, and 8.80% was used as seed and feed materials. 840.16 Mt sugarcane was exported in the year 2019. Prediction of production level is basic to effective decision-making for policymakers. The objective of this study is thus to find the suitable models of forecasting for sugarcane production. India and major sugarcane producing states, namely Andhra Pradesh, Karnataka, Maharashtra, Tamil Nadu and Uttar Pradesh were selected. Sugarcane production data from 1950 to 2015 were used for training and 2016 to 2018 was used to test the model. ARIMA method was used to model the production process. Order selection was done using AIC. RMSE, MAPE and Theils’ U statistic were used to test the accuracy of the models fitted to the data. ARCH process was found for Karnataka, Tamil Nadu and Uttar Pradesh. Autocorrelation was not present in all the data series analyzed. Forecast accuracy on MAPE criteria ranged from 0.046 to 0.197 percent.","author":[{"dropping-particle":"","family":"Mishra","given":"Pradeep","non-dropping-particle":"","parse-names":false,"suffix":""},{"dropping-particle":"","family":"Khatib","given":"A. M.G.","non-dropping-particle":"Al","parse-names":false,"suffix":""},{"dropping-particle":"","family":"Sardar","given":"Iqra","non-dropping-particle":"","parse-names":false,"suffix":""},{"dropping-particle":"","family":"Mohammed","given":"Jamal","non-dropping-particle":"","parse-names":false,"suffix":""},{"dropping-particle":"","family":"Karakaya","given":"Kadir","non-dropping-particle":"","parse-names":false,"suffix":""},{"dropping-particle":"","family":"Dash","given":"Abhiram","non-dropping-particle":"","parse-names":false,"suffix":""},{"dropping-particle":"","family":"Ray","given":"Monika","non-dropping-particle":"","parse-names":false,"suffix":""},{"dropping-particle":"","family":"Narsimhaiah","given":"Lakshmi","non-dropping-particle":"","parse-names":false,"suffix":""},{"dropping-particle":"","family":"Dubey","given":"Anurag","non-dropping-particle":"","parse-names":false,"suffix":""}],"container-title":"Sugar Tech","id":"ITEM-1","issue":"6","issued":{"date-parts":[["2021"]]},"page":"1317-1324","publisher":"Springer India","title":"Modeling and Forecasting of Sugarcane Production in India","type":"article-journal","volume":"23"},"uris":["http://www.mendeley.com/documents/?uuid=8ebdae13-121a-4bfe-b89c-56feba7c5246"]},{"id":"ITEM-2","itemData":{"DOI":"10.1111/aab.12825","ISSN":"17447348","abstract":"This paper proposes a comparison of various time series forecasting models to forecast annual data on sugarcane production over 63 years from 1960 to 2022. In this research, the Mean Forecast Model, the Naive Model, the Simple Exponential Smoothing Model, Holt's model, and the Autoregressive Integrated Moving Average time series models have all been used to make effective and accurate predictions for sugarcane. Different scale-dependent error forecasting techniques and residual analysis have been used to examine the forecasting accuracy of these time series models. SE of Residuals, Root Mean Squared Error (RMSE), Mean Absolute Error (MAE) and Akaike's Information Criterion (AIC) are used to analyse the forecast's accuracy. The best model has been selected based on the predictions with the lowest value, according to the three-performance metrics of RMSE, MAE, and AIC. The estimated sugarcane production shows an increasing trend for the next 10 years and is projected to be 37,763.38 million tonnes in the year 2032. Further, empirical results support the plan and execution of viable strategies to advance sugarcane production in India to fulfil the utilisation need of the increasing population and further improve food security.","author":[{"dropping-particle":"","family":"Tyagi","given":"Sanjay","non-dropping-particle":"","parse-names":false,"suffix":""},{"dropping-particle":"","family":"Chandra","given":"Shalini","non-dropping-particle":"","parse-names":false,"suffix":""},{"dropping-particle":"","family":"Tyagi","given":"Gargi","non-dropping-particle":"","parse-names":false,"suffix":""}],"container-title":"Annals of Applied Biology","id":"ITEM-2","issue":"3","issued":{"date-parts":[["2023"]]},"page":"371-380","title":"Statistical modelling and forecasting annual sugarcane production in India: Using various time series models","type":"article-journal","volume":"182"},"uris":["http://www.mendeley.com/documents/?uuid=8f4b89a6-d303-4136-8519-1fe57e7a8d6e"]}],"mendeley":{"formattedCitation":"[15], [16]","plainTextFormattedCitation":"[15], [16]","previouslyFormattedCitation":"[15], [16]"},"properties":{"noteIndex":0},"schema":"https://github.com/citation-style-language/schema/raw/master/csl-citation.json"}</w:instrText>
      </w:r>
      <w:r w:rsidR="00BD0EAA">
        <w:rPr>
          <w:rFonts w:ascii="Arial" w:hAnsi="Arial" w:cs="Arial"/>
          <w:sz w:val="20"/>
          <w:szCs w:val="20"/>
        </w:rPr>
        <w:fldChar w:fldCharType="separate"/>
      </w:r>
      <w:r w:rsidR="00AA5E59" w:rsidRPr="00AA5E59">
        <w:rPr>
          <w:rFonts w:ascii="Arial" w:hAnsi="Arial" w:cs="Arial"/>
          <w:noProof/>
          <w:sz w:val="20"/>
          <w:szCs w:val="20"/>
        </w:rPr>
        <w:t>[15], [16]</w:t>
      </w:r>
      <w:r w:rsidR="00BD0EAA">
        <w:rPr>
          <w:rFonts w:ascii="Arial" w:hAnsi="Arial" w:cs="Arial"/>
          <w:sz w:val="20"/>
          <w:szCs w:val="20"/>
        </w:rPr>
        <w:fldChar w:fldCharType="end"/>
      </w:r>
      <w:r w:rsidR="00BD0EAA">
        <w:rPr>
          <w:rFonts w:ascii="Arial" w:hAnsi="Arial" w:cs="Arial"/>
          <w:sz w:val="20"/>
          <w:szCs w:val="20"/>
        </w:rPr>
        <w:t>,</w:t>
      </w:r>
      <w:r w:rsidRPr="00983644">
        <w:rPr>
          <w:rFonts w:ascii="Arial" w:hAnsi="Arial" w:cs="Arial"/>
          <w:sz w:val="20"/>
          <w:szCs w:val="20"/>
        </w:rPr>
        <w:t xml:space="preserve"> sugar price</w:t>
      </w:r>
      <w:r w:rsidR="00BD0EAA">
        <w:rPr>
          <w:rFonts w:ascii="Arial" w:hAnsi="Arial" w:cs="Arial"/>
          <w:sz w:val="20"/>
          <w:szCs w:val="20"/>
        </w:rPr>
        <w:t xml:space="preserve"> </w:t>
      </w:r>
      <w:r w:rsidR="00455AC7">
        <w:rPr>
          <w:rFonts w:ascii="Arial" w:hAnsi="Arial" w:cs="Arial"/>
          <w:sz w:val="20"/>
          <w:szCs w:val="20"/>
        </w:rPr>
        <w:fldChar w:fldCharType="begin" w:fldLock="1"/>
      </w:r>
      <w:r w:rsidR="00AA5E59">
        <w:rPr>
          <w:rFonts w:ascii="Arial" w:hAnsi="Arial" w:cs="Arial"/>
          <w:sz w:val="20"/>
          <w:szCs w:val="20"/>
        </w:rPr>
        <w:instrText>ADDIN CSL_CITATION {"citationItems":[{"id":"ITEM-1","itemData":{"DOI":"10.1007/s12355-020-00815-0","ISSN":"09740740","abstract":"This paper examines the relative importance of key variables for the prediction of international sugar prices. Understanding movements in world sugar prices helps policy-makers and participants in the sugar value chain to formulate effective investment strategies and forecast the effects of market shocks more accurately. We combine a Bayesian model averaging (BMA) technique to address specification uncertainty with an out-of-sample analysis to evaluate price predictability. Results show that world sugar quotations are mostly influenced by their own dynamics, changes in international staple food prices, sugar production costs, and macroeconomic variables. The predictability of the BMA is found to be generally high, compared with a sample of benchmark time series approaches.","author":[{"dropping-particle":"","family":"Amrouk","given":"El Mamoun","non-dropping-particle":"","parse-names":false,"suffix":""},{"dropping-particle":"","family":"Heckelei","given":"Thomas","non-dropping-particle":"","parse-names":false,"suffix":""}],"container-title":"Sugar Tech","id":"ITEM-1","issue":"4","issued":{"date-parts":[["2020"]]},"page":"552-562","publisher":"Springer India","title":"Forecasting International Sugar Prices: A Bayesian Model Average Analysis","type":"article-journal","volume":"22"},"uris":["http://www.mendeley.com/documents/?uuid=0970c0a0-c2d1-40ea-b43c-e0e898088987"]},{"id":"ITEM-2","itemData":{"DOI":"10.1155/2021/6507688","ISSN":"15635147","abstract":"Sugar price forecasting has attracted extensive attention from policymakers due to its significant impact on people's daily lives and markets. In this paper, we present a novel hybrid deep learning model that utilizes the merit of a time series decomposition technology empirical mode decomposition (EMD) and a hyperparameter optimization algorithm Tree of Parzen Estimators (TPEs) for sugar price forecasting. The effectiveness of the proposed model was implemented in a case study with the price of London Sugar Futures. Two experiments are conducted to verify the superiority of the EMD and TPE. Moreover, the specific effects of EMD and TPE are analyzed by the DM test and improvement percentage. Finally, empirical results demonstrate that the proposed hybrid model outperforms other models.","author":[{"dropping-particle":"","family":"Zhang","given":"Jinlai","non-dropping-particle":"","parse-names":false,"suffix":""},{"dropping-particle":"","family":"Meng","given":"Yanmei","non-dropping-particle":"","parse-names":false,"suffix":""},{"dropping-particle":"","family":"Wei","given":"Jin","non-dropping-particle":"","parse-names":false,"suffix":""},{"dropping-particle":"","family":"Chen","given":"Jie","non-dropping-particle":"","parse-names":false,"suffix":""},{"dropping-particle":"","family":"Qin","given":"Johnny","non-dropping-particle":"","parse-names":false,"suffix":""}],"container-title":"Mathematical Problems in Engineering","id":"ITEM-2","issued":{"date-parts":[["2021"]]},"title":"A Novel Hybrid Deep Learning Model for Sugar Price Forecasting Based on Time Series Decomposition","type":"article-journal","volume":"2021"},"uris":["http://www.mendeley.com/documents/?uuid=2cdd6785-8256-4547-9740-ce1c6fe7aa6e"]}],"mendeley":{"formattedCitation":"[17], [18]","plainTextFormattedCitation":"[17], [18]","previouslyFormattedCitation":"[17], [18]"},"properties":{"noteIndex":0},"schema":"https://github.com/citation-style-language/schema/raw/master/csl-citation.json"}</w:instrText>
      </w:r>
      <w:r w:rsidR="00455AC7">
        <w:rPr>
          <w:rFonts w:ascii="Arial" w:hAnsi="Arial" w:cs="Arial"/>
          <w:sz w:val="20"/>
          <w:szCs w:val="20"/>
        </w:rPr>
        <w:fldChar w:fldCharType="separate"/>
      </w:r>
      <w:r w:rsidR="00AA5E59" w:rsidRPr="00AA5E59">
        <w:rPr>
          <w:rFonts w:ascii="Arial" w:hAnsi="Arial" w:cs="Arial"/>
          <w:noProof/>
          <w:sz w:val="20"/>
          <w:szCs w:val="20"/>
        </w:rPr>
        <w:t>[17], [18]</w:t>
      </w:r>
      <w:r w:rsidR="00455AC7">
        <w:rPr>
          <w:rFonts w:ascii="Arial" w:hAnsi="Arial" w:cs="Arial"/>
          <w:sz w:val="20"/>
          <w:szCs w:val="20"/>
        </w:rPr>
        <w:fldChar w:fldCharType="end"/>
      </w:r>
      <w:r w:rsidR="00455AC7">
        <w:rPr>
          <w:rFonts w:ascii="Arial" w:hAnsi="Arial" w:cs="Arial"/>
          <w:sz w:val="20"/>
          <w:szCs w:val="20"/>
        </w:rPr>
        <w:t>,</w:t>
      </w:r>
      <w:r w:rsidRPr="00983644">
        <w:rPr>
          <w:rFonts w:ascii="Arial" w:hAnsi="Arial" w:cs="Arial"/>
          <w:sz w:val="20"/>
          <w:szCs w:val="20"/>
        </w:rPr>
        <w:t xml:space="preserve"> and sugar consumption</w:t>
      </w:r>
      <w:r w:rsidR="00E22120">
        <w:rPr>
          <w:rFonts w:ascii="Arial" w:hAnsi="Arial" w:cs="Arial"/>
          <w:sz w:val="20"/>
          <w:szCs w:val="20"/>
        </w:rPr>
        <w:t xml:space="preserve"> </w:t>
      </w:r>
      <w:r w:rsidRPr="00983644">
        <w:rPr>
          <w:rFonts w:ascii="Arial" w:hAnsi="Arial" w:cs="Arial"/>
          <w:sz w:val="20"/>
          <w:szCs w:val="20"/>
        </w:rPr>
        <w:t xml:space="preserve"> </w:t>
      </w:r>
      <w:r w:rsidR="00455AC7">
        <w:rPr>
          <w:rFonts w:ascii="Arial" w:hAnsi="Arial" w:cs="Arial"/>
          <w:sz w:val="20"/>
          <w:szCs w:val="20"/>
        </w:rPr>
        <w:fldChar w:fldCharType="begin" w:fldLock="1"/>
      </w:r>
      <w:r w:rsidR="00AA5E59">
        <w:rPr>
          <w:rFonts w:ascii="Arial" w:hAnsi="Arial" w:cs="Arial"/>
          <w:sz w:val="20"/>
          <w:szCs w:val="20"/>
        </w:rPr>
        <w:instrText>ADDIN CSL_CITATION {"citationItems":[{"id":"ITEM-1","itemData":{"DOI":"10.1016/j.ifacol.2019.11.201","ISSN":"24058963","abstract":"This paper proposes an appropriate model to forecast the trend of white sugar consumption rate in Thailand due to the fluctuation of consumption rate nowadays. This paper will focus on two main forecasting model types, which are the regression models and neural network models. Moreover, the perfonnance is evaluated by using Root Mean Square Error (RMSE) and Theil'U statistic value. After processing the experiments, the results demonstrate that Long Short-Term Memory (LSTM) recurrent neural network provides the best perfonnance for the forecasting, with the condition of combination between the existing consumption rate and other relevant factors like production supply, import rate, export rate, and inventory stock. Also timing the model's parameters is an important issue.","author":[{"dropping-particle":"","family":"Kantasaard","given":"Anirut","non-dropping-particle":"","parse-names":false,"suffix":""},{"dropping-particle":"","family":"Bekrar","given":"Abdelghani","non-dropping-particle":"","parse-names":false,"suffix":""},{"dropping-particle":"","family":"Aitelcadi","given":"Abdessamad","non-dropping-particle":"","parse-names":false,"suffix":""},{"dropping-particle":"","family":"Saliez","given":"Yves","non-dropping-particle":"","parse-names":false,"suffix":""}],"container-title":"IFAC-PapersOnLine","id":"ITEM-1","issue":"13","issued":{"date-parts":[["2019"]]},"page":"725-730","title":"Artificial intelligence for forecasting in supply chain management: A case study o White Sugar consumption rate in Thailand","type":"article-journal","volume":"52"},"uris":["http://www.mendeley.com/documents/?uuid=712baddf-9079-438b-8ece-ef2440148460"]}],"mendeley":{"formattedCitation":"[19]","plainTextFormattedCitation":"[19]","previouslyFormattedCitation":"[19]"},"properties":{"noteIndex":0},"schema":"https://github.com/citation-style-language/schema/raw/master/csl-citation.json"}</w:instrText>
      </w:r>
      <w:r w:rsidR="00455AC7">
        <w:rPr>
          <w:rFonts w:ascii="Arial" w:hAnsi="Arial" w:cs="Arial"/>
          <w:sz w:val="20"/>
          <w:szCs w:val="20"/>
        </w:rPr>
        <w:fldChar w:fldCharType="separate"/>
      </w:r>
      <w:r w:rsidR="00AA5E59" w:rsidRPr="00AA5E59">
        <w:rPr>
          <w:rFonts w:ascii="Arial" w:hAnsi="Arial" w:cs="Arial"/>
          <w:noProof/>
          <w:sz w:val="20"/>
          <w:szCs w:val="20"/>
        </w:rPr>
        <w:t>[19]</w:t>
      </w:r>
      <w:r w:rsidR="00455AC7">
        <w:rPr>
          <w:rFonts w:ascii="Arial" w:hAnsi="Arial" w:cs="Arial"/>
          <w:sz w:val="20"/>
          <w:szCs w:val="20"/>
        </w:rPr>
        <w:fldChar w:fldCharType="end"/>
      </w:r>
      <w:r w:rsidR="00455AC7">
        <w:rPr>
          <w:rFonts w:ascii="Arial" w:hAnsi="Arial" w:cs="Arial"/>
          <w:sz w:val="20"/>
          <w:szCs w:val="20"/>
        </w:rPr>
        <w:t xml:space="preserve"> </w:t>
      </w:r>
      <w:r w:rsidRPr="00983644">
        <w:rPr>
          <w:rFonts w:ascii="Arial" w:hAnsi="Arial" w:cs="Arial"/>
          <w:sz w:val="20"/>
          <w:szCs w:val="20"/>
        </w:rPr>
        <w:t>have been done</w:t>
      </w:r>
      <w:r w:rsidR="00455AC7">
        <w:rPr>
          <w:rFonts w:ascii="Arial" w:hAnsi="Arial" w:cs="Arial"/>
          <w:sz w:val="20"/>
          <w:szCs w:val="20"/>
        </w:rPr>
        <w:t xml:space="preserve"> outside Indonesia</w:t>
      </w:r>
      <w:r w:rsidRPr="00983644">
        <w:rPr>
          <w:rFonts w:ascii="Arial" w:hAnsi="Arial" w:cs="Arial"/>
          <w:sz w:val="20"/>
          <w:szCs w:val="20"/>
        </w:rPr>
        <w:t xml:space="preserve">. </w:t>
      </w:r>
      <w:r w:rsidR="00542C02" w:rsidRPr="00542C02">
        <w:rPr>
          <w:rFonts w:ascii="Arial" w:hAnsi="Arial" w:cs="Arial"/>
          <w:sz w:val="20"/>
          <w:szCs w:val="20"/>
        </w:rPr>
        <w:t>Mishra et al.</w:t>
      </w:r>
      <w:r w:rsidR="00542C02">
        <w:rPr>
          <w:rFonts w:ascii="Arial" w:hAnsi="Arial" w:cs="Arial"/>
          <w:color w:val="C00000"/>
          <w:sz w:val="20"/>
          <w:szCs w:val="20"/>
        </w:rPr>
        <w:t xml:space="preserve"> </w:t>
      </w:r>
      <w:r w:rsidRPr="00983644">
        <w:rPr>
          <w:rFonts w:ascii="Arial" w:hAnsi="Arial" w:cs="Arial"/>
          <w:sz w:val="20"/>
          <w:szCs w:val="20"/>
        </w:rPr>
        <w:fldChar w:fldCharType="begin" w:fldLock="1"/>
      </w:r>
      <w:r w:rsidR="00AA5E59">
        <w:rPr>
          <w:rFonts w:ascii="Arial" w:hAnsi="Arial" w:cs="Arial"/>
          <w:sz w:val="20"/>
          <w:szCs w:val="20"/>
        </w:rPr>
        <w:instrText>ADDIN CSL_CITATION {"citationItems":[{"id":"ITEM-1","itemData":{"DOI":"10.1007/s12355-021-01004-3","ISSN":"09740740","abstract":"Sugarcane plays an essential role in the economy of the India. During 2018, 79.9% of total sugarcane production of India was used in the manufacture of white sugar, 11.29% was used for jaggery production, and 8.80% was used as seed and feed materials. 840.16 Mt sugarcane was exported in the year 2019. Prediction of production level is basic to effective decision-making for policymakers. The objective of this study is thus to find the suitable models of forecasting for sugarcane production. India and major sugarcane producing states, namely Andhra Pradesh, Karnataka, Maharashtra, Tamil Nadu and Uttar Pradesh were selected. Sugarcane production data from 1950 to 2015 were used for training and 2016 to 2018 was used to test the model. ARIMA method was used to model the production process. Order selection was done using AIC. RMSE, MAPE and Theils’ U statistic were used to test the accuracy of the models fitted to the data. ARCH process was found for Karnataka, Tamil Nadu and Uttar Pradesh. Autocorrelation was not present in all the data series analyzed. Forecast accuracy on MAPE criteria ranged from 0.046 to 0.197 percent.","author":[{"dropping-particle":"","family":"Mishra","given":"Pradeep","non-dropping-particle":"","parse-names":false,"suffix":""},{"dropping-particle":"","family":"Khatib","given":"A. M.G.","non-dropping-particle":"Al","parse-names":false,"suffix":""},{"dropping-particle":"","family":"Sardar","given":"Iqra","non-dropping-particle":"","parse-names":false,"suffix":""},{"dropping-particle":"","family":"Mohammed","given":"Jamal","non-dropping-particle":"","parse-names":false,"suffix":""},{"dropping-particle":"","family":"Karakaya","given":"Kadir","non-dropping-particle":"","parse-names":false,"suffix":""},{"dropping-particle":"","family":"Dash","given":"Abhiram","non-dropping-particle":"","parse-names":false,"suffix":""},{"dropping-particle":"","family":"Ray","given":"Monika","non-dropping-particle":"","parse-names":false,"suffix":""},{"dropping-particle":"","family":"Narsimhaiah","given":"Lakshmi","non-dropping-particle":"","parse-names":false,"suffix":""},{"dropping-particle":"","family":"Dubey","given":"Anurag","non-dropping-particle":"","parse-names":false,"suffix":""}],"container-title":"Sugar Tech","id":"ITEM-1","issue":"6","issued":{"date-parts":[["2021"]]},"page":"1317-1324","publisher":"Springer India","title":"Modeling and Forecasting of Sugarcane Production in India","type":"article-journal","volume":"23"},"uris":["http://www.mendeley.com/documents/?uuid=8ebdae13-121a-4bfe-b89c-56feba7c5246"]}],"mendeley":{"formattedCitation":"[15]","plainTextFormattedCitation":"[15]","previouslyFormattedCitation":"[15]"},"properties":{"noteIndex":0},"schema":"https://github.com/citation-style-language/schema/raw/master/csl-citation.json"}</w:instrText>
      </w:r>
      <w:r w:rsidRPr="00983644">
        <w:rPr>
          <w:rFonts w:ascii="Arial" w:hAnsi="Arial" w:cs="Arial"/>
          <w:sz w:val="20"/>
          <w:szCs w:val="20"/>
        </w:rPr>
        <w:fldChar w:fldCharType="separate"/>
      </w:r>
      <w:r w:rsidR="00AA5E59" w:rsidRPr="00AA5E59">
        <w:rPr>
          <w:rFonts w:ascii="Arial" w:hAnsi="Arial" w:cs="Arial"/>
          <w:noProof/>
          <w:sz w:val="20"/>
          <w:szCs w:val="20"/>
        </w:rPr>
        <w:t>[15]</w:t>
      </w:r>
      <w:r w:rsidRPr="00983644">
        <w:rPr>
          <w:rFonts w:ascii="Arial" w:hAnsi="Arial" w:cs="Arial"/>
          <w:sz w:val="20"/>
          <w:szCs w:val="20"/>
        </w:rPr>
        <w:fldChar w:fldCharType="end"/>
      </w:r>
      <w:r w:rsidRPr="00983644">
        <w:rPr>
          <w:rFonts w:ascii="Arial" w:hAnsi="Arial" w:cs="Arial"/>
          <w:sz w:val="20"/>
          <w:szCs w:val="20"/>
        </w:rPr>
        <w:t xml:space="preserve"> and </w:t>
      </w:r>
      <w:proofErr w:type="spellStart"/>
      <w:r w:rsidRPr="00542C02">
        <w:rPr>
          <w:rFonts w:ascii="Arial" w:hAnsi="Arial" w:cs="Arial"/>
          <w:sz w:val="20"/>
          <w:szCs w:val="20"/>
        </w:rPr>
        <w:t>Tyagi</w:t>
      </w:r>
      <w:proofErr w:type="spellEnd"/>
      <w:r w:rsidRPr="00542C02">
        <w:rPr>
          <w:rFonts w:ascii="Arial" w:hAnsi="Arial" w:cs="Arial"/>
          <w:sz w:val="20"/>
          <w:szCs w:val="20"/>
        </w:rPr>
        <w:t xml:space="preserve"> et al</w:t>
      </w:r>
      <w:r w:rsidR="00542C02" w:rsidRPr="00542C02">
        <w:rPr>
          <w:rFonts w:ascii="Arial" w:hAnsi="Arial" w:cs="Arial"/>
          <w:sz w:val="20"/>
          <w:szCs w:val="20"/>
        </w:rPr>
        <w:t>.</w:t>
      </w:r>
      <w:r w:rsidRPr="00542C02">
        <w:rPr>
          <w:rFonts w:ascii="Arial" w:hAnsi="Arial" w:cs="Arial"/>
          <w:sz w:val="20"/>
          <w:szCs w:val="20"/>
        </w:rPr>
        <w:t xml:space="preserve"> </w:t>
      </w:r>
      <w:r w:rsidRPr="00983644">
        <w:rPr>
          <w:rFonts w:ascii="Arial" w:hAnsi="Arial" w:cs="Arial"/>
          <w:sz w:val="20"/>
          <w:szCs w:val="20"/>
        </w:rPr>
        <w:fldChar w:fldCharType="begin" w:fldLock="1"/>
      </w:r>
      <w:r w:rsidR="00AA5E59">
        <w:rPr>
          <w:rFonts w:ascii="Arial" w:hAnsi="Arial" w:cs="Arial"/>
          <w:sz w:val="20"/>
          <w:szCs w:val="20"/>
        </w:rPr>
        <w:instrText>ADDIN CSL_CITATION {"citationItems":[{"id":"ITEM-1","itemData":{"DOI":"10.1111/aab.12825","ISSN":"17447348","abstract":"This paper proposes a comparison of various time series forecasting models to forecast annual data on sugarcane production over 63 years from 1960 to 2022. In this research, the Mean Forecast Model, the Naive Model, the Simple Exponential Smoothing Model, Holt's model, and the Autoregressive Integrated Moving Average time series models have all been used to make effective and accurate predictions for sugarcane. Different scale-dependent error forecasting techniques and residual analysis have been used to examine the forecasting accuracy of these time series models. SE of Residuals, Root Mean Squared Error (RMSE), Mean Absolute Error (MAE) and Akaike's Information Criterion (AIC) are used to analyse the forecast's accuracy. The best model has been selected based on the predictions with the lowest value, according to the three-performance metrics of RMSE, MAE, and AIC. The estimated sugarcane production shows an increasing trend for the next 10 years and is projected to be 37,763.38 million tonnes in the year 2032. Further, empirical results support the plan and execution of viable strategies to advance sugarcane production in India to fulfil the utilisation need of the increasing population and further improve food security.","author":[{"dropping-particle":"","family":"Tyagi","given":"Sanjay","non-dropping-particle":"","parse-names":false,"suffix":""},{"dropping-particle":"","family":"Chandra","given":"Shalini","non-dropping-particle":"","parse-names":false,"suffix":""},{"dropping-particle":"","family":"Tyagi","given":"Gargi","non-dropping-particle":"","parse-names":false,"suffix":""}],"container-title":"Annals of Applied Biology","id":"ITEM-1","issue":"3","issued":{"date-parts":[["2023"]]},"page":"371-380","title":"Statistical modelling and forecasting annual sugarcane production in India: Using various time series models","type":"article-journal","volume":"182"},"uris":["http://www.mendeley.com/documents/?uuid=8f4b89a6-d303-4136-8519-1fe57e7a8d6e"]}],"mendeley":{"formattedCitation":"[16]","plainTextFormattedCitation":"[16]","previouslyFormattedCitation":"[16]"},"properties":{"noteIndex":0},"schema":"https://github.com/citation-style-language/schema/raw/master/csl-citation.json"}</w:instrText>
      </w:r>
      <w:r w:rsidRPr="00983644">
        <w:rPr>
          <w:rFonts w:ascii="Arial" w:hAnsi="Arial" w:cs="Arial"/>
          <w:sz w:val="20"/>
          <w:szCs w:val="20"/>
        </w:rPr>
        <w:fldChar w:fldCharType="separate"/>
      </w:r>
      <w:r w:rsidR="00AA5E59" w:rsidRPr="00AA5E59">
        <w:rPr>
          <w:rFonts w:ascii="Arial" w:hAnsi="Arial" w:cs="Arial"/>
          <w:noProof/>
          <w:sz w:val="20"/>
          <w:szCs w:val="20"/>
        </w:rPr>
        <w:t>[16]</w:t>
      </w:r>
      <w:r w:rsidRPr="00983644">
        <w:rPr>
          <w:rFonts w:ascii="Arial" w:hAnsi="Arial" w:cs="Arial"/>
          <w:sz w:val="20"/>
          <w:szCs w:val="20"/>
        </w:rPr>
        <w:fldChar w:fldCharType="end"/>
      </w:r>
      <w:r w:rsidRPr="00983644">
        <w:rPr>
          <w:rFonts w:ascii="Arial" w:hAnsi="Arial" w:cs="Arial"/>
          <w:sz w:val="20"/>
          <w:szCs w:val="20"/>
        </w:rPr>
        <w:t xml:space="preserve"> discuss the prediction of sugarcane production in India. Both studies use ARIMA to forecast; however </w:t>
      </w:r>
      <w:proofErr w:type="spellStart"/>
      <w:r w:rsidRPr="00542C02">
        <w:rPr>
          <w:rFonts w:ascii="Arial" w:hAnsi="Arial" w:cs="Arial"/>
          <w:sz w:val="20"/>
          <w:szCs w:val="20"/>
        </w:rPr>
        <w:t>Tyagi</w:t>
      </w:r>
      <w:proofErr w:type="spellEnd"/>
      <w:r w:rsidRPr="00542C02">
        <w:rPr>
          <w:rFonts w:ascii="Arial" w:hAnsi="Arial" w:cs="Arial"/>
          <w:sz w:val="20"/>
          <w:szCs w:val="20"/>
        </w:rPr>
        <w:t xml:space="preserve"> </w:t>
      </w:r>
      <w:r w:rsidR="00542C02" w:rsidRPr="00542C02">
        <w:rPr>
          <w:rFonts w:ascii="Arial" w:hAnsi="Arial" w:cs="Arial"/>
          <w:sz w:val="20"/>
          <w:szCs w:val="20"/>
        </w:rPr>
        <w:t xml:space="preserve">et al. </w:t>
      </w:r>
      <w:r w:rsidRPr="00983644">
        <w:rPr>
          <w:rFonts w:ascii="Arial" w:hAnsi="Arial" w:cs="Arial"/>
          <w:sz w:val="20"/>
          <w:szCs w:val="20"/>
        </w:rPr>
        <w:fldChar w:fldCharType="begin" w:fldLock="1"/>
      </w:r>
      <w:r w:rsidR="00AA5E59">
        <w:rPr>
          <w:rFonts w:ascii="Arial" w:hAnsi="Arial" w:cs="Arial"/>
          <w:sz w:val="20"/>
          <w:szCs w:val="20"/>
        </w:rPr>
        <w:instrText>ADDIN CSL_CITATION {"citationItems":[{"id":"ITEM-1","itemData":{"DOI":"10.1111/aab.12825","ISSN":"17447348","abstract":"This paper proposes a comparison of various time series forecasting models to forecast annual data on sugarcane production over 63 years from 1960 to 2022. In this research, the Mean Forecast Model, the Naive Model, the Simple Exponential Smoothing Model, Holt's model, and the Autoregressive Integrated Moving Average time series models have all been used to make effective and accurate predictions for sugarcane. Different scale-dependent error forecasting techniques and residual analysis have been used to examine the forecasting accuracy of these time series models. SE of Residuals, Root Mean Squared Error (RMSE), Mean Absolute Error (MAE) and Akaike's Information Criterion (AIC) are used to analyse the forecast's accuracy. The best model has been selected based on the predictions with the lowest value, according to the three-performance metrics of RMSE, MAE, and AIC. The estimated sugarcane production shows an increasing trend for the next 10 years and is projected to be 37,763.38 million tonnes in the year 2032. Further, empirical results support the plan and execution of viable strategies to advance sugarcane production in India to fulfil the utilisation need of the increasing population and further improve food security.","author":[{"dropping-particle":"","family":"Tyagi","given":"Sanjay","non-dropping-particle":"","parse-names":false,"suffix":""},{"dropping-particle":"","family":"Chandra","given":"Shalini","non-dropping-particle":"","parse-names":false,"suffix":""},{"dropping-particle":"","family":"Tyagi","given":"Gargi","non-dropping-particle":"","parse-names":false,"suffix":""}],"container-title":"Annals of Applied Biology","id":"ITEM-1","issue":"3","issued":{"date-parts":[["2023"]]},"page":"371-380","title":"Statistical modelling and forecasting annual sugarcane production in India: Using various time series models","type":"article-journal","volume":"182"},"uris":["http://www.mendeley.com/documents/?uuid=8f4b89a6-d303-4136-8519-1fe57e7a8d6e"]}],"mendeley":{"formattedCitation":"[16]","plainTextFormattedCitation":"[16]","previouslyFormattedCitation":"[16]"},"properties":{"noteIndex":0},"schema":"https://github.com/citation-style-language/schema/raw/master/csl-citation.json"}</w:instrText>
      </w:r>
      <w:r w:rsidRPr="00983644">
        <w:rPr>
          <w:rFonts w:ascii="Arial" w:hAnsi="Arial" w:cs="Arial"/>
          <w:sz w:val="20"/>
          <w:szCs w:val="20"/>
        </w:rPr>
        <w:fldChar w:fldCharType="separate"/>
      </w:r>
      <w:r w:rsidR="00AA5E59" w:rsidRPr="00AA5E59">
        <w:rPr>
          <w:rFonts w:ascii="Arial" w:hAnsi="Arial" w:cs="Arial"/>
          <w:noProof/>
          <w:sz w:val="20"/>
          <w:szCs w:val="20"/>
        </w:rPr>
        <w:t>[16]</w:t>
      </w:r>
      <w:r w:rsidRPr="00983644">
        <w:rPr>
          <w:rFonts w:ascii="Arial" w:hAnsi="Arial" w:cs="Arial"/>
          <w:sz w:val="20"/>
          <w:szCs w:val="20"/>
        </w:rPr>
        <w:fldChar w:fldCharType="end"/>
      </w:r>
      <w:r w:rsidRPr="00983644">
        <w:rPr>
          <w:rFonts w:ascii="Arial" w:hAnsi="Arial" w:cs="Arial"/>
          <w:sz w:val="20"/>
          <w:szCs w:val="20"/>
        </w:rPr>
        <w:t xml:space="preserve"> also use other forecasting methods; those are th</w:t>
      </w:r>
      <w:r w:rsidR="00815C5D">
        <w:rPr>
          <w:rFonts w:ascii="Arial" w:hAnsi="Arial" w:cs="Arial"/>
          <w:sz w:val="20"/>
          <w:szCs w:val="20"/>
        </w:rPr>
        <w:t>e naive</w:t>
      </w:r>
      <w:r w:rsidRPr="00983644">
        <w:rPr>
          <w:rFonts w:ascii="Arial" w:hAnsi="Arial" w:cs="Arial"/>
          <w:sz w:val="20"/>
          <w:szCs w:val="20"/>
        </w:rPr>
        <w:t xml:space="preserve">, </w:t>
      </w:r>
      <w:r w:rsidR="00815C5D">
        <w:rPr>
          <w:rFonts w:ascii="Arial" w:hAnsi="Arial" w:cs="Arial"/>
          <w:sz w:val="20"/>
          <w:szCs w:val="20"/>
        </w:rPr>
        <w:t>holt’s</w:t>
      </w:r>
      <w:r w:rsidR="00AE1334">
        <w:rPr>
          <w:rFonts w:ascii="Arial" w:hAnsi="Arial" w:cs="Arial"/>
          <w:sz w:val="20"/>
          <w:szCs w:val="20"/>
        </w:rPr>
        <w:t>,</w:t>
      </w:r>
      <w:r w:rsidR="00815C5D">
        <w:rPr>
          <w:rFonts w:ascii="Arial" w:hAnsi="Arial" w:cs="Arial"/>
          <w:sz w:val="20"/>
          <w:szCs w:val="20"/>
        </w:rPr>
        <w:t xml:space="preserve"> and </w:t>
      </w:r>
      <w:r w:rsidRPr="00983644">
        <w:rPr>
          <w:rFonts w:ascii="Arial" w:hAnsi="Arial" w:cs="Arial"/>
          <w:sz w:val="20"/>
          <w:szCs w:val="20"/>
        </w:rPr>
        <w:t>simple exponential smoothing</w:t>
      </w:r>
      <w:r w:rsidR="00815C5D">
        <w:rPr>
          <w:rFonts w:ascii="Arial" w:hAnsi="Arial" w:cs="Arial"/>
          <w:sz w:val="20"/>
          <w:szCs w:val="20"/>
        </w:rPr>
        <w:t xml:space="preserve"> models</w:t>
      </w:r>
      <w:r w:rsidRPr="00983644">
        <w:rPr>
          <w:rFonts w:ascii="Arial" w:hAnsi="Arial" w:cs="Arial"/>
          <w:sz w:val="20"/>
          <w:szCs w:val="20"/>
        </w:rPr>
        <w:t>.</w:t>
      </w:r>
      <w:r w:rsidR="00542C02">
        <w:rPr>
          <w:rFonts w:ascii="Arial" w:hAnsi="Arial" w:cs="Arial"/>
          <w:sz w:val="20"/>
          <w:szCs w:val="20"/>
        </w:rPr>
        <w:t xml:space="preserve"> </w:t>
      </w:r>
      <w:r w:rsidR="00FD55D5">
        <w:rPr>
          <w:rFonts w:ascii="Arial" w:hAnsi="Arial" w:cs="Arial"/>
          <w:sz w:val="20"/>
          <w:szCs w:val="20"/>
        </w:rPr>
        <w:t>The r</w:t>
      </w:r>
      <w:r w:rsidR="00C06A05">
        <w:rPr>
          <w:rFonts w:ascii="Arial" w:hAnsi="Arial" w:cs="Arial"/>
          <w:sz w:val="20"/>
          <w:szCs w:val="20"/>
        </w:rPr>
        <w:t xml:space="preserve">esult </w:t>
      </w:r>
      <w:r w:rsidRPr="00983644">
        <w:rPr>
          <w:rFonts w:ascii="Arial" w:hAnsi="Arial" w:cs="Arial"/>
          <w:sz w:val="20"/>
          <w:szCs w:val="20"/>
        </w:rPr>
        <w:t>describes that ARIMA performs the best among other metho</w:t>
      </w:r>
      <w:r w:rsidR="008C2463">
        <w:rPr>
          <w:rFonts w:ascii="Arial" w:hAnsi="Arial" w:cs="Arial"/>
          <w:sz w:val="20"/>
          <w:szCs w:val="20"/>
        </w:rPr>
        <w:t xml:space="preserve">ds. </w:t>
      </w:r>
      <w:r w:rsidR="00CA453F">
        <w:rPr>
          <w:rFonts w:ascii="Arial" w:hAnsi="Arial" w:cs="Arial"/>
          <w:sz w:val="20"/>
          <w:szCs w:val="20"/>
        </w:rPr>
        <w:t xml:space="preserve">In line with </w:t>
      </w:r>
      <w:r w:rsidR="000A22A3">
        <w:rPr>
          <w:rFonts w:ascii="Arial" w:hAnsi="Arial" w:cs="Arial"/>
          <w:sz w:val="20"/>
          <w:szCs w:val="20"/>
        </w:rPr>
        <w:t xml:space="preserve">Almeida and </w:t>
      </w:r>
      <w:proofErr w:type="spellStart"/>
      <w:r w:rsidR="000A22A3">
        <w:rPr>
          <w:rFonts w:ascii="Arial" w:hAnsi="Arial" w:cs="Arial"/>
          <w:sz w:val="20"/>
          <w:szCs w:val="20"/>
        </w:rPr>
        <w:t>Veiga</w:t>
      </w:r>
      <w:proofErr w:type="spellEnd"/>
      <w:r w:rsidR="000A22A3">
        <w:rPr>
          <w:rFonts w:ascii="Arial" w:hAnsi="Arial" w:cs="Arial"/>
          <w:sz w:val="20"/>
          <w:szCs w:val="20"/>
        </w:rPr>
        <w:t xml:space="preserve"> </w:t>
      </w:r>
      <w:r w:rsidR="000A22A3">
        <w:rPr>
          <w:rFonts w:ascii="Arial" w:hAnsi="Arial" w:cs="Arial"/>
          <w:sz w:val="20"/>
          <w:szCs w:val="20"/>
        </w:rPr>
        <w:fldChar w:fldCharType="begin" w:fldLock="1"/>
      </w:r>
      <w:r w:rsidR="000A22A3">
        <w:rPr>
          <w:rFonts w:ascii="Arial" w:hAnsi="Arial" w:cs="Arial"/>
          <w:sz w:val="20"/>
          <w:szCs w:val="20"/>
        </w:rPr>
        <w:instrText>ADDIN CSL_CITATION {"citationItems":[{"id":"ITEM-1","itemData":{"DOI":"10.1057/s41270-022-00162-x","ISBN":"0123456789","ISSN":"20503326","abstract":"Time series forecasting in retail plays an important role for retailers due to its capacity to aid managers in strategic planning to meet demand. In this article, a comparative experiment between two demand forecasting models is conducted to forecast an aggregate time series in Brazilian food retail on a twelve-year horizon. Performance was analyzed by comparing the accuracy of a linear model, Seasonal Autoregressive Integrated Moving Average (SARIMA), and a non-linear model, and Wavelets Neural Network (WNN). Performance was validated by the Mean Absolute Percentage Error (MAPE) and U-Theil, with a view to achieving the most accurate measurement of demand responsiveness, using the Fill Rate (FR). WNN had the best performance, with a FR of 98.43%, whereas SARIMA achieved a FR of 102.23%. Demand forecasting using WNN can be considered a resource for differentiation between retail organizations when it is incorporated into their operations. This article makes three contributions to the field with an application to retail and strengthening the argument for choosing a promising technique that can be used by managers to aid their decision making.","author":[{"dropping-particle":"","family":"Almeida","given":"Wesley Marcos","non-dropping-particle":"de","parse-names":false,"suffix":""},{"dropping-particle":"","family":"Veiga","given":"Claudimar Pereira","non-dropping-particle":"da","parse-names":false,"suffix":""}],"container-title":"Journal of Marketing Analytics","id":"ITEM-1","issue":"2","issued":{"date-parts":[["2023"]]},"page":"219-232","publisher":"Palgrave Macmillan UK","title":"Does demand forecasting matter to retailing?","type":"article-journal","volume":"11"},"uris":["http://www.mendeley.com/documents/?uuid=b05c72ae-5e63-40d2-bd2e-350692d8cfbc"]}],"mendeley":{"formattedCitation":"[2]","plainTextFormattedCitation":"[2]","previouslyFormattedCitation":"[2]"},"properties":{"noteIndex":0},"schema":"https://github.com/citation-style-language/schema/raw/master/csl-citation.json"}</w:instrText>
      </w:r>
      <w:r w:rsidR="000A22A3">
        <w:rPr>
          <w:rFonts w:ascii="Arial" w:hAnsi="Arial" w:cs="Arial"/>
          <w:sz w:val="20"/>
          <w:szCs w:val="20"/>
        </w:rPr>
        <w:fldChar w:fldCharType="separate"/>
      </w:r>
      <w:r w:rsidR="000A22A3" w:rsidRPr="000F71D7">
        <w:rPr>
          <w:rFonts w:ascii="Arial" w:hAnsi="Arial" w:cs="Arial"/>
          <w:noProof/>
          <w:sz w:val="20"/>
          <w:szCs w:val="20"/>
        </w:rPr>
        <w:t>[2]</w:t>
      </w:r>
      <w:r w:rsidR="000A22A3">
        <w:rPr>
          <w:rFonts w:ascii="Arial" w:hAnsi="Arial" w:cs="Arial"/>
          <w:sz w:val="20"/>
          <w:szCs w:val="20"/>
        </w:rPr>
        <w:fldChar w:fldCharType="end"/>
      </w:r>
      <w:r w:rsidR="000A22A3">
        <w:rPr>
          <w:rFonts w:ascii="Arial" w:hAnsi="Arial" w:cs="Arial"/>
          <w:sz w:val="20"/>
          <w:szCs w:val="20"/>
        </w:rPr>
        <w:t xml:space="preserve">, </w:t>
      </w:r>
      <w:r w:rsidR="000A22A3">
        <w:rPr>
          <w:rFonts w:ascii="Arial" w:hAnsi="Arial" w:cs="Arial"/>
          <w:noProof/>
          <w:sz w:val="20"/>
          <w:szCs w:val="24"/>
        </w:rPr>
        <w:t xml:space="preserve">Hyndman and </w:t>
      </w:r>
      <w:r w:rsidR="000A22A3" w:rsidRPr="00AA5E59">
        <w:rPr>
          <w:rFonts w:ascii="Arial" w:hAnsi="Arial" w:cs="Arial"/>
          <w:noProof/>
          <w:sz w:val="20"/>
          <w:szCs w:val="24"/>
        </w:rPr>
        <w:t>Athanasopoulos</w:t>
      </w:r>
      <w:r w:rsidR="000A22A3">
        <w:rPr>
          <w:rFonts w:ascii="Arial" w:hAnsi="Arial" w:cs="Arial"/>
          <w:noProof/>
          <w:sz w:val="20"/>
          <w:szCs w:val="24"/>
        </w:rPr>
        <w:t xml:space="preserve"> </w:t>
      </w:r>
      <w:r w:rsidR="000A22A3">
        <w:rPr>
          <w:rFonts w:ascii="Arial" w:hAnsi="Arial" w:cs="Arial"/>
          <w:noProof/>
          <w:sz w:val="20"/>
          <w:szCs w:val="24"/>
        </w:rPr>
        <w:fldChar w:fldCharType="begin" w:fldLock="1"/>
      </w:r>
      <w:r w:rsidR="000A22A3">
        <w:rPr>
          <w:rFonts w:ascii="Arial" w:hAnsi="Arial" w:cs="Arial"/>
          <w:noProof/>
          <w:sz w:val="20"/>
          <w:szCs w:val="24"/>
        </w:rPr>
        <w:instrText>ADDIN CSL_CITATION {"citationItems":[{"id":"ITEM-1","itemData":{"author":[{"dropping-particle":"","family":"Hyndman","given":"Rob J","non-dropping-particle":"","parse-names":false,"suffix":""},{"dropping-particle":"","family":"Athanasopoulos","given":"George","non-dropping-particle":"","parse-names":false,"suffix":""}],"edition":"3th","id":"ITEM-1","issued":{"date-parts":[["2021"]]},"publisher-place":"Melbourne, Australia","title":"Forecasting : Principles and Practice","type":"book"},"uris":["http://www.mendeley.com/documents/?uuid=51ab2751-17b3-4670-a13a-db2b84473a56"]}],"mendeley":{"formattedCitation":"[6]","plainTextFormattedCitation":"[6]","previouslyFormattedCitation":"[6]"},"properties":{"noteIndex":0},"schema":"https://github.com/citation-style-language/schema/raw/master/csl-citation.json"}</w:instrText>
      </w:r>
      <w:r w:rsidR="000A22A3">
        <w:rPr>
          <w:rFonts w:ascii="Arial" w:hAnsi="Arial" w:cs="Arial"/>
          <w:noProof/>
          <w:sz w:val="20"/>
          <w:szCs w:val="24"/>
        </w:rPr>
        <w:fldChar w:fldCharType="separate"/>
      </w:r>
      <w:r w:rsidR="000A22A3" w:rsidRPr="00AA5E59">
        <w:rPr>
          <w:rFonts w:ascii="Arial" w:hAnsi="Arial" w:cs="Arial"/>
          <w:noProof/>
          <w:sz w:val="20"/>
          <w:szCs w:val="24"/>
        </w:rPr>
        <w:t>[6]</w:t>
      </w:r>
      <w:r w:rsidR="000A22A3">
        <w:rPr>
          <w:rFonts w:ascii="Arial" w:hAnsi="Arial" w:cs="Arial"/>
          <w:noProof/>
          <w:sz w:val="20"/>
          <w:szCs w:val="24"/>
        </w:rPr>
        <w:fldChar w:fldCharType="end"/>
      </w:r>
      <w:r w:rsidR="000A22A3">
        <w:rPr>
          <w:rFonts w:ascii="Arial" w:hAnsi="Arial" w:cs="Arial"/>
          <w:noProof/>
          <w:sz w:val="20"/>
          <w:szCs w:val="24"/>
        </w:rPr>
        <w:t xml:space="preserve">, and </w:t>
      </w:r>
      <w:r w:rsidR="000A22A3">
        <w:rPr>
          <w:rFonts w:ascii="Arial" w:hAnsi="Arial" w:cs="Arial"/>
          <w:sz w:val="20"/>
          <w:szCs w:val="20"/>
        </w:rPr>
        <w:t xml:space="preserve">Hasan et al </w:t>
      </w:r>
      <w:r w:rsidR="000A22A3">
        <w:rPr>
          <w:rFonts w:ascii="Arial" w:hAnsi="Arial" w:cs="Arial"/>
          <w:sz w:val="20"/>
          <w:szCs w:val="20"/>
        </w:rPr>
        <w:fldChar w:fldCharType="begin" w:fldLock="1"/>
      </w:r>
      <w:r w:rsidR="000A22A3">
        <w:rPr>
          <w:rFonts w:ascii="Arial" w:hAnsi="Arial" w:cs="Arial"/>
          <w:sz w:val="20"/>
          <w:szCs w:val="20"/>
        </w:rPr>
        <w:instrText>ADDIN CSL_CITATION {"citationItems":[{"id":"ITEM-1","itemData":{"abstract":"Predicting product sales of large retail companies is a challenging task considering volatile nature of trends, seasonalities, events as well as unknown factors such as market competitions, change in customer's preferences, or unforeseen events, e.g., COVID-19 outbreak. In this paper, we benchmark forecasting models on historical sales data from Walmart to predict their future sales. We provide a comprehensive theoretical overview and analysis of the state-of-the-art timeseries forecasting models. Then, we apply these models on the forecasting challenge dataset (M5 forecasting by Kaggle). Specifically, we use a traditional model, namely, ARIMA (Autoregressive Integrated Moving Average), and recently developed advanced models e.g., Prophet model developed by Facebook, light gradient boosting machine (LightGBM) model developed by Microsoft and benchmark their performances. Results suggest that ARIMA model outperforms the Facebook Prophet and LightGBM model while the LightGBM model achieves huge computational gain for the large dataset with negligible compromise in the prediction accuracy.","author":[{"dropping-particle":"","family":"Hasan","given":"Md Rashidul","non-dropping-particle":"","parse-names":false,"suffix":""},{"dropping-particle":"","family":"Kabir","given":"Muntasir A","non-dropping-particle":"","parse-names":false,"suffix":""},{"dropping-particle":"","family":"Shuvro","given":"Rezoan A","non-dropping-particle":"","parse-names":false,"suffix":""},{"dropping-particle":"","family":"Das","given":"Pankaz","non-dropping-particle":"","parse-names":false,"suffix":""}],"container-title":"arXiv","id":"ITEM-1","issued":{"date-parts":[["2022"]]},"page":"1-14","title":"A Comparative Study on Forecasting of Retail Sales","type":"article-journal"},"uris":["http://www.mendeley.com/documents/?uuid=56a486b1-2cd6-47df-a8fe-fe57b753cba8"]}],"mendeley":{"formattedCitation":"[7]","plainTextFormattedCitation":"[7]","previouslyFormattedCitation":"[7]"},"properties":{"noteIndex":0},"schema":"https://github.com/citation-style-language/schema/raw/master/csl-citation.json"}</w:instrText>
      </w:r>
      <w:r w:rsidR="000A22A3">
        <w:rPr>
          <w:rFonts w:ascii="Arial" w:hAnsi="Arial" w:cs="Arial"/>
          <w:sz w:val="20"/>
          <w:szCs w:val="20"/>
        </w:rPr>
        <w:fldChar w:fldCharType="separate"/>
      </w:r>
      <w:r w:rsidR="000A22A3" w:rsidRPr="00AA5E59">
        <w:rPr>
          <w:rFonts w:ascii="Arial" w:hAnsi="Arial" w:cs="Arial"/>
          <w:noProof/>
          <w:sz w:val="20"/>
          <w:szCs w:val="20"/>
        </w:rPr>
        <w:t>[7]</w:t>
      </w:r>
      <w:r w:rsidR="000A22A3">
        <w:rPr>
          <w:rFonts w:ascii="Arial" w:hAnsi="Arial" w:cs="Arial"/>
          <w:sz w:val="20"/>
          <w:szCs w:val="20"/>
        </w:rPr>
        <w:fldChar w:fldCharType="end"/>
      </w:r>
      <w:r w:rsidR="00CA453F">
        <w:rPr>
          <w:rFonts w:ascii="Arial" w:hAnsi="Arial" w:cs="Arial"/>
          <w:sz w:val="20"/>
          <w:szCs w:val="20"/>
        </w:rPr>
        <w:t>, t</w:t>
      </w:r>
      <w:r w:rsidR="008C2463">
        <w:rPr>
          <w:rFonts w:ascii="Arial" w:hAnsi="Arial" w:cs="Arial"/>
          <w:sz w:val="20"/>
          <w:szCs w:val="20"/>
        </w:rPr>
        <w:t xml:space="preserve">hese studies </w:t>
      </w:r>
      <w:r w:rsidR="00704E90">
        <w:rPr>
          <w:rFonts w:ascii="Arial" w:hAnsi="Arial" w:cs="Arial"/>
          <w:sz w:val="20"/>
          <w:szCs w:val="20"/>
        </w:rPr>
        <w:t xml:space="preserve">also strengthen that ARIMA forecast </w:t>
      </w:r>
      <w:r w:rsidR="00505CA1">
        <w:rPr>
          <w:rFonts w:ascii="Arial" w:hAnsi="Arial" w:cs="Arial"/>
          <w:sz w:val="20"/>
          <w:szCs w:val="20"/>
        </w:rPr>
        <w:t>gives good forecast result</w:t>
      </w:r>
      <w:r w:rsidR="00AE1334">
        <w:rPr>
          <w:rFonts w:ascii="Arial" w:hAnsi="Arial" w:cs="Arial"/>
          <w:sz w:val="20"/>
          <w:szCs w:val="20"/>
        </w:rPr>
        <w:t>s</w:t>
      </w:r>
      <w:r w:rsidR="005A62CA">
        <w:rPr>
          <w:rFonts w:ascii="Arial" w:hAnsi="Arial" w:cs="Arial"/>
          <w:sz w:val="20"/>
          <w:szCs w:val="20"/>
        </w:rPr>
        <w:t xml:space="preserve"> and can compete with other forecast models.</w:t>
      </w:r>
    </w:p>
    <w:p w:rsidR="005E12C2" w:rsidRPr="00236555" w:rsidRDefault="00236555" w:rsidP="005E12C2">
      <w:pPr>
        <w:spacing w:after="0" w:line="240" w:lineRule="auto"/>
        <w:ind w:left="0" w:hanging="2"/>
        <w:jc w:val="both"/>
        <w:rPr>
          <w:rFonts w:ascii="Arial" w:eastAsia="Arial" w:hAnsi="Arial" w:cs="Arial"/>
          <w:color w:val="FF0000"/>
          <w:sz w:val="20"/>
          <w:szCs w:val="20"/>
        </w:rPr>
      </w:pPr>
      <w:r>
        <w:rPr>
          <w:rFonts w:ascii="Arial" w:hAnsi="Arial" w:cs="Arial"/>
          <w:sz w:val="20"/>
          <w:szCs w:val="20"/>
        </w:rPr>
        <w:t>Limited studies regarding sugar also have been done in I</w:t>
      </w:r>
      <w:r w:rsidR="009007AA">
        <w:rPr>
          <w:rFonts w:ascii="Arial" w:hAnsi="Arial" w:cs="Arial"/>
          <w:sz w:val="20"/>
          <w:szCs w:val="20"/>
        </w:rPr>
        <w:t>ndo</w:t>
      </w:r>
      <w:r>
        <w:rPr>
          <w:rFonts w:ascii="Arial" w:hAnsi="Arial" w:cs="Arial"/>
          <w:sz w:val="20"/>
          <w:szCs w:val="20"/>
        </w:rPr>
        <w:t>n</w:t>
      </w:r>
      <w:r w:rsidR="009007AA">
        <w:rPr>
          <w:rFonts w:ascii="Arial" w:hAnsi="Arial" w:cs="Arial"/>
          <w:sz w:val="20"/>
          <w:szCs w:val="20"/>
        </w:rPr>
        <w:t>e</w:t>
      </w:r>
      <w:r>
        <w:rPr>
          <w:rFonts w:ascii="Arial" w:hAnsi="Arial" w:cs="Arial"/>
          <w:sz w:val="20"/>
          <w:szCs w:val="20"/>
        </w:rPr>
        <w:t>sia. However, all of those studies do not discuss</w:t>
      </w:r>
      <w:r w:rsidR="00271341">
        <w:rPr>
          <w:rFonts w:ascii="Arial" w:hAnsi="Arial" w:cs="Arial"/>
          <w:sz w:val="20"/>
          <w:szCs w:val="20"/>
        </w:rPr>
        <w:t xml:space="preserve"> </w:t>
      </w:r>
      <w:r>
        <w:rPr>
          <w:rFonts w:ascii="Arial" w:hAnsi="Arial" w:cs="Arial"/>
          <w:sz w:val="20"/>
          <w:szCs w:val="20"/>
        </w:rPr>
        <w:t xml:space="preserve">sugar </w:t>
      </w:r>
      <w:r w:rsidR="00AE1334">
        <w:rPr>
          <w:rFonts w:ascii="Arial" w:hAnsi="Arial" w:cs="Arial"/>
          <w:sz w:val="20"/>
          <w:szCs w:val="20"/>
        </w:rPr>
        <w:t>at</w:t>
      </w:r>
      <w:r>
        <w:rPr>
          <w:rFonts w:ascii="Arial" w:hAnsi="Arial" w:cs="Arial"/>
          <w:sz w:val="20"/>
          <w:szCs w:val="20"/>
        </w:rPr>
        <w:t xml:space="preserve"> </w:t>
      </w:r>
      <w:r w:rsidR="00AE1334">
        <w:rPr>
          <w:rFonts w:ascii="Arial" w:hAnsi="Arial" w:cs="Arial"/>
          <w:sz w:val="20"/>
          <w:szCs w:val="20"/>
        </w:rPr>
        <w:t xml:space="preserve">the </w:t>
      </w:r>
      <w:r>
        <w:rPr>
          <w:rFonts w:ascii="Arial" w:hAnsi="Arial" w:cs="Arial"/>
          <w:sz w:val="20"/>
          <w:szCs w:val="20"/>
        </w:rPr>
        <w:t>retail level.</w:t>
      </w:r>
      <w:r w:rsidR="005E12C2" w:rsidRPr="005E12C2">
        <w:rPr>
          <w:rFonts w:ascii="Arial" w:hAnsi="Arial" w:cs="Arial"/>
          <w:sz w:val="20"/>
          <w:szCs w:val="20"/>
        </w:rPr>
        <w:t xml:space="preserve"> </w:t>
      </w:r>
      <w:r w:rsidR="00E22120">
        <w:rPr>
          <w:rFonts w:ascii="Arial" w:hAnsi="Arial" w:cs="Arial"/>
          <w:sz w:val="20"/>
          <w:szCs w:val="20"/>
        </w:rPr>
        <w:t xml:space="preserve">Instead, the studies </w:t>
      </w:r>
      <w:r w:rsidR="00AE1334">
        <w:rPr>
          <w:rFonts w:ascii="Arial" w:hAnsi="Arial" w:cs="Arial"/>
          <w:sz w:val="20"/>
          <w:szCs w:val="20"/>
        </w:rPr>
        <w:t xml:space="preserve">were </w:t>
      </w:r>
      <w:r w:rsidR="00E22120">
        <w:rPr>
          <w:rFonts w:ascii="Arial" w:hAnsi="Arial" w:cs="Arial"/>
          <w:sz w:val="20"/>
          <w:szCs w:val="20"/>
        </w:rPr>
        <w:t xml:space="preserve">done </w:t>
      </w:r>
      <w:r w:rsidR="00AE1334">
        <w:rPr>
          <w:rFonts w:ascii="Arial" w:hAnsi="Arial" w:cs="Arial"/>
          <w:sz w:val="20"/>
          <w:szCs w:val="20"/>
        </w:rPr>
        <w:t>at</w:t>
      </w:r>
      <w:r w:rsidR="00E22120">
        <w:rPr>
          <w:rFonts w:ascii="Arial" w:hAnsi="Arial" w:cs="Arial"/>
          <w:sz w:val="20"/>
          <w:szCs w:val="20"/>
        </w:rPr>
        <w:t xml:space="preserve"> </w:t>
      </w:r>
      <w:r w:rsidR="00AE1334">
        <w:rPr>
          <w:rFonts w:ascii="Arial" w:hAnsi="Arial" w:cs="Arial"/>
          <w:sz w:val="20"/>
          <w:szCs w:val="20"/>
        </w:rPr>
        <w:t xml:space="preserve">the manufacturer </w:t>
      </w:r>
      <w:r w:rsidR="00E22120">
        <w:rPr>
          <w:rFonts w:ascii="Arial" w:hAnsi="Arial" w:cs="Arial"/>
          <w:sz w:val="20"/>
          <w:szCs w:val="20"/>
        </w:rPr>
        <w:fldChar w:fldCharType="begin" w:fldLock="1"/>
      </w:r>
      <w:r w:rsidR="00AA5E59">
        <w:rPr>
          <w:rFonts w:ascii="Arial" w:hAnsi="Arial" w:cs="Arial"/>
          <w:sz w:val="20"/>
          <w:szCs w:val="20"/>
        </w:rPr>
        <w:instrText>ADDIN CSL_CITATION {"citationItems":[{"id":"ITEM-1","itemData":{"DOI":"10.30656/jsmi.v7i2.6500","ISSN":"2580-2887","abstract":"Inventory control is critical because the inability to overcome inventory problems causes unpreparedness to meet consumer demand. MSMEs Bekawan Agro Coconut Sugar, independently around 35% -70%, cannot meet consumers' demand for coconut sugar, so an inventory control model is needed. Inventory control models must integrate with demand forecasting as an inventory control input. This study aims to integrate the demand fore­casting model with the inventory control model. The method used for demand forecasting is ARIMA. The inventory control model uses a modi­fied EOQ hybrid method because coconut sugar products have a shelf life; they also use coconut sap as raw material, which must be processed to prevent fermentation. The research results show that demand forecasting for one year ahead is a total of 10,310.82 Kilograms with an economic lot size of 120 Kilograms and a reorder point when the inventory position is 30 Kilograms. Daily production of 30 kilograms requires 210 litres of coconut sap/per day. The amount of sap needed requires 105 coconut trees / per day. Arrival time of coconut sugar at the storage warehouse every five days. The resulting model can be a solution for sustainable MSMEs.","author":[{"dropping-particle":"","family":"Wardah","given":"Siti","non-dropping-particle":"","parse-names":false,"suffix":""},{"dropping-particle":"","family":"Nurhasanah","given":"Nunung","non-dropping-particle":"","parse-names":false,"suffix":""},{"dropping-particle":"","family":"Sudarwati","given":"Wiwik","non-dropping-particle":"","parse-names":false,"suffix":""}],"container-title":"Jurnal Sistem dan Manajemen Industri","id":"ITEM-1","issue":"2","issued":{"date-parts":[["2023"]]},"page":"127-138","title":"Integration models of demand forecasting and inventory control for coconut sugar using the ARIMA and EOQ modification methods","type":"article-journal","volume":"7"},"uris":["http://www.mendeley.com/documents/?uuid=505801a9-fdf3-492f-bdae-84a41f12275e"]},{"id":"ITEM-2","itemData":{"DOI":"10.30598/barekengvol17iss3pp1631-1640","ISSN":"1978-7227","abstract":"PT XYZ is a manufacturing company engaged in the production of sugar and its by-products. Currently, the determination of the amount of production at PT XYZ has not been adjusted to meet customer demand, which may continue to decrease or increase for each period. If there is a condition that the amount of production is greater than demand, it will increase the cost of storage due to accumulation. Meanwhile, if the amount of production is smaller than demand, there will be an out-of-stock condition that can reduce consumer confidence. These problems can be solved by forecasting Tambora Sugar demand at PT XYZ to meet consumer demand using the forecasting method (forecasting) with the help of WinQsb software with input, namely sugar demand data from 2021 PT SMS. The request data will later be analyzed from the request using a scatter diagram. Furthermore, after the pattern is known, the appropriate forecasting method will be determined and inputted into the WinQsb software. Based on the calculation results, it is known that the demand pattern from last year tends to trend down so the chosen method is the Double Exponential Smoothing (DES), Single Exponential Smoothing (SES), and Linear Regression (LR) method, with the best method being Linear Regression which produces the smallest error. The output is in the form of a Master Production Schedule (MPS), namely in the 13th to 18th periods, respectively 2142; 1757; 1373; 989; 604; 220 sacks.","author":[{"dropping-particle":"","family":"Wibowo","given":"Astrid Wahyu Adventri","non-dropping-particle":"","parse-names":false,"suffix":""},{"dropping-particle":"","family":"Maimunah","given":"Fitri","non-dropping-particle":"","parse-names":false,"suffix":""}],"container-title":"BAREKENG: Jurnal Ilmu Matematika dan Terapan","id":"ITEM-2","issue":"3","issued":{"date-parts":[["2023"]]},"page":"1631-1640","title":"Sugar Demand Forecasting in Pt Xyz With Winqsb Software","type":"article-journal","volume":"17"},"uris":["http://www.mendeley.com/documents/?uuid=582b26a7-87ce-4ce6-bfaa-a2dbcbac3ffc"]}],"mendeley":{"formattedCitation":"[20], [21]","plainTextFormattedCitation":"[20], [21]","previouslyFormattedCitation":"[20], [21]"},"properties":{"noteIndex":0},"schema":"https://github.com/citation-style-language/schema/raw/master/csl-citation.json"}</w:instrText>
      </w:r>
      <w:r w:rsidR="00E22120">
        <w:rPr>
          <w:rFonts w:ascii="Arial" w:hAnsi="Arial" w:cs="Arial"/>
          <w:sz w:val="20"/>
          <w:szCs w:val="20"/>
        </w:rPr>
        <w:fldChar w:fldCharType="separate"/>
      </w:r>
      <w:r w:rsidR="00AA5E59" w:rsidRPr="00AA5E59">
        <w:rPr>
          <w:rFonts w:ascii="Arial" w:hAnsi="Arial" w:cs="Arial"/>
          <w:noProof/>
          <w:sz w:val="20"/>
          <w:szCs w:val="20"/>
        </w:rPr>
        <w:t>[20], [21]</w:t>
      </w:r>
      <w:r w:rsidR="00E22120">
        <w:rPr>
          <w:rFonts w:ascii="Arial" w:hAnsi="Arial" w:cs="Arial"/>
          <w:sz w:val="20"/>
          <w:szCs w:val="20"/>
        </w:rPr>
        <w:fldChar w:fldCharType="end"/>
      </w:r>
      <w:r w:rsidR="00E22120">
        <w:rPr>
          <w:rFonts w:ascii="Arial" w:hAnsi="Arial" w:cs="Arial"/>
          <w:sz w:val="20"/>
          <w:szCs w:val="20"/>
        </w:rPr>
        <w:t xml:space="preserve"> and </w:t>
      </w:r>
      <w:r w:rsidR="00AE1334">
        <w:rPr>
          <w:rFonts w:ascii="Arial" w:hAnsi="Arial" w:cs="Arial"/>
          <w:sz w:val="20"/>
          <w:szCs w:val="20"/>
        </w:rPr>
        <w:t>at</w:t>
      </w:r>
      <w:r w:rsidR="00E22120">
        <w:rPr>
          <w:rFonts w:ascii="Arial" w:hAnsi="Arial" w:cs="Arial"/>
          <w:sz w:val="20"/>
          <w:szCs w:val="20"/>
        </w:rPr>
        <w:t xml:space="preserve"> national level</w:t>
      </w:r>
      <w:r w:rsidR="00AE1334">
        <w:rPr>
          <w:rFonts w:ascii="Arial" w:hAnsi="Arial" w:cs="Arial"/>
          <w:sz w:val="20"/>
          <w:szCs w:val="20"/>
        </w:rPr>
        <w:t>s</w:t>
      </w:r>
      <w:r w:rsidR="00E22120">
        <w:rPr>
          <w:rFonts w:ascii="Arial" w:hAnsi="Arial" w:cs="Arial"/>
          <w:sz w:val="20"/>
          <w:szCs w:val="20"/>
        </w:rPr>
        <w:t xml:space="preserve"> </w:t>
      </w:r>
      <w:r w:rsidR="00E22120">
        <w:rPr>
          <w:rFonts w:ascii="Arial" w:hAnsi="Arial" w:cs="Arial"/>
          <w:sz w:val="20"/>
          <w:szCs w:val="20"/>
        </w:rPr>
        <w:fldChar w:fldCharType="begin" w:fldLock="1"/>
      </w:r>
      <w:r w:rsidR="00AA5E59">
        <w:rPr>
          <w:rFonts w:ascii="Arial" w:hAnsi="Arial" w:cs="Arial"/>
          <w:sz w:val="20"/>
          <w:szCs w:val="20"/>
        </w:rPr>
        <w:instrText>ADDIN CSL_CITATION {"citationItems":[{"id":"ITEM-1","itemData":{"DOI":"10.1109/ICONNIC59854.2023.10467262","ISBN":"9798350306484","abstract":"This paper aims to provide the best Machine Learning model to forecast Indonesia's white sugar supply and demand to provide potential supply chain efficiency and price stability. The high price of white sugar in Indonesia is due to low productivity, imports, and high demand. In midyear 2018, domestic sugar reached almost three times higher than the international market price, reflecting the commodity scarcity in the country. Previous research has been carried out to forecast sugar prices in Thailand using machine learning and consumption data in 4 years. The nonstationary data used in this research include 20 years of historical data in import and production as supply and demand data, research focused on this completeness and fulfilment of this data. Forecasting data using deep learning with LSTM is the best method model that produces the best performance compared with regressor models, which has not been done previously. The decrease in LSTM evaluation method compared to AdaboostRegressor was 37.33% for MSE and 14.12% for MAE. As a result, LSTM, as the best model, is confirmed by the most petite MAE and MSE values.","author":[{"dropping-particle":"","family":"Rosari","given":"Bernadetta Raras Indah","non-dropping-particle":"","parse-names":false,"suffix":""},{"dropping-particle":"","family":"Sarno","given":"Riyanarto","non-dropping-particle":"","parse-names":false,"suffix":""},{"dropping-particle":"","family":"Filsafan","given":"Mas Syahdan","non-dropping-particle":"","parse-names":false,"suffix":""},{"dropping-particle":"","family":"Haryono","given":"Agus Tri","non-dropping-particle":"","parse-names":false,"suffix":""}],"container-title":"2023 1st International Conference on Advanced Engineering and Technologies, ICONNIC 2023 - Proceeding","id":"ITEM-1","issued":{"date-parts":[["2023"]]},"page":"18-23","publisher":"IEEE","title":"Indonesia White Sugar Supply and Demand Forecast Using Machine Learning","type":"article-journal"},"uris":["http://www.mendeley.com/documents/?uuid=f0e74b8e-97a1-4b83-b480-621c5e6b0bda"]}],"mendeley":{"formattedCitation":"[22]","plainTextFormattedCitation":"[22]","previouslyFormattedCitation":"[22]"},"properties":{"noteIndex":0},"schema":"https://github.com/citation-style-language/schema/raw/master/csl-citation.json"}</w:instrText>
      </w:r>
      <w:r w:rsidR="00E22120">
        <w:rPr>
          <w:rFonts w:ascii="Arial" w:hAnsi="Arial" w:cs="Arial"/>
          <w:sz w:val="20"/>
          <w:szCs w:val="20"/>
        </w:rPr>
        <w:fldChar w:fldCharType="separate"/>
      </w:r>
      <w:r w:rsidR="00AA5E59" w:rsidRPr="00AA5E59">
        <w:rPr>
          <w:rFonts w:ascii="Arial" w:hAnsi="Arial" w:cs="Arial"/>
          <w:noProof/>
          <w:sz w:val="20"/>
          <w:szCs w:val="20"/>
        </w:rPr>
        <w:t>[22]</w:t>
      </w:r>
      <w:r w:rsidR="00E22120">
        <w:rPr>
          <w:rFonts w:ascii="Arial" w:hAnsi="Arial" w:cs="Arial"/>
          <w:sz w:val="20"/>
          <w:szCs w:val="20"/>
        </w:rPr>
        <w:fldChar w:fldCharType="end"/>
      </w:r>
      <w:r w:rsidR="00E22120">
        <w:rPr>
          <w:rFonts w:ascii="Arial" w:hAnsi="Arial" w:cs="Arial"/>
          <w:sz w:val="20"/>
          <w:szCs w:val="20"/>
        </w:rPr>
        <w:t>.</w:t>
      </w:r>
      <w:r w:rsidR="00035F42" w:rsidRPr="005F40CB">
        <w:rPr>
          <w:rFonts w:ascii="Arial" w:hAnsi="Arial" w:cs="Arial"/>
          <w:color w:val="7030A0"/>
          <w:sz w:val="20"/>
          <w:szCs w:val="20"/>
        </w:rPr>
        <w:t xml:space="preserve"> </w:t>
      </w:r>
    </w:p>
    <w:p w:rsidR="00140803" w:rsidRDefault="007833CF" w:rsidP="00140803">
      <w:pPr>
        <w:spacing w:after="0" w:line="240" w:lineRule="auto"/>
        <w:ind w:left="0" w:hanging="2"/>
        <w:jc w:val="both"/>
        <w:rPr>
          <w:rFonts w:ascii="Arial" w:hAnsi="Arial" w:cs="Arial"/>
          <w:sz w:val="20"/>
          <w:szCs w:val="20"/>
        </w:rPr>
      </w:pPr>
      <w:r>
        <w:rPr>
          <w:rFonts w:ascii="Arial" w:hAnsi="Arial" w:cs="Arial"/>
          <w:sz w:val="20"/>
          <w:szCs w:val="20"/>
        </w:rPr>
        <w:t xml:space="preserve">This information </w:t>
      </w:r>
      <w:r w:rsidR="00140803" w:rsidRPr="00140803">
        <w:rPr>
          <w:rFonts w:ascii="Arial" w:hAnsi="Arial" w:cs="Arial"/>
          <w:sz w:val="20"/>
          <w:szCs w:val="20"/>
        </w:rPr>
        <w:t>show</w:t>
      </w:r>
      <w:r>
        <w:rPr>
          <w:rFonts w:ascii="Arial" w:hAnsi="Arial" w:cs="Arial"/>
          <w:sz w:val="20"/>
          <w:szCs w:val="20"/>
        </w:rPr>
        <w:t>s</w:t>
      </w:r>
      <w:r w:rsidR="00140803" w:rsidRPr="00140803">
        <w:rPr>
          <w:rFonts w:ascii="Arial" w:hAnsi="Arial" w:cs="Arial"/>
          <w:sz w:val="20"/>
          <w:szCs w:val="20"/>
        </w:rPr>
        <w:t xml:space="preserve"> that the study that focuses on </w:t>
      </w:r>
      <w:r w:rsidR="006663CE">
        <w:rPr>
          <w:rFonts w:ascii="Arial" w:hAnsi="Arial" w:cs="Arial"/>
          <w:sz w:val="20"/>
          <w:szCs w:val="20"/>
        </w:rPr>
        <w:t>sugar demand or sales</w:t>
      </w:r>
      <w:r w:rsidR="00140803" w:rsidRPr="00140803">
        <w:rPr>
          <w:rFonts w:ascii="Arial" w:hAnsi="Arial" w:cs="Arial"/>
          <w:sz w:val="20"/>
          <w:szCs w:val="20"/>
        </w:rPr>
        <w:t xml:space="preserve"> in retail has not been widely discussed. Most of the studies about sugar focus on a higher supply chain level or national level. Considering this research gap and its importance, this study discusses the forecast of sugar demand for retail. </w:t>
      </w:r>
    </w:p>
    <w:p w:rsidR="00FD289A" w:rsidRDefault="00FF1BAE" w:rsidP="009553FA">
      <w:pPr>
        <w:spacing w:after="0" w:line="240" w:lineRule="auto"/>
        <w:ind w:left="0" w:hanging="2"/>
        <w:jc w:val="both"/>
        <w:rPr>
          <w:rFonts w:ascii="Arial" w:hAnsi="Arial" w:cs="Arial"/>
          <w:sz w:val="20"/>
          <w:szCs w:val="20"/>
        </w:rPr>
      </w:pPr>
      <w:r w:rsidRPr="00FF1BAE">
        <w:rPr>
          <w:rFonts w:ascii="Arial" w:hAnsi="Arial" w:cs="Arial"/>
          <w:sz w:val="20"/>
          <w:szCs w:val="20"/>
        </w:rPr>
        <w:t xml:space="preserve">In conclusion, this study </w:t>
      </w:r>
      <w:r w:rsidR="00146083">
        <w:rPr>
          <w:rFonts w:ascii="Arial" w:hAnsi="Arial" w:cs="Arial"/>
          <w:sz w:val="20"/>
          <w:szCs w:val="20"/>
        </w:rPr>
        <w:t xml:space="preserve">aims to find the most suitable forecast model </w:t>
      </w:r>
      <w:r w:rsidR="009D6BB6">
        <w:rPr>
          <w:rFonts w:ascii="Arial" w:hAnsi="Arial" w:cs="Arial"/>
          <w:sz w:val="20"/>
          <w:szCs w:val="20"/>
        </w:rPr>
        <w:t>that can capture data pattern</w:t>
      </w:r>
      <w:r w:rsidR="004048C6">
        <w:rPr>
          <w:rFonts w:ascii="Arial" w:hAnsi="Arial" w:cs="Arial"/>
          <w:sz w:val="20"/>
          <w:szCs w:val="20"/>
        </w:rPr>
        <w:t>s</w:t>
      </w:r>
      <w:r w:rsidR="009D6BB6">
        <w:rPr>
          <w:rFonts w:ascii="Arial" w:hAnsi="Arial" w:cs="Arial"/>
          <w:sz w:val="20"/>
          <w:szCs w:val="20"/>
        </w:rPr>
        <w:t xml:space="preserve"> well </w:t>
      </w:r>
      <w:r w:rsidR="00146083">
        <w:rPr>
          <w:rFonts w:ascii="Arial" w:hAnsi="Arial" w:cs="Arial"/>
          <w:sz w:val="20"/>
          <w:szCs w:val="20"/>
        </w:rPr>
        <w:t xml:space="preserve">to </w:t>
      </w:r>
      <w:r w:rsidR="009D6BB6">
        <w:rPr>
          <w:rFonts w:ascii="Arial" w:hAnsi="Arial" w:cs="Arial"/>
          <w:sz w:val="20"/>
          <w:szCs w:val="20"/>
        </w:rPr>
        <w:t xml:space="preserve">give a good </w:t>
      </w:r>
      <w:r w:rsidR="00146083">
        <w:rPr>
          <w:rFonts w:ascii="Arial" w:hAnsi="Arial" w:cs="Arial"/>
          <w:sz w:val="20"/>
          <w:szCs w:val="20"/>
        </w:rPr>
        <w:t>predict</w:t>
      </w:r>
      <w:r w:rsidR="009D6BB6">
        <w:rPr>
          <w:rFonts w:ascii="Arial" w:hAnsi="Arial" w:cs="Arial"/>
          <w:sz w:val="20"/>
          <w:szCs w:val="20"/>
        </w:rPr>
        <w:t>ion of</w:t>
      </w:r>
      <w:r w:rsidR="00146083">
        <w:rPr>
          <w:rFonts w:ascii="Arial" w:hAnsi="Arial" w:cs="Arial"/>
          <w:sz w:val="20"/>
          <w:szCs w:val="20"/>
        </w:rPr>
        <w:t xml:space="preserve"> sugar </w:t>
      </w:r>
      <w:r w:rsidR="00146083">
        <w:rPr>
          <w:rFonts w:ascii="Arial" w:hAnsi="Arial" w:cs="Arial"/>
          <w:sz w:val="20"/>
          <w:szCs w:val="20"/>
        </w:rPr>
        <w:lastRenderedPageBreak/>
        <w:t>sales in a retail store in I</w:t>
      </w:r>
      <w:r w:rsidR="001952E8">
        <w:rPr>
          <w:rFonts w:ascii="Arial" w:hAnsi="Arial" w:cs="Arial"/>
          <w:sz w:val="20"/>
          <w:szCs w:val="20"/>
        </w:rPr>
        <w:t>ndo</w:t>
      </w:r>
      <w:r w:rsidR="00146083">
        <w:rPr>
          <w:rFonts w:ascii="Arial" w:hAnsi="Arial" w:cs="Arial"/>
          <w:sz w:val="20"/>
          <w:szCs w:val="20"/>
        </w:rPr>
        <w:t>n</w:t>
      </w:r>
      <w:r w:rsidR="001952E8">
        <w:rPr>
          <w:rFonts w:ascii="Arial" w:hAnsi="Arial" w:cs="Arial"/>
          <w:sz w:val="20"/>
          <w:szCs w:val="20"/>
        </w:rPr>
        <w:t>e</w:t>
      </w:r>
      <w:r w:rsidR="00146083">
        <w:rPr>
          <w:rFonts w:ascii="Arial" w:hAnsi="Arial" w:cs="Arial"/>
          <w:sz w:val="20"/>
          <w:szCs w:val="20"/>
        </w:rPr>
        <w:t xml:space="preserve">sia </w:t>
      </w:r>
      <w:r w:rsidR="00271341">
        <w:rPr>
          <w:rFonts w:ascii="Arial" w:hAnsi="Arial" w:cs="Arial"/>
          <w:sz w:val="20"/>
          <w:szCs w:val="20"/>
        </w:rPr>
        <w:t>using ARIMA or SARIMA and decomposition model</w:t>
      </w:r>
      <w:r w:rsidR="00146083">
        <w:rPr>
          <w:rFonts w:ascii="Arial" w:hAnsi="Arial" w:cs="Arial"/>
          <w:sz w:val="20"/>
          <w:szCs w:val="20"/>
        </w:rPr>
        <w:t xml:space="preserve">s. </w:t>
      </w:r>
      <w:r w:rsidR="004F5BA9" w:rsidRPr="00140803">
        <w:rPr>
          <w:rFonts w:ascii="Arial" w:hAnsi="Arial" w:cs="Arial"/>
          <w:sz w:val="20"/>
          <w:szCs w:val="20"/>
        </w:rPr>
        <w:t xml:space="preserve">This research takes a study case of a retail store in Yogyakarta Province, Indonesia. </w:t>
      </w:r>
      <w:r w:rsidR="00146083">
        <w:rPr>
          <w:rFonts w:ascii="Arial" w:hAnsi="Arial" w:cs="Arial"/>
          <w:sz w:val="20"/>
          <w:szCs w:val="20"/>
        </w:rPr>
        <w:t xml:space="preserve">This study </w:t>
      </w:r>
      <w:r w:rsidR="001952E8">
        <w:rPr>
          <w:rFonts w:ascii="Arial" w:hAnsi="Arial" w:cs="Arial"/>
          <w:sz w:val="20"/>
          <w:szCs w:val="20"/>
        </w:rPr>
        <w:t>discussed</w:t>
      </w:r>
      <w:r w:rsidR="00DE4F70">
        <w:rPr>
          <w:rFonts w:ascii="Arial" w:hAnsi="Arial" w:cs="Arial"/>
          <w:sz w:val="20"/>
          <w:szCs w:val="20"/>
        </w:rPr>
        <w:t xml:space="preserve"> the compari</w:t>
      </w:r>
      <w:r w:rsidR="001952E8">
        <w:rPr>
          <w:rFonts w:ascii="Arial" w:hAnsi="Arial" w:cs="Arial"/>
          <w:sz w:val="20"/>
          <w:szCs w:val="20"/>
        </w:rPr>
        <w:t>s</w:t>
      </w:r>
      <w:r w:rsidR="00DE4F70">
        <w:rPr>
          <w:rFonts w:ascii="Arial" w:hAnsi="Arial" w:cs="Arial"/>
          <w:sz w:val="20"/>
          <w:szCs w:val="20"/>
        </w:rPr>
        <w:t xml:space="preserve">on of </w:t>
      </w:r>
      <w:r w:rsidR="005F40CB">
        <w:rPr>
          <w:rFonts w:ascii="Arial" w:hAnsi="Arial" w:cs="Arial"/>
          <w:sz w:val="20"/>
          <w:szCs w:val="20"/>
        </w:rPr>
        <w:t>both models</w:t>
      </w:r>
      <w:r w:rsidR="001952E8">
        <w:rPr>
          <w:rFonts w:ascii="Arial" w:hAnsi="Arial" w:cs="Arial"/>
          <w:sz w:val="20"/>
          <w:szCs w:val="20"/>
        </w:rPr>
        <w:t xml:space="preserve">, through the forecast result and how the models treat </w:t>
      </w:r>
      <w:r w:rsidR="00941DDD">
        <w:rPr>
          <w:rFonts w:ascii="Arial" w:hAnsi="Arial" w:cs="Arial"/>
          <w:sz w:val="20"/>
          <w:szCs w:val="20"/>
        </w:rPr>
        <w:t>the data, which has not be</w:t>
      </w:r>
      <w:r w:rsidR="00C320E7">
        <w:rPr>
          <w:rFonts w:ascii="Arial" w:hAnsi="Arial" w:cs="Arial"/>
          <w:sz w:val="20"/>
          <w:szCs w:val="20"/>
        </w:rPr>
        <w:t xml:space="preserve">en pointed </w:t>
      </w:r>
      <w:r w:rsidR="00BD1DF1">
        <w:rPr>
          <w:rFonts w:ascii="Arial" w:hAnsi="Arial" w:cs="Arial"/>
          <w:sz w:val="20"/>
          <w:szCs w:val="20"/>
        </w:rPr>
        <w:t xml:space="preserve">out </w:t>
      </w:r>
      <w:r w:rsidR="00941DDD">
        <w:rPr>
          <w:rFonts w:ascii="Arial" w:hAnsi="Arial" w:cs="Arial"/>
          <w:sz w:val="20"/>
          <w:szCs w:val="20"/>
        </w:rPr>
        <w:t>yet.</w:t>
      </w:r>
    </w:p>
    <w:p w:rsidR="00FD289A" w:rsidRDefault="00FD289A" w:rsidP="00FD289A">
      <w:pPr>
        <w:spacing w:after="0" w:line="240" w:lineRule="auto"/>
        <w:ind w:left="0" w:hanging="2"/>
        <w:jc w:val="both"/>
        <w:rPr>
          <w:rFonts w:ascii="Arial" w:hAnsi="Arial" w:cs="Arial"/>
          <w:sz w:val="20"/>
          <w:szCs w:val="20"/>
        </w:rPr>
      </w:pPr>
      <w:r>
        <w:rPr>
          <w:rFonts w:ascii="Arial" w:hAnsi="Arial" w:cs="Arial"/>
          <w:sz w:val="20"/>
          <w:szCs w:val="20"/>
        </w:rPr>
        <w:t>This study</w:t>
      </w:r>
      <w:r w:rsidRPr="00FF1BAE">
        <w:rPr>
          <w:rFonts w:ascii="Arial" w:hAnsi="Arial" w:cs="Arial"/>
          <w:sz w:val="20"/>
          <w:szCs w:val="20"/>
        </w:rPr>
        <w:t xml:space="preserve"> help</w:t>
      </w:r>
      <w:r>
        <w:rPr>
          <w:rFonts w:ascii="Arial" w:hAnsi="Arial" w:cs="Arial"/>
          <w:sz w:val="20"/>
          <w:szCs w:val="20"/>
        </w:rPr>
        <w:t>s to</w:t>
      </w:r>
      <w:r w:rsidRPr="00FF1BAE">
        <w:rPr>
          <w:rFonts w:ascii="Arial" w:hAnsi="Arial" w:cs="Arial"/>
          <w:sz w:val="20"/>
          <w:szCs w:val="20"/>
        </w:rPr>
        <w:t xml:space="preserve"> fill the research gap</w:t>
      </w:r>
      <w:r>
        <w:rPr>
          <w:rFonts w:ascii="Arial" w:hAnsi="Arial" w:cs="Arial"/>
          <w:sz w:val="20"/>
          <w:szCs w:val="20"/>
        </w:rPr>
        <w:t>s</w:t>
      </w:r>
      <w:r w:rsidR="00444C75">
        <w:rPr>
          <w:rFonts w:ascii="Arial" w:hAnsi="Arial" w:cs="Arial"/>
          <w:sz w:val="20"/>
          <w:szCs w:val="20"/>
        </w:rPr>
        <w:t>.</w:t>
      </w:r>
      <w:r w:rsidR="00BE412F">
        <w:rPr>
          <w:rFonts w:ascii="Arial" w:hAnsi="Arial" w:cs="Arial"/>
          <w:sz w:val="20"/>
          <w:szCs w:val="20"/>
        </w:rPr>
        <w:t xml:space="preserve"> </w:t>
      </w:r>
      <w:r w:rsidR="00444C75">
        <w:rPr>
          <w:rFonts w:ascii="Arial" w:hAnsi="Arial" w:cs="Arial"/>
          <w:sz w:val="20"/>
          <w:szCs w:val="20"/>
        </w:rPr>
        <w:t>F</w:t>
      </w:r>
      <w:r w:rsidR="00BE412F">
        <w:rPr>
          <w:rFonts w:ascii="Arial" w:hAnsi="Arial" w:cs="Arial"/>
          <w:sz w:val="20"/>
          <w:szCs w:val="20"/>
        </w:rPr>
        <w:t xml:space="preserve">irst, about a </w:t>
      </w:r>
      <w:r>
        <w:rPr>
          <w:rFonts w:ascii="Arial" w:hAnsi="Arial" w:cs="Arial"/>
          <w:sz w:val="20"/>
          <w:szCs w:val="20"/>
        </w:rPr>
        <w:t>lack of</w:t>
      </w:r>
      <w:r w:rsidRPr="00FF1BAE">
        <w:rPr>
          <w:rFonts w:ascii="Arial" w:hAnsi="Arial" w:cs="Arial"/>
          <w:sz w:val="20"/>
          <w:szCs w:val="20"/>
        </w:rPr>
        <w:t xml:space="preserve"> </w:t>
      </w:r>
      <w:r>
        <w:rPr>
          <w:rFonts w:ascii="Arial" w:hAnsi="Arial" w:cs="Arial"/>
          <w:sz w:val="20"/>
          <w:szCs w:val="20"/>
        </w:rPr>
        <w:t>research that analyze</w:t>
      </w:r>
      <w:r w:rsidR="00BE412F">
        <w:rPr>
          <w:rFonts w:ascii="Arial" w:hAnsi="Arial" w:cs="Arial"/>
          <w:sz w:val="20"/>
          <w:szCs w:val="20"/>
        </w:rPr>
        <w:t>s</w:t>
      </w:r>
      <w:r>
        <w:rPr>
          <w:rFonts w:ascii="Arial" w:hAnsi="Arial" w:cs="Arial"/>
          <w:sz w:val="20"/>
          <w:szCs w:val="20"/>
        </w:rPr>
        <w:t xml:space="preserve"> the comparison of ARIMA or SARIMA with </w:t>
      </w:r>
      <w:r w:rsidR="00BE412F">
        <w:rPr>
          <w:rFonts w:ascii="Arial" w:hAnsi="Arial" w:cs="Arial"/>
          <w:sz w:val="20"/>
          <w:szCs w:val="20"/>
        </w:rPr>
        <w:t xml:space="preserve">the </w:t>
      </w:r>
      <w:r>
        <w:rPr>
          <w:rFonts w:ascii="Arial" w:hAnsi="Arial" w:cs="Arial"/>
          <w:sz w:val="20"/>
          <w:szCs w:val="20"/>
        </w:rPr>
        <w:t xml:space="preserve">decomposition </w:t>
      </w:r>
      <w:r w:rsidR="00AD6EF0">
        <w:rPr>
          <w:rFonts w:ascii="Arial" w:hAnsi="Arial" w:cs="Arial"/>
          <w:sz w:val="20"/>
          <w:szCs w:val="20"/>
        </w:rPr>
        <w:t>forecast model. T</w:t>
      </w:r>
      <w:r w:rsidR="00BD737A">
        <w:rPr>
          <w:rFonts w:ascii="Arial" w:hAnsi="Arial" w:cs="Arial"/>
          <w:sz w:val="20"/>
          <w:szCs w:val="20"/>
        </w:rPr>
        <w:t>his comparison is done t</w:t>
      </w:r>
      <w:r>
        <w:rPr>
          <w:rFonts w:ascii="Arial" w:hAnsi="Arial" w:cs="Arial"/>
          <w:sz w:val="20"/>
          <w:szCs w:val="20"/>
        </w:rPr>
        <w:t>o find the forecast model that can capture data pattern</w:t>
      </w:r>
      <w:r w:rsidR="00BE412F">
        <w:rPr>
          <w:rFonts w:ascii="Arial" w:hAnsi="Arial" w:cs="Arial"/>
          <w:sz w:val="20"/>
          <w:szCs w:val="20"/>
        </w:rPr>
        <w:t>s</w:t>
      </w:r>
      <w:r>
        <w:rPr>
          <w:rFonts w:ascii="Arial" w:hAnsi="Arial" w:cs="Arial"/>
          <w:sz w:val="20"/>
          <w:szCs w:val="20"/>
        </w:rPr>
        <w:t xml:space="preserve"> better</w:t>
      </w:r>
      <w:r w:rsidR="00BE412F">
        <w:rPr>
          <w:rFonts w:ascii="Arial" w:hAnsi="Arial" w:cs="Arial"/>
          <w:sz w:val="20"/>
          <w:szCs w:val="20"/>
        </w:rPr>
        <w:t xml:space="preserve">. Second, about a </w:t>
      </w:r>
      <w:r>
        <w:rPr>
          <w:rFonts w:ascii="Arial" w:hAnsi="Arial" w:cs="Arial"/>
          <w:sz w:val="20"/>
          <w:szCs w:val="20"/>
        </w:rPr>
        <w:t xml:space="preserve">lack of studies </w:t>
      </w:r>
      <w:r w:rsidR="00BE412F">
        <w:rPr>
          <w:rFonts w:ascii="Arial" w:hAnsi="Arial" w:cs="Arial"/>
          <w:sz w:val="20"/>
          <w:szCs w:val="20"/>
        </w:rPr>
        <w:t>o</w:t>
      </w:r>
      <w:r>
        <w:rPr>
          <w:rFonts w:ascii="Arial" w:hAnsi="Arial" w:cs="Arial"/>
          <w:sz w:val="20"/>
          <w:szCs w:val="20"/>
        </w:rPr>
        <w:t>n sugar-related topic</w:t>
      </w:r>
      <w:r w:rsidR="00BE412F">
        <w:rPr>
          <w:rFonts w:ascii="Arial" w:hAnsi="Arial" w:cs="Arial"/>
          <w:sz w:val="20"/>
          <w:szCs w:val="20"/>
        </w:rPr>
        <w:t>s</w:t>
      </w:r>
      <w:r>
        <w:rPr>
          <w:rFonts w:ascii="Arial" w:hAnsi="Arial" w:cs="Arial"/>
          <w:sz w:val="20"/>
          <w:szCs w:val="20"/>
        </w:rPr>
        <w:t xml:space="preserve"> </w:t>
      </w:r>
      <w:r w:rsidR="00BE412F">
        <w:rPr>
          <w:rFonts w:ascii="Arial" w:hAnsi="Arial" w:cs="Arial"/>
          <w:sz w:val="20"/>
          <w:szCs w:val="20"/>
        </w:rPr>
        <w:t>at</w:t>
      </w:r>
      <w:r>
        <w:rPr>
          <w:rFonts w:ascii="Arial" w:hAnsi="Arial" w:cs="Arial"/>
          <w:sz w:val="20"/>
          <w:szCs w:val="20"/>
        </w:rPr>
        <w:t xml:space="preserve"> </w:t>
      </w:r>
      <w:r w:rsidR="00BE412F">
        <w:rPr>
          <w:rFonts w:ascii="Arial" w:hAnsi="Arial" w:cs="Arial"/>
          <w:sz w:val="20"/>
          <w:szCs w:val="20"/>
        </w:rPr>
        <w:t xml:space="preserve">the </w:t>
      </w:r>
      <w:r>
        <w:rPr>
          <w:rFonts w:ascii="Arial" w:hAnsi="Arial" w:cs="Arial"/>
          <w:sz w:val="20"/>
          <w:szCs w:val="20"/>
        </w:rPr>
        <w:t xml:space="preserve">retail level </w:t>
      </w:r>
      <w:r w:rsidR="00BE412F">
        <w:rPr>
          <w:rFonts w:ascii="Arial" w:hAnsi="Arial" w:cs="Arial"/>
          <w:sz w:val="20"/>
          <w:szCs w:val="20"/>
        </w:rPr>
        <w:t>in</w:t>
      </w:r>
      <w:r>
        <w:rPr>
          <w:rFonts w:ascii="Arial" w:hAnsi="Arial" w:cs="Arial"/>
          <w:sz w:val="20"/>
          <w:szCs w:val="20"/>
        </w:rPr>
        <w:t xml:space="preserve"> general, especially for </w:t>
      </w:r>
      <w:r w:rsidR="00BE412F">
        <w:rPr>
          <w:rFonts w:ascii="Arial" w:hAnsi="Arial" w:cs="Arial"/>
          <w:sz w:val="20"/>
          <w:szCs w:val="20"/>
        </w:rPr>
        <w:t xml:space="preserve">the </w:t>
      </w:r>
      <w:r>
        <w:rPr>
          <w:rFonts w:ascii="Arial" w:hAnsi="Arial" w:cs="Arial"/>
          <w:sz w:val="20"/>
          <w:szCs w:val="20"/>
        </w:rPr>
        <w:t xml:space="preserve">Indonesia case study. </w:t>
      </w:r>
    </w:p>
    <w:p w:rsidR="001952E8" w:rsidRDefault="0073603F" w:rsidP="00444C75">
      <w:pPr>
        <w:spacing w:after="0" w:line="240" w:lineRule="auto"/>
        <w:ind w:left="0" w:hanging="2"/>
        <w:jc w:val="both"/>
        <w:rPr>
          <w:rFonts w:ascii="Arial" w:hAnsi="Arial" w:cs="Arial"/>
          <w:sz w:val="20"/>
          <w:szCs w:val="20"/>
        </w:rPr>
      </w:pPr>
      <w:r>
        <w:rPr>
          <w:rFonts w:ascii="Arial" w:hAnsi="Arial" w:cs="Arial"/>
          <w:sz w:val="20"/>
          <w:szCs w:val="20"/>
        </w:rPr>
        <w:t>In this study, data preparation is done by</w:t>
      </w:r>
      <w:r w:rsidR="00585FF8">
        <w:rPr>
          <w:rFonts w:ascii="Arial" w:hAnsi="Arial" w:cs="Arial"/>
          <w:sz w:val="20"/>
          <w:szCs w:val="20"/>
        </w:rPr>
        <w:t xml:space="preserve"> using</w:t>
      </w:r>
      <w:r>
        <w:rPr>
          <w:rFonts w:ascii="Arial" w:hAnsi="Arial" w:cs="Arial"/>
          <w:sz w:val="20"/>
          <w:szCs w:val="20"/>
        </w:rPr>
        <w:t xml:space="preserve"> stationary test and pattern analysis. Later, r</w:t>
      </w:r>
      <w:r w:rsidR="001952E8">
        <w:rPr>
          <w:rFonts w:ascii="Arial" w:hAnsi="Arial" w:cs="Arial"/>
          <w:sz w:val="20"/>
          <w:szCs w:val="20"/>
        </w:rPr>
        <w:t xml:space="preserve">esidual testing for both models </w:t>
      </w:r>
      <w:r w:rsidR="00BE412F">
        <w:rPr>
          <w:rFonts w:ascii="Arial" w:hAnsi="Arial" w:cs="Arial"/>
          <w:sz w:val="20"/>
          <w:szCs w:val="20"/>
        </w:rPr>
        <w:t>is</w:t>
      </w:r>
      <w:r w:rsidR="001952E8">
        <w:rPr>
          <w:rFonts w:ascii="Arial" w:hAnsi="Arial" w:cs="Arial"/>
          <w:sz w:val="20"/>
          <w:szCs w:val="20"/>
        </w:rPr>
        <w:t xml:space="preserve"> analyzed to ensure there is no result</w:t>
      </w:r>
      <w:r>
        <w:rPr>
          <w:rFonts w:ascii="Arial" w:hAnsi="Arial" w:cs="Arial"/>
          <w:sz w:val="20"/>
          <w:szCs w:val="20"/>
        </w:rPr>
        <w:t xml:space="preserve"> bias, which was missing</w:t>
      </w:r>
      <w:r w:rsidR="001952E8">
        <w:rPr>
          <w:rFonts w:ascii="Arial" w:hAnsi="Arial" w:cs="Arial"/>
          <w:sz w:val="20"/>
          <w:szCs w:val="20"/>
        </w:rPr>
        <w:t xml:space="preserve"> in </w:t>
      </w:r>
      <w:r w:rsidR="00BE412F">
        <w:rPr>
          <w:rFonts w:ascii="Arial" w:hAnsi="Arial" w:cs="Arial"/>
          <w:sz w:val="20"/>
          <w:szCs w:val="20"/>
        </w:rPr>
        <w:t xml:space="preserve">the </w:t>
      </w:r>
      <w:r w:rsidR="001952E8">
        <w:rPr>
          <w:rFonts w:ascii="Arial" w:hAnsi="Arial" w:cs="Arial"/>
          <w:sz w:val="20"/>
          <w:szCs w:val="20"/>
        </w:rPr>
        <w:t xml:space="preserve">previous study. </w:t>
      </w:r>
      <w:r w:rsidR="00472090">
        <w:rPr>
          <w:rFonts w:ascii="Arial" w:hAnsi="Arial" w:cs="Arial"/>
          <w:sz w:val="20"/>
          <w:szCs w:val="20"/>
        </w:rPr>
        <w:t xml:space="preserve">To ensure the forecast performance, </w:t>
      </w:r>
      <w:r w:rsidR="00BD1DF1">
        <w:rPr>
          <w:rFonts w:ascii="Arial" w:hAnsi="Arial" w:cs="Arial"/>
          <w:sz w:val="20"/>
          <w:szCs w:val="20"/>
        </w:rPr>
        <w:t xml:space="preserve">the </w:t>
      </w:r>
      <w:r w:rsidR="00472090">
        <w:rPr>
          <w:rFonts w:ascii="Arial" w:hAnsi="Arial" w:cs="Arial"/>
          <w:sz w:val="20"/>
          <w:szCs w:val="20"/>
        </w:rPr>
        <w:t>cross</w:t>
      </w:r>
      <w:r w:rsidR="00BE412F">
        <w:rPr>
          <w:rFonts w:ascii="Arial" w:hAnsi="Arial" w:cs="Arial"/>
          <w:sz w:val="20"/>
          <w:szCs w:val="20"/>
        </w:rPr>
        <w:t>-</w:t>
      </w:r>
      <w:r w:rsidR="00472090">
        <w:rPr>
          <w:rFonts w:ascii="Arial" w:hAnsi="Arial" w:cs="Arial"/>
          <w:sz w:val="20"/>
          <w:szCs w:val="20"/>
        </w:rPr>
        <w:t xml:space="preserve">validation method is used </w:t>
      </w:r>
      <w:r w:rsidR="003A6FEE">
        <w:rPr>
          <w:rFonts w:ascii="Arial" w:hAnsi="Arial" w:cs="Arial"/>
          <w:sz w:val="20"/>
          <w:szCs w:val="20"/>
        </w:rPr>
        <w:t>by d</w:t>
      </w:r>
      <w:r w:rsidR="00BE412F">
        <w:rPr>
          <w:rFonts w:ascii="Arial" w:hAnsi="Arial" w:cs="Arial"/>
          <w:sz w:val="20"/>
          <w:szCs w:val="20"/>
        </w:rPr>
        <w:t>i</w:t>
      </w:r>
      <w:r w:rsidR="003A6FEE">
        <w:rPr>
          <w:rFonts w:ascii="Arial" w:hAnsi="Arial" w:cs="Arial"/>
          <w:sz w:val="20"/>
          <w:szCs w:val="20"/>
        </w:rPr>
        <w:t>v</w:t>
      </w:r>
      <w:r w:rsidR="00472090">
        <w:rPr>
          <w:rFonts w:ascii="Arial" w:hAnsi="Arial" w:cs="Arial"/>
          <w:sz w:val="20"/>
          <w:szCs w:val="20"/>
        </w:rPr>
        <w:t xml:space="preserve">iding the data into training </w:t>
      </w:r>
      <w:r w:rsidR="00BE412F">
        <w:rPr>
          <w:rFonts w:ascii="Arial" w:hAnsi="Arial" w:cs="Arial"/>
          <w:sz w:val="20"/>
          <w:szCs w:val="20"/>
        </w:rPr>
        <w:t>and</w:t>
      </w:r>
      <w:r w:rsidR="00472090">
        <w:rPr>
          <w:rFonts w:ascii="Arial" w:hAnsi="Arial" w:cs="Arial"/>
          <w:sz w:val="20"/>
          <w:szCs w:val="20"/>
        </w:rPr>
        <w:t xml:space="preserve"> testing data set</w:t>
      </w:r>
      <w:r w:rsidR="00BE412F">
        <w:rPr>
          <w:rFonts w:ascii="Arial" w:hAnsi="Arial" w:cs="Arial"/>
          <w:sz w:val="20"/>
          <w:szCs w:val="20"/>
        </w:rPr>
        <w:t>s</w:t>
      </w:r>
      <w:r w:rsidR="00472090">
        <w:rPr>
          <w:rFonts w:ascii="Arial" w:hAnsi="Arial" w:cs="Arial"/>
          <w:sz w:val="20"/>
          <w:szCs w:val="20"/>
        </w:rPr>
        <w:t xml:space="preserve">. This study uses MAPE as a performance indicator </w:t>
      </w:r>
      <w:r w:rsidR="003A6FEE">
        <w:rPr>
          <w:rFonts w:ascii="Arial" w:hAnsi="Arial" w:cs="Arial"/>
          <w:sz w:val="20"/>
          <w:szCs w:val="20"/>
        </w:rPr>
        <w:t>to check and compare t</w:t>
      </w:r>
      <w:r w:rsidR="002D2035">
        <w:rPr>
          <w:rFonts w:ascii="Arial" w:hAnsi="Arial" w:cs="Arial"/>
          <w:sz w:val="20"/>
          <w:szCs w:val="20"/>
        </w:rPr>
        <w:t>he forecast error of both models.</w:t>
      </w:r>
    </w:p>
    <w:p w:rsidR="00423D6E" w:rsidRDefault="00423D6E" w:rsidP="00605B0A">
      <w:pPr>
        <w:spacing w:after="0" w:line="240" w:lineRule="auto"/>
        <w:ind w:left="0" w:hanging="2"/>
        <w:jc w:val="both"/>
        <w:rPr>
          <w:rFonts w:ascii="Arial" w:hAnsi="Arial" w:cs="Arial"/>
          <w:sz w:val="20"/>
          <w:szCs w:val="20"/>
        </w:rPr>
      </w:pPr>
    </w:p>
    <w:p w:rsidR="00C30CCB" w:rsidRPr="001A3CF6" w:rsidRDefault="00C30CCB" w:rsidP="00C30CCB">
      <w:pPr>
        <w:spacing w:after="0" w:line="240" w:lineRule="auto"/>
        <w:ind w:left="0" w:hanging="2"/>
        <w:jc w:val="both"/>
        <w:rPr>
          <w:rFonts w:ascii="Arial" w:eastAsia="Arial" w:hAnsi="Arial" w:cs="Arial"/>
          <w:color w:val="1F4E79"/>
          <w:sz w:val="20"/>
          <w:szCs w:val="20"/>
        </w:rPr>
      </w:pPr>
      <w:r>
        <w:rPr>
          <w:rFonts w:ascii="Arial" w:eastAsia="Arial" w:hAnsi="Arial" w:cs="Arial"/>
          <w:b/>
          <w:color w:val="1F4E79"/>
          <w:sz w:val="20"/>
          <w:szCs w:val="20"/>
        </w:rPr>
        <w:t>METHOD</w:t>
      </w:r>
    </w:p>
    <w:p w:rsidR="00C30CCB" w:rsidRDefault="00C30CCB" w:rsidP="00C30CCB">
      <w:pPr>
        <w:spacing w:after="0" w:line="240" w:lineRule="auto"/>
        <w:ind w:left="0" w:hanging="2"/>
        <w:jc w:val="both"/>
        <w:rPr>
          <w:rFonts w:ascii="Arial" w:eastAsia="Arial" w:hAnsi="Arial" w:cs="Arial"/>
          <w:color w:val="1F4E79"/>
          <w:sz w:val="20"/>
          <w:szCs w:val="20"/>
        </w:rPr>
      </w:pPr>
      <w:r>
        <w:rPr>
          <w:rFonts w:ascii="Arial" w:eastAsia="Arial" w:hAnsi="Arial" w:cs="Arial"/>
          <w:b/>
          <w:color w:val="1F4E79"/>
          <w:sz w:val="20"/>
          <w:szCs w:val="20"/>
        </w:rPr>
        <w:t>Research Design</w:t>
      </w:r>
    </w:p>
    <w:p w:rsidR="00C30CCB" w:rsidRDefault="00C30CCB" w:rsidP="006F38F1">
      <w:pPr>
        <w:spacing w:after="0" w:line="240" w:lineRule="auto"/>
        <w:ind w:left="0" w:hanging="2"/>
        <w:jc w:val="both"/>
        <w:rPr>
          <w:rFonts w:ascii="Arial" w:hAnsi="Arial" w:cs="Arial"/>
          <w:sz w:val="20"/>
          <w:szCs w:val="20"/>
        </w:rPr>
      </w:pPr>
      <w:r w:rsidRPr="006F38F1">
        <w:rPr>
          <w:rFonts w:ascii="Arial" w:hAnsi="Arial" w:cs="Arial"/>
          <w:sz w:val="20"/>
          <w:szCs w:val="20"/>
        </w:rPr>
        <w:t>The retail store for this study is located in one of the strategic areas in Yogyakarta Province, Indonesia. The retail lies near universities and other stores leading the surrounding area to be highly populated. There are a total of 72 monthly</w:t>
      </w:r>
      <w:r>
        <w:rPr>
          <w:rFonts w:ascii="Arial" w:eastAsia="Arial" w:hAnsi="Arial" w:cs="Arial"/>
          <w:sz w:val="20"/>
          <w:szCs w:val="20"/>
        </w:rPr>
        <w:t xml:space="preserve"> </w:t>
      </w:r>
      <w:r w:rsidR="00585FF8">
        <w:rPr>
          <w:rFonts w:ascii="Arial" w:hAnsi="Arial" w:cs="Arial"/>
          <w:sz w:val="20"/>
          <w:szCs w:val="20"/>
        </w:rPr>
        <w:t xml:space="preserve">data about the </w:t>
      </w:r>
      <w:r w:rsidR="006F38F1" w:rsidRPr="006F38F1">
        <w:rPr>
          <w:rFonts w:ascii="Arial" w:hAnsi="Arial" w:cs="Arial"/>
          <w:sz w:val="20"/>
          <w:szCs w:val="20"/>
        </w:rPr>
        <w:t>sugar</w:t>
      </w:r>
      <w:r w:rsidR="00585FF8">
        <w:rPr>
          <w:rFonts w:ascii="Arial" w:hAnsi="Arial" w:cs="Arial"/>
          <w:sz w:val="20"/>
          <w:szCs w:val="20"/>
        </w:rPr>
        <w:t xml:space="preserve"> sales</w:t>
      </w:r>
      <w:r w:rsidR="006F38F1" w:rsidRPr="006F38F1">
        <w:rPr>
          <w:rFonts w:ascii="Arial" w:hAnsi="Arial" w:cs="Arial"/>
          <w:sz w:val="20"/>
          <w:szCs w:val="20"/>
        </w:rPr>
        <w:t xml:space="preserve"> from 2018 until 2023 for a one-kilogram-package white sugar product</w:t>
      </w:r>
      <w:r w:rsidR="006F38F1">
        <w:rPr>
          <w:rFonts w:ascii="Arial" w:hAnsi="Arial" w:cs="Arial"/>
          <w:sz w:val="20"/>
          <w:szCs w:val="20"/>
        </w:rPr>
        <w:t>.</w:t>
      </w:r>
    </w:p>
    <w:p w:rsidR="001C02A3" w:rsidRDefault="001C02A3" w:rsidP="001C02A3">
      <w:pPr>
        <w:spacing w:after="0" w:line="240" w:lineRule="auto"/>
        <w:ind w:left="0" w:hanging="2"/>
        <w:jc w:val="both"/>
        <w:rPr>
          <w:rFonts w:ascii="Arial" w:hAnsi="Arial" w:cs="Arial"/>
          <w:sz w:val="20"/>
          <w:szCs w:val="20"/>
        </w:rPr>
      </w:pPr>
      <w:r w:rsidRPr="001C02A3">
        <w:rPr>
          <w:rFonts w:ascii="Arial" w:hAnsi="Arial" w:cs="Arial"/>
          <w:sz w:val="20"/>
          <w:szCs w:val="20"/>
        </w:rPr>
        <w:t xml:space="preserve">The numbers of data fulfill the minimum data requirement for ARIMA. The ARIMA forecast model needs quite a lot of data, around 40 to 50 observation data </w:t>
      </w:r>
      <w:r w:rsidRPr="001C02A3">
        <w:rPr>
          <w:rFonts w:ascii="Arial" w:hAnsi="Arial" w:cs="Arial"/>
          <w:sz w:val="20"/>
          <w:szCs w:val="20"/>
        </w:rPr>
        <w:fldChar w:fldCharType="begin" w:fldLock="1"/>
      </w:r>
      <w:r w:rsidR="00AA5E59">
        <w:rPr>
          <w:rFonts w:ascii="Arial" w:hAnsi="Arial" w:cs="Arial"/>
          <w:sz w:val="20"/>
          <w:szCs w:val="20"/>
        </w:rPr>
        <w:instrText>ADDIN CSL_CITATION {"citationItems":[{"id":"ITEM-1","itemData":{"DOI":"10.3390/econometrics10020018","ISSN":"22251146","abstract":"The COVID-19 pandemic is a serious threat to all of us. It has caused an unprecedented shock to the world’s economy, and it has interrupted the lives and livelihood of millions of people. In the last two years, a large body of literature has attempted to forecast the main dimensions of the COVID-19 outbreak using a wide set of models. In this paper, I forecast the short-to mid-term cumulative deaths from COVID-19 in 12 hard-hit big countries around the world as of 20 August 2021. The data used in the analysis were extracted from the Our World in Data COVID-19 dataset. Both non-seasonal and seasonal autoregressive integrated moving averages (ARIMA and SARIMA) were estimated. The analysis showed that: (i) ARIMA/SARIMA forecasts were sufficiently accurate in both the training and test set by always outperforming the simple alternative forecasting techniques chosen as benchmarks (Mean, Naïve, and Seasonal Naïve); (ii) SARIMA models outperformed ARIMA models in 47 out 48 metrics (in forecasting future values), i.e., on 97.9% of all the considered forecast accuracy measures (mean absolute error [MAE], mean absolute percentage error [MAPE], mean absolute scaled error [MASE], and the root mean squared error [RMSE]), suggesting a clear seasonal pattern in the data; and (iii) the forecasted values from SARIMA models fitted very well the observed (real-time) data for the period 21 August 2021–19 September 2021 for almost all the countries analyzed. This article shows that SARIMA can be safely used for both the short-and medium-term predictions of COVID-19 deaths. Thus, this approach can help government authorities to monitor and manage the huge pressure that COVID-19 is exerting on national healthcare systems.","author":[{"dropping-particle":"","family":"Perone","given":"Gaetano","non-dropping-particle":"","parse-names":false,"suffix":""}],"container-title":"Econometrics","id":"ITEM-1","issue":"2","issued":{"date-parts":[["2022"]]},"title":"Using the SARIMA Model to Forecast the Fourth Global Wave of Cumulative Deaths from COVID-19: Evidence from 12 Hard-Hit Big Countries","type":"article-journal","volume":"10"},"uris":["http://www.mendeley.com/documents/?uuid=e0bec484-9816-4ed8-9e27-b5498f78271f"]}],"mendeley":{"formattedCitation":"[23]","plainTextFormattedCitation":"[23]","previouslyFormattedCitation":"[23]"},"properties":{"noteIndex":0},"schema":"https://github.com/citation-style-language/schema/raw/master/csl-citation.json"}</w:instrText>
      </w:r>
      <w:r w:rsidRPr="001C02A3">
        <w:rPr>
          <w:rFonts w:ascii="Arial" w:hAnsi="Arial" w:cs="Arial"/>
          <w:sz w:val="20"/>
          <w:szCs w:val="20"/>
        </w:rPr>
        <w:fldChar w:fldCharType="separate"/>
      </w:r>
      <w:r w:rsidR="00AA5E59" w:rsidRPr="00AA5E59">
        <w:rPr>
          <w:rFonts w:ascii="Arial" w:hAnsi="Arial" w:cs="Arial"/>
          <w:noProof/>
          <w:sz w:val="20"/>
          <w:szCs w:val="20"/>
        </w:rPr>
        <w:t>[23]</w:t>
      </w:r>
      <w:r w:rsidRPr="001C02A3">
        <w:rPr>
          <w:rFonts w:ascii="Arial" w:hAnsi="Arial" w:cs="Arial"/>
          <w:sz w:val="20"/>
          <w:szCs w:val="20"/>
        </w:rPr>
        <w:fldChar w:fldCharType="end"/>
      </w:r>
      <w:r w:rsidRPr="001C02A3">
        <w:rPr>
          <w:rFonts w:ascii="Arial" w:hAnsi="Arial" w:cs="Arial"/>
          <w:sz w:val="20"/>
          <w:szCs w:val="20"/>
        </w:rPr>
        <w:t xml:space="preserve">.  </w:t>
      </w:r>
      <w:r w:rsidR="00291B9F">
        <w:rPr>
          <w:rFonts w:ascii="Arial" w:hAnsi="Arial" w:cs="Arial"/>
          <w:sz w:val="20"/>
          <w:szCs w:val="20"/>
        </w:rPr>
        <w:t xml:space="preserve">The </w:t>
      </w:r>
      <w:r w:rsidR="00A85AAE">
        <w:rPr>
          <w:rFonts w:ascii="Arial" w:hAnsi="Arial" w:cs="Arial"/>
          <w:sz w:val="20"/>
          <w:szCs w:val="20"/>
        </w:rPr>
        <w:t xml:space="preserve">SARIMA model </w:t>
      </w:r>
      <w:r w:rsidRPr="001C02A3">
        <w:rPr>
          <w:rFonts w:ascii="Arial" w:hAnsi="Arial" w:cs="Arial"/>
          <w:sz w:val="20"/>
          <w:szCs w:val="20"/>
        </w:rPr>
        <w:t>might require a bit more data compared to ARIMA to capture</w:t>
      </w:r>
      <w:r w:rsidR="004D426F">
        <w:rPr>
          <w:rFonts w:ascii="Arial" w:hAnsi="Arial" w:cs="Arial"/>
          <w:sz w:val="20"/>
          <w:szCs w:val="20"/>
        </w:rPr>
        <w:t xml:space="preserve"> the seasonality component. </w:t>
      </w:r>
      <w:r w:rsidR="00F82AA0">
        <w:rPr>
          <w:rFonts w:ascii="Arial" w:hAnsi="Arial" w:cs="Arial"/>
          <w:sz w:val="20"/>
          <w:szCs w:val="20"/>
        </w:rPr>
        <w:t>It might even require more data if the seasonal length is long.</w:t>
      </w:r>
      <w:r w:rsidR="00C30CCB">
        <w:rPr>
          <w:rFonts w:ascii="Arial" w:hAnsi="Arial" w:cs="Arial"/>
          <w:sz w:val="20"/>
          <w:szCs w:val="20"/>
        </w:rPr>
        <w:t xml:space="preserve"> </w:t>
      </w:r>
    </w:p>
    <w:p w:rsidR="00B80D90" w:rsidRPr="00D96894" w:rsidRDefault="00C30CCB" w:rsidP="00C24C56">
      <w:pPr>
        <w:spacing w:after="0" w:line="240" w:lineRule="auto"/>
        <w:ind w:left="0" w:hanging="2"/>
        <w:jc w:val="both"/>
        <w:rPr>
          <w:rFonts w:ascii="Arial" w:hAnsi="Arial" w:cs="Arial"/>
          <w:sz w:val="20"/>
          <w:szCs w:val="20"/>
        </w:rPr>
      </w:pPr>
      <w:r w:rsidRPr="00325B98">
        <w:rPr>
          <w:rFonts w:ascii="Arial" w:hAnsi="Arial" w:cs="Arial"/>
          <w:sz w:val="20"/>
          <w:szCs w:val="20"/>
        </w:rPr>
        <w:t>Picture 1 shows th</w:t>
      </w:r>
      <w:r>
        <w:rPr>
          <w:rFonts w:ascii="Arial" w:hAnsi="Arial" w:cs="Arial"/>
          <w:sz w:val="20"/>
          <w:szCs w:val="20"/>
        </w:rPr>
        <w:t xml:space="preserve">e research design of this study. </w:t>
      </w:r>
      <w:r w:rsidR="00687C08">
        <w:rPr>
          <w:rFonts w:ascii="Arial" w:hAnsi="Arial" w:cs="Arial"/>
          <w:sz w:val="20"/>
          <w:szCs w:val="20"/>
        </w:rPr>
        <w:t>B</w:t>
      </w:r>
      <w:r w:rsidR="006E2B19">
        <w:rPr>
          <w:rFonts w:ascii="Arial" w:hAnsi="Arial" w:cs="Arial"/>
          <w:sz w:val="20"/>
          <w:szCs w:val="20"/>
        </w:rPr>
        <w:t>asic statistics is used to understand the data</w:t>
      </w:r>
      <w:r w:rsidR="00B7571D">
        <w:rPr>
          <w:rFonts w:ascii="Arial" w:hAnsi="Arial" w:cs="Arial"/>
          <w:sz w:val="20"/>
          <w:szCs w:val="20"/>
        </w:rPr>
        <w:t xml:space="preserve"> and </w:t>
      </w:r>
      <w:r w:rsidR="006E2B19">
        <w:rPr>
          <w:rFonts w:ascii="Arial" w:hAnsi="Arial" w:cs="Arial"/>
          <w:sz w:val="20"/>
          <w:szCs w:val="20"/>
        </w:rPr>
        <w:t xml:space="preserve">stationary test is used to add information about the data and as the requirement to perform ARIMA or SARIMA. </w:t>
      </w:r>
      <w:r w:rsidR="00B80D90" w:rsidRPr="00D96894">
        <w:rPr>
          <w:rFonts w:ascii="Arial" w:hAnsi="Arial" w:cs="Arial"/>
          <w:sz w:val="20"/>
          <w:szCs w:val="20"/>
        </w:rPr>
        <w:t xml:space="preserve">Stationer data means that its statistical </w:t>
      </w:r>
      <w:r w:rsidR="00B80D90">
        <w:rPr>
          <w:rFonts w:ascii="Arial" w:hAnsi="Arial" w:cs="Arial"/>
          <w:sz w:val="20"/>
          <w:szCs w:val="20"/>
        </w:rPr>
        <w:t xml:space="preserve">properties such as mean, </w:t>
      </w:r>
      <w:r w:rsidR="00B80D90" w:rsidRPr="00D96894">
        <w:rPr>
          <w:rFonts w:ascii="Arial" w:hAnsi="Arial" w:cs="Arial"/>
          <w:sz w:val="20"/>
          <w:szCs w:val="20"/>
        </w:rPr>
        <w:t>variance</w:t>
      </w:r>
      <w:r w:rsidR="00B80D90">
        <w:rPr>
          <w:rFonts w:ascii="Arial" w:hAnsi="Arial" w:cs="Arial"/>
          <w:sz w:val="20"/>
          <w:szCs w:val="20"/>
        </w:rPr>
        <w:t>, etc.</w:t>
      </w:r>
      <w:r w:rsidR="00B80D90" w:rsidRPr="00D96894">
        <w:rPr>
          <w:rFonts w:ascii="Arial" w:hAnsi="Arial" w:cs="Arial"/>
          <w:sz w:val="20"/>
          <w:szCs w:val="20"/>
        </w:rPr>
        <w:t xml:space="preserve"> do not change </w:t>
      </w:r>
      <w:r w:rsidR="00B80D90">
        <w:rPr>
          <w:rFonts w:ascii="Arial" w:hAnsi="Arial" w:cs="Arial"/>
          <w:sz w:val="20"/>
          <w:szCs w:val="20"/>
        </w:rPr>
        <w:t xml:space="preserve">or depend </w:t>
      </w:r>
      <w:r w:rsidR="00B80D90" w:rsidRPr="00D96894">
        <w:rPr>
          <w:rFonts w:ascii="Arial" w:hAnsi="Arial" w:cs="Arial"/>
          <w:sz w:val="20"/>
          <w:szCs w:val="20"/>
        </w:rPr>
        <w:t xml:space="preserve">over time </w:t>
      </w:r>
      <w:r w:rsidR="00B80D90" w:rsidRPr="00D96894">
        <w:rPr>
          <w:rFonts w:ascii="Arial" w:hAnsi="Arial" w:cs="Arial"/>
          <w:color w:val="7030A0"/>
          <w:sz w:val="20"/>
          <w:szCs w:val="20"/>
        </w:rPr>
        <w:fldChar w:fldCharType="begin" w:fldLock="1"/>
      </w:r>
      <w:r w:rsidR="00AA5E59">
        <w:rPr>
          <w:rFonts w:ascii="Arial" w:hAnsi="Arial" w:cs="Arial"/>
          <w:color w:val="7030A0"/>
          <w:sz w:val="20"/>
          <w:szCs w:val="20"/>
        </w:rPr>
        <w:instrText>ADDIN CSL_CITATION {"citationItems":[{"id":"ITEM-1","itemData":{"author":[{"dropping-particle":"","family":"Box","given":"George E.P.","non-dropping-particle":"","parse-names":false,"suffix":""},{"dropping-particle":"","family":"Jenkins","given":"Gwilym M","non-dropping-particle":"","parse-names":false,"suffix":""},{"dropping-particle":"","family":"Reinsel","given":"Gregory C","non-dropping-particle":"","parse-names":false,"suffix":""},{"dropping-particle":"","family":"Ljung","given":"Greta M","non-dropping-particle":"","parse-names":false,"suffix":""}],"container-title":"John Wiley &amp; sons, Inc.","edition":"5th","id":"ITEM-1","issued":{"date-parts":[["2016"]]},"publisher":"John Wiley &amp; Sons, Inc.","publisher-place":"Hoboken, New Jersey","title":"Time Series Analysis: Forecasting and Control","type":"book","volume":"11"},"uris":["http://www.mendeley.com/documents/?uuid=0c62d506-5907-4f45-9a6b-e0a29bb99fb9"]},{"id":"ITEM-2","itemData":{"DOI":"10.1109/ACCESS.2022.3224938","ISSN":"21693536","abstract":"Time series forecasting using historical data is significantly important nowadays. Many fields such as finance, industries, healthcare, and meteorology use it. Profit analysis using financial data is crucial for any online or offline businesses and companies. It helps understand the sales and the profits and losses made and predict values for the future. For this effective analysis, the statistical methods- Autoregressive Integrated Moving Average (ARIMA) and Seasonal ARIMA models (SARIMA), and deep learning method- Long Short- Term Memory (LSTM) Neural Network model in time series forecasting have been chosen. It has been converted into a stationary dataset for ARIMA, not for SARIMA and LSTM. The fitted models have been built and used to predict profit on test data. After obtaining good accuracies of 93.84% (ARIMA), 94.378% (SARIMA) and 97.01% (LSTM) approximately, forecasts for the next 5 years have been done. Results show that LSTM surpasses both the statistical models in constructing the best model.","author":[{"dropping-particle":"","family":"Sirisha","given":"Uppala Meena","non-dropping-particle":"","parse-names":false,"suffix":""},{"dropping-particle":"","family":"Belavagi","given":"Manjula C.","non-dropping-particle":"","parse-names":false,"suffix":""},{"dropping-particle":"","family":"Attigeri","given":"Girija","non-dropping-particle":"","parse-names":false,"suffix":""}],"container-title":"IEEE Access","id":"ITEM-2","issue":"October","issued":{"date-parts":[["2022"]]},"page":"124715-124727","publisher":"IEEE","title":"Profit Prediction Using ARIMA, SARIMA and LSTM Models in Time Series Forecasting: A Comparison","type":"article-journal","volume":"10"},"uris":["http://www.mendeley.com/documents/?uuid=3da55f88-3351-4cf4-b2f0-6e4c48a29b98"]}],"mendeley":{"formattedCitation":"[24], [25]","plainTextFormattedCitation":"[24], [25]","previouslyFormattedCitation":"[24], [25]"},"properties":{"noteIndex":0},"schema":"https://github.com/citation-style-language/schema/raw/master/csl-citation.json"}</w:instrText>
      </w:r>
      <w:r w:rsidR="00B80D90" w:rsidRPr="00D96894">
        <w:rPr>
          <w:rFonts w:ascii="Arial" w:hAnsi="Arial" w:cs="Arial"/>
          <w:color w:val="7030A0"/>
          <w:sz w:val="20"/>
          <w:szCs w:val="20"/>
        </w:rPr>
        <w:fldChar w:fldCharType="separate"/>
      </w:r>
      <w:r w:rsidR="00AA5E59" w:rsidRPr="00AA5E59">
        <w:rPr>
          <w:rFonts w:ascii="Arial" w:hAnsi="Arial" w:cs="Arial"/>
          <w:noProof/>
          <w:sz w:val="20"/>
          <w:szCs w:val="20"/>
        </w:rPr>
        <w:t>[24], [25]</w:t>
      </w:r>
      <w:r w:rsidR="00B80D90" w:rsidRPr="00D96894">
        <w:rPr>
          <w:rFonts w:ascii="Arial" w:hAnsi="Arial" w:cs="Arial"/>
          <w:color w:val="7030A0"/>
          <w:sz w:val="20"/>
          <w:szCs w:val="20"/>
        </w:rPr>
        <w:fldChar w:fldCharType="end"/>
      </w:r>
      <w:r w:rsidR="00B80D90" w:rsidRPr="00D96894">
        <w:rPr>
          <w:rFonts w:ascii="Arial" w:hAnsi="Arial" w:cs="Arial"/>
          <w:sz w:val="20"/>
          <w:szCs w:val="20"/>
        </w:rPr>
        <w:t>. It means that if the data</w:t>
      </w:r>
      <w:r w:rsidR="00482070">
        <w:rPr>
          <w:rFonts w:ascii="Arial" w:hAnsi="Arial" w:cs="Arial"/>
          <w:sz w:val="20"/>
          <w:szCs w:val="20"/>
        </w:rPr>
        <w:t xml:space="preserve"> is not stationer, it has</w:t>
      </w:r>
      <w:r w:rsidR="00B80D90" w:rsidRPr="00D96894">
        <w:rPr>
          <w:rFonts w:ascii="Arial" w:hAnsi="Arial" w:cs="Arial"/>
          <w:sz w:val="20"/>
          <w:szCs w:val="20"/>
        </w:rPr>
        <w:t xml:space="preserve"> some patterns, suc</w:t>
      </w:r>
      <w:r w:rsidR="00B80D90">
        <w:rPr>
          <w:rFonts w:ascii="Arial" w:hAnsi="Arial" w:cs="Arial"/>
          <w:sz w:val="20"/>
          <w:szCs w:val="20"/>
        </w:rPr>
        <w:t>h as seasonal and trend.</w:t>
      </w:r>
    </w:p>
    <w:p w:rsidR="00B7571D" w:rsidRDefault="00191D68" w:rsidP="00B7571D">
      <w:pPr>
        <w:spacing w:after="0" w:line="240" w:lineRule="auto"/>
        <w:ind w:left="0" w:hanging="2"/>
        <w:jc w:val="both"/>
        <w:rPr>
          <w:rFonts w:ascii="Arial" w:hAnsi="Arial" w:cs="Arial"/>
          <w:sz w:val="20"/>
          <w:szCs w:val="20"/>
        </w:rPr>
      </w:pPr>
      <w:r>
        <w:rPr>
          <w:rFonts w:ascii="Arial" w:hAnsi="Arial" w:cs="Arial"/>
          <w:sz w:val="20"/>
          <w:szCs w:val="20"/>
        </w:rPr>
        <w:t>If the data is stationer</w:t>
      </w:r>
      <w:r w:rsidR="00B7571D">
        <w:rPr>
          <w:rFonts w:ascii="Arial" w:hAnsi="Arial" w:cs="Arial"/>
          <w:sz w:val="20"/>
          <w:szCs w:val="20"/>
        </w:rPr>
        <w:t>, ARIMA can be used directly to predict sales. However, i</w:t>
      </w:r>
      <w:r>
        <w:rPr>
          <w:rFonts w:ascii="Arial" w:hAnsi="Arial" w:cs="Arial"/>
          <w:sz w:val="20"/>
          <w:szCs w:val="20"/>
        </w:rPr>
        <w:t>f the data is not stationer</w:t>
      </w:r>
      <w:r w:rsidR="006932A5">
        <w:rPr>
          <w:rFonts w:ascii="Arial" w:hAnsi="Arial" w:cs="Arial"/>
          <w:sz w:val="20"/>
          <w:szCs w:val="20"/>
        </w:rPr>
        <w:t xml:space="preserve">, the data pattern such as trend and seasonality pattern should be checked using </w:t>
      </w:r>
      <w:r w:rsidR="00AF59D7" w:rsidRPr="009F5F59">
        <w:rPr>
          <w:rFonts w:ascii="Arial" w:hAnsi="Arial" w:cs="Arial"/>
          <w:sz w:val="20"/>
          <w:szCs w:val="20"/>
        </w:rPr>
        <w:t>Autocorrelation Function</w:t>
      </w:r>
      <w:r w:rsidR="00AF59D7" w:rsidRPr="009F5F59">
        <w:rPr>
          <w:rFonts w:ascii="Arial" w:eastAsiaTheme="minorEastAsia" w:hAnsi="Arial" w:cs="Arial"/>
          <w:sz w:val="20"/>
          <w:szCs w:val="20"/>
        </w:rPr>
        <w:t xml:space="preserve"> (ACF)</w:t>
      </w:r>
      <w:r w:rsidR="006932A5">
        <w:rPr>
          <w:rFonts w:ascii="Arial" w:hAnsi="Arial" w:cs="Arial"/>
          <w:sz w:val="20"/>
          <w:szCs w:val="20"/>
        </w:rPr>
        <w:t xml:space="preserve">. Only </w:t>
      </w:r>
      <w:r w:rsidR="00687C08">
        <w:rPr>
          <w:rFonts w:ascii="Arial" w:hAnsi="Arial" w:cs="Arial"/>
          <w:sz w:val="20"/>
          <w:szCs w:val="20"/>
        </w:rPr>
        <w:t xml:space="preserve">if </w:t>
      </w:r>
      <w:r w:rsidR="006932A5">
        <w:rPr>
          <w:rFonts w:ascii="Arial" w:hAnsi="Arial" w:cs="Arial"/>
          <w:sz w:val="20"/>
          <w:szCs w:val="20"/>
        </w:rPr>
        <w:t xml:space="preserve">the data </w:t>
      </w:r>
      <w:r w:rsidR="006932A5">
        <w:rPr>
          <w:rFonts w:ascii="Arial" w:hAnsi="Arial" w:cs="Arial"/>
          <w:sz w:val="20"/>
          <w:szCs w:val="20"/>
        </w:rPr>
        <w:t>pattern is known, the data c</w:t>
      </w:r>
      <w:r>
        <w:rPr>
          <w:rFonts w:ascii="Arial" w:hAnsi="Arial" w:cs="Arial"/>
          <w:sz w:val="20"/>
          <w:szCs w:val="20"/>
        </w:rPr>
        <w:t>an be transformed to be stationer</w:t>
      </w:r>
      <w:r w:rsidR="006932A5">
        <w:rPr>
          <w:rFonts w:ascii="Arial" w:hAnsi="Arial" w:cs="Arial"/>
          <w:sz w:val="20"/>
          <w:szCs w:val="20"/>
        </w:rPr>
        <w:t xml:space="preserve">. </w:t>
      </w:r>
    </w:p>
    <w:p w:rsidR="006A3532" w:rsidRDefault="006A3532" w:rsidP="00B7571D">
      <w:pPr>
        <w:spacing w:after="0" w:line="240" w:lineRule="auto"/>
        <w:ind w:left="0" w:hanging="2"/>
        <w:jc w:val="both"/>
        <w:rPr>
          <w:rFonts w:ascii="Arial" w:hAnsi="Arial" w:cs="Arial"/>
          <w:sz w:val="20"/>
          <w:szCs w:val="20"/>
        </w:rPr>
      </w:pPr>
      <w:r>
        <w:rPr>
          <w:rFonts w:ascii="Arial" w:hAnsi="Arial" w:cs="Arial"/>
          <w:sz w:val="20"/>
          <w:szCs w:val="20"/>
        </w:rPr>
        <w:t xml:space="preserve">For data that has </w:t>
      </w:r>
      <w:r w:rsidR="00687C08">
        <w:rPr>
          <w:rFonts w:ascii="Arial" w:hAnsi="Arial" w:cs="Arial"/>
          <w:sz w:val="20"/>
          <w:szCs w:val="20"/>
        </w:rPr>
        <w:t xml:space="preserve">a </w:t>
      </w:r>
      <w:r>
        <w:rPr>
          <w:rFonts w:ascii="Arial" w:hAnsi="Arial" w:cs="Arial"/>
          <w:sz w:val="20"/>
          <w:szCs w:val="20"/>
        </w:rPr>
        <w:t xml:space="preserve">trend pattern, </w:t>
      </w:r>
      <w:r w:rsidR="00C7540D">
        <w:rPr>
          <w:rFonts w:ascii="Arial" w:hAnsi="Arial" w:cs="Arial"/>
          <w:sz w:val="20"/>
          <w:szCs w:val="20"/>
        </w:rPr>
        <w:t xml:space="preserve">after the trend data </w:t>
      </w:r>
      <w:r w:rsidR="00C21EC3">
        <w:rPr>
          <w:rFonts w:ascii="Arial" w:hAnsi="Arial" w:cs="Arial"/>
          <w:sz w:val="20"/>
          <w:szCs w:val="20"/>
        </w:rPr>
        <w:t>i</w:t>
      </w:r>
      <w:r w:rsidR="00C7540D">
        <w:rPr>
          <w:rFonts w:ascii="Arial" w:hAnsi="Arial" w:cs="Arial"/>
          <w:sz w:val="20"/>
          <w:szCs w:val="20"/>
        </w:rPr>
        <w:t xml:space="preserve">s moved out from the data, the ARIMA model can be used to predict future sales. However, if the data has </w:t>
      </w:r>
      <w:r w:rsidR="00687C08">
        <w:rPr>
          <w:rFonts w:ascii="Arial" w:hAnsi="Arial" w:cs="Arial"/>
          <w:sz w:val="20"/>
          <w:szCs w:val="20"/>
        </w:rPr>
        <w:t xml:space="preserve">a </w:t>
      </w:r>
      <w:r w:rsidR="00C7540D">
        <w:rPr>
          <w:rFonts w:ascii="Arial" w:hAnsi="Arial" w:cs="Arial"/>
          <w:sz w:val="20"/>
          <w:szCs w:val="20"/>
        </w:rPr>
        <w:t>seasonal pattern, SARIMA should be used to predict future sales.</w:t>
      </w:r>
    </w:p>
    <w:p w:rsidR="009418DA" w:rsidRDefault="009418DA" w:rsidP="00B7571D">
      <w:pPr>
        <w:spacing w:after="0" w:line="240" w:lineRule="auto"/>
        <w:ind w:left="0" w:hanging="2"/>
        <w:jc w:val="both"/>
        <w:rPr>
          <w:rFonts w:ascii="Arial" w:hAnsi="Arial" w:cs="Arial"/>
          <w:sz w:val="20"/>
          <w:szCs w:val="20"/>
        </w:rPr>
      </w:pPr>
      <w:r>
        <w:rPr>
          <w:rFonts w:ascii="Arial" w:hAnsi="Arial" w:cs="Arial"/>
          <w:sz w:val="20"/>
          <w:szCs w:val="20"/>
        </w:rPr>
        <w:t>There are usually several possible ARIMA or SARIMA models; however, not all of these possible model</w:t>
      </w:r>
      <w:r w:rsidR="00687C08">
        <w:rPr>
          <w:rFonts w:ascii="Arial" w:hAnsi="Arial" w:cs="Arial"/>
          <w:sz w:val="20"/>
          <w:szCs w:val="20"/>
        </w:rPr>
        <w:t>s</w:t>
      </w:r>
      <w:r>
        <w:rPr>
          <w:rFonts w:ascii="Arial" w:hAnsi="Arial" w:cs="Arial"/>
          <w:sz w:val="20"/>
          <w:szCs w:val="20"/>
        </w:rPr>
        <w:t xml:space="preserve"> can be used to predict. To avoid bias, there are several ARIMA or SARIMA model assumptions should be fulfilled. The models that pass all assumptions, can be used to forecast future sales without bias.</w:t>
      </w:r>
      <w:r w:rsidR="0061424D">
        <w:rPr>
          <w:rFonts w:ascii="Arial" w:hAnsi="Arial" w:cs="Arial"/>
          <w:sz w:val="20"/>
          <w:szCs w:val="20"/>
        </w:rPr>
        <w:t xml:space="preserve"> </w:t>
      </w:r>
      <w:r w:rsidR="00F97D0E">
        <w:rPr>
          <w:rFonts w:ascii="Arial" w:hAnsi="Arial" w:cs="Arial"/>
          <w:sz w:val="20"/>
          <w:szCs w:val="20"/>
        </w:rPr>
        <w:t>The best ARIMA or SARIMA model is the one that has the smallest forecast error among the models that fulfill the assumptions.</w:t>
      </w:r>
    </w:p>
    <w:p w:rsidR="004B43D5" w:rsidRDefault="004B43D5" w:rsidP="00C30CCB">
      <w:pPr>
        <w:spacing w:after="0" w:line="240" w:lineRule="auto"/>
        <w:ind w:left="0" w:hanging="2"/>
        <w:jc w:val="both"/>
        <w:rPr>
          <w:rFonts w:ascii="Arial" w:hAnsi="Arial" w:cs="Arial"/>
          <w:sz w:val="20"/>
          <w:szCs w:val="20"/>
        </w:rPr>
      </w:pPr>
      <w:r>
        <w:rPr>
          <w:rFonts w:ascii="Arial" w:hAnsi="Arial" w:cs="Arial"/>
          <w:sz w:val="20"/>
          <w:szCs w:val="20"/>
        </w:rPr>
        <w:t>For non-stationary data,</w:t>
      </w:r>
      <w:r w:rsidR="0004562D">
        <w:rPr>
          <w:rFonts w:ascii="Arial" w:hAnsi="Arial" w:cs="Arial"/>
          <w:sz w:val="20"/>
          <w:szCs w:val="20"/>
        </w:rPr>
        <w:t xml:space="preserve"> after ACF analysis is performed to find out the seasonality pattern, the data</w:t>
      </w:r>
      <w:r>
        <w:rPr>
          <w:rFonts w:ascii="Arial" w:hAnsi="Arial" w:cs="Arial"/>
          <w:sz w:val="20"/>
          <w:szCs w:val="20"/>
        </w:rPr>
        <w:t xml:space="preserve"> can be forecast directly using </w:t>
      </w:r>
      <w:r w:rsidR="00687C08">
        <w:rPr>
          <w:rFonts w:ascii="Arial" w:hAnsi="Arial" w:cs="Arial"/>
          <w:sz w:val="20"/>
          <w:szCs w:val="20"/>
        </w:rPr>
        <w:t xml:space="preserve">an </w:t>
      </w:r>
      <w:r>
        <w:rPr>
          <w:rFonts w:ascii="Arial" w:hAnsi="Arial" w:cs="Arial"/>
          <w:sz w:val="20"/>
          <w:szCs w:val="20"/>
        </w:rPr>
        <w:t>additive or multiplicative model.</w:t>
      </w:r>
      <w:r w:rsidR="00D11933">
        <w:rPr>
          <w:rFonts w:ascii="Arial" w:hAnsi="Arial" w:cs="Arial"/>
          <w:sz w:val="20"/>
          <w:szCs w:val="20"/>
        </w:rPr>
        <w:t xml:space="preserve"> The pattern of the data, such as the trend and seasonality should be moved out from the data. </w:t>
      </w:r>
      <w:r w:rsidR="00C7540D">
        <w:rPr>
          <w:rFonts w:ascii="Arial" w:hAnsi="Arial" w:cs="Arial"/>
          <w:sz w:val="20"/>
          <w:szCs w:val="20"/>
        </w:rPr>
        <w:t>Later,</w:t>
      </w:r>
      <w:r w:rsidR="001A11B0">
        <w:rPr>
          <w:rFonts w:ascii="Arial" w:hAnsi="Arial" w:cs="Arial"/>
          <w:sz w:val="20"/>
          <w:szCs w:val="20"/>
        </w:rPr>
        <w:t xml:space="preserve"> the residual assumptions of additive and multiplicative </w:t>
      </w:r>
      <w:r w:rsidR="00687C08">
        <w:rPr>
          <w:rFonts w:ascii="Arial" w:hAnsi="Arial" w:cs="Arial"/>
          <w:sz w:val="20"/>
          <w:szCs w:val="20"/>
        </w:rPr>
        <w:t>are</w:t>
      </w:r>
      <w:r w:rsidR="001A11B0">
        <w:rPr>
          <w:rFonts w:ascii="Arial" w:hAnsi="Arial" w:cs="Arial"/>
          <w:sz w:val="20"/>
          <w:szCs w:val="20"/>
        </w:rPr>
        <w:t xml:space="preserve"> checked to choose the most suitable model among both of the models.</w:t>
      </w:r>
      <w:r w:rsidR="00D239BC">
        <w:rPr>
          <w:rFonts w:ascii="Arial" w:hAnsi="Arial" w:cs="Arial"/>
          <w:sz w:val="20"/>
          <w:szCs w:val="20"/>
        </w:rPr>
        <w:t xml:space="preserve"> After the model is chosen, </w:t>
      </w:r>
      <w:r w:rsidR="0019005E">
        <w:rPr>
          <w:rFonts w:ascii="Arial" w:hAnsi="Arial" w:cs="Arial"/>
          <w:sz w:val="20"/>
          <w:szCs w:val="20"/>
        </w:rPr>
        <w:t>a double</w:t>
      </w:r>
      <w:r w:rsidR="00687C08">
        <w:rPr>
          <w:rFonts w:ascii="Arial" w:hAnsi="Arial" w:cs="Arial"/>
          <w:sz w:val="20"/>
          <w:szCs w:val="20"/>
        </w:rPr>
        <w:t>-</w:t>
      </w:r>
      <w:r w:rsidR="0019005E">
        <w:rPr>
          <w:rFonts w:ascii="Arial" w:hAnsi="Arial" w:cs="Arial"/>
          <w:sz w:val="20"/>
          <w:szCs w:val="20"/>
        </w:rPr>
        <w:t>moving average model is used to predict the trend pattern in the data.</w:t>
      </w:r>
      <w:r w:rsidR="002F4900">
        <w:rPr>
          <w:rFonts w:ascii="Arial" w:hAnsi="Arial" w:cs="Arial"/>
          <w:sz w:val="20"/>
          <w:szCs w:val="20"/>
        </w:rPr>
        <w:t xml:space="preserve"> Thus, the forecast model is </w:t>
      </w:r>
      <w:r w:rsidR="00687C08">
        <w:rPr>
          <w:rFonts w:ascii="Arial" w:hAnsi="Arial" w:cs="Arial"/>
          <w:sz w:val="20"/>
          <w:szCs w:val="20"/>
        </w:rPr>
        <w:t>a</w:t>
      </w:r>
      <w:r w:rsidR="002F4900">
        <w:rPr>
          <w:rFonts w:ascii="Arial" w:hAnsi="Arial" w:cs="Arial"/>
          <w:sz w:val="20"/>
          <w:szCs w:val="20"/>
        </w:rPr>
        <w:t xml:space="preserve"> combination of decomposition and double moving average model. </w:t>
      </w:r>
      <w:r w:rsidR="0019005E">
        <w:rPr>
          <w:rFonts w:ascii="Arial" w:hAnsi="Arial" w:cs="Arial"/>
          <w:sz w:val="20"/>
          <w:szCs w:val="20"/>
        </w:rPr>
        <w:t xml:space="preserve">The period of double moving average is decided by </w:t>
      </w:r>
      <w:r w:rsidR="00F961A8">
        <w:rPr>
          <w:rFonts w:ascii="Arial" w:hAnsi="Arial" w:cs="Arial"/>
          <w:sz w:val="20"/>
          <w:szCs w:val="20"/>
        </w:rPr>
        <w:t>comparing the forecast error of several period</w:t>
      </w:r>
      <w:r w:rsidR="00687C08">
        <w:rPr>
          <w:rFonts w:ascii="Arial" w:hAnsi="Arial" w:cs="Arial"/>
          <w:sz w:val="20"/>
          <w:szCs w:val="20"/>
        </w:rPr>
        <w:t>s</w:t>
      </w:r>
      <w:r w:rsidR="00F961A8">
        <w:rPr>
          <w:rFonts w:ascii="Arial" w:hAnsi="Arial" w:cs="Arial"/>
          <w:sz w:val="20"/>
          <w:szCs w:val="20"/>
        </w:rPr>
        <w:t xml:space="preserve"> used in the forecast model.</w:t>
      </w:r>
      <w:r w:rsidR="003B61FE">
        <w:rPr>
          <w:rFonts w:ascii="Arial" w:hAnsi="Arial" w:cs="Arial"/>
          <w:sz w:val="20"/>
          <w:szCs w:val="20"/>
        </w:rPr>
        <w:t xml:space="preserve"> The model that has the smallest forecast error is chosen to represent decomposition with </w:t>
      </w:r>
      <w:r w:rsidR="00687C08">
        <w:rPr>
          <w:rFonts w:ascii="Arial" w:hAnsi="Arial" w:cs="Arial"/>
          <w:sz w:val="20"/>
          <w:szCs w:val="20"/>
        </w:rPr>
        <w:t xml:space="preserve">a </w:t>
      </w:r>
      <w:r w:rsidR="003B61FE">
        <w:rPr>
          <w:rFonts w:ascii="Arial" w:hAnsi="Arial" w:cs="Arial"/>
          <w:sz w:val="20"/>
          <w:szCs w:val="20"/>
        </w:rPr>
        <w:t>double</w:t>
      </w:r>
      <w:r w:rsidR="00687C08">
        <w:rPr>
          <w:rFonts w:ascii="Arial" w:hAnsi="Arial" w:cs="Arial"/>
          <w:sz w:val="20"/>
          <w:szCs w:val="20"/>
        </w:rPr>
        <w:t>-</w:t>
      </w:r>
      <w:r w:rsidR="003B61FE">
        <w:rPr>
          <w:rFonts w:ascii="Arial" w:hAnsi="Arial" w:cs="Arial"/>
          <w:sz w:val="20"/>
          <w:szCs w:val="20"/>
        </w:rPr>
        <w:t>moving average forecast model.</w:t>
      </w:r>
    </w:p>
    <w:p w:rsidR="00325B98" w:rsidRPr="00546F9D" w:rsidRDefault="001C02A3" w:rsidP="00546F9D">
      <w:pPr>
        <w:spacing w:after="0" w:line="240" w:lineRule="auto"/>
        <w:ind w:left="0" w:hanging="2"/>
        <w:jc w:val="both"/>
      </w:pPr>
      <w:r w:rsidRPr="001C02A3">
        <w:rPr>
          <w:rFonts w:ascii="Arial" w:hAnsi="Arial" w:cs="Arial"/>
          <w:sz w:val="20"/>
          <w:szCs w:val="20"/>
        </w:rPr>
        <w:t xml:space="preserve">To check the performance of the </w:t>
      </w:r>
      <w:r w:rsidR="004D426F">
        <w:rPr>
          <w:rFonts w:ascii="Arial" w:hAnsi="Arial" w:cs="Arial"/>
          <w:sz w:val="20"/>
          <w:szCs w:val="20"/>
        </w:rPr>
        <w:t xml:space="preserve">forecast model, this study </w:t>
      </w:r>
      <w:r w:rsidRPr="001C02A3">
        <w:rPr>
          <w:rFonts w:ascii="Arial" w:hAnsi="Arial" w:cs="Arial"/>
          <w:sz w:val="20"/>
          <w:szCs w:val="20"/>
        </w:rPr>
        <w:t>use</w:t>
      </w:r>
      <w:r w:rsidR="004D426F">
        <w:rPr>
          <w:rFonts w:ascii="Arial" w:hAnsi="Arial" w:cs="Arial"/>
          <w:sz w:val="20"/>
          <w:szCs w:val="20"/>
        </w:rPr>
        <w:t>s</w:t>
      </w:r>
      <w:r w:rsidRPr="001C02A3">
        <w:rPr>
          <w:rFonts w:ascii="Arial" w:hAnsi="Arial" w:cs="Arial"/>
          <w:sz w:val="20"/>
          <w:szCs w:val="20"/>
        </w:rPr>
        <w:t xml:space="preserve"> cross-</w:t>
      </w:r>
      <w:r w:rsidR="004177C8">
        <w:rPr>
          <w:rFonts w:ascii="Arial" w:hAnsi="Arial" w:cs="Arial"/>
          <w:sz w:val="20"/>
          <w:szCs w:val="20"/>
        </w:rPr>
        <w:t xml:space="preserve">validation </w:t>
      </w:r>
      <w:r w:rsidRPr="001C02A3">
        <w:rPr>
          <w:rFonts w:ascii="Arial" w:hAnsi="Arial" w:cs="Arial"/>
          <w:sz w:val="20"/>
          <w:szCs w:val="20"/>
        </w:rPr>
        <w:t xml:space="preserve">by splitting the </w:t>
      </w:r>
      <w:r w:rsidR="004177C8">
        <w:rPr>
          <w:rFonts w:ascii="Arial" w:hAnsi="Arial" w:cs="Arial"/>
          <w:sz w:val="20"/>
          <w:szCs w:val="20"/>
        </w:rPr>
        <w:t xml:space="preserve">observed </w:t>
      </w:r>
      <w:r w:rsidRPr="001C02A3">
        <w:rPr>
          <w:rFonts w:ascii="Arial" w:hAnsi="Arial" w:cs="Arial"/>
          <w:sz w:val="20"/>
          <w:szCs w:val="20"/>
        </w:rPr>
        <w:t>data into tw</w:t>
      </w:r>
      <w:r w:rsidR="004177C8">
        <w:rPr>
          <w:rFonts w:ascii="Arial" w:hAnsi="Arial" w:cs="Arial"/>
          <w:sz w:val="20"/>
          <w:szCs w:val="20"/>
        </w:rPr>
        <w:t>o group</w:t>
      </w:r>
      <w:r w:rsidRPr="001C02A3">
        <w:rPr>
          <w:rFonts w:ascii="Arial" w:hAnsi="Arial" w:cs="Arial"/>
          <w:sz w:val="20"/>
          <w:szCs w:val="20"/>
        </w:rPr>
        <w:t>s; those are training and testing data</w:t>
      </w:r>
      <w:r w:rsidR="004177C8">
        <w:rPr>
          <w:rFonts w:ascii="Arial" w:hAnsi="Arial" w:cs="Arial"/>
          <w:sz w:val="20"/>
          <w:szCs w:val="20"/>
        </w:rPr>
        <w:t xml:space="preserve"> sets</w:t>
      </w:r>
      <w:r w:rsidRPr="001C02A3">
        <w:rPr>
          <w:rFonts w:ascii="Arial" w:hAnsi="Arial" w:cs="Arial"/>
          <w:sz w:val="20"/>
          <w:szCs w:val="20"/>
        </w:rPr>
        <w:t xml:space="preserve">. The purpose of the </w:t>
      </w:r>
      <w:r w:rsidR="004177C8">
        <w:rPr>
          <w:rFonts w:ascii="Arial" w:hAnsi="Arial" w:cs="Arial"/>
          <w:sz w:val="20"/>
          <w:szCs w:val="20"/>
        </w:rPr>
        <w:t>training data set is to make</w:t>
      </w:r>
      <w:r w:rsidRPr="001C02A3">
        <w:rPr>
          <w:rFonts w:ascii="Arial" w:hAnsi="Arial" w:cs="Arial"/>
          <w:sz w:val="20"/>
          <w:szCs w:val="20"/>
        </w:rPr>
        <w:t xml:space="preserve"> the forecast model; while for testing data set is to see the performance of</w:t>
      </w:r>
      <w:r w:rsidR="00F82AA0">
        <w:rPr>
          <w:rFonts w:ascii="Arial" w:hAnsi="Arial" w:cs="Arial"/>
          <w:sz w:val="20"/>
          <w:szCs w:val="20"/>
        </w:rPr>
        <w:t xml:space="preserve"> that built model by </w:t>
      </w:r>
      <w:r w:rsidRPr="001C02A3">
        <w:rPr>
          <w:rFonts w:ascii="Arial" w:hAnsi="Arial" w:cs="Arial"/>
          <w:sz w:val="20"/>
          <w:szCs w:val="20"/>
        </w:rPr>
        <w:t xml:space="preserve">analyzing the forecast error.  Because ARIMA and SARIMA need a lot of data to build the </w:t>
      </w:r>
      <w:r w:rsidR="00291B9F">
        <w:rPr>
          <w:rFonts w:ascii="Arial" w:hAnsi="Arial" w:cs="Arial"/>
          <w:sz w:val="20"/>
          <w:szCs w:val="20"/>
        </w:rPr>
        <w:t>model, we</w:t>
      </w:r>
      <w:r w:rsidR="00BD45C7">
        <w:rPr>
          <w:rFonts w:ascii="Arial" w:hAnsi="Arial" w:cs="Arial"/>
          <w:sz w:val="20"/>
          <w:szCs w:val="20"/>
        </w:rPr>
        <w:t xml:space="preserve"> </w:t>
      </w:r>
      <w:r w:rsidR="00BD45C7" w:rsidRPr="001C02A3">
        <w:rPr>
          <w:rFonts w:ascii="Arial" w:hAnsi="Arial" w:cs="Arial"/>
          <w:sz w:val="20"/>
          <w:szCs w:val="20"/>
        </w:rPr>
        <w:t>only use the last 10 data, or around 14% of data, as the testing data set</w:t>
      </w:r>
      <w:r w:rsidR="00BD45C7">
        <w:t>.</w:t>
      </w:r>
    </w:p>
    <w:p w:rsidR="00F82AA0" w:rsidRDefault="00F82AA0" w:rsidP="00F82AA0">
      <w:pPr>
        <w:spacing w:after="0" w:line="240" w:lineRule="auto"/>
        <w:ind w:left="0" w:hanging="2"/>
        <w:jc w:val="both"/>
        <w:rPr>
          <w:rFonts w:ascii="Arial" w:hAnsi="Arial" w:cs="Arial"/>
          <w:sz w:val="20"/>
          <w:szCs w:val="20"/>
        </w:rPr>
      </w:pPr>
      <w:r w:rsidRPr="00AB6837">
        <w:rPr>
          <w:rFonts w:ascii="Arial" w:hAnsi="Arial" w:cs="Arial"/>
          <w:sz w:val="20"/>
          <w:szCs w:val="20"/>
        </w:rPr>
        <w:t>This study uses Mean Absolute Percentage Error (MAPE)</w:t>
      </w:r>
      <w:r>
        <w:rPr>
          <w:rFonts w:ascii="Arial" w:hAnsi="Arial" w:cs="Arial"/>
          <w:sz w:val="20"/>
          <w:szCs w:val="20"/>
        </w:rPr>
        <w:t xml:space="preserve"> to</w:t>
      </w:r>
      <w:r w:rsidR="00C9129F">
        <w:rPr>
          <w:rFonts w:ascii="Arial" w:hAnsi="Arial" w:cs="Arial"/>
          <w:sz w:val="20"/>
          <w:szCs w:val="20"/>
        </w:rPr>
        <w:t xml:space="preserve"> see the </w:t>
      </w:r>
      <w:r w:rsidRPr="00AB6837">
        <w:rPr>
          <w:rFonts w:ascii="Arial" w:hAnsi="Arial" w:cs="Arial"/>
          <w:sz w:val="20"/>
          <w:szCs w:val="20"/>
        </w:rPr>
        <w:t>forecast</w:t>
      </w:r>
      <w:r w:rsidR="00C9129F">
        <w:rPr>
          <w:rFonts w:ascii="Arial" w:hAnsi="Arial" w:cs="Arial"/>
          <w:sz w:val="20"/>
          <w:szCs w:val="20"/>
        </w:rPr>
        <w:t xml:space="preserve"> performance</w:t>
      </w:r>
      <w:r w:rsidRPr="00AB6837">
        <w:rPr>
          <w:rFonts w:ascii="Arial" w:hAnsi="Arial" w:cs="Arial"/>
          <w:sz w:val="20"/>
          <w:szCs w:val="20"/>
        </w:rPr>
        <w:t>.</w:t>
      </w:r>
      <w:r>
        <w:rPr>
          <w:rFonts w:ascii="Arial" w:hAnsi="Arial" w:cs="Arial"/>
          <w:sz w:val="20"/>
          <w:szCs w:val="20"/>
        </w:rPr>
        <w:t xml:space="preserve"> MAPE formula is:</w:t>
      </w:r>
    </w:p>
    <w:tbl>
      <w:tblPr>
        <w:tblStyle w:val="a1"/>
        <w:tblW w:w="4503" w:type="dxa"/>
        <w:tblInd w:w="-108" w:type="dxa"/>
        <w:tblLayout w:type="fixed"/>
        <w:tblLook w:val="0000" w:firstRow="0" w:lastRow="0" w:firstColumn="0" w:lastColumn="0" w:noHBand="0" w:noVBand="0"/>
      </w:tblPr>
      <w:tblGrid>
        <w:gridCol w:w="3369"/>
        <w:gridCol w:w="1134"/>
      </w:tblGrid>
      <w:tr w:rsidR="00F82AA0" w:rsidTr="00BC0E4D">
        <w:tc>
          <w:tcPr>
            <w:tcW w:w="3369" w:type="dxa"/>
          </w:tcPr>
          <w:p w:rsidR="00F82AA0" w:rsidRPr="008410E4" w:rsidRDefault="00F82AA0" w:rsidP="00BC0E4D">
            <w:pPr>
              <w:pBdr>
                <w:top w:val="nil"/>
                <w:left w:val="nil"/>
                <w:bottom w:val="nil"/>
                <w:right w:val="nil"/>
                <w:between w:val="nil"/>
              </w:pBdr>
              <w:spacing w:before="120" w:after="120" w:line="240" w:lineRule="auto"/>
              <w:ind w:left="0" w:hanging="2"/>
              <w:jc w:val="both"/>
              <w:rPr>
                <w:rFonts w:ascii="Arial" w:eastAsia="Arial" w:hAnsi="Arial" w:cs="Arial"/>
                <w:color w:val="000000"/>
                <w:sz w:val="20"/>
                <w:szCs w:val="20"/>
              </w:rPr>
            </w:pPr>
            <m:oMathPara>
              <m:oMath>
                <m:r>
                  <w:rPr>
                    <w:rFonts w:ascii="Cambria Math" w:hAnsi="Cambria Math" w:cs="Arial"/>
                    <w:sz w:val="20"/>
                    <w:szCs w:val="20"/>
                  </w:rPr>
                  <m:t>MAPE=100x</m:t>
                </m:r>
                <m:f>
                  <m:fPr>
                    <m:ctrlPr>
                      <w:rPr>
                        <w:rFonts w:ascii="Cambria Math" w:hAnsi="Cambria Math" w:cs="Arial"/>
                        <w:i/>
                        <w:sz w:val="20"/>
                        <w:szCs w:val="20"/>
                      </w:rPr>
                    </m:ctrlPr>
                  </m:fPr>
                  <m:num>
                    <m:r>
                      <w:rPr>
                        <w:rFonts w:ascii="Cambria Math" w:hAnsi="Cambria Math" w:cs="Arial"/>
                        <w:sz w:val="20"/>
                        <w:szCs w:val="20"/>
                      </w:rPr>
                      <m:t>1</m:t>
                    </m:r>
                  </m:num>
                  <m:den>
                    <m:r>
                      <w:rPr>
                        <w:rFonts w:ascii="Cambria Math" w:hAnsi="Cambria Math" w:cs="Arial"/>
                        <w:sz w:val="20"/>
                        <w:szCs w:val="20"/>
                      </w:rPr>
                      <m:t>n</m:t>
                    </m:r>
                  </m:den>
                </m:f>
                <m:nary>
                  <m:naryPr>
                    <m:chr m:val="∑"/>
                    <m:limLoc m:val="undOvr"/>
                    <m:ctrlPr>
                      <w:rPr>
                        <w:rFonts w:ascii="Cambria Math" w:hAnsi="Cambria Math" w:cs="Arial"/>
                        <w:i/>
                        <w:sz w:val="20"/>
                        <w:szCs w:val="20"/>
                      </w:rPr>
                    </m:ctrlPr>
                  </m:naryPr>
                  <m:sub>
                    <m:r>
                      <w:rPr>
                        <w:rFonts w:ascii="Cambria Math" w:hAnsi="Cambria Math" w:cs="Arial"/>
                        <w:sz w:val="20"/>
                        <w:szCs w:val="20"/>
                      </w:rPr>
                      <m:t>t=1</m:t>
                    </m:r>
                  </m:sub>
                  <m:sup>
                    <m:r>
                      <w:rPr>
                        <w:rFonts w:ascii="Cambria Math" w:hAnsi="Cambria Math" w:cs="Arial"/>
                        <w:sz w:val="20"/>
                        <w:szCs w:val="20"/>
                      </w:rPr>
                      <m:t>n</m:t>
                    </m:r>
                  </m:sup>
                  <m:e>
                    <m:d>
                      <m:dPr>
                        <m:begChr m:val="|"/>
                        <m:endChr m:val="|"/>
                        <m:ctrlPr>
                          <w:rPr>
                            <w:rFonts w:ascii="Cambria Math" w:hAnsi="Cambria Math" w:cs="Arial"/>
                            <w:i/>
                            <w:sz w:val="20"/>
                            <w:szCs w:val="20"/>
                          </w:rPr>
                        </m:ctrlPr>
                      </m:dPr>
                      <m:e>
                        <m:f>
                          <m:fPr>
                            <m:ctrlPr>
                              <w:rPr>
                                <w:rFonts w:ascii="Cambria Math" w:hAnsi="Cambria Math" w:cs="Arial"/>
                                <w:i/>
                                <w:sz w:val="20"/>
                                <w:szCs w:val="20"/>
                              </w:rPr>
                            </m:ctrlPr>
                          </m:fPr>
                          <m:num>
                            <m:sSub>
                              <m:sSubPr>
                                <m:ctrlPr>
                                  <w:rPr>
                                    <w:rFonts w:ascii="Cambria Math" w:hAnsi="Cambria Math" w:cs="Arial"/>
                                    <w:i/>
                                    <w:sz w:val="20"/>
                                    <w:szCs w:val="20"/>
                                  </w:rPr>
                                </m:ctrlPr>
                              </m:sSubPr>
                              <m:e>
                                <m:r>
                                  <w:rPr>
                                    <w:rFonts w:ascii="Cambria Math" w:hAnsi="Cambria Math" w:cs="Arial"/>
                                    <w:sz w:val="20"/>
                                    <w:szCs w:val="20"/>
                                  </w:rPr>
                                  <m:t>A</m:t>
                                </m:r>
                              </m:e>
                              <m:sub>
                                <m:r>
                                  <w:rPr>
                                    <w:rFonts w:ascii="Cambria Math" w:hAnsi="Cambria Math" w:cs="Arial"/>
                                    <w:sz w:val="20"/>
                                    <w:szCs w:val="20"/>
                                  </w:rPr>
                                  <m:t>t</m:t>
                                </m:r>
                              </m:sub>
                            </m:sSub>
                            <m:r>
                              <w:rPr>
                                <w:rFonts w:ascii="Cambria Math" w:hAnsi="Cambria Math" w:cs="Arial"/>
                                <w:sz w:val="20"/>
                                <w:szCs w:val="20"/>
                              </w:rPr>
                              <m:t>-</m:t>
                            </m:r>
                            <m:sSub>
                              <m:sSubPr>
                                <m:ctrlPr>
                                  <w:rPr>
                                    <w:rFonts w:ascii="Cambria Math" w:hAnsi="Cambria Math" w:cs="Arial"/>
                                    <w:i/>
                                    <w:sz w:val="20"/>
                                    <w:szCs w:val="20"/>
                                  </w:rPr>
                                </m:ctrlPr>
                              </m:sSubPr>
                              <m:e>
                                <m:r>
                                  <w:rPr>
                                    <w:rFonts w:ascii="Cambria Math" w:hAnsi="Cambria Math" w:cs="Arial"/>
                                    <w:sz w:val="20"/>
                                    <w:szCs w:val="20"/>
                                  </w:rPr>
                                  <m:t>F</m:t>
                                </m:r>
                              </m:e>
                              <m:sub>
                                <m:r>
                                  <w:rPr>
                                    <w:rFonts w:ascii="Cambria Math" w:hAnsi="Cambria Math" w:cs="Arial"/>
                                    <w:sz w:val="20"/>
                                    <w:szCs w:val="20"/>
                                  </w:rPr>
                                  <m:t>t</m:t>
                                </m:r>
                              </m:sub>
                            </m:sSub>
                          </m:num>
                          <m:den>
                            <m:sSub>
                              <m:sSubPr>
                                <m:ctrlPr>
                                  <w:rPr>
                                    <w:rFonts w:ascii="Cambria Math" w:hAnsi="Cambria Math" w:cs="Arial"/>
                                    <w:i/>
                                    <w:sz w:val="20"/>
                                    <w:szCs w:val="20"/>
                                  </w:rPr>
                                </m:ctrlPr>
                              </m:sSubPr>
                              <m:e>
                                <m:r>
                                  <w:rPr>
                                    <w:rFonts w:ascii="Cambria Math" w:hAnsi="Cambria Math" w:cs="Arial"/>
                                    <w:sz w:val="20"/>
                                    <w:szCs w:val="20"/>
                                  </w:rPr>
                                  <m:t>A</m:t>
                                </m:r>
                              </m:e>
                              <m:sub>
                                <m:r>
                                  <w:rPr>
                                    <w:rFonts w:ascii="Cambria Math" w:hAnsi="Cambria Math" w:cs="Arial"/>
                                    <w:sz w:val="20"/>
                                    <w:szCs w:val="20"/>
                                  </w:rPr>
                                  <m:t>t</m:t>
                                </m:r>
                              </m:sub>
                            </m:sSub>
                          </m:den>
                        </m:f>
                      </m:e>
                    </m:d>
                  </m:e>
                </m:nary>
              </m:oMath>
            </m:oMathPara>
          </w:p>
        </w:tc>
        <w:tc>
          <w:tcPr>
            <w:tcW w:w="1134" w:type="dxa"/>
            <w:vAlign w:val="center"/>
          </w:tcPr>
          <w:p w:rsidR="00F82AA0" w:rsidRDefault="00F82AA0" w:rsidP="00BC0E4D">
            <w:pPr>
              <w:pBdr>
                <w:top w:val="nil"/>
                <w:left w:val="nil"/>
                <w:bottom w:val="nil"/>
                <w:right w:val="nil"/>
                <w:between w:val="nil"/>
              </w:pBdr>
              <w:spacing w:before="120" w:after="120" w:line="240" w:lineRule="auto"/>
              <w:ind w:left="0" w:hanging="2"/>
              <w:jc w:val="right"/>
              <w:rPr>
                <w:rFonts w:ascii="Arial" w:eastAsia="Arial" w:hAnsi="Arial" w:cs="Arial"/>
                <w:color w:val="000000"/>
                <w:sz w:val="20"/>
                <w:szCs w:val="20"/>
              </w:rPr>
            </w:pPr>
            <w:r>
              <w:rPr>
                <w:rFonts w:ascii="Arial" w:eastAsia="Arial" w:hAnsi="Arial" w:cs="Arial"/>
                <w:color w:val="000000"/>
                <w:sz w:val="20"/>
                <w:szCs w:val="20"/>
              </w:rPr>
              <w:t>(1)</w:t>
            </w:r>
          </w:p>
        </w:tc>
      </w:tr>
    </w:tbl>
    <w:p w:rsidR="00F82AA0" w:rsidRDefault="007E550B" w:rsidP="00706998">
      <w:pPr>
        <w:spacing w:after="0" w:line="240" w:lineRule="auto"/>
        <w:ind w:leftChars="0" w:left="0" w:firstLineChars="0" w:firstLine="0"/>
        <w:jc w:val="both"/>
        <w:rPr>
          <w:rFonts w:ascii="Arial" w:hAnsi="Arial" w:cs="Arial"/>
          <w:sz w:val="20"/>
          <w:szCs w:val="20"/>
        </w:rPr>
        <w:sectPr w:rsidR="00F82AA0" w:rsidSect="00706998">
          <w:type w:val="continuous"/>
          <w:pgSz w:w="11907" w:h="16840"/>
          <w:pgMar w:top="1701" w:right="1134" w:bottom="1701" w:left="1701" w:header="680" w:footer="680" w:gutter="0"/>
          <w:cols w:num="2" w:space="284"/>
          <w:titlePg/>
        </w:sectPr>
      </w:pPr>
      <w:r w:rsidRPr="00AB6837">
        <w:rPr>
          <w:rFonts w:ascii="Arial" w:hAnsi="Arial" w:cs="Arial"/>
          <w:sz w:val="20"/>
          <w:szCs w:val="20"/>
        </w:rPr>
        <w:t xml:space="preserve">With n is number of data, </w:t>
      </w:r>
      <m:oMath>
        <m:sSub>
          <m:sSubPr>
            <m:ctrlPr>
              <w:rPr>
                <w:rFonts w:ascii="Cambria Math" w:hAnsi="Cambria Math" w:cs="Arial"/>
                <w:i/>
                <w:sz w:val="20"/>
                <w:szCs w:val="20"/>
              </w:rPr>
            </m:ctrlPr>
          </m:sSubPr>
          <m:e>
            <m:r>
              <w:rPr>
                <w:rFonts w:ascii="Cambria Math" w:hAnsi="Cambria Math" w:cs="Arial"/>
                <w:sz w:val="20"/>
                <w:szCs w:val="20"/>
              </w:rPr>
              <m:t>A</m:t>
            </m:r>
          </m:e>
          <m:sub>
            <m:r>
              <w:rPr>
                <w:rFonts w:ascii="Cambria Math" w:hAnsi="Cambria Math" w:cs="Arial"/>
                <w:sz w:val="20"/>
                <w:szCs w:val="20"/>
              </w:rPr>
              <m:t>t</m:t>
            </m:r>
          </m:sub>
        </m:sSub>
      </m:oMath>
      <w:r w:rsidRPr="00AB6837">
        <w:rPr>
          <w:rFonts w:ascii="Arial" w:eastAsiaTheme="minorEastAsia" w:hAnsi="Arial" w:cs="Arial"/>
          <w:sz w:val="20"/>
          <w:szCs w:val="20"/>
        </w:rPr>
        <w:t xml:space="preserve"> is the actual </w:t>
      </w:r>
      <w:r>
        <w:rPr>
          <w:rFonts w:ascii="Arial" w:eastAsiaTheme="minorEastAsia" w:hAnsi="Arial" w:cs="Arial"/>
          <w:sz w:val="20"/>
          <w:szCs w:val="20"/>
        </w:rPr>
        <w:t>or observed data of</w:t>
      </w:r>
      <w:r w:rsidRPr="00AB6837">
        <w:rPr>
          <w:rFonts w:ascii="Arial" w:eastAsiaTheme="minorEastAsia" w:hAnsi="Arial" w:cs="Arial"/>
          <w:sz w:val="20"/>
          <w:szCs w:val="20"/>
        </w:rPr>
        <w:t xml:space="preserve"> period t, and </w:t>
      </w:r>
      <m:oMath>
        <m:sSub>
          <m:sSubPr>
            <m:ctrlPr>
              <w:rPr>
                <w:rFonts w:ascii="Cambria Math" w:hAnsi="Cambria Math" w:cs="Arial"/>
                <w:i/>
                <w:sz w:val="20"/>
                <w:szCs w:val="20"/>
              </w:rPr>
            </m:ctrlPr>
          </m:sSubPr>
          <m:e>
            <m:r>
              <w:rPr>
                <w:rFonts w:ascii="Cambria Math" w:hAnsi="Cambria Math" w:cs="Arial"/>
                <w:sz w:val="20"/>
                <w:szCs w:val="20"/>
              </w:rPr>
              <m:t>F</m:t>
            </m:r>
          </m:e>
          <m:sub>
            <m:r>
              <w:rPr>
                <w:rFonts w:ascii="Cambria Math" w:hAnsi="Cambria Math" w:cs="Arial"/>
                <w:sz w:val="20"/>
                <w:szCs w:val="20"/>
              </w:rPr>
              <m:t>t</m:t>
            </m:r>
          </m:sub>
        </m:sSub>
      </m:oMath>
      <w:r w:rsidRPr="00AB6837">
        <w:rPr>
          <w:rFonts w:ascii="Arial" w:eastAsiaTheme="minorEastAsia" w:hAnsi="Arial" w:cs="Arial"/>
          <w:sz w:val="20"/>
          <w:szCs w:val="20"/>
        </w:rPr>
        <w:t xml:space="preserve"> is the forecast value of period t</w:t>
      </w:r>
      <w:r>
        <w:rPr>
          <w:rFonts w:ascii="Arial" w:hAnsi="Arial" w:cs="Arial"/>
          <w:sz w:val="20"/>
          <w:szCs w:val="20"/>
        </w:rPr>
        <w:t xml:space="preserve">. </w:t>
      </w:r>
    </w:p>
    <w:p w:rsidR="00C324F1" w:rsidRDefault="00C324F1" w:rsidP="00706998">
      <w:pPr>
        <w:spacing w:after="0" w:line="240" w:lineRule="auto"/>
        <w:ind w:leftChars="0" w:left="0" w:firstLineChars="0" w:firstLine="0"/>
        <w:jc w:val="both"/>
        <w:rPr>
          <w:rFonts w:ascii="Arial" w:hAnsi="Arial" w:cs="Arial"/>
          <w:sz w:val="20"/>
          <w:szCs w:val="20"/>
        </w:rPr>
      </w:pPr>
    </w:p>
    <w:p w:rsidR="00706998" w:rsidRDefault="00706998" w:rsidP="009C7E97">
      <w:pPr>
        <w:spacing w:after="0" w:line="240" w:lineRule="auto"/>
        <w:ind w:leftChars="0" w:left="0" w:firstLineChars="0" w:firstLine="0"/>
        <w:jc w:val="center"/>
        <w:rPr>
          <w:rFonts w:ascii="Arial" w:hAnsi="Arial" w:cs="Arial"/>
          <w:color w:val="00B050"/>
          <w:sz w:val="20"/>
          <w:szCs w:val="20"/>
        </w:rPr>
        <w:sectPr w:rsidR="00706998" w:rsidSect="00706998">
          <w:type w:val="continuous"/>
          <w:pgSz w:w="11907" w:h="16840"/>
          <w:pgMar w:top="1701" w:right="1134" w:bottom="1701" w:left="1701" w:header="680" w:footer="680" w:gutter="0"/>
          <w:cols w:space="284"/>
          <w:titlePg/>
        </w:sectPr>
      </w:pPr>
      <w:r>
        <w:rPr>
          <w:noProof/>
          <w:lang w:val="en-ID" w:eastAsia="en-ID"/>
        </w:rPr>
        <w:lastRenderedPageBreak/>
        <w:drawing>
          <wp:inline distT="0" distB="0" distL="0" distR="0" wp14:anchorId="79948490" wp14:editId="51AE7781">
            <wp:extent cx="5722092" cy="49022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725397" cy="4905031"/>
                    </a:xfrm>
                    <a:prstGeom prst="rect">
                      <a:avLst/>
                    </a:prstGeom>
                    <a:noFill/>
                  </pic:spPr>
                </pic:pic>
              </a:graphicData>
            </a:graphic>
          </wp:inline>
        </w:drawing>
      </w:r>
    </w:p>
    <w:p w:rsidR="0061167A" w:rsidRDefault="0061167A" w:rsidP="00706998">
      <w:pPr>
        <w:spacing w:after="0" w:line="240" w:lineRule="auto"/>
        <w:ind w:leftChars="0" w:left="0" w:firstLineChars="0" w:firstLine="0"/>
        <w:jc w:val="center"/>
        <w:rPr>
          <w:rFonts w:ascii="Arial" w:hAnsi="Arial" w:cs="Arial"/>
          <w:sz w:val="20"/>
          <w:szCs w:val="20"/>
        </w:rPr>
      </w:pPr>
    </w:p>
    <w:p w:rsidR="00706998" w:rsidRDefault="00E642B9" w:rsidP="00706998">
      <w:pPr>
        <w:spacing w:after="0" w:line="240" w:lineRule="auto"/>
        <w:ind w:leftChars="0" w:left="0" w:firstLineChars="0" w:firstLine="0"/>
        <w:jc w:val="center"/>
        <w:rPr>
          <w:rFonts w:ascii="Arial" w:hAnsi="Arial" w:cs="Arial"/>
          <w:sz w:val="20"/>
          <w:szCs w:val="20"/>
        </w:rPr>
      </w:pPr>
      <w:r>
        <w:rPr>
          <w:rFonts w:ascii="Arial" w:hAnsi="Arial" w:cs="Arial"/>
          <w:sz w:val="20"/>
          <w:szCs w:val="20"/>
        </w:rPr>
        <w:t>F</w:t>
      </w:r>
      <w:r w:rsidR="005F4F79" w:rsidRPr="005F4F79">
        <w:rPr>
          <w:rFonts w:ascii="Arial" w:hAnsi="Arial" w:cs="Arial"/>
          <w:sz w:val="20"/>
          <w:szCs w:val="20"/>
        </w:rPr>
        <w:t>igure</w:t>
      </w:r>
      <w:r w:rsidR="00706998" w:rsidRPr="005F4F79">
        <w:rPr>
          <w:rFonts w:ascii="Arial" w:hAnsi="Arial" w:cs="Arial"/>
          <w:sz w:val="20"/>
          <w:szCs w:val="20"/>
        </w:rPr>
        <w:t xml:space="preserve"> 1. Research De</w:t>
      </w:r>
      <w:r w:rsidR="00A57179" w:rsidRPr="005F4F79">
        <w:rPr>
          <w:rFonts w:ascii="Arial" w:hAnsi="Arial" w:cs="Arial"/>
          <w:sz w:val="20"/>
          <w:szCs w:val="20"/>
        </w:rPr>
        <w:t>sig</w:t>
      </w:r>
      <w:r w:rsidR="005F4F79">
        <w:rPr>
          <w:rFonts w:ascii="Arial" w:hAnsi="Arial" w:cs="Arial"/>
          <w:sz w:val="20"/>
          <w:szCs w:val="20"/>
        </w:rPr>
        <w:t>n</w:t>
      </w:r>
    </w:p>
    <w:p w:rsidR="00BD45C7" w:rsidRDefault="00BD45C7" w:rsidP="00706998">
      <w:pPr>
        <w:spacing w:after="0" w:line="240" w:lineRule="auto"/>
        <w:ind w:leftChars="0" w:left="0" w:firstLineChars="0" w:firstLine="0"/>
        <w:jc w:val="center"/>
        <w:rPr>
          <w:rFonts w:ascii="Arial" w:hAnsi="Arial" w:cs="Arial"/>
          <w:sz w:val="20"/>
          <w:szCs w:val="20"/>
        </w:rPr>
      </w:pPr>
    </w:p>
    <w:p w:rsidR="00BD45C7" w:rsidRPr="005F4F79" w:rsidRDefault="00BD45C7" w:rsidP="00706998">
      <w:pPr>
        <w:spacing w:after="0" w:line="240" w:lineRule="auto"/>
        <w:ind w:leftChars="0" w:left="0" w:firstLineChars="0" w:firstLine="0"/>
        <w:jc w:val="center"/>
        <w:rPr>
          <w:rFonts w:ascii="Arial" w:hAnsi="Arial" w:cs="Arial"/>
          <w:sz w:val="20"/>
          <w:szCs w:val="20"/>
        </w:rPr>
        <w:sectPr w:rsidR="00BD45C7" w:rsidRPr="005F4F79" w:rsidSect="00706998">
          <w:type w:val="continuous"/>
          <w:pgSz w:w="11907" w:h="16840"/>
          <w:pgMar w:top="1701" w:right="1134" w:bottom="1701" w:left="1701" w:header="680" w:footer="680" w:gutter="0"/>
          <w:cols w:space="284"/>
          <w:titlePg/>
        </w:sectPr>
      </w:pPr>
    </w:p>
    <w:p w:rsidR="00BC7E6E" w:rsidRDefault="00245E70" w:rsidP="005F4F79">
      <w:pPr>
        <w:spacing w:after="0" w:line="240" w:lineRule="auto"/>
        <w:ind w:leftChars="0" w:left="0" w:firstLineChars="0" w:firstLine="0"/>
        <w:jc w:val="both"/>
        <w:rPr>
          <w:rFonts w:ascii="Arial" w:eastAsia="Arial" w:hAnsi="Arial" w:cs="Arial"/>
          <w:color w:val="1F4E79"/>
          <w:sz w:val="20"/>
          <w:szCs w:val="20"/>
        </w:rPr>
      </w:pPr>
      <w:r>
        <w:rPr>
          <w:rFonts w:ascii="Arial" w:eastAsia="Arial" w:hAnsi="Arial" w:cs="Arial"/>
          <w:b/>
          <w:color w:val="1F4E79"/>
          <w:sz w:val="20"/>
          <w:szCs w:val="20"/>
        </w:rPr>
        <w:t>ARIMA or SARIMA Forecast Model</w:t>
      </w:r>
    </w:p>
    <w:p w:rsidR="009F5F59" w:rsidRPr="009F5F59" w:rsidRDefault="009F5F59" w:rsidP="009F5F59">
      <w:pPr>
        <w:spacing w:after="0" w:line="240" w:lineRule="auto"/>
        <w:ind w:left="0" w:hanging="2"/>
        <w:jc w:val="both"/>
        <w:rPr>
          <w:rFonts w:ascii="Arial" w:hAnsi="Arial" w:cs="Arial"/>
          <w:sz w:val="20"/>
          <w:szCs w:val="20"/>
        </w:rPr>
      </w:pPr>
      <w:r w:rsidRPr="009F5F59">
        <w:rPr>
          <w:rFonts w:ascii="Arial" w:hAnsi="Arial" w:cs="Arial"/>
          <w:sz w:val="20"/>
          <w:szCs w:val="20"/>
        </w:rPr>
        <w:t>SARIMA (p,</w:t>
      </w:r>
      <w:r w:rsidR="00463ED6">
        <w:rPr>
          <w:rFonts w:ascii="Arial" w:hAnsi="Arial" w:cs="Arial"/>
          <w:sz w:val="20"/>
          <w:szCs w:val="20"/>
        </w:rPr>
        <w:t xml:space="preserve"> </w:t>
      </w:r>
      <w:r w:rsidRPr="009F5F59">
        <w:rPr>
          <w:rFonts w:ascii="Arial" w:hAnsi="Arial" w:cs="Arial"/>
          <w:sz w:val="20"/>
          <w:szCs w:val="20"/>
        </w:rPr>
        <w:t>d,</w:t>
      </w:r>
      <w:r w:rsidR="00463ED6">
        <w:rPr>
          <w:rFonts w:ascii="Arial" w:hAnsi="Arial" w:cs="Arial"/>
          <w:sz w:val="20"/>
          <w:szCs w:val="20"/>
        </w:rPr>
        <w:t xml:space="preserve"> </w:t>
      </w:r>
      <w:r w:rsidRPr="009F5F59">
        <w:rPr>
          <w:rFonts w:ascii="Arial" w:hAnsi="Arial" w:cs="Arial"/>
          <w:sz w:val="20"/>
          <w:szCs w:val="20"/>
        </w:rPr>
        <w:t>q</w:t>
      </w:r>
      <w:proofErr w:type="gramStart"/>
      <w:r w:rsidRPr="009F5F59">
        <w:rPr>
          <w:rFonts w:ascii="Arial" w:hAnsi="Arial" w:cs="Arial"/>
          <w:sz w:val="20"/>
          <w:szCs w:val="20"/>
        </w:rPr>
        <w:t>)(</w:t>
      </w:r>
      <w:proofErr w:type="gramEnd"/>
      <w:r w:rsidRPr="009F5F59">
        <w:rPr>
          <w:rFonts w:ascii="Arial" w:hAnsi="Arial" w:cs="Arial"/>
          <w:sz w:val="20"/>
          <w:szCs w:val="20"/>
        </w:rPr>
        <w:t>P, D, Q)s model is the seasonal adjustment of the ARIMA (</w:t>
      </w:r>
      <w:proofErr w:type="spellStart"/>
      <w:r w:rsidRPr="009F5F59">
        <w:rPr>
          <w:rFonts w:ascii="Arial" w:hAnsi="Arial" w:cs="Arial"/>
          <w:sz w:val="20"/>
          <w:szCs w:val="20"/>
        </w:rPr>
        <w:t>p,d,q</w:t>
      </w:r>
      <w:proofErr w:type="spellEnd"/>
      <w:r w:rsidRPr="009F5F59">
        <w:rPr>
          <w:rFonts w:ascii="Arial" w:hAnsi="Arial" w:cs="Arial"/>
          <w:sz w:val="20"/>
          <w:szCs w:val="20"/>
        </w:rPr>
        <w:t>) model. The (p,</w:t>
      </w:r>
      <w:r w:rsidR="00463ED6">
        <w:rPr>
          <w:rFonts w:ascii="Arial" w:hAnsi="Arial" w:cs="Arial"/>
          <w:sz w:val="20"/>
          <w:szCs w:val="20"/>
        </w:rPr>
        <w:t xml:space="preserve"> </w:t>
      </w:r>
      <w:r w:rsidRPr="009F5F59">
        <w:rPr>
          <w:rFonts w:ascii="Arial" w:hAnsi="Arial" w:cs="Arial"/>
          <w:sz w:val="20"/>
          <w:szCs w:val="20"/>
        </w:rPr>
        <w:t>d,</w:t>
      </w:r>
      <w:r w:rsidR="00463ED6">
        <w:rPr>
          <w:rFonts w:ascii="Arial" w:hAnsi="Arial" w:cs="Arial"/>
          <w:sz w:val="20"/>
          <w:szCs w:val="20"/>
        </w:rPr>
        <w:t xml:space="preserve"> </w:t>
      </w:r>
      <w:r w:rsidRPr="009F5F59">
        <w:rPr>
          <w:rFonts w:ascii="Arial" w:hAnsi="Arial" w:cs="Arial"/>
          <w:sz w:val="20"/>
          <w:szCs w:val="20"/>
        </w:rPr>
        <w:t>q) in SARIMA correspond with ARIMA (p,</w:t>
      </w:r>
      <w:r w:rsidR="00463ED6">
        <w:rPr>
          <w:rFonts w:ascii="Arial" w:hAnsi="Arial" w:cs="Arial"/>
          <w:sz w:val="20"/>
          <w:szCs w:val="20"/>
        </w:rPr>
        <w:t xml:space="preserve"> </w:t>
      </w:r>
      <w:r w:rsidRPr="009F5F59">
        <w:rPr>
          <w:rFonts w:ascii="Arial" w:hAnsi="Arial" w:cs="Arial"/>
          <w:sz w:val="20"/>
          <w:szCs w:val="20"/>
        </w:rPr>
        <w:t>d,</w:t>
      </w:r>
      <w:r w:rsidR="00463ED6">
        <w:rPr>
          <w:rFonts w:ascii="Arial" w:hAnsi="Arial" w:cs="Arial"/>
          <w:sz w:val="20"/>
          <w:szCs w:val="20"/>
        </w:rPr>
        <w:t xml:space="preserve"> </w:t>
      </w:r>
      <w:r w:rsidR="00687C08">
        <w:rPr>
          <w:rFonts w:ascii="Arial" w:hAnsi="Arial" w:cs="Arial"/>
          <w:sz w:val="20"/>
          <w:szCs w:val="20"/>
        </w:rPr>
        <w:t>q) with p as the order</w:t>
      </w:r>
      <w:r w:rsidRPr="009F5F59">
        <w:rPr>
          <w:rFonts w:ascii="Arial" w:hAnsi="Arial" w:cs="Arial"/>
          <w:sz w:val="20"/>
          <w:szCs w:val="20"/>
        </w:rPr>
        <w:t xml:space="preserve"> of autoregressive (AR), d as the order of differencing (I) to take the trend out of the data </w:t>
      </w:r>
      <w:r w:rsidR="00D42462">
        <w:rPr>
          <w:rFonts w:ascii="Arial" w:hAnsi="Arial" w:cs="Arial"/>
          <w:sz w:val="20"/>
          <w:szCs w:val="20"/>
        </w:rPr>
        <w:t>for achieving</w:t>
      </w:r>
      <w:r w:rsidRPr="009F5F59">
        <w:rPr>
          <w:rFonts w:ascii="Arial" w:hAnsi="Arial" w:cs="Arial"/>
          <w:sz w:val="20"/>
          <w:szCs w:val="20"/>
        </w:rPr>
        <w:t xml:space="preserve"> stationary data, and q is the order of moving average (MA). </w:t>
      </w:r>
      <w:r w:rsidR="00687C08">
        <w:rPr>
          <w:rFonts w:ascii="Arial" w:hAnsi="Arial" w:cs="Arial"/>
          <w:sz w:val="20"/>
          <w:szCs w:val="20"/>
        </w:rPr>
        <w:t>T</w:t>
      </w:r>
      <w:r w:rsidRPr="009F5F59">
        <w:rPr>
          <w:rFonts w:ascii="Arial" w:hAnsi="Arial" w:cs="Arial"/>
          <w:sz w:val="20"/>
          <w:szCs w:val="20"/>
        </w:rPr>
        <w:t>he (P, D, Q</w:t>
      </w:r>
      <w:proofErr w:type="gramStart"/>
      <w:r w:rsidRPr="009F5F59">
        <w:rPr>
          <w:rFonts w:ascii="Arial" w:hAnsi="Arial" w:cs="Arial"/>
          <w:sz w:val="20"/>
          <w:szCs w:val="20"/>
        </w:rPr>
        <w:t>)s</w:t>
      </w:r>
      <w:proofErr w:type="gramEnd"/>
      <w:r w:rsidRPr="009F5F59">
        <w:rPr>
          <w:rFonts w:ascii="Arial" w:hAnsi="Arial" w:cs="Arial"/>
          <w:sz w:val="20"/>
          <w:szCs w:val="20"/>
        </w:rPr>
        <w:t xml:space="preserve"> in SARIMA correspond with seasonal adjustment, where P</w:t>
      </w:r>
      <w:r w:rsidR="004A4647">
        <w:rPr>
          <w:rFonts w:ascii="Arial" w:hAnsi="Arial" w:cs="Arial"/>
          <w:sz w:val="20"/>
          <w:szCs w:val="20"/>
        </w:rPr>
        <w:t>, D, and Q</w:t>
      </w:r>
      <w:r w:rsidRPr="009F5F59">
        <w:rPr>
          <w:rFonts w:ascii="Arial" w:hAnsi="Arial" w:cs="Arial"/>
          <w:sz w:val="20"/>
          <w:szCs w:val="20"/>
        </w:rPr>
        <w:t xml:space="preserve"> </w:t>
      </w:r>
      <w:r w:rsidR="004A4647">
        <w:rPr>
          <w:rFonts w:ascii="Arial" w:hAnsi="Arial" w:cs="Arial"/>
          <w:sz w:val="20"/>
          <w:szCs w:val="20"/>
        </w:rPr>
        <w:t>are</w:t>
      </w:r>
      <w:r w:rsidR="00687C08">
        <w:rPr>
          <w:rFonts w:ascii="Arial" w:hAnsi="Arial" w:cs="Arial"/>
          <w:sz w:val="20"/>
          <w:szCs w:val="20"/>
        </w:rPr>
        <w:t xml:space="preserve"> the order</w:t>
      </w:r>
      <w:r w:rsidRPr="009F5F59">
        <w:rPr>
          <w:rFonts w:ascii="Arial" w:hAnsi="Arial" w:cs="Arial"/>
          <w:sz w:val="20"/>
          <w:szCs w:val="20"/>
        </w:rPr>
        <w:t xml:space="preserve"> of seasonal autoregressive, seaso</w:t>
      </w:r>
      <w:r w:rsidR="004A4647">
        <w:rPr>
          <w:rFonts w:ascii="Arial" w:hAnsi="Arial" w:cs="Arial"/>
          <w:sz w:val="20"/>
          <w:szCs w:val="20"/>
        </w:rPr>
        <w:t>nal differencing, and seasonal moving average</w:t>
      </w:r>
      <w:r w:rsidR="00687C08">
        <w:rPr>
          <w:rFonts w:ascii="Arial" w:hAnsi="Arial" w:cs="Arial"/>
          <w:sz w:val="20"/>
          <w:szCs w:val="20"/>
        </w:rPr>
        <w:t>s</w:t>
      </w:r>
      <w:r w:rsidR="006E66D7">
        <w:rPr>
          <w:rFonts w:ascii="Arial" w:hAnsi="Arial" w:cs="Arial"/>
          <w:sz w:val="20"/>
          <w:szCs w:val="20"/>
        </w:rPr>
        <w:t xml:space="preserve"> respectively</w:t>
      </w:r>
      <w:r w:rsidR="004A4647">
        <w:rPr>
          <w:rFonts w:ascii="Arial" w:hAnsi="Arial" w:cs="Arial"/>
          <w:sz w:val="20"/>
          <w:szCs w:val="20"/>
        </w:rPr>
        <w:t>, while</w:t>
      </w:r>
      <w:r w:rsidRPr="009F5F59">
        <w:rPr>
          <w:rFonts w:ascii="Arial" w:hAnsi="Arial" w:cs="Arial"/>
          <w:sz w:val="20"/>
          <w:szCs w:val="20"/>
        </w:rPr>
        <w:t xml:space="preserve"> s is</w:t>
      </w:r>
      <w:r w:rsidR="00A52526">
        <w:rPr>
          <w:rFonts w:ascii="Arial" w:hAnsi="Arial" w:cs="Arial"/>
          <w:sz w:val="20"/>
          <w:szCs w:val="20"/>
        </w:rPr>
        <w:t xml:space="preserve"> the seasonal length</w:t>
      </w:r>
      <w:r w:rsidRPr="009F5F59">
        <w:rPr>
          <w:rFonts w:ascii="Arial" w:hAnsi="Arial" w:cs="Arial"/>
          <w:sz w:val="20"/>
          <w:szCs w:val="20"/>
        </w:rPr>
        <w:t xml:space="preserve">. </w:t>
      </w:r>
      <w:r w:rsidR="00A601E9">
        <w:rPr>
          <w:rFonts w:ascii="Arial" w:eastAsiaTheme="minorEastAsia" w:hAnsi="Arial" w:cs="Arial"/>
          <w:sz w:val="20"/>
          <w:szCs w:val="20"/>
        </w:rPr>
        <w:t xml:space="preserve">Order </w:t>
      </w:r>
      <w:r w:rsidR="006E66D7">
        <w:rPr>
          <w:rFonts w:ascii="Arial" w:eastAsiaTheme="minorEastAsia" w:hAnsi="Arial" w:cs="Arial"/>
          <w:sz w:val="20"/>
          <w:szCs w:val="20"/>
        </w:rPr>
        <w:t xml:space="preserve">p and </w:t>
      </w:r>
      <w:proofErr w:type="spellStart"/>
      <w:r w:rsidR="006E66D7">
        <w:rPr>
          <w:rFonts w:ascii="Arial" w:eastAsiaTheme="minorEastAsia" w:hAnsi="Arial" w:cs="Arial"/>
          <w:sz w:val="20"/>
          <w:szCs w:val="20"/>
        </w:rPr>
        <w:t>P are</w:t>
      </w:r>
      <w:proofErr w:type="spellEnd"/>
      <w:r w:rsidR="006E66D7">
        <w:rPr>
          <w:rFonts w:ascii="Arial" w:eastAsiaTheme="minorEastAsia" w:hAnsi="Arial" w:cs="Arial"/>
          <w:sz w:val="20"/>
          <w:szCs w:val="20"/>
        </w:rPr>
        <w:t xml:space="preserve"> attained from the analyses of </w:t>
      </w:r>
      <w:r w:rsidR="00E33580">
        <w:rPr>
          <w:rFonts w:ascii="Arial" w:eastAsiaTheme="minorEastAsia" w:hAnsi="Arial" w:cs="Arial"/>
          <w:sz w:val="20"/>
          <w:szCs w:val="20"/>
        </w:rPr>
        <w:t>the</w:t>
      </w:r>
      <w:r w:rsidR="00A669CA">
        <w:rPr>
          <w:rFonts w:ascii="Arial" w:eastAsiaTheme="minorEastAsia" w:hAnsi="Arial" w:cs="Arial"/>
          <w:sz w:val="20"/>
          <w:szCs w:val="20"/>
        </w:rPr>
        <w:t xml:space="preserve"> number of</w:t>
      </w:r>
      <w:r w:rsidR="00E33580">
        <w:rPr>
          <w:rFonts w:ascii="Arial" w:eastAsiaTheme="minorEastAsia" w:hAnsi="Arial" w:cs="Arial"/>
          <w:sz w:val="20"/>
          <w:szCs w:val="20"/>
        </w:rPr>
        <w:t xml:space="preserve"> </w:t>
      </w:r>
      <w:r w:rsidR="00A654FA">
        <w:rPr>
          <w:rFonts w:ascii="Arial" w:eastAsiaTheme="minorEastAsia" w:hAnsi="Arial" w:cs="Arial"/>
          <w:sz w:val="20"/>
          <w:szCs w:val="20"/>
        </w:rPr>
        <w:t>significant spike</w:t>
      </w:r>
      <w:r w:rsidR="00E33580">
        <w:rPr>
          <w:rFonts w:ascii="Arial" w:eastAsiaTheme="minorEastAsia" w:hAnsi="Arial" w:cs="Arial"/>
          <w:sz w:val="20"/>
          <w:szCs w:val="20"/>
        </w:rPr>
        <w:t>s</w:t>
      </w:r>
      <w:r w:rsidR="00A654FA">
        <w:rPr>
          <w:rFonts w:ascii="Arial" w:eastAsiaTheme="minorEastAsia" w:hAnsi="Arial" w:cs="Arial"/>
          <w:sz w:val="20"/>
          <w:szCs w:val="20"/>
        </w:rPr>
        <w:t xml:space="preserve"> of </w:t>
      </w:r>
      <w:r w:rsidR="00E67F27" w:rsidRPr="009F5F59">
        <w:rPr>
          <w:rFonts w:ascii="Arial" w:hAnsi="Arial" w:cs="Arial"/>
          <w:sz w:val="20"/>
          <w:szCs w:val="20"/>
        </w:rPr>
        <w:t>Partial Autocorrelation Function</w:t>
      </w:r>
      <w:r w:rsidR="00E67F27">
        <w:rPr>
          <w:rFonts w:ascii="Arial" w:eastAsiaTheme="minorEastAsia" w:hAnsi="Arial" w:cs="Arial"/>
          <w:sz w:val="20"/>
          <w:szCs w:val="20"/>
        </w:rPr>
        <w:t xml:space="preserve"> (PACF)</w:t>
      </w:r>
      <w:r w:rsidR="006E66D7">
        <w:rPr>
          <w:rFonts w:ascii="Arial" w:eastAsiaTheme="minorEastAsia" w:hAnsi="Arial" w:cs="Arial"/>
          <w:sz w:val="20"/>
          <w:szCs w:val="20"/>
        </w:rPr>
        <w:t xml:space="preserve">, </w:t>
      </w:r>
      <w:r w:rsidR="00A654FA">
        <w:rPr>
          <w:rFonts w:ascii="Arial" w:eastAsiaTheme="minorEastAsia" w:hAnsi="Arial" w:cs="Arial"/>
          <w:sz w:val="20"/>
          <w:szCs w:val="20"/>
        </w:rPr>
        <w:t>while order</w:t>
      </w:r>
      <w:r w:rsidR="006E66D7">
        <w:rPr>
          <w:rFonts w:ascii="Arial" w:eastAsiaTheme="minorEastAsia" w:hAnsi="Arial" w:cs="Arial"/>
          <w:sz w:val="20"/>
          <w:szCs w:val="20"/>
        </w:rPr>
        <w:t xml:space="preserve"> q and Q are attained from the analyses of</w:t>
      </w:r>
      <w:r w:rsidR="00E67F27">
        <w:rPr>
          <w:rFonts w:ascii="Arial" w:eastAsiaTheme="minorEastAsia" w:hAnsi="Arial" w:cs="Arial"/>
          <w:sz w:val="20"/>
          <w:szCs w:val="20"/>
        </w:rPr>
        <w:t xml:space="preserve"> the </w:t>
      </w:r>
      <w:r w:rsidR="00A669CA">
        <w:rPr>
          <w:rFonts w:ascii="Arial" w:eastAsiaTheme="minorEastAsia" w:hAnsi="Arial" w:cs="Arial"/>
          <w:sz w:val="20"/>
          <w:szCs w:val="20"/>
        </w:rPr>
        <w:t xml:space="preserve">numbers of </w:t>
      </w:r>
      <w:r w:rsidR="00A654FA">
        <w:rPr>
          <w:rFonts w:ascii="Arial" w:eastAsiaTheme="minorEastAsia" w:hAnsi="Arial" w:cs="Arial"/>
          <w:sz w:val="20"/>
          <w:szCs w:val="20"/>
        </w:rPr>
        <w:t>significant spike</w:t>
      </w:r>
      <w:r w:rsidR="00E33580">
        <w:rPr>
          <w:rFonts w:ascii="Arial" w:eastAsiaTheme="minorEastAsia" w:hAnsi="Arial" w:cs="Arial"/>
          <w:sz w:val="20"/>
          <w:szCs w:val="20"/>
        </w:rPr>
        <w:t>s</w:t>
      </w:r>
      <w:r w:rsidR="00A654FA">
        <w:rPr>
          <w:rFonts w:ascii="Arial" w:eastAsiaTheme="minorEastAsia" w:hAnsi="Arial" w:cs="Arial"/>
          <w:sz w:val="20"/>
          <w:szCs w:val="20"/>
        </w:rPr>
        <w:t xml:space="preserve"> of </w:t>
      </w:r>
      <w:r w:rsidR="00E67F27" w:rsidRPr="009F5F59">
        <w:rPr>
          <w:rFonts w:ascii="Arial" w:hAnsi="Arial" w:cs="Arial"/>
          <w:sz w:val="20"/>
          <w:szCs w:val="20"/>
        </w:rPr>
        <w:t>Autocorrelation Function</w:t>
      </w:r>
      <w:r w:rsidR="00E67F27" w:rsidRPr="009F5F59">
        <w:rPr>
          <w:rFonts w:ascii="Arial" w:eastAsiaTheme="minorEastAsia" w:hAnsi="Arial" w:cs="Arial"/>
          <w:sz w:val="20"/>
          <w:szCs w:val="20"/>
        </w:rPr>
        <w:t xml:space="preserve"> (ACF)</w:t>
      </w:r>
      <w:r w:rsidR="00A654FA">
        <w:rPr>
          <w:rFonts w:ascii="Arial" w:eastAsiaTheme="minorEastAsia" w:hAnsi="Arial" w:cs="Arial"/>
          <w:sz w:val="20"/>
          <w:szCs w:val="20"/>
        </w:rPr>
        <w:t>.</w:t>
      </w:r>
      <w:r w:rsidR="0013586A">
        <w:rPr>
          <w:rFonts w:ascii="Arial" w:eastAsiaTheme="minorEastAsia" w:hAnsi="Arial" w:cs="Arial"/>
          <w:sz w:val="20"/>
          <w:szCs w:val="20"/>
        </w:rPr>
        <w:t xml:space="preserve"> The significant spike</w:t>
      </w:r>
      <w:r w:rsidR="00E33580">
        <w:rPr>
          <w:rFonts w:ascii="Arial" w:eastAsiaTheme="minorEastAsia" w:hAnsi="Arial" w:cs="Arial"/>
          <w:sz w:val="20"/>
          <w:szCs w:val="20"/>
        </w:rPr>
        <w:t>s are</w:t>
      </w:r>
      <w:r w:rsidR="0013586A">
        <w:rPr>
          <w:rFonts w:ascii="Arial" w:eastAsiaTheme="minorEastAsia" w:hAnsi="Arial" w:cs="Arial"/>
          <w:sz w:val="20"/>
          <w:szCs w:val="20"/>
        </w:rPr>
        <w:t xml:space="preserve"> the value</w:t>
      </w:r>
      <w:r w:rsidR="00687C08">
        <w:rPr>
          <w:rFonts w:ascii="Arial" w:eastAsiaTheme="minorEastAsia" w:hAnsi="Arial" w:cs="Arial"/>
          <w:sz w:val="20"/>
          <w:szCs w:val="20"/>
        </w:rPr>
        <w:t>s</w:t>
      </w:r>
      <w:r w:rsidR="0013586A">
        <w:rPr>
          <w:rFonts w:ascii="Arial" w:eastAsiaTheme="minorEastAsia" w:hAnsi="Arial" w:cs="Arial"/>
          <w:sz w:val="20"/>
          <w:szCs w:val="20"/>
        </w:rPr>
        <w:t xml:space="preserve"> that </w:t>
      </w:r>
      <w:r w:rsidR="00687C08">
        <w:rPr>
          <w:rFonts w:ascii="Arial" w:eastAsiaTheme="minorEastAsia" w:hAnsi="Arial" w:cs="Arial"/>
          <w:sz w:val="20"/>
          <w:szCs w:val="20"/>
        </w:rPr>
        <w:t xml:space="preserve">are </w:t>
      </w:r>
      <w:r w:rsidR="0013586A">
        <w:rPr>
          <w:rFonts w:ascii="Arial" w:eastAsiaTheme="minorEastAsia" w:hAnsi="Arial" w:cs="Arial"/>
          <w:sz w:val="20"/>
          <w:szCs w:val="20"/>
        </w:rPr>
        <w:t xml:space="preserve">out of the control </w:t>
      </w:r>
      <w:r w:rsidR="00B62FFA">
        <w:rPr>
          <w:rFonts w:ascii="Arial" w:eastAsiaTheme="minorEastAsia" w:hAnsi="Arial" w:cs="Arial"/>
          <w:sz w:val="20"/>
          <w:szCs w:val="20"/>
        </w:rPr>
        <w:t xml:space="preserve">line of </w:t>
      </w:r>
      <w:r w:rsidR="00687C08">
        <w:rPr>
          <w:rFonts w:ascii="Arial" w:eastAsiaTheme="minorEastAsia" w:hAnsi="Arial" w:cs="Arial"/>
          <w:sz w:val="20"/>
          <w:szCs w:val="20"/>
        </w:rPr>
        <w:t xml:space="preserve">the </w:t>
      </w:r>
      <w:r w:rsidR="00B62FFA">
        <w:rPr>
          <w:rFonts w:ascii="Arial" w:eastAsiaTheme="minorEastAsia" w:hAnsi="Arial" w:cs="Arial"/>
          <w:sz w:val="20"/>
          <w:szCs w:val="20"/>
        </w:rPr>
        <w:t>PACF or ACF</w:t>
      </w:r>
      <w:r w:rsidR="00A669CA">
        <w:rPr>
          <w:rFonts w:ascii="Arial" w:eastAsiaTheme="minorEastAsia" w:hAnsi="Arial" w:cs="Arial"/>
          <w:sz w:val="20"/>
          <w:szCs w:val="20"/>
        </w:rPr>
        <w:t xml:space="preserve"> graph.</w:t>
      </w:r>
    </w:p>
    <w:p w:rsidR="009F5F59" w:rsidRDefault="009F5F59" w:rsidP="009F5F59">
      <w:pPr>
        <w:spacing w:after="0" w:line="240" w:lineRule="auto"/>
        <w:ind w:left="0" w:hanging="2"/>
        <w:jc w:val="both"/>
        <w:rPr>
          <w:rFonts w:ascii="Arial" w:hAnsi="Arial" w:cs="Arial"/>
          <w:sz w:val="20"/>
          <w:szCs w:val="20"/>
        </w:rPr>
      </w:pPr>
      <w:r w:rsidRPr="009F5F59">
        <w:rPr>
          <w:rFonts w:ascii="Arial" w:hAnsi="Arial" w:cs="Arial"/>
          <w:sz w:val="20"/>
          <w:szCs w:val="20"/>
        </w:rPr>
        <w:t xml:space="preserve">The formula of ARIMA and SARIMA are </w:t>
      </w:r>
      <w:r w:rsidRPr="009F5F59">
        <w:rPr>
          <w:rFonts w:ascii="Arial" w:hAnsi="Arial" w:cs="Arial"/>
          <w:sz w:val="20"/>
          <w:szCs w:val="20"/>
        </w:rPr>
        <w:fldChar w:fldCharType="begin" w:fldLock="1"/>
      </w:r>
      <w:r w:rsidR="00AA5E59">
        <w:rPr>
          <w:rFonts w:ascii="Arial" w:hAnsi="Arial" w:cs="Arial"/>
          <w:sz w:val="20"/>
          <w:szCs w:val="20"/>
        </w:rPr>
        <w:instrText>ADDIN CSL_CITATION {"citationItems":[{"id":"ITEM-1","itemData":{"DOI":"10.9734/arjom/2021/v17i330280","abstract":"This research aimed at modelling and forecasting the quarterly GDP of Nigeria using the Seasonal Artificial Neural Network (SANN), SARIMA and Box-Jenkins models as well as comparing their predictive performance. The three models mentioned earlier were successfully fitted to the data set. Tentative architecture for the SANN was suggested by varying the number of neurons in the hidden layer while that of the input and output layer remained constant at 4. It was observed that the best architecture was when the hidden layer had 10 neurons and thus SANN (4-10-4) was chosen as the best. In fitting the ARIMA/SARIMA models, the Augmented Dickey Fuller (ADF) test was used to check for stationarity. Variance stabilization and Stationarity were achieved after logarithm transformation and first regular differencing. The ARIMA/SARIMA model with lowest AIC, BIC and HQIC values was chosen as the best amongst the competing models and fitted to the data. The adequacy of the fitted models was confirmed observing the correlogram of the residuals and the Ljung-Box Chi-Squared test result. The SANN model performed better than the SARIMA and ARIMA models as it had a Mean Squared Error value of 0.004 while SARIMA and ARIMA had mean squared errors of 0.527 and 0.705 respectively. It was concluded that the SANN which is a non-linear model be used in modelling the quarterly GDP of Nigeria. Hybrid models which combine the strength of individual models are recommended for further research.","author":[{"dropping-particle":"","family":"Nwokike","given":"Chukwudike C.","non-dropping-particle":"","parse-names":false,"suffix":""},{"dropping-particle":"","family":"Okereke","given":"Emmanuel W.","non-dropping-particle":"","parse-names":false,"suffix":""}],"container-title":"Asian Research Journal of Mathematics","id":"ITEM-1","issue":"3","issued":{"date-parts":[["2021"]]},"page":"1-20","title":"Comparison of the Performance of the SANN, SARIMA and ARIMA Models for Forecasting Quarterly GDP of Nigeria","type":"article-journal","volume":"17"},"uris":["http://www.mendeley.com/documents/?uuid=5408d0f5-8f41-4a43-aeeb-a2db6f59f7dc"]}],"mendeley":{"formattedCitation":"[26]","plainTextFormattedCitation":"[26]","previouslyFormattedCitation":"[26]"},"properties":{"noteIndex":0},"schema":"https://github.com/citation-style-language/schema/raw/master/csl-citation.json"}</w:instrText>
      </w:r>
      <w:r w:rsidRPr="009F5F59">
        <w:rPr>
          <w:rFonts w:ascii="Arial" w:hAnsi="Arial" w:cs="Arial"/>
          <w:sz w:val="20"/>
          <w:szCs w:val="20"/>
        </w:rPr>
        <w:fldChar w:fldCharType="separate"/>
      </w:r>
      <w:r w:rsidR="00AA5E59" w:rsidRPr="00AA5E59">
        <w:rPr>
          <w:rFonts w:ascii="Arial" w:hAnsi="Arial" w:cs="Arial"/>
          <w:noProof/>
          <w:sz w:val="20"/>
          <w:szCs w:val="20"/>
        </w:rPr>
        <w:t>[26]</w:t>
      </w:r>
      <w:r w:rsidRPr="009F5F59">
        <w:rPr>
          <w:rFonts w:ascii="Arial" w:hAnsi="Arial" w:cs="Arial"/>
          <w:sz w:val="20"/>
          <w:szCs w:val="20"/>
        </w:rPr>
        <w:fldChar w:fldCharType="end"/>
      </w:r>
      <w:r w:rsidRPr="009F5F59">
        <w:rPr>
          <w:rFonts w:ascii="Arial" w:hAnsi="Arial" w:cs="Arial"/>
          <w:sz w:val="20"/>
          <w:szCs w:val="20"/>
        </w:rPr>
        <w:t>:</w:t>
      </w:r>
    </w:p>
    <w:p w:rsidR="009F5F59" w:rsidRDefault="009F5F59" w:rsidP="009F5F59">
      <w:pPr>
        <w:spacing w:after="0" w:line="240" w:lineRule="auto"/>
        <w:ind w:left="0" w:hanging="2"/>
        <w:jc w:val="both"/>
        <w:rPr>
          <w:rFonts w:ascii="Arial" w:hAnsi="Arial" w:cs="Arial"/>
          <w:sz w:val="20"/>
          <w:szCs w:val="20"/>
        </w:rPr>
      </w:pPr>
      <w:r>
        <w:rPr>
          <w:rFonts w:ascii="Arial" w:hAnsi="Arial" w:cs="Arial"/>
          <w:sz w:val="20"/>
          <w:szCs w:val="20"/>
        </w:rPr>
        <w:t>ARIMA:</w:t>
      </w:r>
    </w:p>
    <w:tbl>
      <w:tblPr>
        <w:tblStyle w:val="a1"/>
        <w:tblW w:w="4503" w:type="dxa"/>
        <w:tblInd w:w="-108" w:type="dxa"/>
        <w:tblLayout w:type="fixed"/>
        <w:tblLook w:val="0000" w:firstRow="0" w:lastRow="0" w:firstColumn="0" w:lastColumn="0" w:noHBand="0" w:noVBand="0"/>
      </w:tblPr>
      <w:tblGrid>
        <w:gridCol w:w="3369"/>
        <w:gridCol w:w="1134"/>
      </w:tblGrid>
      <w:tr w:rsidR="009F5F59" w:rsidTr="007867EB">
        <w:tc>
          <w:tcPr>
            <w:tcW w:w="3369" w:type="dxa"/>
            <w:vAlign w:val="center"/>
          </w:tcPr>
          <w:p w:rsidR="009F5F59" w:rsidRPr="008410E4" w:rsidRDefault="00D0002E" w:rsidP="00871D77">
            <w:pPr>
              <w:spacing w:after="0"/>
              <w:ind w:left="0" w:hanging="2"/>
              <w:jc w:val="center"/>
              <w:rPr>
                <w:sz w:val="20"/>
                <w:szCs w:val="20"/>
              </w:rPr>
            </w:pPr>
            <m:oMathPara>
              <m:oMath>
                <m:sSub>
                  <m:sSubPr>
                    <m:ctrlPr>
                      <w:rPr>
                        <w:rFonts w:ascii="Cambria Math" w:hAnsi="Cambria Math"/>
                        <w:i/>
                        <w:sz w:val="20"/>
                        <w:szCs w:val="20"/>
                      </w:rPr>
                    </m:ctrlPr>
                  </m:sSubPr>
                  <m:e>
                    <m:r>
                      <w:rPr>
                        <w:rFonts w:ascii="Cambria Math" w:hAnsi="Cambria Math"/>
                        <w:sz w:val="20"/>
                        <w:szCs w:val="20"/>
                      </w:rPr>
                      <m:t>∅</m:t>
                    </m:r>
                  </m:e>
                  <m:sub>
                    <m:r>
                      <w:rPr>
                        <w:rFonts w:ascii="Cambria Math" w:hAnsi="Cambria Math"/>
                        <w:sz w:val="20"/>
                        <w:szCs w:val="20"/>
                      </w:rPr>
                      <m:t>p</m:t>
                    </m:r>
                  </m:sub>
                </m:sSub>
                <m:d>
                  <m:dPr>
                    <m:ctrlPr>
                      <w:rPr>
                        <w:rFonts w:ascii="Cambria Math" w:hAnsi="Cambria Math"/>
                        <w:i/>
                        <w:sz w:val="20"/>
                        <w:szCs w:val="20"/>
                      </w:rPr>
                    </m:ctrlPr>
                  </m:dPr>
                  <m:e>
                    <m:r>
                      <w:rPr>
                        <w:rFonts w:ascii="Cambria Math" w:hAnsi="Cambria Math"/>
                        <w:sz w:val="20"/>
                        <w:szCs w:val="20"/>
                      </w:rPr>
                      <m:t>B</m:t>
                    </m:r>
                  </m:e>
                </m:d>
                <m:sSup>
                  <m:sSupPr>
                    <m:ctrlPr>
                      <w:rPr>
                        <w:rFonts w:ascii="Cambria Math" w:hAnsi="Cambria Math"/>
                        <w:i/>
                        <w:sz w:val="20"/>
                        <w:szCs w:val="20"/>
                      </w:rPr>
                    </m:ctrlPr>
                  </m:sSupPr>
                  <m:e>
                    <m:d>
                      <m:dPr>
                        <m:ctrlPr>
                          <w:rPr>
                            <w:rFonts w:ascii="Cambria Math" w:hAnsi="Cambria Math"/>
                            <w:i/>
                            <w:sz w:val="20"/>
                            <w:szCs w:val="20"/>
                          </w:rPr>
                        </m:ctrlPr>
                      </m:dPr>
                      <m:e>
                        <m:r>
                          <w:rPr>
                            <w:rFonts w:ascii="Cambria Math" w:hAnsi="Cambria Math"/>
                            <w:sz w:val="20"/>
                            <w:szCs w:val="20"/>
                          </w:rPr>
                          <m:t>1-B</m:t>
                        </m:r>
                      </m:e>
                    </m:d>
                  </m:e>
                  <m:sup>
                    <m:r>
                      <w:rPr>
                        <w:rFonts w:ascii="Cambria Math" w:hAnsi="Cambria Math"/>
                        <w:sz w:val="20"/>
                        <w:szCs w:val="20"/>
                      </w:rPr>
                      <m:t>d</m:t>
                    </m:r>
                  </m:sup>
                </m:sSup>
                <m:sSub>
                  <m:sSubPr>
                    <m:ctrlPr>
                      <w:rPr>
                        <w:rFonts w:ascii="Cambria Math" w:hAnsi="Cambria Math"/>
                        <w:i/>
                        <w:sz w:val="20"/>
                        <w:szCs w:val="20"/>
                      </w:rPr>
                    </m:ctrlPr>
                  </m:sSubPr>
                  <m:e>
                    <m:r>
                      <w:rPr>
                        <w:rFonts w:ascii="Cambria Math" w:hAnsi="Cambria Math"/>
                        <w:sz w:val="20"/>
                        <w:szCs w:val="20"/>
                      </w:rPr>
                      <m:t>Y</m:t>
                    </m:r>
                  </m:e>
                  <m:sub>
                    <m:r>
                      <w:rPr>
                        <w:rFonts w:ascii="Cambria Math" w:hAnsi="Cambria Math"/>
                        <w:sz w:val="20"/>
                        <w:szCs w:val="20"/>
                      </w:rPr>
                      <m:t>t</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θ</m:t>
                    </m:r>
                  </m:e>
                  <m:sub>
                    <m:r>
                      <w:rPr>
                        <w:rFonts w:ascii="Cambria Math" w:hAnsi="Cambria Math"/>
                        <w:sz w:val="20"/>
                        <w:szCs w:val="20"/>
                      </w:rPr>
                      <m:t>0</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θ</m:t>
                    </m:r>
                  </m:e>
                  <m:sub>
                    <m:r>
                      <w:rPr>
                        <w:rFonts w:ascii="Cambria Math" w:hAnsi="Cambria Math"/>
                        <w:sz w:val="20"/>
                        <w:szCs w:val="20"/>
                      </w:rPr>
                      <m:t>q</m:t>
                    </m:r>
                  </m:sub>
                </m:sSub>
                <m:r>
                  <w:rPr>
                    <w:rFonts w:ascii="Cambria Math" w:hAnsi="Cambria Math"/>
                    <w:sz w:val="20"/>
                    <w:szCs w:val="20"/>
                  </w:rPr>
                  <m:t>(B)</m:t>
                </m:r>
                <m:sSub>
                  <m:sSubPr>
                    <m:ctrlPr>
                      <w:rPr>
                        <w:rFonts w:ascii="Cambria Math" w:hAnsi="Cambria Math"/>
                        <w:i/>
                        <w:sz w:val="20"/>
                        <w:szCs w:val="20"/>
                      </w:rPr>
                    </m:ctrlPr>
                  </m:sSubPr>
                  <m:e>
                    <m:r>
                      <w:rPr>
                        <w:rFonts w:ascii="Cambria Math" w:hAnsi="Cambria Math"/>
                        <w:sz w:val="20"/>
                        <w:szCs w:val="20"/>
                      </w:rPr>
                      <m:t>e</m:t>
                    </m:r>
                  </m:e>
                  <m:sub>
                    <m:r>
                      <w:rPr>
                        <w:rFonts w:ascii="Cambria Math" w:hAnsi="Cambria Math"/>
                        <w:sz w:val="20"/>
                        <w:szCs w:val="20"/>
                      </w:rPr>
                      <m:t>t</m:t>
                    </m:r>
                  </m:sub>
                </m:sSub>
              </m:oMath>
            </m:oMathPara>
          </w:p>
        </w:tc>
        <w:tc>
          <w:tcPr>
            <w:tcW w:w="1134" w:type="dxa"/>
            <w:vAlign w:val="center"/>
          </w:tcPr>
          <w:p w:rsidR="009F5F59" w:rsidRDefault="009F5F59" w:rsidP="00871D77">
            <w:pPr>
              <w:pBdr>
                <w:top w:val="nil"/>
                <w:left w:val="nil"/>
                <w:bottom w:val="nil"/>
                <w:right w:val="nil"/>
                <w:between w:val="nil"/>
              </w:pBdr>
              <w:spacing w:after="0"/>
              <w:ind w:left="0" w:hanging="2"/>
              <w:jc w:val="right"/>
              <w:rPr>
                <w:rFonts w:ascii="Arial" w:eastAsia="Arial" w:hAnsi="Arial" w:cs="Arial"/>
                <w:color w:val="000000"/>
                <w:sz w:val="20"/>
                <w:szCs w:val="20"/>
              </w:rPr>
            </w:pPr>
            <w:r>
              <w:rPr>
                <w:rFonts w:ascii="Arial" w:eastAsia="Arial" w:hAnsi="Arial" w:cs="Arial"/>
                <w:color w:val="000000"/>
                <w:sz w:val="20"/>
                <w:szCs w:val="20"/>
              </w:rPr>
              <w:t>(</w:t>
            </w:r>
            <w:r w:rsidR="007867EB">
              <w:rPr>
                <w:rFonts w:ascii="Arial" w:eastAsia="Arial" w:hAnsi="Arial" w:cs="Arial"/>
                <w:color w:val="000000"/>
                <w:sz w:val="20"/>
                <w:szCs w:val="20"/>
              </w:rPr>
              <w:t>2</w:t>
            </w:r>
            <w:r>
              <w:rPr>
                <w:rFonts w:ascii="Arial" w:eastAsia="Arial" w:hAnsi="Arial" w:cs="Arial"/>
                <w:color w:val="000000"/>
                <w:sz w:val="20"/>
                <w:szCs w:val="20"/>
              </w:rPr>
              <w:t>)</w:t>
            </w:r>
          </w:p>
        </w:tc>
      </w:tr>
    </w:tbl>
    <w:p w:rsidR="009F5F59" w:rsidRDefault="009F5F59" w:rsidP="009F5F59">
      <w:pPr>
        <w:spacing w:after="0" w:line="240" w:lineRule="auto"/>
        <w:ind w:left="0" w:hanging="2"/>
        <w:jc w:val="both"/>
        <w:rPr>
          <w:rFonts w:ascii="Arial" w:eastAsia="Arial" w:hAnsi="Arial" w:cs="Arial"/>
          <w:sz w:val="20"/>
          <w:szCs w:val="20"/>
        </w:rPr>
      </w:pPr>
      <w:r>
        <w:rPr>
          <w:rFonts w:ascii="Arial" w:eastAsia="Arial" w:hAnsi="Arial" w:cs="Arial"/>
          <w:sz w:val="20"/>
          <w:szCs w:val="20"/>
        </w:rPr>
        <w:t>SARIMA:</w:t>
      </w:r>
    </w:p>
    <w:tbl>
      <w:tblPr>
        <w:tblStyle w:val="a1"/>
        <w:tblW w:w="4503" w:type="dxa"/>
        <w:tblInd w:w="-108" w:type="dxa"/>
        <w:tblLayout w:type="fixed"/>
        <w:tblLook w:val="0000" w:firstRow="0" w:lastRow="0" w:firstColumn="0" w:lastColumn="0" w:noHBand="0" w:noVBand="0"/>
      </w:tblPr>
      <w:tblGrid>
        <w:gridCol w:w="3936"/>
        <w:gridCol w:w="567"/>
      </w:tblGrid>
      <w:tr w:rsidR="009F5F59" w:rsidTr="008410E4">
        <w:tc>
          <w:tcPr>
            <w:tcW w:w="3936" w:type="dxa"/>
          </w:tcPr>
          <w:p w:rsidR="008410E4" w:rsidRPr="008410E4" w:rsidRDefault="00D0002E" w:rsidP="00871D77">
            <w:pPr>
              <w:spacing w:after="0"/>
              <w:ind w:leftChars="64" w:left="141" w:firstLineChars="0" w:firstLine="1"/>
              <w:jc w:val="both"/>
              <w:rPr>
                <w:rFonts w:ascii="Arial" w:eastAsia="Arial" w:hAnsi="Arial" w:cs="Arial"/>
                <w:sz w:val="20"/>
                <w:szCs w:val="20"/>
              </w:rPr>
            </w:pPr>
            <m:oMathPara>
              <m:oMathParaPr>
                <m:jc m:val="left"/>
              </m:oMathParaPr>
              <m:oMath>
                <m:sSub>
                  <m:sSubPr>
                    <m:ctrlPr>
                      <w:rPr>
                        <w:rFonts w:ascii="Cambria Math" w:hAnsi="Cambria Math" w:cs="Arial"/>
                        <w:i/>
                        <w:sz w:val="20"/>
                        <w:szCs w:val="20"/>
                      </w:rPr>
                    </m:ctrlPr>
                  </m:sSubPr>
                  <m:e>
                    <m:r>
                      <w:rPr>
                        <w:rFonts w:ascii="Cambria Math" w:hAnsi="Cambria Math" w:cs="Arial"/>
                        <w:sz w:val="20"/>
                        <w:szCs w:val="20"/>
                      </w:rPr>
                      <m:t>∅</m:t>
                    </m:r>
                  </m:e>
                  <m:sub>
                    <m:r>
                      <w:rPr>
                        <w:rFonts w:ascii="Cambria Math" w:hAnsi="Cambria Math" w:cs="Arial"/>
                        <w:sz w:val="20"/>
                        <w:szCs w:val="20"/>
                      </w:rPr>
                      <m:t>p</m:t>
                    </m:r>
                  </m:sub>
                </m:sSub>
                <m:d>
                  <m:dPr>
                    <m:ctrlPr>
                      <w:rPr>
                        <w:rFonts w:ascii="Cambria Math" w:hAnsi="Cambria Math" w:cs="Arial"/>
                        <w:i/>
                        <w:sz w:val="20"/>
                        <w:szCs w:val="20"/>
                      </w:rPr>
                    </m:ctrlPr>
                  </m:dPr>
                  <m:e>
                    <m:r>
                      <w:rPr>
                        <w:rFonts w:ascii="Cambria Math" w:hAnsi="Cambria Math" w:cs="Arial"/>
                        <w:sz w:val="20"/>
                        <w:szCs w:val="20"/>
                      </w:rPr>
                      <m:t>B</m:t>
                    </m:r>
                  </m:e>
                </m:d>
                <m:sSub>
                  <m:sSubPr>
                    <m:ctrlPr>
                      <w:rPr>
                        <w:rFonts w:ascii="Cambria Math" w:hAnsi="Cambria Math" w:cs="Arial"/>
                        <w:i/>
                        <w:sz w:val="20"/>
                        <w:szCs w:val="20"/>
                      </w:rPr>
                    </m:ctrlPr>
                  </m:sSubPr>
                  <m:e>
                    <m:r>
                      <m:rPr>
                        <m:sty m:val="p"/>
                      </m:rPr>
                      <w:rPr>
                        <w:rFonts w:ascii="Cambria Math" w:hAnsi="Cambria Math" w:cs="Arial"/>
                        <w:sz w:val="20"/>
                        <w:szCs w:val="20"/>
                      </w:rPr>
                      <m:t>Φ</m:t>
                    </m:r>
                  </m:e>
                  <m:sub>
                    <m:r>
                      <w:rPr>
                        <w:rFonts w:ascii="Cambria Math" w:hAnsi="Cambria Math" w:cs="Arial"/>
                        <w:sz w:val="20"/>
                        <w:szCs w:val="20"/>
                      </w:rPr>
                      <m:t>p</m:t>
                    </m:r>
                  </m:sub>
                </m:sSub>
                <m:sSup>
                  <m:sSupPr>
                    <m:ctrlPr>
                      <w:rPr>
                        <w:rFonts w:ascii="Cambria Math" w:hAnsi="Cambria Math" w:cs="Arial"/>
                        <w:i/>
                        <w:sz w:val="20"/>
                        <w:szCs w:val="20"/>
                      </w:rPr>
                    </m:ctrlPr>
                  </m:sSupPr>
                  <m:e>
                    <m:r>
                      <w:rPr>
                        <w:rFonts w:ascii="Cambria Math" w:hAnsi="Cambria Math" w:cs="Arial"/>
                        <w:sz w:val="20"/>
                        <w:szCs w:val="20"/>
                      </w:rPr>
                      <m:t>(B</m:t>
                    </m:r>
                  </m:e>
                  <m:sup>
                    <m:r>
                      <w:rPr>
                        <w:rFonts w:ascii="Cambria Math" w:hAnsi="Cambria Math" w:cs="Arial"/>
                        <w:sz w:val="20"/>
                        <w:szCs w:val="20"/>
                      </w:rPr>
                      <m:t>s</m:t>
                    </m:r>
                  </m:sup>
                </m:sSup>
                <m:r>
                  <w:rPr>
                    <w:rFonts w:ascii="Cambria Math" w:hAnsi="Cambria Math" w:cs="Arial"/>
                    <w:sz w:val="20"/>
                    <w:szCs w:val="20"/>
                  </w:rPr>
                  <m:t>)</m:t>
                </m:r>
                <m:sSup>
                  <m:sSupPr>
                    <m:ctrlPr>
                      <w:rPr>
                        <w:rFonts w:ascii="Cambria Math" w:hAnsi="Cambria Math" w:cs="Arial"/>
                        <w:i/>
                        <w:sz w:val="20"/>
                        <w:szCs w:val="20"/>
                      </w:rPr>
                    </m:ctrlPr>
                  </m:sSupPr>
                  <m:e>
                    <m:d>
                      <m:dPr>
                        <m:ctrlPr>
                          <w:rPr>
                            <w:rFonts w:ascii="Cambria Math" w:hAnsi="Cambria Math" w:cs="Arial"/>
                            <w:i/>
                            <w:sz w:val="20"/>
                            <w:szCs w:val="20"/>
                          </w:rPr>
                        </m:ctrlPr>
                      </m:dPr>
                      <m:e>
                        <m:r>
                          <w:rPr>
                            <w:rFonts w:ascii="Cambria Math" w:hAnsi="Cambria Math" w:cs="Arial"/>
                            <w:sz w:val="20"/>
                            <w:szCs w:val="20"/>
                          </w:rPr>
                          <m:t>1-B</m:t>
                        </m:r>
                      </m:e>
                    </m:d>
                  </m:e>
                  <m:sup>
                    <m:r>
                      <w:rPr>
                        <w:rFonts w:ascii="Cambria Math" w:hAnsi="Cambria Math" w:cs="Arial"/>
                        <w:sz w:val="20"/>
                        <w:szCs w:val="20"/>
                      </w:rPr>
                      <m:t>d</m:t>
                    </m:r>
                  </m:sup>
                </m:sSup>
                <m:sSup>
                  <m:sSupPr>
                    <m:ctrlPr>
                      <w:rPr>
                        <w:rFonts w:ascii="Cambria Math" w:hAnsi="Cambria Math" w:cs="Arial"/>
                        <w:i/>
                        <w:sz w:val="20"/>
                        <w:szCs w:val="20"/>
                      </w:rPr>
                    </m:ctrlPr>
                  </m:sSupPr>
                  <m:e>
                    <m:d>
                      <m:dPr>
                        <m:ctrlPr>
                          <w:rPr>
                            <w:rFonts w:ascii="Cambria Math" w:hAnsi="Cambria Math" w:cs="Arial"/>
                            <w:i/>
                            <w:sz w:val="20"/>
                            <w:szCs w:val="20"/>
                          </w:rPr>
                        </m:ctrlPr>
                      </m:dPr>
                      <m:e>
                        <m:r>
                          <w:rPr>
                            <w:rFonts w:ascii="Cambria Math" w:hAnsi="Cambria Math" w:cs="Arial"/>
                            <w:sz w:val="20"/>
                            <w:szCs w:val="20"/>
                          </w:rPr>
                          <m:t>1-</m:t>
                        </m:r>
                        <m:sSup>
                          <m:sSupPr>
                            <m:ctrlPr>
                              <w:rPr>
                                <w:rFonts w:ascii="Cambria Math" w:hAnsi="Cambria Math" w:cs="Arial"/>
                                <w:i/>
                                <w:sz w:val="20"/>
                                <w:szCs w:val="20"/>
                              </w:rPr>
                            </m:ctrlPr>
                          </m:sSupPr>
                          <m:e>
                            <m:r>
                              <w:rPr>
                                <w:rFonts w:ascii="Cambria Math" w:hAnsi="Cambria Math" w:cs="Arial"/>
                                <w:sz w:val="20"/>
                                <w:szCs w:val="20"/>
                              </w:rPr>
                              <m:t>B</m:t>
                            </m:r>
                          </m:e>
                          <m:sup>
                            <m:r>
                              <w:rPr>
                                <w:rFonts w:ascii="Cambria Math" w:hAnsi="Cambria Math" w:cs="Arial"/>
                                <w:sz w:val="20"/>
                                <w:szCs w:val="20"/>
                              </w:rPr>
                              <m:t>s</m:t>
                            </m:r>
                          </m:sup>
                        </m:sSup>
                      </m:e>
                    </m:d>
                  </m:e>
                  <m:sup>
                    <m:r>
                      <w:rPr>
                        <w:rFonts w:ascii="Cambria Math" w:hAnsi="Cambria Math" w:cs="Arial"/>
                        <w:sz w:val="20"/>
                        <w:szCs w:val="20"/>
                      </w:rPr>
                      <m:t>D</m:t>
                    </m:r>
                  </m:sup>
                </m:sSup>
                <m:sSub>
                  <m:sSubPr>
                    <m:ctrlPr>
                      <w:rPr>
                        <w:rFonts w:ascii="Cambria Math" w:hAnsi="Cambria Math" w:cs="Arial"/>
                        <w:i/>
                        <w:sz w:val="20"/>
                        <w:szCs w:val="20"/>
                      </w:rPr>
                    </m:ctrlPr>
                  </m:sSubPr>
                  <m:e>
                    <m:r>
                      <w:rPr>
                        <w:rFonts w:ascii="Cambria Math" w:hAnsi="Cambria Math" w:cs="Arial"/>
                        <w:sz w:val="20"/>
                        <w:szCs w:val="20"/>
                      </w:rPr>
                      <m:t>Y</m:t>
                    </m:r>
                  </m:e>
                  <m:sub>
                    <m:r>
                      <w:rPr>
                        <w:rFonts w:ascii="Cambria Math" w:hAnsi="Cambria Math" w:cs="Arial"/>
                        <w:sz w:val="20"/>
                        <w:szCs w:val="20"/>
                      </w:rPr>
                      <m:t>t</m:t>
                    </m:r>
                  </m:sub>
                </m:sSub>
              </m:oMath>
            </m:oMathPara>
          </w:p>
          <w:p w:rsidR="009F5F59" w:rsidRPr="008410E4" w:rsidRDefault="008410E4" w:rsidP="00871D77">
            <w:pPr>
              <w:spacing w:after="0"/>
              <w:ind w:leftChars="64" w:left="141" w:firstLineChars="0" w:firstLine="1"/>
              <w:jc w:val="both"/>
              <w:rPr>
                <w:rFonts w:ascii="Arial" w:hAnsi="Arial" w:cs="Arial"/>
                <w:sz w:val="20"/>
                <w:szCs w:val="20"/>
              </w:rPr>
            </w:pPr>
            <m:oMathPara>
              <m:oMathParaPr>
                <m:jc m:val="left"/>
              </m:oMathParaPr>
              <m:oMath>
                <m:r>
                  <w:rPr>
                    <w:rFonts w:ascii="Cambria Math" w:hAnsi="Cambria Math" w:cs="Arial"/>
                    <w:sz w:val="20"/>
                    <w:szCs w:val="20"/>
                  </w:rPr>
                  <m:t>=</m:t>
                </m:r>
                <m:sSub>
                  <m:sSubPr>
                    <m:ctrlPr>
                      <w:rPr>
                        <w:rFonts w:ascii="Cambria Math" w:hAnsi="Cambria Math" w:cs="Arial"/>
                        <w:i/>
                        <w:sz w:val="20"/>
                        <w:szCs w:val="20"/>
                      </w:rPr>
                    </m:ctrlPr>
                  </m:sSubPr>
                  <m:e>
                    <m:r>
                      <w:rPr>
                        <w:rFonts w:ascii="Cambria Math" w:hAnsi="Cambria Math" w:cs="Arial"/>
                        <w:sz w:val="20"/>
                        <w:szCs w:val="20"/>
                      </w:rPr>
                      <m:t>θ</m:t>
                    </m:r>
                  </m:e>
                  <m:sub>
                    <m:r>
                      <w:rPr>
                        <w:rFonts w:ascii="Cambria Math" w:hAnsi="Cambria Math" w:cs="Arial"/>
                        <w:sz w:val="20"/>
                        <w:szCs w:val="20"/>
                      </w:rPr>
                      <m:t>0</m:t>
                    </m:r>
                  </m:sub>
                </m:sSub>
                <m:r>
                  <w:rPr>
                    <w:rFonts w:ascii="Cambria Math" w:hAnsi="Cambria Math" w:cs="Arial"/>
                    <w:sz w:val="20"/>
                    <w:szCs w:val="20"/>
                  </w:rPr>
                  <m:t>+</m:t>
                </m:r>
                <m:sSub>
                  <m:sSubPr>
                    <m:ctrlPr>
                      <w:rPr>
                        <w:rFonts w:ascii="Cambria Math" w:hAnsi="Cambria Math" w:cs="Arial"/>
                        <w:i/>
                        <w:sz w:val="20"/>
                        <w:szCs w:val="20"/>
                      </w:rPr>
                    </m:ctrlPr>
                  </m:sSubPr>
                  <m:e>
                    <m:r>
                      <w:rPr>
                        <w:rFonts w:ascii="Cambria Math" w:hAnsi="Cambria Math" w:cs="Arial"/>
                        <w:sz w:val="20"/>
                        <w:szCs w:val="20"/>
                      </w:rPr>
                      <m:t>θ</m:t>
                    </m:r>
                  </m:e>
                  <m:sub>
                    <m:r>
                      <w:rPr>
                        <w:rFonts w:ascii="Cambria Math" w:hAnsi="Cambria Math" w:cs="Arial"/>
                        <w:sz w:val="20"/>
                        <w:szCs w:val="20"/>
                      </w:rPr>
                      <m:t>q</m:t>
                    </m:r>
                  </m:sub>
                </m:sSub>
                <m:r>
                  <w:rPr>
                    <w:rFonts w:ascii="Cambria Math" w:hAnsi="Cambria Math" w:cs="Arial"/>
                    <w:sz w:val="20"/>
                    <w:szCs w:val="20"/>
                  </w:rPr>
                  <m:t>(B)</m:t>
                </m:r>
                <m:sSub>
                  <m:sSubPr>
                    <m:ctrlPr>
                      <w:rPr>
                        <w:rFonts w:ascii="Cambria Math" w:hAnsi="Cambria Math" w:cs="Arial"/>
                        <w:i/>
                        <w:sz w:val="20"/>
                        <w:szCs w:val="20"/>
                      </w:rPr>
                    </m:ctrlPr>
                  </m:sSubPr>
                  <m:e>
                    <m:r>
                      <w:rPr>
                        <w:rFonts w:ascii="Cambria Math" w:hAnsi="Cambria Math" w:cs="Arial"/>
                        <w:sz w:val="20"/>
                        <w:szCs w:val="20"/>
                      </w:rPr>
                      <m:t>Θ</m:t>
                    </m:r>
                  </m:e>
                  <m:sub>
                    <m:r>
                      <w:rPr>
                        <w:rFonts w:ascii="Cambria Math" w:hAnsi="Cambria Math" w:cs="Arial"/>
                        <w:sz w:val="20"/>
                        <w:szCs w:val="20"/>
                      </w:rPr>
                      <m:t>Q</m:t>
                    </m:r>
                  </m:sub>
                </m:sSub>
                <m:r>
                  <w:rPr>
                    <w:rFonts w:ascii="Cambria Math" w:hAnsi="Cambria Math" w:cs="Arial"/>
                    <w:sz w:val="20"/>
                    <w:szCs w:val="20"/>
                  </w:rPr>
                  <m:t>(</m:t>
                </m:r>
                <m:sSup>
                  <m:sSupPr>
                    <m:ctrlPr>
                      <w:rPr>
                        <w:rFonts w:ascii="Cambria Math" w:hAnsi="Cambria Math" w:cs="Arial"/>
                        <w:i/>
                        <w:sz w:val="20"/>
                        <w:szCs w:val="20"/>
                      </w:rPr>
                    </m:ctrlPr>
                  </m:sSupPr>
                  <m:e>
                    <m:r>
                      <w:rPr>
                        <w:rFonts w:ascii="Cambria Math" w:hAnsi="Cambria Math" w:cs="Arial"/>
                        <w:sz w:val="20"/>
                        <w:szCs w:val="20"/>
                      </w:rPr>
                      <m:t>B</m:t>
                    </m:r>
                  </m:e>
                  <m:sup>
                    <m:r>
                      <w:rPr>
                        <w:rFonts w:ascii="Cambria Math" w:hAnsi="Cambria Math" w:cs="Arial"/>
                        <w:sz w:val="20"/>
                        <w:szCs w:val="20"/>
                      </w:rPr>
                      <m:t>s</m:t>
                    </m:r>
                  </m:sup>
                </m:sSup>
                <m:r>
                  <w:rPr>
                    <w:rFonts w:ascii="Cambria Math" w:hAnsi="Cambria Math" w:cs="Arial"/>
                    <w:sz w:val="20"/>
                    <w:szCs w:val="20"/>
                  </w:rPr>
                  <m:t>)</m:t>
                </m:r>
                <m:sSub>
                  <m:sSubPr>
                    <m:ctrlPr>
                      <w:rPr>
                        <w:rFonts w:ascii="Cambria Math" w:hAnsi="Cambria Math" w:cs="Arial"/>
                        <w:i/>
                        <w:sz w:val="20"/>
                        <w:szCs w:val="20"/>
                      </w:rPr>
                    </m:ctrlPr>
                  </m:sSubPr>
                  <m:e>
                    <m:r>
                      <w:rPr>
                        <w:rFonts w:ascii="Cambria Math" w:hAnsi="Cambria Math" w:cs="Arial"/>
                        <w:sz w:val="20"/>
                        <w:szCs w:val="20"/>
                      </w:rPr>
                      <m:t>e</m:t>
                    </m:r>
                  </m:e>
                  <m:sub>
                    <m:r>
                      <w:rPr>
                        <w:rFonts w:ascii="Cambria Math" w:hAnsi="Cambria Math" w:cs="Arial"/>
                        <w:sz w:val="20"/>
                        <w:szCs w:val="20"/>
                      </w:rPr>
                      <m:t>t</m:t>
                    </m:r>
                  </m:sub>
                </m:sSub>
              </m:oMath>
            </m:oMathPara>
          </w:p>
        </w:tc>
        <w:tc>
          <w:tcPr>
            <w:tcW w:w="567" w:type="dxa"/>
            <w:vAlign w:val="center"/>
          </w:tcPr>
          <w:p w:rsidR="009F5F59" w:rsidRDefault="009F5F59" w:rsidP="00871D77">
            <w:pPr>
              <w:pBdr>
                <w:top w:val="nil"/>
                <w:left w:val="nil"/>
                <w:bottom w:val="nil"/>
                <w:right w:val="nil"/>
                <w:between w:val="nil"/>
              </w:pBdr>
              <w:spacing w:before="120" w:after="120"/>
              <w:ind w:left="0" w:hanging="2"/>
              <w:jc w:val="right"/>
              <w:rPr>
                <w:rFonts w:ascii="Arial" w:eastAsia="Arial" w:hAnsi="Arial" w:cs="Arial"/>
                <w:color w:val="000000"/>
                <w:sz w:val="20"/>
                <w:szCs w:val="20"/>
              </w:rPr>
            </w:pPr>
            <w:r>
              <w:rPr>
                <w:rFonts w:ascii="Arial" w:eastAsia="Arial" w:hAnsi="Arial" w:cs="Arial"/>
                <w:color w:val="000000"/>
                <w:sz w:val="20"/>
                <w:szCs w:val="20"/>
              </w:rPr>
              <w:t>(</w:t>
            </w:r>
            <w:r w:rsidR="008410E4">
              <w:rPr>
                <w:rFonts w:ascii="Arial" w:eastAsia="Arial" w:hAnsi="Arial" w:cs="Arial"/>
                <w:color w:val="000000"/>
                <w:sz w:val="20"/>
                <w:szCs w:val="20"/>
              </w:rPr>
              <w:t>3</w:t>
            </w:r>
            <w:r>
              <w:rPr>
                <w:rFonts w:ascii="Arial" w:eastAsia="Arial" w:hAnsi="Arial" w:cs="Arial"/>
                <w:color w:val="000000"/>
                <w:sz w:val="20"/>
                <w:szCs w:val="20"/>
              </w:rPr>
              <w:t>)</w:t>
            </w:r>
          </w:p>
        </w:tc>
      </w:tr>
    </w:tbl>
    <w:p w:rsidR="0078233C" w:rsidRPr="0078233C" w:rsidRDefault="0078233C" w:rsidP="00871D77">
      <w:pPr>
        <w:spacing w:after="0"/>
        <w:ind w:left="0" w:hanging="2"/>
        <w:jc w:val="both"/>
        <w:rPr>
          <w:rFonts w:ascii="Arial" w:eastAsiaTheme="minorEastAsia" w:hAnsi="Arial" w:cs="Arial"/>
          <w:sz w:val="20"/>
          <w:szCs w:val="20"/>
        </w:rPr>
      </w:pPr>
      <w:r w:rsidRPr="0078233C">
        <w:rPr>
          <w:rFonts w:ascii="Arial" w:hAnsi="Arial" w:cs="Arial"/>
          <w:sz w:val="20"/>
          <w:szCs w:val="20"/>
        </w:rPr>
        <w:t xml:space="preserve">With </w:t>
      </w:r>
      <m:oMath>
        <m:sSub>
          <m:sSubPr>
            <m:ctrlPr>
              <w:rPr>
                <w:rFonts w:ascii="Cambria Math" w:hAnsi="Cambria Math" w:cs="Arial"/>
                <w:i/>
                <w:sz w:val="20"/>
                <w:szCs w:val="20"/>
              </w:rPr>
            </m:ctrlPr>
          </m:sSubPr>
          <m:e>
            <m:r>
              <w:rPr>
                <w:rFonts w:ascii="Cambria Math" w:hAnsi="Cambria Math" w:cs="Arial"/>
                <w:sz w:val="20"/>
                <w:szCs w:val="20"/>
              </w:rPr>
              <m:t>Y</m:t>
            </m:r>
          </m:e>
          <m:sub>
            <m:r>
              <w:rPr>
                <w:rFonts w:ascii="Cambria Math" w:hAnsi="Cambria Math" w:cs="Arial"/>
                <w:sz w:val="20"/>
                <w:szCs w:val="20"/>
              </w:rPr>
              <m:t>t</m:t>
            </m:r>
          </m:sub>
        </m:sSub>
      </m:oMath>
      <w:r w:rsidR="00A601E9">
        <w:rPr>
          <w:rFonts w:ascii="Arial" w:eastAsiaTheme="minorEastAsia" w:hAnsi="Arial" w:cs="Arial"/>
          <w:sz w:val="20"/>
          <w:szCs w:val="20"/>
        </w:rPr>
        <w:t xml:space="preserve"> as the real</w:t>
      </w:r>
      <w:r w:rsidR="00420CAE">
        <w:rPr>
          <w:rFonts w:ascii="Arial" w:eastAsiaTheme="minorEastAsia" w:hAnsi="Arial" w:cs="Arial"/>
          <w:sz w:val="20"/>
          <w:szCs w:val="20"/>
        </w:rPr>
        <w:t xml:space="preserve"> or observed</w:t>
      </w:r>
      <w:r w:rsidRPr="0078233C">
        <w:rPr>
          <w:rFonts w:ascii="Arial" w:eastAsiaTheme="minorEastAsia" w:hAnsi="Arial" w:cs="Arial"/>
          <w:sz w:val="20"/>
          <w:szCs w:val="20"/>
        </w:rPr>
        <w:t xml:space="preserve"> data value,</w:t>
      </w:r>
      <w:r w:rsidRPr="0078233C">
        <w:rPr>
          <w:rFonts w:ascii="Arial" w:hAnsi="Arial" w:cs="Arial"/>
          <w:sz w:val="20"/>
          <w:szCs w:val="20"/>
        </w:rPr>
        <w:t xml:space="preserve"> </w:t>
      </w:r>
      <m:oMath>
        <m:sSub>
          <m:sSubPr>
            <m:ctrlPr>
              <w:rPr>
                <w:rFonts w:ascii="Cambria Math" w:hAnsi="Cambria Math" w:cs="Arial"/>
                <w:i/>
                <w:sz w:val="20"/>
                <w:szCs w:val="20"/>
              </w:rPr>
            </m:ctrlPr>
          </m:sSubPr>
          <m:e>
            <m:r>
              <w:rPr>
                <w:rFonts w:ascii="Cambria Math" w:hAnsi="Cambria Math" w:cs="Arial"/>
                <w:sz w:val="20"/>
                <w:szCs w:val="20"/>
              </w:rPr>
              <m:t>∅</m:t>
            </m:r>
          </m:e>
          <m:sub>
            <m:r>
              <w:rPr>
                <w:rFonts w:ascii="Cambria Math" w:hAnsi="Cambria Math" w:cs="Arial"/>
                <w:sz w:val="20"/>
                <w:szCs w:val="20"/>
              </w:rPr>
              <m:t>p</m:t>
            </m:r>
          </m:sub>
        </m:sSub>
        <m:d>
          <m:dPr>
            <m:ctrlPr>
              <w:rPr>
                <w:rFonts w:ascii="Cambria Math" w:hAnsi="Cambria Math" w:cs="Arial"/>
                <w:i/>
                <w:sz w:val="20"/>
                <w:szCs w:val="20"/>
              </w:rPr>
            </m:ctrlPr>
          </m:dPr>
          <m:e>
            <m:r>
              <w:rPr>
                <w:rFonts w:ascii="Cambria Math" w:hAnsi="Cambria Math" w:cs="Arial"/>
                <w:sz w:val="20"/>
                <w:szCs w:val="20"/>
              </w:rPr>
              <m:t>B</m:t>
            </m:r>
          </m:e>
        </m:d>
      </m:oMath>
      <w:r w:rsidRPr="0078233C">
        <w:rPr>
          <w:rFonts w:ascii="Arial" w:eastAsiaTheme="minorEastAsia" w:hAnsi="Arial" w:cs="Arial"/>
          <w:sz w:val="20"/>
          <w:szCs w:val="20"/>
        </w:rPr>
        <w:t xml:space="preserve"> i</w:t>
      </w:r>
      <w:r w:rsidR="00871D77">
        <w:rPr>
          <w:rFonts w:ascii="Arial" w:eastAsiaTheme="minorEastAsia" w:hAnsi="Arial" w:cs="Arial"/>
          <w:sz w:val="20"/>
          <w:szCs w:val="20"/>
        </w:rPr>
        <w:t>s</w:t>
      </w:r>
      <w:r w:rsidRPr="0078233C">
        <w:rPr>
          <w:rFonts w:ascii="Arial" w:eastAsiaTheme="minorEastAsia" w:hAnsi="Arial" w:cs="Arial"/>
          <w:sz w:val="20"/>
          <w:szCs w:val="20"/>
        </w:rPr>
        <w:t xml:space="preserve"> </w:t>
      </w:r>
      <w:r w:rsidR="006637D3">
        <w:rPr>
          <w:rFonts w:ascii="Arial" w:eastAsiaTheme="minorEastAsia" w:hAnsi="Arial" w:cs="Arial"/>
          <w:sz w:val="20"/>
          <w:szCs w:val="20"/>
        </w:rPr>
        <w:t xml:space="preserve">the </w:t>
      </w:r>
      <w:r w:rsidR="004A4647">
        <w:rPr>
          <w:rFonts w:ascii="Arial" w:eastAsiaTheme="minorEastAsia" w:hAnsi="Arial" w:cs="Arial"/>
          <w:sz w:val="20"/>
          <w:szCs w:val="20"/>
        </w:rPr>
        <w:t>ord</w:t>
      </w:r>
      <w:r w:rsidR="00687C08">
        <w:rPr>
          <w:rFonts w:ascii="Arial" w:eastAsiaTheme="minorEastAsia" w:hAnsi="Arial" w:cs="Arial"/>
          <w:sz w:val="20"/>
          <w:szCs w:val="20"/>
        </w:rPr>
        <w:t>er</w:t>
      </w:r>
      <w:r w:rsidRPr="0078233C">
        <w:rPr>
          <w:rFonts w:ascii="Arial" w:eastAsiaTheme="minorEastAsia" w:hAnsi="Arial" w:cs="Arial"/>
          <w:sz w:val="20"/>
          <w:szCs w:val="20"/>
        </w:rPr>
        <w:t xml:space="preserve"> of p, </w:t>
      </w:r>
      <m:oMath>
        <m:d>
          <m:dPr>
            <m:ctrlPr>
              <w:rPr>
                <w:rFonts w:ascii="Cambria Math" w:hAnsi="Cambria Math" w:cs="Arial"/>
                <w:i/>
                <w:sz w:val="20"/>
                <w:szCs w:val="20"/>
              </w:rPr>
            </m:ctrlPr>
          </m:dPr>
          <m:e>
            <m:r>
              <w:rPr>
                <w:rFonts w:ascii="Cambria Math" w:hAnsi="Cambria Math" w:cs="Arial"/>
                <w:sz w:val="20"/>
                <w:szCs w:val="20"/>
              </w:rPr>
              <m:t>1-B</m:t>
            </m:r>
          </m:e>
        </m:d>
      </m:oMath>
      <w:r w:rsidRPr="0078233C">
        <w:rPr>
          <w:rFonts w:ascii="Arial" w:eastAsiaTheme="minorEastAsia" w:hAnsi="Arial" w:cs="Arial"/>
          <w:sz w:val="20"/>
          <w:szCs w:val="20"/>
        </w:rPr>
        <w:t xml:space="preserve"> is a differencing </w:t>
      </w:r>
      <w:r w:rsidR="004A4647">
        <w:rPr>
          <w:rFonts w:ascii="Arial" w:eastAsiaTheme="minorEastAsia" w:hAnsi="Arial" w:cs="Arial"/>
          <w:sz w:val="20"/>
          <w:szCs w:val="20"/>
        </w:rPr>
        <w:t>operator for non-seasonal pattern</w:t>
      </w:r>
      <w:r w:rsidR="00687C08">
        <w:rPr>
          <w:rFonts w:ascii="Arial" w:eastAsiaTheme="minorEastAsia" w:hAnsi="Arial" w:cs="Arial"/>
          <w:sz w:val="20"/>
          <w:szCs w:val="20"/>
        </w:rPr>
        <w:t>s</w:t>
      </w:r>
      <w:r w:rsidRPr="0078233C">
        <w:rPr>
          <w:rFonts w:ascii="Arial" w:eastAsiaTheme="minorEastAsia" w:hAnsi="Arial" w:cs="Arial"/>
          <w:sz w:val="20"/>
          <w:szCs w:val="20"/>
        </w:rPr>
        <w:t xml:space="preserve">, d as the number of differencing, t as the period at t, </w:t>
      </w:r>
      <m:oMath>
        <m:sSub>
          <m:sSubPr>
            <m:ctrlPr>
              <w:rPr>
                <w:rFonts w:ascii="Cambria Math" w:hAnsi="Cambria Math" w:cs="Arial"/>
                <w:i/>
                <w:sz w:val="20"/>
                <w:szCs w:val="20"/>
              </w:rPr>
            </m:ctrlPr>
          </m:sSubPr>
          <m:e>
            <m:r>
              <w:rPr>
                <w:rFonts w:ascii="Cambria Math" w:hAnsi="Cambria Math" w:cs="Arial"/>
                <w:sz w:val="20"/>
                <w:szCs w:val="20"/>
              </w:rPr>
              <m:t>θ</m:t>
            </m:r>
          </m:e>
          <m:sub>
            <m:r>
              <w:rPr>
                <w:rFonts w:ascii="Cambria Math" w:hAnsi="Cambria Math" w:cs="Arial"/>
                <w:sz w:val="20"/>
                <w:szCs w:val="20"/>
              </w:rPr>
              <m:t>0</m:t>
            </m:r>
          </m:sub>
        </m:sSub>
      </m:oMath>
      <w:r w:rsidRPr="0078233C">
        <w:rPr>
          <w:rFonts w:ascii="Arial" w:eastAsiaTheme="minorEastAsia" w:hAnsi="Arial" w:cs="Arial"/>
          <w:sz w:val="20"/>
          <w:szCs w:val="20"/>
        </w:rPr>
        <w:t xml:space="preserve"> the constant term, </w:t>
      </w:r>
      <m:oMath>
        <m:sSub>
          <m:sSubPr>
            <m:ctrlPr>
              <w:rPr>
                <w:rFonts w:ascii="Cambria Math" w:hAnsi="Cambria Math" w:cs="Arial"/>
                <w:i/>
                <w:sz w:val="20"/>
                <w:szCs w:val="20"/>
              </w:rPr>
            </m:ctrlPr>
          </m:sSubPr>
          <m:e>
            <m:r>
              <w:rPr>
                <w:rFonts w:ascii="Cambria Math" w:hAnsi="Cambria Math" w:cs="Arial"/>
                <w:sz w:val="20"/>
                <w:szCs w:val="20"/>
              </w:rPr>
              <m:t>θ</m:t>
            </m:r>
          </m:e>
          <m:sub>
            <m:r>
              <w:rPr>
                <w:rFonts w:ascii="Cambria Math" w:hAnsi="Cambria Math" w:cs="Arial"/>
                <w:sz w:val="20"/>
                <w:szCs w:val="20"/>
              </w:rPr>
              <m:t>q</m:t>
            </m:r>
          </m:sub>
        </m:sSub>
        <m:r>
          <w:rPr>
            <w:rFonts w:ascii="Cambria Math" w:hAnsi="Cambria Math" w:cs="Arial"/>
            <w:sz w:val="20"/>
            <w:szCs w:val="20"/>
          </w:rPr>
          <m:t>(B)</m:t>
        </m:r>
      </m:oMath>
      <w:r w:rsidRPr="0078233C">
        <w:rPr>
          <w:rFonts w:ascii="Arial" w:eastAsiaTheme="minorEastAsia" w:hAnsi="Arial" w:cs="Arial"/>
          <w:sz w:val="20"/>
          <w:szCs w:val="20"/>
        </w:rPr>
        <w:t xml:space="preserve"> as the order of q, and </w:t>
      </w:r>
      <m:oMath>
        <m:sSub>
          <m:sSubPr>
            <m:ctrlPr>
              <w:rPr>
                <w:rFonts w:ascii="Cambria Math" w:hAnsi="Cambria Math" w:cs="Arial"/>
                <w:i/>
                <w:sz w:val="20"/>
                <w:szCs w:val="20"/>
              </w:rPr>
            </m:ctrlPr>
          </m:sSubPr>
          <m:e>
            <m:r>
              <w:rPr>
                <w:rFonts w:ascii="Cambria Math" w:hAnsi="Cambria Math" w:cs="Arial"/>
                <w:sz w:val="20"/>
                <w:szCs w:val="20"/>
              </w:rPr>
              <m:t>e</m:t>
            </m:r>
          </m:e>
          <m:sub>
            <m:r>
              <w:rPr>
                <w:rFonts w:ascii="Cambria Math" w:hAnsi="Cambria Math" w:cs="Arial"/>
                <w:sz w:val="20"/>
                <w:szCs w:val="20"/>
              </w:rPr>
              <m:t>t</m:t>
            </m:r>
          </m:sub>
        </m:sSub>
      </m:oMath>
      <w:r w:rsidRPr="0078233C">
        <w:rPr>
          <w:rFonts w:ascii="Arial" w:eastAsiaTheme="minorEastAsia" w:hAnsi="Arial" w:cs="Arial"/>
          <w:sz w:val="20"/>
          <w:szCs w:val="20"/>
        </w:rPr>
        <w:t xml:space="preserve"> as the error at time t. These symbols are used both in ARIMA and SARIMA. For SARIMA there are more symbols in the formula. With </w:t>
      </w:r>
      <m:oMath>
        <m:sSub>
          <m:sSubPr>
            <m:ctrlPr>
              <w:rPr>
                <w:rFonts w:ascii="Cambria Math" w:hAnsi="Cambria Math" w:cs="Arial"/>
                <w:i/>
                <w:sz w:val="20"/>
                <w:szCs w:val="20"/>
              </w:rPr>
            </m:ctrlPr>
          </m:sSubPr>
          <m:e>
            <m:r>
              <m:rPr>
                <m:sty m:val="p"/>
              </m:rPr>
              <w:rPr>
                <w:rFonts w:ascii="Cambria Math" w:hAnsi="Cambria Math" w:cs="Arial"/>
                <w:sz w:val="20"/>
                <w:szCs w:val="20"/>
              </w:rPr>
              <m:t>Φ</m:t>
            </m:r>
          </m:e>
          <m:sub>
            <m:r>
              <w:rPr>
                <w:rFonts w:ascii="Cambria Math" w:hAnsi="Cambria Math" w:cs="Arial"/>
                <w:sz w:val="20"/>
                <w:szCs w:val="20"/>
              </w:rPr>
              <m:t>p</m:t>
            </m:r>
          </m:sub>
        </m:sSub>
        <m:sSup>
          <m:sSupPr>
            <m:ctrlPr>
              <w:rPr>
                <w:rFonts w:ascii="Cambria Math" w:hAnsi="Cambria Math" w:cs="Arial"/>
                <w:i/>
                <w:sz w:val="20"/>
                <w:szCs w:val="20"/>
              </w:rPr>
            </m:ctrlPr>
          </m:sSupPr>
          <m:e>
            <m:r>
              <w:rPr>
                <w:rFonts w:ascii="Cambria Math" w:hAnsi="Cambria Math" w:cs="Arial"/>
                <w:sz w:val="20"/>
                <w:szCs w:val="20"/>
              </w:rPr>
              <m:t>(B</m:t>
            </m:r>
          </m:e>
          <m:sup>
            <m:r>
              <w:rPr>
                <w:rFonts w:ascii="Cambria Math" w:hAnsi="Cambria Math" w:cs="Arial"/>
                <w:sz w:val="20"/>
                <w:szCs w:val="20"/>
              </w:rPr>
              <m:t>s</m:t>
            </m:r>
          </m:sup>
        </m:sSup>
        <m:r>
          <w:rPr>
            <w:rFonts w:ascii="Cambria Math" w:hAnsi="Cambria Math" w:cs="Arial"/>
            <w:sz w:val="20"/>
            <w:szCs w:val="20"/>
          </w:rPr>
          <m:t>)</m:t>
        </m:r>
      </m:oMath>
      <w:r w:rsidRPr="0078233C">
        <w:rPr>
          <w:rFonts w:ascii="Arial" w:eastAsiaTheme="minorEastAsia" w:hAnsi="Arial" w:cs="Arial"/>
          <w:sz w:val="20"/>
          <w:szCs w:val="20"/>
        </w:rPr>
        <w:t xml:space="preserve"> in order of P, </w:t>
      </w:r>
      <m:oMath>
        <m:sSup>
          <m:sSupPr>
            <m:ctrlPr>
              <w:rPr>
                <w:rFonts w:ascii="Cambria Math" w:hAnsi="Cambria Math" w:cs="Arial"/>
                <w:i/>
                <w:sz w:val="20"/>
                <w:szCs w:val="20"/>
              </w:rPr>
            </m:ctrlPr>
          </m:sSupPr>
          <m:e>
            <m:d>
              <m:dPr>
                <m:ctrlPr>
                  <w:rPr>
                    <w:rFonts w:ascii="Cambria Math" w:hAnsi="Cambria Math" w:cs="Arial"/>
                    <w:i/>
                    <w:sz w:val="20"/>
                    <w:szCs w:val="20"/>
                  </w:rPr>
                </m:ctrlPr>
              </m:dPr>
              <m:e>
                <m:r>
                  <w:rPr>
                    <w:rFonts w:ascii="Cambria Math" w:hAnsi="Cambria Math" w:cs="Arial"/>
                    <w:sz w:val="20"/>
                    <w:szCs w:val="20"/>
                  </w:rPr>
                  <m:t>1-B</m:t>
                </m:r>
              </m:e>
            </m:d>
          </m:e>
          <m:sup>
            <m:r>
              <w:rPr>
                <w:rFonts w:ascii="Cambria Math" w:hAnsi="Cambria Math" w:cs="Arial"/>
                <w:sz w:val="20"/>
                <w:szCs w:val="20"/>
              </w:rPr>
              <m:t>d</m:t>
            </m:r>
          </m:sup>
        </m:sSup>
      </m:oMath>
      <w:r w:rsidRPr="0078233C">
        <w:rPr>
          <w:rFonts w:ascii="Arial" w:eastAsiaTheme="minorEastAsia" w:hAnsi="Arial" w:cs="Arial"/>
          <w:sz w:val="20"/>
          <w:szCs w:val="20"/>
        </w:rPr>
        <w:t xml:space="preserve"> in order of Q, s as the seasonal period length, D as the seasonal differencing, </w:t>
      </w:r>
      <m:oMath>
        <m:r>
          <w:rPr>
            <w:rFonts w:ascii="Cambria Math" w:hAnsi="Cambria Math" w:cs="Arial"/>
            <w:sz w:val="20"/>
            <w:szCs w:val="20"/>
          </w:rPr>
          <m:t>(1-</m:t>
        </m:r>
        <m:sSup>
          <m:sSupPr>
            <m:ctrlPr>
              <w:rPr>
                <w:rFonts w:ascii="Cambria Math" w:hAnsi="Cambria Math" w:cs="Arial"/>
                <w:i/>
                <w:sz w:val="20"/>
                <w:szCs w:val="20"/>
              </w:rPr>
            </m:ctrlPr>
          </m:sSupPr>
          <m:e>
            <m:r>
              <w:rPr>
                <w:rFonts w:ascii="Cambria Math" w:hAnsi="Cambria Math" w:cs="Arial"/>
                <w:sz w:val="20"/>
                <w:szCs w:val="20"/>
              </w:rPr>
              <m:t>B</m:t>
            </m:r>
          </m:e>
          <m:sup>
            <m:r>
              <w:rPr>
                <w:rFonts w:ascii="Cambria Math" w:hAnsi="Cambria Math" w:cs="Arial"/>
                <w:sz w:val="20"/>
                <w:szCs w:val="20"/>
              </w:rPr>
              <m:t>s</m:t>
            </m:r>
          </m:sup>
        </m:sSup>
        <m:r>
          <w:rPr>
            <w:rFonts w:ascii="Cambria Math" w:hAnsi="Cambria Math" w:cs="Arial"/>
            <w:sz w:val="20"/>
            <w:szCs w:val="20"/>
          </w:rPr>
          <m:t>)</m:t>
        </m:r>
      </m:oMath>
      <w:r w:rsidRPr="0078233C">
        <w:rPr>
          <w:rFonts w:ascii="Arial" w:eastAsiaTheme="minorEastAsia" w:hAnsi="Arial" w:cs="Arial"/>
          <w:sz w:val="20"/>
          <w:szCs w:val="20"/>
        </w:rPr>
        <w:t xml:space="preserve"> as a seasonal differencing operator. </w:t>
      </w:r>
    </w:p>
    <w:p w:rsidR="00BC7E6E" w:rsidRDefault="003F171F" w:rsidP="003F171F">
      <w:pPr>
        <w:spacing w:after="0" w:line="240" w:lineRule="auto"/>
        <w:ind w:left="0" w:hanging="2"/>
        <w:jc w:val="both"/>
        <w:rPr>
          <w:rFonts w:ascii="Arial" w:eastAsia="Arial" w:hAnsi="Arial" w:cs="Arial"/>
          <w:sz w:val="20"/>
          <w:szCs w:val="20"/>
        </w:rPr>
      </w:pPr>
      <w:r w:rsidRPr="003F171F">
        <w:rPr>
          <w:rFonts w:ascii="Arial" w:hAnsi="Arial" w:cs="Arial"/>
          <w:sz w:val="20"/>
          <w:szCs w:val="20"/>
        </w:rPr>
        <w:t xml:space="preserve">There are several residual requirements for both ARIMA and SARIMA; so that the model can be </w:t>
      </w:r>
      <w:r w:rsidRPr="003F171F">
        <w:rPr>
          <w:rFonts w:ascii="Arial" w:hAnsi="Arial" w:cs="Arial"/>
          <w:sz w:val="20"/>
          <w:szCs w:val="20"/>
        </w:rPr>
        <w:lastRenderedPageBreak/>
        <w:t xml:space="preserve">considered valid or not biased. Those are the residuals of the model should be independent or not have autocorrelation, should be homoscedasticity, and have a normal distribution </w:t>
      </w:r>
      <w:r w:rsidRPr="003F171F">
        <w:rPr>
          <w:rFonts w:ascii="Arial" w:hAnsi="Arial" w:cs="Arial"/>
          <w:sz w:val="20"/>
          <w:szCs w:val="20"/>
        </w:rPr>
        <w:fldChar w:fldCharType="begin" w:fldLock="1"/>
      </w:r>
      <w:r w:rsidR="00AA5E59">
        <w:rPr>
          <w:rFonts w:ascii="Arial" w:hAnsi="Arial" w:cs="Arial"/>
          <w:sz w:val="20"/>
          <w:szCs w:val="20"/>
        </w:rPr>
        <w:instrText>ADDIN CSL_CITATION {"citationItems":[{"id":"ITEM-1","itemData":{"DOI":"10.1016/j.annepidem.2007.03.020","ISSN":"10472797","PMID":"17604645","abstract":"Purpose: Few studies have examined the relationship between weather variables and cryptosporidiosis in Australia. This paper examines the potential impact of weather variability on the transmission of cryptosporidiosis and explores the possibility of developing an empirical forecast system. Methods: Data on weather variables, notified cryptosporidiosis cases, and population size in Brisbane were supplied by the Australian Bureau of Meteorology, Queensland Department of Health, and Australian Bureau of Statistics for the period of January 1, 1996-December 31, 2004, respectively. Time series Poisson regression and seasonal auto-regression integrated moving average (SARIMA) models were performed to examine the potential impact of weather variability on the transmission of cryptosporidiosis. Results: Both the time series Poisson regression and SARIMA models show that seasonal and monthly maximum temperature at a prior moving average of 1 and 3 months were significantly associated with cryptosporidiosis disease. It suggests that there may be 50 more cases a year for an increase of 1°C maximum temperature on average in Brisbane. Model assessments indicated that the SARIMA model had better predictive ability than the Poisson regression model (SARIMA: root mean square error (RMSE): 0.40, Akaike information criterion (AIC): -12.53; Poisson regression: RMSE: 0.54, AIC: -2.84). Furthermore, the analysis of residuals shows that the time series Poisson regression appeared to violate a modeling assumption, in that residual autocorrelation persisted. Conclusions: The results of this study suggest that weather variability (particularly maximum temperature) may have played a significant role in the transmission of cryptosporidiosis. A SARIMA model may be a better predictive model than a Poisson regression model in the assessment of the relationship between weather variability and the incidence of cryptosporidiosis. © 2007 Elsevier Inc. All rights reserved.","author":[{"dropping-particle":"","family":"Hu","given":"Wenbiao","non-dropping-particle":"","parse-names":false,"suffix":""},{"dropping-particle":"","family":"Tong","given":"Shilu","non-dropping-particle":"","parse-names":false,"suffix":""},{"dropping-particle":"","family":"Mengersen","given":"Kerrie","non-dropping-particle":"","parse-names":false,"suffix":""},{"dropping-particle":"","family":"Connell","given":"Des","non-dropping-particle":"","parse-names":false,"suffix":""}],"container-title":"Annals of Epidemiology","id":"ITEM-1","issue":"9","issued":{"date-parts":[["2007"]]},"page":"679-688","title":"Weather Variability and the Incidence of Cryptosporidiosis: Comparison of Time Series Poisson Regression and SARIMA Models","type":"article-journal","volume":"17"},"uris":["http://www.mendeley.com/documents/?uuid=590ecbbe-5fef-4436-9f4d-f96063723201"]}],"mendeley":{"formattedCitation":"[27]","plainTextFormattedCitation":"[27]","previouslyFormattedCitation":"[27]"},"properties":{"noteIndex":0},"schema":"https://github.com/citation-style-language/schema/raw/master/csl-citation.json"}</w:instrText>
      </w:r>
      <w:r w:rsidRPr="003F171F">
        <w:rPr>
          <w:rFonts w:ascii="Arial" w:hAnsi="Arial" w:cs="Arial"/>
          <w:sz w:val="20"/>
          <w:szCs w:val="20"/>
        </w:rPr>
        <w:fldChar w:fldCharType="separate"/>
      </w:r>
      <w:r w:rsidR="00AA5E59" w:rsidRPr="00AA5E59">
        <w:rPr>
          <w:rFonts w:ascii="Arial" w:hAnsi="Arial" w:cs="Arial"/>
          <w:noProof/>
          <w:sz w:val="20"/>
          <w:szCs w:val="20"/>
        </w:rPr>
        <w:t>[27]</w:t>
      </w:r>
      <w:r w:rsidRPr="003F171F">
        <w:rPr>
          <w:rFonts w:ascii="Arial" w:hAnsi="Arial" w:cs="Arial"/>
          <w:sz w:val="20"/>
          <w:szCs w:val="20"/>
        </w:rPr>
        <w:fldChar w:fldCharType="end"/>
      </w:r>
      <w:r w:rsidRPr="003F171F">
        <w:rPr>
          <w:rFonts w:ascii="Arial" w:hAnsi="Arial" w:cs="Arial"/>
          <w:sz w:val="20"/>
          <w:szCs w:val="20"/>
        </w:rPr>
        <w:t xml:space="preserve">. The autocorrelation and homoscedasticity can be checked by ACF and PACF graphs </w:t>
      </w:r>
      <w:r w:rsidRPr="003F171F">
        <w:rPr>
          <w:rFonts w:ascii="Arial" w:hAnsi="Arial" w:cs="Arial"/>
          <w:sz w:val="20"/>
          <w:szCs w:val="20"/>
        </w:rPr>
        <w:fldChar w:fldCharType="begin" w:fldLock="1"/>
      </w:r>
      <w:r w:rsidR="00AA5E59">
        <w:rPr>
          <w:rFonts w:ascii="Arial" w:hAnsi="Arial" w:cs="Arial"/>
          <w:sz w:val="20"/>
          <w:szCs w:val="20"/>
        </w:rPr>
        <w:instrText>ADDIN CSL_CITATION {"citationItems":[{"id":"ITEM-1","itemData":{"DOI":"10.1057/s41270-022-00162-x","ISBN":"0123456789","ISSN":"20503326","abstract":"Time series forecasting in retail plays an important role for retailers due to its capacity to aid managers in strategic planning to meet demand. In this article, a comparative experiment between two demand forecasting models is conducted to forecast an aggregate time series in Brazilian food retail on a twelve-year horizon. Performance was analyzed by comparing the accuracy of a linear model, Seasonal Autoregressive Integrated Moving Average (SARIMA), and a non-linear model, and Wavelets Neural Network (WNN). Performance was validated by the Mean Absolute Percentage Error (MAPE) and U-Theil, with a view to achieving the most accurate measurement of demand responsiveness, using the Fill Rate (FR). WNN had the best performance, with a FR of 98.43%, whereas SARIMA achieved a FR of 102.23%. Demand forecasting using WNN can be considered a resource for differentiation between retail organizations when it is incorporated into their operations. This article makes three contributions to the field with an application to retail and strengthening the argument for choosing a promising technique that can be used by managers to aid their decision making.","author":[{"dropping-particle":"","family":"Almeida","given":"Wesley Marcos","non-dropping-particle":"de","parse-names":false,"suffix":""},{"dropping-particle":"","family":"Veiga","given":"Claudimar Pereira","non-dropping-particle":"da","parse-names":false,"suffix":""}],"container-title":"Journal of Marketing Analytics","id":"ITEM-1","issue":"2","issued":{"date-parts":[["2023"]]},"page":"219-232","publisher":"Palgrave Macmillan UK","title":"Does demand forecasting matter to retailing?","type":"article-journal","volume":"11"},"uris":["http://www.mendeley.com/documents/?uuid=b05c72ae-5e63-40d2-bd2e-350692d8cfbc"]},{"id":"ITEM-2","itemData":{"DOI":"10.3390/econometrics10020018","ISSN":"22251146","abstract":"The COVID-19 pandemic is a serious threat to all of us. It has caused an unprecedented shock to the world’s economy, and it has interrupted the lives and livelihood of millions of people. In the last two years, a large body of literature has attempted to forecast the main dimensions of the COVID-19 outbreak using a wide set of models. In this paper, I forecast the short-to mid-term cumulative deaths from COVID-19 in 12 hard-hit big countries around the world as of 20 August 2021. The data used in the analysis were extracted from the Our World in Data COVID-19 dataset. Both non-seasonal and seasonal autoregressive integrated moving averages (ARIMA and SARIMA) were estimated. The analysis showed that: (i) ARIMA/SARIMA forecasts were sufficiently accurate in both the training and test set by always outperforming the simple alternative forecasting techniques chosen as benchmarks (Mean, Naïve, and Seasonal Naïve); (ii) SARIMA models outperformed ARIMA models in 47 out 48 metrics (in forecasting future values), i.e., on 97.9% of all the considered forecast accuracy measures (mean absolute error [MAE], mean absolute percentage error [MAPE], mean absolute scaled error [MASE], and the root mean squared error [RMSE]), suggesting a clear seasonal pattern in the data; and (iii) the forecasted values from SARIMA models fitted very well the observed (real-time) data for the period 21 August 2021–19 September 2021 for almost all the countries analyzed. This article shows that SARIMA can be safely used for both the short-and medium-term predictions of COVID-19 deaths. Thus, this approach can help government authorities to monitor and manage the huge pressure that COVID-19 is exerting on national healthcare systems.","author":[{"dropping-particle":"","family":"Perone","given":"Gaetano","non-dropping-particle":"","parse-names":false,"suffix":""}],"container-title":"Econometrics","id":"ITEM-2","issue":"2","issued":{"date-parts":[["2022"]]},"title":"Using the SARIMA Model to Forecast the Fourth Global Wave of Cumulative Deaths from COVID-19: Evidence from 12 Hard-Hit Big Countries","type":"article-journal","volume":"10"},"uris":["http://www.mendeley.com/documents/?uuid=e0bec484-9816-4ed8-9e27-b5498f78271f"]},{"id":"ITEM-3","itemData":{"DOI":"10.1016/j.annepidem.2007.03.020","ISSN":"10472797","PMID":"17604645","abstract":"Purpose: Few studies have examined the relationship between weather variables and cryptosporidiosis in Australia. This paper examines the potential impact of weather variability on the transmission of cryptosporidiosis and explores the possibility of developing an empirical forecast system. Methods: Data on weather variables, notified cryptosporidiosis cases, and population size in Brisbane were supplied by the Australian Bureau of Meteorology, Queensland Department of Health, and Australian Bureau of Statistics for the period of January 1, 1996-December 31, 2004, respectively. Time series Poisson regression and seasonal auto-regression integrated moving average (SARIMA) models were performed to examine the potential impact of weather variability on the transmission of cryptosporidiosis. Results: Both the time series Poisson regression and SARIMA models show that seasonal and monthly maximum temperature at a prior moving average of 1 and 3 months were significantly associated with cryptosporidiosis disease. It suggests that there may be 50 more cases a year for an increase of 1°C maximum temperature on average in Brisbane. Model assessments indicated that the SARIMA model had better predictive ability than the Poisson regression model (SARIMA: root mean square error (RMSE): 0.40, Akaike information criterion (AIC): -12.53; Poisson regression: RMSE: 0.54, AIC: -2.84). Furthermore, the analysis of residuals shows that the time series Poisson regression appeared to violate a modeling assumption, in that residual autocorrelation persisted. Conclusions: The results of this study suggest that weather variability (particularly maximum temperature) may have played a significant role in the transmission of cryptosporidiosis. A SARIMA model may be a better predictive model than a Poisson regression model in the assessment of the relationship between weather variability and the incidence of cryptosporidiosis. © 2007 Elsevier Inc. All rights reserved.","author":[{"dropping-particle":"","family":"Hu","given":"Wenbiao","non-dropping-particle":"","parse-names":false,"suffix":""},{"dropping-particle":"","family":"Tong","given":"Shilu","non-dropping-particle":"","parse-names":false,"suffix":""},{"dropping-particle":"","family":"Mengersen","given":"Kerrie","non-dropping-particle":"","parse-names":false,"suffix":""},{"dropping-particle":"","family":"Connell","given":"Des","non-dropping-particle":"","parse-names":false,"suffix":""}],"container-title":"Annals of Epidemiology","id":"ITEM-3","issue":"9","issued":{"date-parts":[["2007"]]},"page":"679-688","title":"Weather Variability and the Incidence of Cryptosporidiosis: Comparison of Time Series Poisson Regression and SARIMA Models","type":"article-journal","volume":"17"},"uris":["http://www.mendeley.com/documents/?uuid=590ecbbe-5fef-4436-9f4d-f96063723201"]}],"mendeley":{"formattedCitation":"[2], [23], [27]","plainTextFormattedCitation":"[2], [23], [27]","previouslyFormattedCitation":"[2], [23], [27]"},"properties":{"noteIndex":0},"schema":"https://github.com/citation-style-language/schema/raw/master/csl-citation.json"}</w:instrText>
      </w:r>
      <w:r w:rsidRPr="003F171F">
        <w:rPr>
          <w:rFonts w:ascii="Arial" w:hAnsi="Arial" w:cs="Arial"/>
          <w:sz w:val="20"/>
          <w:szCs w:val="20"/>
        </w:rPr>
        <w:fldChar w:fldCharType="separate"/>
      </w:r>
      <w:r w:rsidR="00AA5E59" w:rsidRPr="00AA5E59">
        <w:rPr>
          <w:rFonts w:ascii="Arial" w:hAnsi="Arial" w:cs="Arial"/>
          <w:noProof/>
          <w:sz w:val="20"/>
          <w:szCs w:val="20"/>
        </w:rPr>
        <w:t>[2], [23], [27]</w:t>
      </w:r>
      <w:r w:rsidRPr="003F171F">
        <w:rPr>
          <w:rFonts w:ascii="Arial" w:hAnsi="Arial" w:cs="Arial"/>
          <w:sz w:val="20"/>
          <w:szCs w:val="20"/>
        </w:rPr>
        <w:fldChar w:fldCharType="end"/>
      </w:r>
      <w:r w:rsidRPr="003F171F">
        <w:rPr>
          <w:rFonts w:ascii="Arial" w:hAnsi="Arial" w:cs="Arial"/>
          <w:sz w:val="20"/>
          <w:szCs w:val="20"/>
        </w:rPr>
        <w:t xml:space="preserve">. If no value surpasses the control line on those graphs, these assumptions are satisfied </w:t>
      </w:r>
      <w:r w:rsidRPr="003F171F">
        <w:rPr>
          <w:rFonts w:ascii="Arial" w:hAnsi="Arial" w:cs="Arial"/>
          <w:sz w:val="20"/>
          <w:szCs w:val="20"/>
        </w:rPr>
        <w:fldChar w:fldCharType="begin" w:fldLock="1"/>
      </w:r>
      <w:r w:rsidR="00AA5E59">
        <w:rPr>
          <w:rFonts w:ascii="Arial" w:hAnsi="Arial" w:cs="Arial"/>
          <w:sz w:val="20"/>
          <w:szCs w:val="20"/>
        </w:rPr>
        <w:instrText>ADDIN CSL_CITATION {"citationItems":[{"id":"ITEM-1","itemData":{"DOI":"10.3390/econometrics10020018","ISSN":"22251146","abstract":"The COVID-19 pandemic is a serious threat to all of us. It has caused an unprecedented shock to the world’s economy, and it has interrupted the lives and livelihood of millions of people. In the last two years, a large body of literature has attempted to forecast the main dimensions of the COVID-19 outbreak using a wide set of models. In this paper, I forecast the short-to mid-term cumulative deaths from COVID-19 in 12 hard-hit big countries around the world as of 20 August 2021. The data used in the analysis were extracted from the Our World in Data COVID-19 dataset. Both non-seasonal and seasonal autoregressive integrated moving averages (ARIMA and SARIMA) were estimated. The analysis showed that: (i) ARIMA/SARIMA forecasts were sufficiently accurate in both the training and test set by always outperforming the simple alternative forecasting techniques chosen as benchmarks (Mean, Naïve, and Seasonal Naïve); (ii) SARIMA models outperformed ARIMA models in 47 out 48 metrics (in forecasting future values), i.e., on 97.9% of all the considered forecast accuracy measures (mean absolute error [MAE], mean absolute percentage error [MAPE], mean absolute scaled error [MASE], and the root mean squared error [RMSE]), suggesting a clear seasonal pattern in the data; and (iii) the forecasted values from SARIMA models fitted very well the observed (real-time) data for the period 21 August 2021–19 September 2021 for almost all the countries analyzed. This article shows that SARIMA can be safely used for both the short-and medium-term predictions of COVID-19 deaths. Thus, this approach can help government authorities to monitor and manage the huge pressure that COVID-19 is exerting on national healthcare systems.","author":[{"dropping-particle":"","family":"Perone","given":"Gaetano","non-dropping-particle":"","parse-names":false,"suffix":""}],"container-title":"Econometrics","id":"ITEM-1","issue":"2","issued":{"date-parts":[["2022"]]},"title":"Using the SARIMA Model to Forecast the Fourth Global Wave of Cumulative Deaths from COVID-19: Evidence from 12 Hard-Hit Big Countries","type":"article-journal","volume":"10"},"uris":["http://www.mendeley.com/documents/?uuid=e0bec484-9816-4ed8-9e27-b5498f78271f"]}],"mendeley":{"formattedCitation":"[23]","plainTextFormattedCitation":"[23]","previouslyFormattedCitation":"[23]"},"properties":{"noteIndex":0},"schema":"https://github.com/citation-style-language/schema/raw/master/csl-citation.json"}</w:instrText>
      </w:r>
      <w:r w:rsidRPr="003F171F">
        <w:rPr>
          <w:rFonts w:ascii="Arial" w:hAnsi="Arial" w:cs="Arial"/>
          <w:sz w:val="20"/>
          <w:szCs w:val="20"/>
        </w:rPr>
        <w:fldChar w:fldCharType="separate"/>
      </w:r>
      <w:r w:rsidR="00AA5E59" w:rsidRPr="00AA5E59">
        <w:rPr>
          <w:rFonts w:ascii="Arial" w:hAnsi="Arial" w:cs="Arial"/>
          <w:noProof/>
          <w:sz w:val="20"/>
          <w:szCs w:val="20"/>
        </w:rPr>
        <w:t>[23]</w:t>
      </w:r>
      <w:r w:rsidRPr="003F171F">
        <w:rPr>
          <w:rFonts w:ascii="Arial" w:hAnsi="Arial" w:cs="Arial"/>
          <w:sz w:val="20"/>
          <w:szCs w:val="20"/>
        </w:rPr>
        <w:fldChar w:fldCharType="end"/>
      </w:r>
      <w:r w:rsidRPr="003F171F">
        <w:rPr>
          <w:rFonts w:ascii="Arial" w:hAnsi="Arial" w:cs="Arial"/>
          <w:sz w:val="20"/>
          <w:szCs w:val="20"/>
        </w:rPr>
        <w:t xml:space="preserve">. In addition, the </w:t>
      </w:r>
      <w:proofErr w:type="spellStart"/>
      <w:r w:rsidRPr="003F171F">
        <w:rPr>
          <w:rFonts w:ascii="Arial" w:hAnsi="Arial" w:cs="Arial"/>
          <w:sz w:val="20"/>
          <w:szCs w:val="20"/>
        </w:rPr>
        <w:t>Ljung</w:t>
      </w:r>
      <w:proofErr w:type="spellEnd"/>
      <w:r w:rsidRPr="003F171F">
        <w:rPr>
          <w:rFonts w:ascii="Arial" w:hAnsi="Arial" w:cs="Arial"/>
          <w:sz w:val="20"/>
          <w:szCs w:val="20"/>
        </w:rPr>
        <w:t xml:space="preserve">-Box Statistics Test can also be used to check the autocorrelation </w:t>
      </w:r>
      <w:r w:rsidRPr="003F171F">
        <w:rPr>
          <w:rFonts w:ascii="Arial" w:hAnsi="Arial" w:cs="Arial"/>
          <w:sz w:val="20"/>
          <w:szCs w:val="20"/>
        </w:rPr>
        <w:fldChar w:fldCharType="begin" w:fldLock="1"/>
      </w:r>
      <w:r w:rsidR="00DA23BE">
        <w:rPr>
          <w:rFonts w:ascii="Arial" w:hAnsi="Arial" w:cs="Arial"/>
          <w:sz w:val="20"/>
          <w:szCs w:val="20"/>
        </w:rPr>
        <w:instrText>ADDIN CSL_CITATION {"citationItems":[{"id":"ITEM-1","itemData":{"DOI":"10.1057/s41270-022-00162-x","ISBN":"0123456789","ISSN":"20503326","abstract":"Time series forecasting in retail plays an important role for retailers due to its capacity to aid managers in strategic planning to meet demand. In this article, a comparative experiment between two demand forecasting models is conducted to forecast an aggregate time series in Brazilian food retail on a twelve-year horizon. Performance was analyzed by comparing the accuracy of a linear model, Seasonal Autoregressive Integrated Moving Average (SARIMA), and a non-linear model, and Wavelets Neural Network (WNN). Performance was validated by the Mean Absolute Percentage Error (MAPE) and U-Theil, with a view to achieving the most accurate measurement of demand responsiveness, using the Fill Rate (FR). WNN had the best performance, with a FR of 98.43%, whereas SARIMA achieved a FR of 102.23%. Demand forecasting using WNN can be considered a resource for differentiation between retail organizations when it is incorporated into their operations. This article makes three contributions to the field with an application to retail and strengthening the argument for choosing a promising technique that can be used by managers to aid their decision making.","author":[{"dropping-particle":"","family":"Almeida","given":"Wesley Marcos","non-dropping-particle":"de","parse-names":false,"suffix":""},{"dropping-particle":"","family":"Veiga","given":"Claudimar Pereira","non-dropping-particle":"da","parse-names":false,"suffix":""}],"container-title":"Journal of Marketing Analytics","id":"ITEM-1","issue":"2","issued":{"date-parts":[["2023"]]},"page":"219-232","publisher":"Palgrave Macmillan UK","title":"Does demand forecasting matter to retailing?","type":"article-journal","volume":"11"},"uris":["http://www.mendeley.com/documents/?uuid=b05c72ae-5e63-40d2-bd2e-350692d8cfbc"]}],"mendeley":{"formattedCitation":"[2]","plainTextFormattedCitation":"[2]","previouslyFormattedCitation":"[2]"},"properties":{"noteIndex":0},"schema":"https://github.com/citation-style-language/schema/raw/master/csl-citation.json"}</w:instrText>
      </w:r>
      <w:r w:rsidRPr="003F171F">
        <w:rPr>
          <w:rFonts w:ascii="Arial" w:hAnsi="Arial" w:cs="Arial"/>
          <w:sz w:val="20"/>
          <w:szCs w:val="20"/>
        </w:rPr>
        <w:fldChar w:fldCharType="separate"/>
      </w:r>
      <w:r w:rsidR="00546E20" w:rsidRPr="00546E20">
        <w:rPr>
          <w:rFonts w:ascii="Arial" w:hAnsi="Arial" w:cs="Arial"/>
          <w:noProof/>
          <w:sz w:val="20"/>
          <w:szCs w:val="20"/>
        </w:rPr>
        <w:t>[2]</w:t>
      </w:r>
      <w:r w:rsidRPr="003F171F">
        <w:rPr>
          <w:rFonts w:ascii="Arial" w:hAnsi="Arial" w:cs="Arial"/>
          <w:sz w:val="20"/>
          <w:szCs w:val="20"/>
        </w:rPr>
        <w:fldChar w:fldCharType="end"/>
      </w:r>
      <w:r>
        <w:rPr>
          <w:rFonts w:ascii="Arial" w:eastAsia="Arial" w:hAnsi="Arial" w:cs="Arial"/>
          <w:sz w:val="20"/>
          <w:szCs w:val="20"/>
        </w:rPr>
        <w:t>.</w:t>
      </w:r>
    </w:p>
    <w:p w:rsidR="00EA3C65" w:rsidRDefault="00EA3C65">
      <w:pPr>
        <w:spacing w:after="0" w:line="240" w:lineRule="auto"/>
        <w:ind w:left="0" w:hanging="2"/>
        <w:jc w:val="both"/>
        <w:rPr>
          <w:rFonts w:ascii="Arial" w:eastAsia="Arial" w:hAnsi="Arial" w:cs="Arial"/>
          <w:sz w:val="20"/>
          <w:szCs w:val="20"/>
        </w:rPr>
      </w:pPr>
    </w:p>
    <w:p w:rsidR="00EA3C65" w:rsidRDefault="0041400C" w:rsidP="00EA3C65">
      <w:pPr>
        <w:spacing w:after="0" w:line="240" w:lineRule="auto"/>
        <w:ind w:left="0" w:hanging="2"/>
        <w:jc w:val="both"/>
        <w:rPr>
          <w:rFonts w:ascii="Arial" w:eastAsia="Arial" w:hAnsi="Arial" w:cs="Arial"/>
          <w:color w:val="1F4E79"/>
          <w:sz w:val="20"/>
          <w:szCs w:val="20"/>
        </w:rPr>
      </w:pPr>
      <w:r>
        <w:rPr>
          <w:rFonts w:ascii="Arial" w:eastAsia="Arial" w:hAnsi="Arial" w:cs="Arial"/>
          <w:b/>
          <w:color w:val="1F4E79"/>
          <w:sz w:val="20"/>
          <w:szCs w:val="20"/>
        </w:rPr>
        <w:t>Decomposition</w:t>
      </w:r>
      <w:r w:rsidR="00EA3C65">
        <w:rPr>
          <w:rFonts w:ascii="Arial" w:eastAsia="Arial" w:hAnsi="Arial" w:cs="Arial"/>
          <w:b/>
          <w:color w:val="1F4E79"/>
          <w:sz w:val="20"/>
          <w:szCs w:val="20"/>
        </w:rPr>
        <w:t xml:space="preserve"> Forecast Model</w:t>
      </w:r>
    </w:p>
    <w:p w:rsidR="00692318" w:rsidRDefault="00692318" w:rsidP="00A82227">
      <w:pPr>
        <w:spacing w:after="0" w:line="240" w:lineRule="auto"/>
        <w:ind w:left="-2" w:firstLineChars="0" w:firstLine="0"/>
        <w:jc w:val="both"/>
        <w:rPr>
          <w:rFonts w:ascii="Arial" w:hAnsi="Arial" w:cs="Arial"/>
          <w:sz w:val="20"/>
          <w:szCs w:val="20"/>
        </w:rPr>
      </w:pPr>
      <w:r>
        <w:rPr>
          <w:rFonts w:ascii="Arial" w:hAnsi="Arial" w:cs="Arial"/>
          <w:sz w:val="20"/>
          <w:szCs w:val="20"/>
        </w:rPr>
        <w:t>The con</w:t>
      </w:r>
      <w:r w:rsidR="008F6997">
        <w:rPr>
          <w:rFonts w:ascii="Arial" w:hAnsi="Arial" w:cs="Arial"/>
          <w:sz w:val="20"/>
          <w:szCs w:val="20"/>
        </w:rPr>
        <w:t>c</w:t>
      </w:r>
      <w:r>
        <w:rPr>
          <w:rFonts w:ascii="Arial" w:hAnsi="Arial" w:cs="Arial"/>
          <w:sz w:val="20"/>
          <w:szCs w:val="20"/>
        </w:rPr>
        <w:t xml:space="preserve">ept of </w:t>
      </w:r>
      <w:r w:rsidR="008F6997">
        <w:rPr>
          <w:rFonts w:ascii="Arial" w:hAnsi="Arial" w:cs="Arial"/>
          <w:sz w:val="20"/>
          <w:szCs w:val="20"/>
        </w:rPr>
        <w:t xml:space="preserve">the </w:t>
      </w:r>
      <w:r>
        <w:rPr>
          <w:rFonts w:ascii="Arial" w:hAnsi="Arial" w:cs="Arial"/>
          <w:sz w:val="20"/>
          <w:szCs w:val="20"/>
        </w:rPr>
        <w:t>de</w:t>
      </w:r>
      <w:r w:rsidR="00483745">
        <w:rPr>
          <w:rFonts w:ascii="Arial" w:hAnsi="Arial" w:cs="Arial"/>
          <w:sz w:val="20"/>
          <w:szCs w:val="20"/>
        </w:rPr>
        <w:t>composition model is to</w:t>
      </w:r>
      <w:r>
        <w:rPr>
          <w:rFonts w:ascii="Arial" w:hAnsi="Arial" w:cs="Arial"/>
          <w:sz w:val="20"/>
          <w:szCs w:val="20"/>
        </w:rPr>
        <w:t xml:space="preserve"> break down the </w:t>
      </w:r>
      <w:r w:rsidR="00483745">
        <w:rPr>
          <w:rFonts w:ascii="Arial" w:hAnsi="Arial" w:cs="Arial"/>
          <w:sz w:val="20"/>
          <w:szCs w:val="20"/>
        </w:rPr>
        <w:t xml:space="preserve">data </w:t>
      </w:r>
      <w:r>
        <w:rPr>
          <w:rFonts w:ascii="Arial" w:hAnsi="Arial" w:cs="Arial"/>
          <w:sz w:val="20"/>
          <w:szCs w:val="20"/>
        </w:rPr>
        <w:t>compos</w:t>
      </w:r>
      <w:r w:rsidR="008F6997">
        <w:rPr>
          <w:rFonts w:ascii="Arial" w:hAnsi="Arial" w:cs="Arial"/>
          <w:sz w:val="20"/>
          <w:szCs w:val="20"/>
        </w:rPr>
        <w:t>i</w:t>
      </w:r>
      <w:r>
        <w:rPr>
          <w:rFonts w:ascii="Arial" w:hAnsi="Arial" w:cs="Arial"/>
          <w:sz w:val="20"/>
          <w:szCs w:val="20"/>
        </w:rPr>
        <w:t xml:space="preserve">tion </w:t>
      </w:r>
      <w:r w:rsidR="00483745">
        <w:rPr>
          <w:rFonts w:ascii="Arial" w:hAnsi="Arial" w:cs="Arial"/>
          <w:sz w:val="20"/>
          <w:szCs w:val="20"/>
        </w:rPr>
        <w:t>to understand data and to help the forecast</w:t>
      </w:r>
      <w:r>
        <w:rPr>
          <w:rFonts w:ascii="Arial" w:hAnsi="Arial" w:cs="Arial"/>
          <w:sz w:val="20"/>
          <w:szCs w:val="20"/>
        </w:rPr>
        <w:t>. For non</w:t>
      </w:r>
      <w:r w:rsidR="008F6997">
        <w:rPr>
          <w:rFonts w:ascii="Arial" w:hAnsi="Arial" w:cs="Arial"/>
          <w:sz w:val="20"/>
          <w:szCs w:val="20"/>
        </w:rPr>
        <w:t>-</w:t>
      </w:r>
      <w:r>
        <w:rPr>
          <w:rFonts w:ascii="Arial" w:hAnsi="Arial" w:cs="Arial"/>
          <w:sz w:val="20"/>
          <w:szCs w:val="20"/>
        </w:rPr>
        <w:t xml:space="preserve">stationary data, the data </w:t>
      </w:r>
      <w:r w:rsidR="00483745">
        <w:rPr>
          <w:rFonts w:ascii="Arial" w:hAnsi="Arial" w:cs="Arial"/>
          <w:sz w:val="20"/>
          <w:szCs w:val="20"/>
        </w:rPr>
        <w:t xml:space="preserve">can </w:t>
      </w:r>
      <w:r w:rsidR="008F6997">
        <w:rPr>
          <w:rFonts w:ascii="Arial" w:hAnsi="Arial" w:cs="Arial"/>
          <w:sz w:val="20"/>
          <w:szCs w:val="20"/>
        </w:rPr>
        <w:t>consist</w:t>
      </w:r>
      <w:r>
        <w:rPr>
          <w:rFonts w:ascii="Arial" w:hAnsi="Arial" w:cs="Arial"/>
          <w:sz w:val="20"/>
          <w:szCs w:val="20"/>
        </w:rPr>
        <w:t xml:space="preserve"> of trend, seasonal, and residual or error data. </w:t>
      </w:r>
    </w:p>
    <w:p w:rsidR="00A82227" w:rsidRDefault="00A82227" w:rsidP="00A82227">
      <w:pPr>
        <w:spacing w:after="0" w:line="240" w:lineRule="auto"/>
        <w:ind w:left="-2" w:firstLineChars="0" w:firstLine="0"/>
        <w:jc w:val="both"/>
        <w:rPr>
          <w:rFonts w:ascii="Arial" w:hAnsi="Arial" w:cs="Arial"/>
          <w:sz w:val="20"/>
          <w:szCs w:val="20"/>
        </w:rPr>
      </w:pPr>
      <w:r w:rsidRPr="00A82227">
        <w:rPr>
          <w:rFonts w:ascii="Arial" w:hAnsi="Arial" w:cs="Arial"/>
          <w:sz w:val="20"/>
          <w:szCs w:val="20"/>
        </w:rPr>
        <w:t xml:space="preserve">There are two types of decomposition models, those are additive and multiplicative decomposition models. We use an additive decomposition if there is a considerably constant variability in the data over time and choose the other </w:t>
      </w:r>
      <w:r w:rsidR="00FD0A10">
        <w:rPr>
          <w:rFonts w:ascii="Arial" w:hAnsi="Arial" w:cs="Arial"/>
          <w:sz w:val="20"/>
          <w:szCs w:val="20"/>
        </w:rPr>
        <w:t xml:space="preserve">one </w:t>
      </w:r>
      <w:r w:rsidRPr="00A82227">
        <w:rPr>
          <w:rFonts w:ascii="Arial" w:hAnsi="Arial" w:cs="Arial"/>
          <w:sz w:val="20"/>
          <w:szCs w:val="20"/>
        </w:rPr>
        <w:t>for the opposite condition</w:t>
      </w:r>
      <w:r w:rsidR="004841A1">
        <w:rPr>
          <w:rFonts w:ascii="Arial" w:hAnsi="Arial" w:cs="Arial"/>
          <w:sz w:val="20"/>
          <w:szCs w:val="20"/>
        </w:rPr>
        <w:t xml:space="preserve"> </w:t>
      </w:r>
      <w:r w:rsidR="004841A1">
        <w:rPr>
          <w:rFonts w:ascii="Arial" w:hAnsi="Arial" w:cs="Arial"/>
          <w:sz w:val="20"/>
          <w:szCs w:val="20"/>
        </w:rPr>
        <w:fldChar w:fldCharType="begin" w:fldLock="1"/>
      </w:r>
      <w:r w:rsidR="004841A1">
        <w:rPr>
          <w:rFonts w:ascii="Arial" w:hAnsi="Arial" w:cs="Arial"/>
          <w:sz w:val="20"/>
          <w:szCs w:val="20"/>
        </w:rPr>
        <w:instrText>ADDIN CSL_CITATION {"citationItems":[{"id":"ITEM-1","itemData":{"DOI":"10.4236/oalib.1106435","ISSN":"2333-9721","abstract":"This paper demonstrates the use of Buys-Ballot table for identification of decomposition model using graphical method, when the trend cycle component is quadratic. A suitable ARIMA model was fitted, and was used for forecasting. Using the Buys-Ballot techniques, the column means, variances and standard deviation were estimated for the model identification. The additive model had no seasonal effect but, the multiplicative model had seasonal effect. The result of the illustrative example using the data of Nigeria Spot component price of oil (US Dollar per Barrel) showed the additive model to be the appropriate model for decomposition of this series. AR(2) model was identified as a suitable ARIMA model for the de-trended Nigeria Spot component price of oil. This was used to make forecast for the next twelve months. The obtained expected oil prices were compared with the observed prices. The comparison of expected and observed prices showed no significance difference between them, using Mean Absolute Percentage Error (MAPE).","author":[{"dropping-particle":"","family":"Emmanuel","given":"Biu O.","non-dropping-particle":"","parse-names":false,"suffix":""},{"dropping-particle":"","family":"Enegesele","given":"Dennis","non-dropping-particle":"","parse-names":false,"suffix":""},{"dropping-particle":"","family":"Arimie","given":"C. O.","non-dropping-particle":"","parse-names":false,"suffix":""}],"container-title":"OALib","id":"ITEM-1","issue":"07","issued":{"date-parts":[["2020"]]},"page":"1-20","title":"Additive Decomposition with Arima Model Forecasts When the Trend Component Is Quadratic","type":"article-journal","volume":"07"},"uris":["http://www.mendeley.com/documents/?uuid=9babbbcb-86ef-48a8-b678-8c05e713f95d"]}],"mendeley":{"formattedCitation":"[9]","plainTextFormattedCitation":"[9]","previouslyFormattedCitation":"[9]"},"properties":{"noteIndex":0},"schema":"https://github.com/citation-style-language/schema/raw/master/csl-citation.json"}</w:instrText>
      </w:r>
      <w:r w:rsidR="004841A1">
        <w:rPr>
          <w:rFonts w:ascii="Arial" w:hAnsi="Arial" w:cs="Arial"/>
          <w:sz w:val="20"/>
          <w:szCs w:val="20"/>
        </w:rPr>
        <w:fldChar w:fldCharType="separate"/>
      </w:r>
      <w:r w:rsidR="004841A1" w:rsidRPr="004841A1">
        <w:rPr>
          <w:rFonts w:ascii="Arial" w:hAnsi="Arial" w:cs="Arial"/>
          <w:noProof/>
          <w:sz w:val="20"/>
          <w:szCs w:val="20"/>
        </w:rPr>
        <w:t>[9]</w:t>
      </w:r>
      <w:r w:rsidR="004841A1">
        <w:rPr>
          <w:rFonts w:ascii="Arial" w:hAnsi="Arial" w:cs="Arial"/>
          <w:sz w:val="20"/>
          <w:szCs w:val="20"/>
        </w:rPr>
        <w:fldChar w:fldCharType="end"/>
      </w:r>
      <w:r w:rsidRPr="00A82227">
        <w:rPr>
          <w:rFonts w:ascii="Arial" w:hAnsi="Arial" w:cs="Arial"/>
          <w:sz w:val="20"/>
          <w:szCs w:val="20"/>
        </w:rPr>
        <w:t>. However, if it is difficult to decide which decomposition model is used, we can try to do both models and check the error assumption for both models. Later we can choose the model that satisfies this assumption.</w:t>
      </w:r>
    </w:p>
    <w:p w:rsidR="0096479D" w:rsidRDefault="0096479D" w:rsidP="009A0485">
      <w:pPr>
        <w:spacing w:after="0" w:line="240" w:lineRule="auto"/>
        <w:ind w:left="0" w:hanging="2"/>
        <w:jc w:val="both"/>
        <w:rPr>
          <w:rFonts w:ascii="Arial" w:hAnsi="Arial" w:cs="Arial"/>
          <w:sz w:val="20"/>
          <w:szCs w:val="20"/>
        </w:rPr>
      </w:pPr>
      <w:r>
        <w:rPr>
          <w:rFonts w:ascii="Arial" w:hAnsi="Arial" w:cs="Arial"/>
          <w:sz w:val="20"/>
          <w:szCs w:val="20"/>
        </w:rPr>
        <w:t>T</w:t>
      </w:r>
      <w:r w:rsidRPr="00572332">
        <w:rPr>
          <w:rFonts w:ascii="Arial" w:hAnsi="Arial" w:cs="Arial"/>
          <w:sz w:val="20"/>
          <w:szCs w:val="20"/>
        </w:rPr>
        <w:t xml:space="preserve">he formula for decomposition models </w:t>
      </w:r>
      <w:r w:rsidR="008F6997">
        <w:rPr>
          <w:rFonts w:ascii="Arial" w:hAnsi="Arial" w:cs="Arial"/>
          <w:sz w:val="20"/>
          <w:szCs w:val="20"/>
        </w:rPr>
        <w:t>are</w:t>
      </w:r>
      <w:r w:rsidRPr="00572332">
        <w:rPr>
          <w:rFonts w:ascii="Arial" w:hAnsi="Arial" w:cs="Arial"/>
          <w:sz w:val="20"/>
          <w:szCs w:val="20"/>
        </w:rPr>
        <w:t xml:space="preserve"> </w:t>
      </w:r>
      <w:r w:rsidRPr="00572332">
        <w:rPr>
          <w:rFonts w:ascii="Arial" w:hAnsi="Arial" w:cs="Arial"/>
          <w:sz w:val="20"/>
          <w:szCs w:val="20"/>
        </w:rPr>
        <w:fldChar w:fldCharType="begin" w:fldLock="1"/>
      </w:r>
      <w:r w:rsidR="00AA5E59">
        <w:rPr>
          <w:rFonts w:ascii="Arial" w:hAnsi="Arial" w:cs="Arial"/>
          <w:sz w:val="20"/>
          <w:szCs w:val="20"/>
        </w:rPr>
        <w:instrText>ADDIN CSL_CITATION {"citationItems":[{"id":"ITEM-1","itemData":{"DOI":"10.4236/oalib.1106435","ISSN":"2333-9721","abstract":"This paper demonstrates the use of Buys-Ballot table for identification of decomposition model using graphical method, when the trend cycle component is quadratic. A suitable ARIMA model was fitted, and was used for forecasting. Using the Buys-Ballot techniques, the column means, variances and standard deviation were estimated for the model identification. The additive model had no seasonal effect but, the multiplicative model had seasonal effect. The result of the illustrative example using the data of Nigeria Spot component price of oil (US Dollar per Barrel) showed the additive model to be the appropriate model for decomposition of this series. AR(2) model was identified as a suitable ARIMA model for the de-trended Nigeria Spot component price of oil. This was used to make forecast for the next twelve months. The obtained expected oil prices were compared with the observed prices. The comparison of expected and observed prices showed no significance difference between them, using Mean Absolute Percentage Error (MAPE).","author":[{"dropping-particle":"","family":"Emmanuel","given":"Biu O.","non-dropping-particle":"","parse-names":false,"suffix":""},{"dropping-particle":"","family":"Enegesele","given":"Dennis","non-dropping-particle":"","parse-names":false,"suffix":""},{"dropping-particle":"","family":"Arimie","given":"C. O.","non-dropping-particle":"","parse-names":false,"suffix":""}],"container-title":"OALib","id":"ITEM-1","issue":"07","issued":{"date-parts":[["2020"]]},"page":"1-20","title":"Additive Decomposition with Arima Model Forecasts When the Trend Component Is Quadratic","type":"article-journal","volume":"07"},"uris":["http://www.mendeley.com/documents/?uuid=9babbbcb-86ef-48a8-b678-8c05e713f95d"]}],"mendeley":{"formattedCitation":"[9]","plainTextFormattedCitation":"[9]","previouslyFormattedCitation":"[9]"},"properties":{"noteIndex":0},"schema":"https://github.com/citation-style-language/schema/raw/master/csl-citation.json"}</w:instrText>
      </w:r>
      <w:r w:rsidRPr="00572332">
        <w:rPr>
          <w:rFonts w:ascii="Arial" w:hAnsi="Arial" w:cs="Arial"/>
          <w:sz w:val="20"/>
          <w:szCs w:val="20"/>
        </w:rPr>
        <w:fldChar w:fldCharType="separate"/>
      </w:r>
      <w:r w:rsidR="00AA5E59" w:rsidRPr="00AA5E59">
        <w:rPr>
          <w:rFonts w:ascii="Arial" w:hAnsi="Arial" w:cs="Arial"/>
          <w:noProof/>
          <w:sz w:val="20"/>
          <w:szCs w:val="20"/>
        </w:rPr>
        <w:t>[9]</w:t>
      </w:r>
      <w:r w:rsidRPr="00572332">
        <w:rPr>
          <w:rFonts w:ascii="Arial" w:hAnsi="Arial" w:cs="Arial"/>
          <w:sz w:val="20"/>
          <w:szCs w:val="20"/>
        </w:rPr>
        <w:fldChar w:fldCharType="end"/>
      </w:r>
      <w:r w:rsidRPr="00572332">
        <w:rPr>
          <w:rFonts w:ascii="Arial" w:hAnsi="Arial" w:cs="Arial"/>
          <w:sz w:val="20"/>
          <w:szCs w:val="20"/>
        </w:rPr>
        <w:t>:</w:t>
      </w:r>
    </w:p>
    <w:p w:rsidR="00863D87" w:rsidRPr="009A0485" w:rsidRDefault="0041400C" w:rsidP="009A0485">
      <w:pPr>
        <w:spacing w:after="0" w:line="240" w:lineRule="auto"/>
        <w:ind w:left="0" w:hanging="2"/>
        <w:jc w:val="both"/>
        <w:rPr>
          <w:rFonts w:ascii="Arial" w:hAnsi="Arial" w:cs="Arial"/>
          <w:sz w:val="20"/>
          <w:szCs w:val="20"/>
        </w:rPr>
      </w:pPr>
      <w:r w:rsidRPr="009A0485">
        <w:rPr>
          <w:rFonts w:ascii="Arial" w:hAnsi="Arial" w:cs="Arial"/>
          <w:sz w:val="20"/>
          <w:szCs w:val="20"/>
        </w:rPr>
        <w:t>Additive Decomposition Model:</w:t>
      </w:r>
    </w:p>
    <w:tbl>
      <w:tblPr>
        <w:tblStyle w:val="a1"/>
        <w:tblW w:w="4503" w:type="dxa"/>
        <w:tblInd w:w="-108" w:type="dxa"/>
        <w:tblLayout w:type="fixed"/>
        <w:tblLook w:val="0000" w:firstRow="0" w:lastRow="0" w:firstColumn="0" w:lastColumn="0" w:noHBand="0" w:noVBand="0"/>
      </w:tblPr>
      <w:tblGrid>
        <w:gridCol w:w="3369"/>
        <w:gridCol w:w="1134"/>
      </w:tblGrid>
      <w:tr w:rsidR="00863D87" w:rsidRPr="009A0485" w:rsidTr="00BC0E4D">
        <w:tc>
          <w:tcPr>
            <w:tcW w:w="3369" w:type="dxa"/>
            <w:vAlign w:val="center"/>
          </w:tcPr>
          <w:p w:rsidR="00863D87" w:rsidRPr="009A0485" w:rsidRDefault="00D0002E" w:rsidP="009A0485">
            <w:pPr>
              <w:spacing w:after="0"/>
              <w:ind w:left="0" w:hanging="2"/>
              <w:jc w:val="center"/>
              <w:rPr>
                <w:rFonts w:ascii="Arial" w:hAnsi="Arial" w:cs="Arial"/>
                <w:sz w:val="20"/>
                <w:szCs w:val="20"/>
              </w:rPr>
            </w:pPr>
            <m:oMathPara>
              <m:oMath>
                <m:sSub>
                  <m:sSubPr>
                    <m:ctrlPr>
                      <w:rPr>
                        <w:rFonts w:ascii="Cambria Math" w:hAnsi="Cambria Math" w:cs="Arial"/>
                        <w:i/>
                        <w:sz w:val="20"/>
                        <w:szCs w:val="20"/>
                      </w:rPr>
                    </m:ctrlPr>
                  </m:sSubPr>
                  <m:e>
                    <m:r>
                      <w:rPr>
                        <w:rFonts w:ascii="Cambria Math" w:hAnsi="Cambria Math" w:cs="Arial"/>
                        <w:sz w:val="20"/>
                        <w:szCs w:val="20"/>
                      </w:rPr>
                      <m:t>Y</m:t>
                    </m:r>
                  </m:e>
                  <m:sub>
                    <m:r>
                      <w:rPr>
                        <w:rFonts w:ascii="Cambria Math" w:hAnsi="Cambria Math" w:cs="Arial"/>
                        <w:sz w:val="20"/>
                        <w:szCs w:val="20"/>
                      </w:rPr>
                      <m:t>t</m:t>
                    </m:r>
                  </m:sub>
                </m:sSub>
                <m:r>
                  <w:rPr>
                    <w:rFonts w:ascii="Cambria Math" w:hAnsi="Cambria Math" w:cs="Arial"/>
                    <w:sz w:val="20"/>
                    <w:szCs w:val="20"/>
                  </w:rPr>
                  <m:t>=</m:t>
                </m:r>
                <m:sSub>
                  <m:sSubPr>
                    <m:ctrlPr>
                      <w:rPr>
                        <w:rFonts w:ascii="Cambria Math" w:hAnsi="Cambria Math" w:cs="Arial"/>
                        <w:i/>
                        <w:sz w:val="20"/>
                        <w:szCs w:val="20"/>
                      </w:rPr>
                    </m:ctrlPr>
                  </m:sSubPr>
                  <m:e>
                    <m:r>
                      <w:rPr>
                        <w:rFonts w:ascii="Cambria Math" w:hAnsi="Cambria Math" w:cs="Arial"/>
                        <w:sz w:val="20"/>
                        <w:szCs w:val="20"/>
                      </w:rPr>
                      <m:t>T</m:t>
                    </m:r>
                  </m:e>
                  <m:sub>
                    <m:r>
                      <w:rPr>
                        <w:rFonts w:ascii="Cambria Math" w:hAnsi="Cambria Math" w:cs="Arial"/>
                        <w:sz w:val="20"/>
                        <w:szCs w:val="20"/>
                      </w:rPr>
                      <m:t>t</m:t>
                    </m:r>
                  </m:sub>
                </m:sSub>
                <m:r>
                  <w:rPr>
                    <w:rFonts w:ascii="Cambria Math" w:hAnsi="Cambria Math" w:cs="Arial"/>
                    <w:sz w:val="20"/>
                    <w:szCs w:val="20"/>
                  </w:rPr>
                  <m:t>+</m:t>
                </m:r>
                <m:sSub>
                  <m:sSubPr>
                    <m:ctrlPr>
                      <w:rPr>
                        <w:rFonts w:ascii="Cambria Math" w:hAnsi="Cambria Math" w:cs="Arial"/>
                        <w:i/>
                        <w:sz w:val="20"/>
                        <w:szCs w:val="20"/>
                      </w:rPr>
                    </m:ctrlPr>
                  </m:sSubPr>
                  <m:e>
                    <m:r>
                      <w:rPr>
                        <w:rFonts w:ascii="Cambria Math" w:hAnsi="Cambria Math" w:cs="Arial"/>
                        <w:sz w:val="20"/>
                        <w:szCs w:val="20"/>
                      </w:rPr>
                      <m:t>S</m:t>
                    </m:r>
                  </m:e>
                  <m:sub>
                    <m:r>
                      <w:rPr>
                        <w:rFonts w:ascii="Cambria Math" w:hAnsi="Cambria Math" w:cs="Arial"/>
                        <w:sz w:val="20"/>
                        <w:szCs w:val="20"/>
                      </w:rPr>
                      <m:t>t</m:t>
                    </m:r>
                  </m:sub>
                </m:sSub>
                <m:r>
                  <w:rPr>
                    <w:rFonts w:ascii="Cambria Math" w:hAnsi="Cambria Math" w:cs="Arial"/>
                    <w:sz w:val="20"/>
                    <w:szCs w:val="20"/>
                  </w:rPr>
                  <m:t>+</m:t>
                </m:r>
                <m:sSub>
                  <m:sSubPr>
                    <m:ctrlPr>
                      <w:rPr>
                        <w:rFonts w:ascii="Cambria Math" w:hAnsi="Cambria Math" w:cs="Arial"/>
                        <w:i/>
                        <w:sz w:val="20"/>
                        <w:szCs w:val="20"/>
                      </w:rPr>
                    </m:ctrlPr>
                  </m:sSubPr>
                  <m:e>
                    <m:r>
                      <w:rPr>
                        <w:rFonts w:ascii="Cambria Math" w:hAnsi="Cambria Math" w:cs="Arial"/>
                        <w:sz w:val="20"/>
                        <w:szCs w:val="20"/>
                      </w:rPr>
                      <m:t>e</m:t>
                    </m:r>
                  </m:e>
                  <m:sub>
                    <m:r>
                      <w:rPr>
                        <w:rFonts w:ascii="Cambria Math" w:hAnsi="Cambria Math" w:cs="Arial"/>
                        <w:sz w:val="20"/>
                        <w:szCs w:val="20"/>
                      </w:rPr>
                      <m:t>t</m:t>
                    </m:r>
                  </m:sub>
                </m:sSub>
              </m:oMath>
            </m:oMathPara>
          </w:p>
        </w:tc>
        <w:tc>
          <w:tcPr>
            <w:tcW w:w="1134" w:type="dxa"/>
            <w:vAlign w:val="center"/>
          </w:tcPr>
          <w:p w:rsidR="00863D87" w:rsidRPr="009A0485" w:rsidRDefault="00863D87" w:rsidP="009A0485">
            <w:pPr>
              <w:pBdr>
                <w:top w:val="nil"/>
                <w:left w:val="nil"/>
                <w:bottom w:val="nil"/>
                <w:right w:val="nil"/>
                <w:between w:val="nil"/>
              </w:pBdr>
              <w:spacing w:after="0"/>
              <w:ind w:left="0" w:hanging="2"/>
              <w:jc w:val="right"/>
              <w:rPr>
                <w:rFonts w:ascii="Arial" w:eastAsia="Arial" w:hAnsi="Arial" w:cs="Arial"/>
                <w:color w:val="000000"/>
                <w:sz w:val="20"/>
                <w:szCs w:val="20"/>
              </w:rPr>
            </w:pPr>
            <w:r w:rsidRPr="009A0485">
              <w:rPr>
                <w:rFonts w:ascii="Arial" w:eastAsia="Arial" w:hAnsi="Arial" w:cs="Arial"/>
                <w:color w:val="000000"/>
                <w:sz w:val="20"/>
                <w:szCs w:val="20"/>
              </w:rPr>
              <w:t>(</w:t>
            </w:r>
            <w:r w:rsidR="0041400C" w:rsidRPr="009A0485">
              <w:rPr>
                <w:rFonts w:ascii="Arial" w:eastAsia="Arial" w:hAnsi="Arial" w:cs="Arial"/>
                <w:color w:val="000000"/>
                <w:sz w:val="20"/>
                <w:szCs w:val="20"/>
              </w:rPr>
              <w:t>4</w:t>
            </w:r>
            <w:r w:rsidRPr="009A0485">
              <w:rPr>
                <w:rFonts w:ascii="Arial" w:eastAsia="Arial" w:hAnsi="Arial" w:cs="Arial"/>
                <w:color w:val="000000"/>
                <w:sz w:val="20"/>
                <w:szCs w:val="20"/>
              </w:rPr>
              <w:t>)</w:t>
            </w:r>
          </w:p>
        </w:tc>
      </w:tr>
    </w:tbl>
    <w:p w:rsidR="0041400C" w:rsidRPr="009A0485" w:rsidRDefault="0041400C" w:rsidP="00871D77">
      <w:pPr>
        <w:spacing w:after="0"/>
        <w:ind w:left="0" w:hanging="2"/>
        <w:jc w:val="both"/>
        <w:rPr>
          <w:rFonts w:ascii="Arial" w:hAnsi="Arial" w:cs="Arial"/>
          <w:sz w:val="20"/>
          <w:szCs w:val="20"/>
        </w:rPr>
      </w:pPr>
      <w:r w:rsidRPr="009A0485">
        <w:rPr>
          <w:rFonts w:ascii="Arial" w:eastAsiaTheme="minorEastAsia" w:hAnsi="Arial" w:cs="Arial"/>
          <w:sz w:val="20"/>
          <w:szCs w:val="20"/>
        </w:rPr>
        <w:t xml:space="preserve">With </w:t>
      </w:r>
      <w:r w:rsidRPr="009A0485">
        <w:rPr>
          <w:rFonts w:ascii="Arial" w:hAnsi="Arial" w:cs="Arial"/>
          <w:sz w:val="20"/>
          <w:szCs w:val="20"/>
        </w:rPr>
        <w:t xml:space="preserve">the sum of seasonal component values </w:t>
      </w:r>
      <w:r w:rsidR="008F6997">
        <w:rPr>
          <w:rFonts w:ascii="Arial" w:hAnsi="Arial" w:cs="Arial"/>
          <w:sz w:val="20"/>
          <w:szCs w:val="20"/>
        </w:rPr>
        <w:t>is</w:t>
      </w:r>
      <w:r w:rsidRPr="009A0485">
        <w:rPr>
          <w:rFonts w:ascii="Arial" w:hAnsi="Arial" w:cs="Arial"/>
          <w:sz w:val="20"/>
          <w:szCs w:val="20"/>
        </w:rPr>
        <w:t xml:space="preserve"> 0 or </w:t>
      </w:r>
      <m:oMath>
        <m:nary>
          <m:naryPr>
            <m:chr m:val="∑"/>
            <m:limLoc m:val="undOvr"/>
            <m:ctrlPr>
              <w:rPr>
                <w:rFonts w:ascii="Cambria Math" w:hAnsi="Cambria Math" w:cs="Arial"/>
                <w:i/>
                <w:sz w:val="18"/>
                <w:szCs w:val="18"/>
              </w:rPr>
            </m:ctrlPr>
          </m:naryPr>
          <m:sub>
            <m:r>
              <w:rPr>
                <w:rFonts w:ascii="Cambria Math" w:hAnsi="Cambria Math" w:cs="Arial"/>
                <w:sz w:val="18"/>
                <w:szCs w:val="18"/>
              </w:rPr>
              <m:t>j=0</m:t>
            </m:r>
          </m:sub>
          <m:sup>
            <m:r>
              <w:rPr>
                <w:rFonts w:ascii="Cambria Math" w:hAnsi="Cambria Math" w:cs="Arial"/>
                <w:sz w:val="18"/>
                <w:szCs w:val="18"/>
              </w:rPr>
              <m:t>s</m:t>
            </m:r>
          </m:sup>
          <m:e>
            <m:sSub>
              <m:sSubPr>
                <m:ctrlPr>
                  <w:rPr>
                    <w:rFonts w:ascii="Cambria Math" w:hAnsi="Cambria Math" w:cs="Arial"/>
                    <w:i/>
                    <w:sz w:val="18"/>
                    <w:szCs w:val="18"/>
                  </w:rPr>
                </m:ctrlPr>
              </m:sSubPr>
              <m:e>
                <m:r>
                  <w:rPr>
                    <w:rFonts w:ascii="Cambria Math" w:hAnsi="Cambria Math" w:cs="Arial"/>
                    <w:sz w:val="18"/>
                    <w:szCs w:val="18"/>
                  </w:rPr>
                  <m:t>S</m:t>
                </m:r>
              </m:e>
              <m:sub>
                <m:r>
                  <w:rPr>
                    <w:rFonts w:ascii="Cambria Math" w:hAnsi="Cambria Math" w:cs="Arial"/>
                    <w:sz w:val="18"/>
                    <w:szCs w:val="18"/>
                  </w:rPr>
                  <m:t>j</m:t>
                </m:r>
              </m:sub>
            </m:sSub>
          </m:e>
        </m:nary>
        <m:r>
          <w:rPr>
            <w:rFonts w:ascii="Cambria Math" w:eastAsiaTheme="minorEastAsia" w:hAnsi="Cambria Math" w:cs="Arial"/>
            <w:sz w:val="18"/>
            <w:szCs w:val="18"/>
          </w:rPr>
          <m:t>=0</m:t>
        </m:r>
      </m:oMath>
      <w:r w:rsidRPr="009A0485">
        <w:rPr>
          <w:rFonts w:ascii="Arial" w:hAnsi="Arial" w:cs="Arial"/>
          <w:sz w:val="20"/>
          <w:szCs w:val="20"/>
        </w:rPr>
        <w:t xml:space="preserve"> and </w:t>
      </w:r>
      <m:oMath>
        <m:sSub>
          <m:sSubPr>
            <m:ctrlPr>
              <w:rPr>
                <w:rFonts w:ascii="Cambria Math" w:hAnsi="Cambria Math" w:cs="Arial"/>
                <w:i/>
                <w:sz w:val="20"/>
                <w:szCs w:val="20"/>
              </w:rPr>
            </m:ctrlPr>
          </m:sSubPr>
          <m:e>
            <m:r>
              <w:rPr>
                <w:rFonts w:ascii="Cambria Math" w:hAnsi="Cambria Math" w:cs="Arial"/>
                <w:sz w:val="20"/>
                <w:szCs w:val="20"/>
              </w:rPr>
              <m:t>e</m:t>
            </m:r>
          </m:e>
          <m:sub>
            <m:r>
              <w:rPr>
                <w:rFonts w:ascii="Cambria Math" w:hAnsi="Cambria Math" w:cs="Arial"/>
                <w:sz w:val="20"/>
                <w:szCs w:val="20"/>
              </w:rPr>
              <m:t>t</m:t>
            </m:r>
          </m:sub>
        </m:sSub>
      </m:oMath>
      <w:r w:rsidRPr="009A0485">
        <w:rPr>
          <w:rFonts w:ascii="Arial" w:eastAsiaTheme="minorEastAsia" w:hAnsi="Arial" w:cs="Arial"/>
          <w:sz w:val="20"/>
          <w:szCs w:val="20"/>
        </w:rPr>
        <w:t xml:space="preserve"> </w:t>
      </w:r>
      <w:r w:rsidR="00A659B0">
        <w:rPr>
          <w:rFonts w:ascii="Arial" w:eastAsiaTheme="minorEastAsia" w:hAnsi="Arial" w:cs="Arial"/>
          <w:sz w:val="20"/>
          <w:szCs w:val="20"/>
        </w:rPr>
        <w:t>or error or residual</w:t>
      </w:r>
      <w:r w:rsidRPr="009A0485">
        <w:rPr>
          <w:rFonts w:ascii="Arial" w:eastAsiaTheme="minorEastAsia" w:hAnsi="Arial" w:cs="Arial"/>
          <w:sz w:val="20"/>
          <w:szCs w:val="20"/>
        </w:rPr>
        <w:t xml:space="preserve"> component has </w:t>
      </w:r>
      <w:r w:rsidRPr="009A0485">
        <w:rPr>
          <w:rFonts w:ascii="Arial" w:hAnsi="Arial" w:cs="Arial"/>
          <w:sz w:val="20"/>
          <w:szCs w:val="20"/>
        </w:rPr>
        <w:t xml:space="preserve">Gaussian </w:t>
      </w:r>
      <w:proofErr w:type="gramStart"/>
      <w:r w:rsidRPr="009A0485">
        <w:rPr>
          <w:rFonts w:ascii="Arial" w:hAnsi="Arial" w:cs="Arial"/>
          <w:sz w:val="20"/>
          <w:szCs w:val="20"/>
        </w:rPr>
        <w:t>N(</w:t>
      </w:r>
      <w:proofErr w:type="gramEnd"/>
      <w:r w:rsidRPr="009A0485">
        <w:rPr>
          <w:rFonts w:ascii="Arial" w:hAnsi="Arial" w:cs="Arial"/>
          <w:sz w:val="20"/>
          <w:szCs w:val="20"/>
        </w:rPr>
        <w:t xml:space="preserve">0, </w:t>
      </w:r>
      <m:oMath>
        <m:sSup>
          <m:sSupPr>
            <m:ctrlPr>
              <w:rPr>
                <w:rFonts w:ascii="Cambria Math" w:hAnsi="Cambria Math" w:cs="Arial"/>
                <w:i/>
                <w:sz w:val="20"/>
                <w:szCs w:val="20"/>
              </w:rPr>
            </m:ctrlPr>
          </m:sSupPr>
          <m:e>
            <m:r>
              <w:rPr>
                <w:rFonts w:ascii="Cambria Math" w:hAnsi="Cambria Math" w:cs="Arial"/>
                <w:sz w:val="20"/>
                <w:szCs w:val="20"/>
              </w:rPr>
              <m:t>σ</m:t>
            </m:r>
          </m:e>
          <m:sup>
            <m:r>
              <w:rPr>
                <w:rFonts w:ascii="Cambria Math" w:hAnsi="Cambria Math" w:cs="Arial"/>
                <w:sz w:val="20"/>
                <w:szCs w:val="20"/>
              </w:rPr>
              <m:t>2</m:t>
            </m:r>
          </m:sup>
        </m:sSup>
      </m:oMath>
      <w:r w:rsidRPr="009A0485">
        <w:rPr>
          <w:rFonts w:ascii="Arial" w:hAnsi="Arial" w:cs="Arial"/>
          <w:sz w:val="20"/>
          <w:szCs w:val="20"/>
        </w:rPr>
        <w:t>).</w:t>
      </w:r>
    </w:p>
    <w:p w:rsidR="0041400C" w:rsidRPr="009A0485" w:rsidRDefault="006E2D5C" w:rsidP="009A0485">
      <w:pPr>
        <w:spacing w:after="0" w:line="240" w:lineRule="auto"/>
        <w:ind w:left="0" w:hanging="2"/>
        <w:jc w:val="both"/>
        <w:rPr>
          <w:rFonts w:ascii="Arial" w:hAnsi="Arial" w:cs="Arial"/>
          <w:sz w:val="20"/>
          <w:szCs w:val="20"/>
        </w:rPr>
      </w:pPr>
      <w:r>
        <w:rPr>
          <w:rFonts w:ascii="Arial" w:hAnsi="Arial" w:cs="Arial"/>
          <w:sz w:val="20"/>
          <w:szCs w:val="20"/>
        </w:rPr>
        <w:t>Multiplicative</w:t>
      </w:r>
      <w:r w:rsidR="0041400C" w:rsidRPr="009A0485">
        <w:rPr>
          <w:rFonts w:ascii="Arial" w:hAnsi="Arial" w:cs="Arial"/>
          <w:sz w:val="20"/>
          <w:szCs w:val="20"/>
        </w:rPr>
        <w:t xml:space="preserve"> Decomposition Model:</w:t>
      </w:r>
    </w:p>
    <w:tbl>
      <w:tblPr>
        <w:tblStyle w:val="a1"/>
        <w:tblW w:w="4503" w:type="dxa"/>
        <w:tblInd w:w="-108" w:type="dxa"/>
        <w:tblLayout w:type="fixed"/>
        <w:tblLook w:val="0000" w:firstRow="0" w:lastRow="0" w:firstColumn="0" w:lastColumn="0" w:noHBand="0" w:noVBand="0"/>
      </w:tblPr>
      <w:tblGrid>
        <w:gridCol w:w="3369"/>
        <w:gridCol w:w="1134"/>
      </w:tblGrid>
      <w:tr w:rsidR="0041400C" w:rsidRPr="009A0485" w:rsidTr="00BC0E4D">
        <w:tc>
          <w:tcPr>
            <w:tcW w:w="3369" w:type="dxa"/>
            <w:vAlign w:val="center"/>
          </w:tcPr>
          <w:p w:rsidR="0041400C" w:rsidRPr="009A0485" w:rsidRDefault="00D0002E" w:rsidP="009A0485">
            <w:pPr>
              <w:spacing w:after="0"/>
              <w:ind w:left="0" w:hanging="2"/>
              <w:jc w:val="center"/>
              <w:rPr>
                <w:rFonts w:ascii="Arial" w:hAnsi="Arial" w:cs="Arial"/>
                <w:sz w:val="20"/>
                <w:szCs w:val="20"/>
              </w:rPr>
            </w:pPr>
            <m:oMathPara>
              <m:oMath>
                <m:sSub>
                  <m:sSubPr>
                    <m:ctrlPr>
                      <w:rPr>
                        <w:rFonts w:ascii="Cambria Math" w:hAnsi="Cambria Math" w:cs="Arial"/>
                        <w:i/>
                        <w:sz w:val="20"/>
                        <w:szCs w:val="20"/>
                      </w:rPr>
                    </m:ctrlPr>
                  </m:sSubPr>
                  <m:e>
                    <m:r>
                      <w:rPr>
                        <w:rFonts w:ascii="Cambria Math" w:hAnsi="Cambria Math" w:cs="Arial"/>
                        <w:sz w:val="20"/>
                        <w:szCs w:val="20"/>
                      </w:rPr>
                      <m:t>Y</m:t>
                    </m:r>
                  </m:e>
                  <m:sub>
                    <m:r>
                      <w:rPr>
                        <w:rFonts w:ascii="Cambria Math" w:hAnsi="Cambria Math" w:cs="Arial"/>
                        <w:sz w:val="20"/>
                        <w:szCs w:val="20"/>
                      </w:rPr>
                      <m:t>t</m:t>
                    </m:r>
                  </m:sub>
                </m:sSub>
                <m:r>
                  <w:rPr>
                    <w:rFonts w:ascii="Cambria Math" w:hAnsi="Cambria Math" w:cs="Arial"/>
                    <w:sz w:val="20"/>
                    <w:szCs w:val="20"/>
                  </w:rPr>
                  <m:t>=</m:t>
                </m:r>
                <m:sSub>
                  <m:sSubPr>
                    <m:ctrlPr>
                      <w:rPr>
                        <w:rFonts w:ascii="Cambria Math" w:hAnsi="Cambria Math" w:cs="Arial"/>
                        <w:i/>
                        <w:sz w:val="20"/>
                        <w:szCs w:val="20"/>
                      </w:rPr>
                    </m:ctrlPr>
                  </m:sSubPr>
                  <m:e>
                    <m:r>
                      <w:rPr>
                        <w:rFonts w:ascii="Cambria Math" w:hAnsi="Cambria Math" w:cs="Arial"/>
                        <w:sz w:val="20"/>
                        <w:szCs w:val="20"/>
                      </w:rPr>
                      <m:t>T</m:t>
                    </m:r>
                  </m:e>
                  <m:sub>
                    <m:r>
                      <w:rPr>
                        <w:rFonts w:ascii="Cambria Math" w:hAnsi="Cambria Math" w:cs="Arial"/>
                        <w:sz w:val="20"/>
                        <w:szCs w:val="20"/>
                      </w:rPr>
                      <m:t>t</m:t>
                    </m:r>
                  </m:sub>
                </m:sSub>
                <m:r>
                  <w:rPr>
                    <w:rFonts w:ascii="Cambria Math" w:hAnsi="Cambria Math" w:cs="Arial"/>
                    <w:sz w:val="20"/>
                    <w:szCs w:val="20"/>
                  </w:rPr>
                  <m:t xml:space="preserve"> x </m:t>
                </m:r>
                <m:sSub>
                  <m:sSubPr>
                    <m:ctrlPr>
                      <w:rPr>
                        <w:rFonts w:ascii="Cambria Math" w:hAnsi="Cambria Math" w:cs="Arial"/>
                        <w:i/>
                        <w:sz w:val="20"/>
                        <w:szCs w:val="20"/>
                      </w:rPr>
                    </m:ctrlPr>
                  </m:sSubPr>
                  <m:e>
                    <m:r>
                      <w:rPr>
                        <w:rFonts w:ascii="Cambria Math" w:hAnsi="Cambria Math" w:cs="Arial"/>
                        <w:sz w:val="20"/>
                        <w:szCs w:val="20"/>
                      </w:rPr>
                      <m:t>S</m:t>
                    </m:r>
                  </m:e>
                  <m:sub>
                    <m:r>
                      <w:rPr>
                        <w:rFonts w:ascii="Cambria Math" w:hAnsi="Cambria Math" w:cs="Arial"/>
                        <w:sz w:val="20"/>
                        <w:szCs w:val="20"/>
                      </w:rPr>
                      <m:t>t</m:t>
                    </m:r>
                  </m:sub>
                </m:sSub>
                <m:r>
                  <w:rPr>
                    <w:rFonts w:ascii="Cambria Math" w:hAnsi="Cambria Math" w:cs="Arial"/>
                    <w:sz w:val="20"/>
                    <w:szCs w:val="20"/>
                  </w:rPr>
                  <m:t xml:space="preserve"> x </m:t>
                </m:r>
                <m:sSub>
                  <m:sSubPr>
                    <m:ctrlPr>
                      <w:rPr>
                        <w:rFonts w:ascii="Cambria Math" w:hAnsi="Cambria Math" w:cs="Arial"/>
                        <w:i/>
                        <w:sz w:val="20"/>
                        <w:szCs w:val="20"/>
                      </w:rPr>
                    </m:ctrlPr>
                  </m:sSubPr>
                  <m:e>
                    <m:r>
                      <w:rPr>
                        <w:rFonts w:ascii="Cambria Math" w:hAnsi="Cambria Math" w:cs="Arial"/>
                        <w:sz w:val="20"/>
                        <w:szCs w:val="20"/>
                      </w:rPr>
                      <m:t>e</m:t>
                    </m:r>
                  </m:e>
                  <m:sub>
                    <m:r>
                      <w:rPr>
                        <w:rFonts w:ascii="Cambria Math" w:hAnsi="Cambria Math" w:cs="Arial"/>
                        <w:sz w:val="20"/>
                        <w:szCs w:val="20"/>
                      </w:rPr>
                      <m:t>t</m:t>
                    </m:r>
                  </m:sub>
                </m:sSub>
              </m:oMath>
            </m:oMathPara>
          </w:p>
        </w:tc>
        <w:tc>
          <w:tcPr>
            <w:tcW w:w="1134" w:type="dxa"/>
            <w:vAlign w:val="center"/>
          </w:tcPr>
          <w:p w:rsidR="0041400C" w:rsidRPr="009A0485" w:rsidRDefault="0041400C" w:rsidP="009A0485">
            <w:pPr>
              <w:pBdr>
                <w:top w:val="nil"/>
                <w:left w:val="nil"/>
                <w:bottom w:val="nil"/>
                <w:right w:val="nil"/>
                <w:between w:val="nil"/>
              </w:pBdr>
              <w:spacing w:after="0" w:line="240" w:lineRule="auto"/>
              <w:ind w:left="0" w:hanging="2"/>
              <w:jc w:val="right"/>
              <w:rPr>
                <w:rFonts w:ascii="Arial" w:eastAsia="Arial" w:hAnsi="Arial" w:cs="Arial"/>
                <w:color w:val="000000"/>
                <w:sz w:val="20"/>
                <w:szCs w:val="20"/>
              </w:rPr>
            </w:pPr>
            <w:r w:rsidRPr="009A0485">
              <w:rPr>
                <w:rFonts w:ascii="Arial" w:eastAsia="Arial" w:hAnsi="Arial" w:cs="Arial"/>
                <w:color w:val="000000"/>
                <w:sz w:val="20"/>
                <w:szCs w:val="20"/>
              </w:rPr>
              <w:t>(</w:t>
            </w:r>
            <w:r w:rsidR="009A0485">
              <w:rPr>
                <w:rFonts w:ascii="Arial" w:eastAsia="Arial" w:hAnsi="Arial" w:cs="Arial"/>
                <w:color w:val="000000"/>
                <w:sz w:val="20"/>
                <w:szCs w:val="20"/>
              </w:rPr>
              <w:t>5</w:t>
            </w:r>
            <w:r w:rsidRPr="009A0485">
              <w:rPr>
                <w:rFonts w:ascii="Arial" w:eastAsia="Arial" w:hAnsi="Arial" w:cs="Arial"/>
                <w:color w:val="000000"/>
                <w:sz w:val="20"/>
                <w:szCs w:val="20"/>
              </w:rPr>
              <w:t>)</w:t>
            </w:r>
          </w:p>
        </w:tc>
      </w:tr>
    </w:tbl>
    <w:p w:rsidR="0041400C" w:rsidRPr="009A0485" w:rsidRDefault="0041400C" w:rsidP="00871D77">
      <w:pPr>
        <w:spacing w:after="0"/>
        <w:ind w:left="0" w:hanging="2"/>
        <w:jc w:val="both"/>
        <w:rPr>
          <w:rFonts w:ascii="Arial" w:hAnsi="Arial" w:cs="Arial"/>
          <w:sz w:val="20"/>
          <w:szCs w:val="20"/>
        </w:rPr>
      </w:pPr>
      <w:r w:rsidRPr="009A0485">
        <w:rPr>
          <w:rFonts w:ascii="Arial" w:eastAsiaTheme="minorEastAsia" w:hAnsi="Arial" w:cs="Arial"/>
          <w:sz w:val="20"/>
          <w:szCs w:val="20"/>
        </w:rPr>
        <w:t xml:space="preserve">With </w:t>
      </w:r>
      <w:r w:rsidRPr="009A0485">
        <w:rPr>
          <w:rFonts w:ascii="Arial" w:hAnsi="Arial" w:cs="Arial"/>
          <w:sz w:val="20"/>
          <w:szCs w:val="20"/>
        </w:rPr>
        <w:t>the sum of seasonal component value</w:t>
      </w:r>
      <w:r w:rsidR="006637D3">
        <w:rPr>
          <w:rFonts w:ascii="Arial" w:hAnsi="Arial" w:cs="Arial"/>
          <w:sz w:val="20"/>
          <w:szCs w:val="20"/>
        </w:rPr>
        <w:t>s</w:t>
      </w:r>
      <w:r w:rsidRPr="009A0485">
        <w:rPr>
          <w:rFonts w:ascii="Arial" w:hAnsi="Arial" w:cs="Arial"/>
          <w:sz w:val="20"/>
          <w:szCs w:val="20"/>
        </w:rPr>
        <w:t xml:space="preserve"> is the total of the </w:t>
      </w:r>
      <w:r w:rsidR="00016D66">
        <w:rPr>
          <w:rFonts w:ascii="Arial" w:hAnsi="Arial" w:cs="Arial"/>
          <w:sz w:val="20"/>
          <w:szCs w:val="20"/>
        </w:rPr>
        <w:t xml:space="preserve">seasonal </w:t>
      </w:r>
      <w:r w:rsidR="002F3F43">
        <w:rPr>
          <w:rFonts w:ascii="Arial" w:hAnsi="Arial" w:cs="Arial"/>
          <w:sz w:val="20"/>
          <w:szCs w:val="20"/>
        </w:rPr>
        <w:t>length</w:t>
      </w:r>
      <w:r w:rsidRPr="009A0485">
        <w:rPr>
          <w:rFonts w:ascii="Arial" w:hAnsi="Arial" w:cs="Arial"/>
          <w:sz w:val="20"/>
          <w:szCs w:val="20"/>
        </w:rPr>
        <w:t xml:space="preserve"> or </w:t>
      </w:r>
      <m:oMath>
        <m:nary>
          <m:naryPr>
            <m:chr m:val="∑"/>
            <m:limLoc m:val="undOvr"/>
            <m:ctrlPr>
              <w:rPr>
                <w:rFonts w:ascii="Cambria Math" w:hAnsi="Cambria Math" w:cs="Arial"/>
                <w:i/>
                <w:sz w:val="18"/>
                <w:szCs w:val="18"/>
              </w:rPr>
            </m:ctrlPr>
          </m:naryPr>
          <m:sub>
            <m:r>
              <w:rPr>
                <w:rFonts w:ascii="Cambria Math" w:hAnsi="Cambria Math" w:cs="Arial"/>
                <w:sz w:val="18"/>
                <w:szCs w:val="18"/>
              </w:rPr>
              <m:t>j=0</m:t>
            </m:r>
          </m:sub>
          <m:sup>
            <m:r>
              <w:rPr>
                <w:rFonts w:ascii="Cambria Math" w:hAnsi="Cambria Math" w:cs="Arial"/>
                <w:sz w:val="18"/>
                <w:szCs w:val="18"/>
              </w:rPr>
              <m:t>s</m:t>
            </m:r>
          </m:sup>
          <m:e>
            <m:sSub>
              <m:sSubPr>
                <m:ctrlPr>
                  <w:rPr>
                    <w:rFonts w:ascii="Cambria Math" w:hAnsi="Cambria Math" w:cs="Arial"/>
                    <w:i/>
                    <w:sz w:val="18"/>
                    <w:szCs w:val="18"/>
                  </w:rPr>
                </m:ctrlPr>
              </m:sSubPr>
              <m:e>
                <m:r>
                  <w:rPr>
                    <w:rFonts w:ascii="Cambria Math" w:hAnsi="Cambria Math" w:cs="Arial"/>
                    <w:sz w:val="18"/>
                    <w:szCs w:val="18"/>
                  </w:rPr>
                  <m:t>S</m:t>
                </m:r>
              </m:e>
              <m:sub>
                <m:r>
                  <w:rPr>
                    <w:rFonts w:ascii="Cambria Math" w:hAnsi="Cambria Math" w:cs="Arial"/>
                    <w:sz w:val="18"/>
                    <w:szCs w:val="18"/>
                  </w:rPr>
                  <m:t>j</m:t>
                </m:r>
              </m:sub>
            </m:sSub>
          </m:e>
        </m:nary>
        <m:r>
          <w:rPr>
            <w:rFonts w:ascii="Cambria Math" w:eastAsiaTheme="minorEastAsia" w:hAnsi="Cambria Math" w:cs="Arial"/>
            <w:sz w:val="18"/>
            <w:szCs w:val="18"/>
          </w:rPr>
          <m:t>=s</m:t>
        </m:r>
      </m:oMath>
      <w:r w:rsidRPr="009A0485">
        <w:rPr>
          <w:rFonts w:ascii="Arial" w:hAnsi="Arial" w:cs="Arial"/>
          <w:sz w:val="20"/>
          <w:szCs w:val="20"/>
        </w:rPr>
        <w:t xml:space="preserve"> and </w:t>
      </w:r>
      <m:oMath>
        <m:sSub>
          <m:sSubPr>
            <m:ctrlPr>
              <w:rPr>
                <w:rFonts w:ascii="Cambria Math" w:hAnsi="Cambria Math" w:cs="Arial"/>
                <w:i/>
                <w:sz w:val="20"/>
                <w:szCs w:val="20"/>
              </w:rPr>
            </m:ctrlPr>
          </m:sSubPr>
          <m:e>
            <m:r>
              <w:rPr>
                <w:rFonts w:ascii="Cambria Math" w:hAnsi="Cambria Math" w:cs="Arial"/>
                <w:sz w:val="20"/>
                <w:szCs w:val="20"/>
              </w:rPr>
              <m:t>e</m:t>
            </m:r>
          </m:e>
          <m:sub>
            <m:r>
              <w:rPr>
                <w:rFonts w:ascii="Cambria Math" w:hAnsi="Cambria Math" w:cs="Arial"/>
                <w:sz w:val="20"/>
                <w:szCs w:val="20"/>
              </w:rPr>
              <m:t>t</m:t>
            </m:r>
          </m:sub>
        </m:sSub>
      </m:oMath>
      <w:r w:rsidRPr="009A0485">
        <w:rPr>
          <w:rFonts w:ascii="Arial" w:eastAsiaTheme="minorEastAsia" w:hAnsi="Arial" w:cs="Arial"/>
          <w:sz w:val="20"/>
          <w:szCs w:val="20"/>
        </w:rPr>
        <w:t xml:space="preserve"> has </w:t>
      </w:r>
      <w:r w:rsidRPr="009A0485">
        <w:rPr>
          <w:rFonts w:ascii="Arial" w:hAnsi="Arial" w:cs="Arial"/>
          <w:sz w:val="20"/>
          <w:szCs w:val="20"/>
        </w:rPr>
        <w:t xml:space="preserve">Gaussian </w:t>
      </w:r>
      <w:proofErr w:type="gramStart"/>
      <w:r w:rsidRPr="009A0485">
        <w:rPr>
          <w:rFonts w:ascii="Arial" w:hAnsi="Arial" w:cs="Arial"/>
          <w:sz w:val="20"/>
          <w:szCs w:val="20"/>
        </w:rPr>
        <w:t>N(</w:t>
      </w:r>
      <w:proofErr w:type="gramEnd"/>
      <w:r w:rsidRPr="009A0485">
        <w:rPr>
          <w:rFonts w:ascii="Arial" w:hAnsi="Arial" w:cs="Arial"/>
          <w:sz w:val="20"/>
          <w:szCs w:val="20"/>
        </w:rPr>
        <w:t xml:space="preserve">1, </w:t>
      </w:r>
      <m:oMath>
        <m:sSup>
          <m:sSupPr>
            <m:ctrlPr>
              <w:rPr>
                <w:rFonts w:ascii="Cambria Math" w:hAnsi="Cambria Math" w:cs="Arial"/>
                <w:i/>
                <w:sz w:val="20"/>
                <w:szCs w:val="20"/>
              </w:rPr>
            </m:ctrlPr>
          </m:sSupPr>
          <m:e>
            <m:r>
              <w:rPr>
                <w:rFonts w:ascii="Cambria Math" w:hAnsi="Cambria Math" w:cs="Arial"/>
                <w:sz w:val="20"/>
                <w:szCs w:val="20"/>
              </w:rPr>
              <m:t>σ</m:t>
            </m:r>
          </m:e>
          <m:sup>
            <m:r>
              <w:rPr>
                <w:rFonts w:ascii="Cambria Math" w:hAnsi="Cambria Math" w:cs="Arial"/>
                <w:sz w:val="20"/>
                <w:szCs w:val="20"/>
              </w:rPr>
              <m:t>2</m:t>
            </m:r>
          </m:sup>
        </m:sSup>
      </m:oMath>
      <w:r w:rsidRPr="009A0485">
        <w:rPr>
          <w:rFonts w:ascii="Arial" w:hAnsi="Arial" w:cs="Arial"/>
          <w:sz w:val="20"/>
          <w:szCs w:val="20"/>
        </w:rPr>
        <w:t>).</w:t>
      </w:r>
    </w:p>
    <w:p w:rsidR="00572332" w:rsidRPr="0096479D" w:rsidRDefault="0041400C" w:rsidP="00871D77">
      <w:pPr>
        <w:spacing w:after="0"/>
        <w:ind w:left="0" w:hanging="2"/>
        <w:jc w:val="both"/>
        <w:rPr>
          <w:rFonts w:ascii="Arial" w:eastAsiaTheme="minorEastAsia" w:hAnsi="Arial" w:cs="Arial"/>
          <w:sz w:val="20"/>
          <w:szCs w:val="20"/>
        </w:rPr>
      </w:pPr>
      <w:r w:rsidRPr="009A0485">
        <w:rPr>
          <w:rFonts w:ascii="Arial" w:eastAsiaTheme="minorEastAsia" w:hAnsi="Arial" w:cs="Arial"/>
          <w:sz w:val="20"/>
          <w:szCs w:val="20"/>
        </w:rPr>
        <w:t xml:space="preserve">Where </w:t>
      </w:r>
      <m:oMath>
        <m:sSub>
          <m:sSubPr>
            <m:ctrlPr>
              <w:rPr>
                <w:rFonts w:ascii="Cambria Math" w:hAnsi="Cambria Math" w:cs="Arial"/>
                <w:i/>
                <w:sz w:val="20"/>
                <w:szCs w:val="20"/>
              </w:rPr>
            </m:ctrlPr>
          </m:sSubPr>
          <m:e>
            <m:r>
              <w:rPr>
                <w:rFonts w:ascii="Cambria Math" w:hAnsi="Cambria Math" w:cs="Arial"/>
                <w:sz w:val="20"/>
                <w:szCs w:val="20"/>
              </w:rPr>
              <m:t>Y</m:t>
            </m:r>
          </m:e>
          <m:sub>
            <m:r>
              <w:rPr>
                <w:rFonts w:ascii="Cambria Math" w:hAnsi="Cambria Math" w:cs="Arial"/>
                <w:sz w:val="20"/>
                <w:szCs w:val="20"/>
              </w:rPr>
              <m:t>t</m:t>
            </m:r>
          </m:sub>
        </m:sSub>
      </m:oMath>
      <w:r w:rsidR="00420CAE">
        <w:rPr>
          <w:rFonts w:ascii="Arial" w:eastAsiaTheme="minorEastAsia" w:hAnsi="Arial" w:cs="Arial"/>
          <w:sz w:val="20"/>
          <w:szCs w:val="20"/>
        </w:rPr>
        <w:t xml:space="preserve"> is the real</w:t>
      </w:r>
      <w:r w:rsidRPr="009A0485">
        <w:rPr>
          <w:rFonts w:ascii="Arial" w:eastAsiaTheme="minorEastAsia" w:hAnsi="Arial" w:cs="Arial"/>
          <w:sz w:val="20"/>
          <w:szCs w:val="20"/>
        </w:rPr>
        <w:t xml:space="preserve"> data, </w:t>
      </w:r>
      <m:oMath>
        <m:sSub>
          <m:sSubPr>
            <m:ctrlPr>
              <w:rPr>
                <w:rFonts w:ascii="Cambria Math" w:hAnsi="Cambria Math" w:cs="Arial"/>
                <w:i/>
                <w:sz w:val="20"/>
                <w:szCs w:val="20"/>
              </w:rPr>
            </m:ctrlPr>
          </m:sSubPr>
          <m:e>
            <m:r>
              <w:rPr>
                <w:rFonts w:ascii="Cambria Math" w:hAnsi="Cambria Math" w:cs="Arial"/>
                <w:sz w:val="20"/>
                <w:szCs w:val="20"/>
              </w:rPr>
              <m:t>T</m:t>
            </m:r>
          </m:e>
          <m:sub>
            <m:r>
              <w:rPr>
                <w:rFonts w:ascii="Cambria Math" w:hAnsi="Cambria Math" w:cs="Arial"/>
                <w:sz w:val="20"/>
                <w:szCs w:val="20"/>
              </w:rPr>
              <m:t>t</m:t>
            </m:r>
          </m:sub>
        </m:sSub>
      </m:oMath>
      <w:r w:rsidRPr="009A0485">
        <w:rPr>
          <w:rFonts w:ascii="Arial" w:eastAsiaTheme="minorEastAsia" w:hAnsi="Arial" w:cs="Arial"/>
          <w:sz w:val="20"/>
          <w:szCs w:val="20"/>
        </w:rPr>
        <w:t xml:space="preserve"> is trend component value at period t, </w:t>
      </w:r>
      <m:oMath>
        <m:sSub>
          <m:sSubPr>
            <m:ctrlPr>
              <w:rPr>
                <w:rFonts w:ascii="Cambria Math" w:hAnsi="Cambria Math" w:cs="Arial"/>
                <w:i/>
                <w:sz w:val="20"/>
                <w:szCs w:val="20"/>
              </w:rPr>
            </m:ctrlPr>
          </m:sSubPr>
          <m:e>
            <m:r>
              <w:rPr>
                <w:rFonts w:ascii="Cambria Math" w:hAnsi="Cambria Math" w:cs="Arial"/>
                <w:sz w:val="20"/>
                <w:szCs w:val="20"/>
              </w:rPr>
              <m:t>S</m:t>
            </m:r>
          </m:e>
          <m:sub>
            <m:r>
              <w:rPr>
                <w:rFonts w:ascii="Cambria Math" w:hAnsi="Cambria Math" w:cs="Arial"/>
                <w:sz w:val="20"/>
                <w:szCs w:val="20"/>
              </w:rPr>
              <m:t>t</m:t>
            </m:r>
          </m:sub>
        </m:sSub>
      </m:oMath>
      <w:r w:rsidRPr="009A0485">
        <w:rPr>
          <w:rFonts w:ascii="Arial" w:eastAsiaTheme="minorEastAsia" w:hAnsi="Arial" w:cs="Arial"/>
          <w:sz w:val="20"/>
          <w:szCs w:val="20"/>
        </w:rPr>
        <w:t xml:space="preserve"> is the seasonal component value at period t, </w:t>
      </w:r>
      <m:oMath>
        <m:sSub>
          <m:sSubPr>
            <m:ctrlPr>
              <w:rPr>
                <w:rFonts w:ascii="Cambria Math" w:hAnsi="Cambria Math" w:cs="Arial"/>
                <w:i/>
                <w:sz w:val="20"/>
                <w:szCs w:val="20"/>
              </w:rPr>
            </m:ctrlPr>
          </m:sSubPr>
          <m:e>
            <m:r>
              <w:rPr>
                <w:rFonts w:ascii="Cambria Math" w:hAnsi="Cambria Math" w:cs="Arial"/>
                <w:sz w:val="20"/>
                <w:szCs w:val="20"/>
              </w:rPr>
              <m:t>e</m:t>
            </m:r>
          </m:e>
          <m:sub>
            <m:r>
              <w:rPr>
                <w:rFonts w:ascii="Cambria Math" w:hAnsi="Cambria Math" w:cs="Arial"/>
                <w:sz w:val="20"/>
                <w:szCs w:val="20"/>
              </w:rPr>
              <m:t>t</m:t>
            </m:r>
          </m:sub>
        </m:sSub>
      </m:oMath>
      <w:r w:rsidRPr="009A0485">
        <w:rPr>
          <w:rFonts w:ascii="Arial" w:eastAsiaTheme="minorEastAsia" w:hAnsi="Arial" w:cs="Arial"/>
          <w:sz w:val="20"/>
          <w:szCs w:val="20"/>
        </w:rPr>
        <w:t xml:space="preserve"> is error or residual or random component value at period t and j is the duration of the seasonal period.</w:t>
      </w:r>
    </w:p>
    <w:p w:rsidR="00871D77" w:rsidRDefault="00420CAE" w:rsidP="00871D77">
      <w:pPr>
        <w:spacing w:after="0"/>
        <w:ind w:left="-2" w:firstLineChars="0" w:firstLine="0"/>
        <w:jc w:val="both"/>
        <w:rPr>
          <w:rFonts w:ascii="Arial" w:eastAsiaTheme="minorEastAsia" w:hAnsi="Arial" w:cs="Arial"/>
          <w:sz w:val="20"/>
          <w:szCs w:val="20"/>
        </w:rPr>
      </w:pPr>
      <w:r>
        <w:rPr>
          <w:rFonts w:ascii="Arial" w:eastAsiaTheme="minorEastAsia" w:hAnsi="Arial" w:cs="Arial"/>
          <w:sz w:val="20"/>
          <w:szCs w:val="20"/>
        </w:rPr>
        <w:t xml:space="preserve">It is worth noting that </w:t>
      </w:r>
      <w:r w:rsidR="003F2655" w:rsidRPr="003F2655">
        <w:rPr>
          <w:rFonts w:ascii="Arial" w:eastAsiaTheme="minorEastAsia" w:hAnsi="Arial" w:cs="Arial"/>
          <w:sz w:val="20"/>
          <w:szCs w:val="20"/>
        </w:rPr>
        <w:t xml:space="preserve"> </w:t>
      </w:r>
      <m:oMath>
        <m:sSub>
          <m:sSubPr>
            <m:ctrlPr>
              <w:rPr>
                <w:rFonts w:ascii="Cambria Math" w:hAnsi="Cambria Math" w:cs="Arial"/>
                <w:i/>
                <w:sz w:val="20"/>
                <w:szCs w:val="20"/>
              </w:rPr>
            </m:ctrlPr>
          </m:sSubPr>
          <m:e>
            <m:r>
              <w:rPr>
                <w:rFonts w:ascii="Cambria Math" w:hAnsi="Cambria Math" w:cs="Arial"/>
                <w:sz w:val="20"/>
                <w:szCs w:val="20"/>
              </w:rPr>
              <m:t>S</m:t>
            </m:r>
          </m:e>
          <m:sub>
            <m:r>
              <w:rPr>
                <w:rFonts w:ascii="Cambria Math" w:hAnsi="Cambria Math" w:cs="Arial"/>
                <w:sz w:val="20"/>
                <w:szCs w:val="20"/>
              </w:rPr>
              <m:t>t</m:t>
            </m:r>
          </m:sub>
        </m:sSub>
      </m:oMath>
      <w:r w:rsidR="003F2655" w:rsidRPr="003F2655">
        <w:rPr>
          <w:rFonts w:ascii="Arial" w:eastAsiaTheme="minorEastAsia" w:hAnsi="Arial" w:cs="Arial"/>
          <w:sz w:val="20"/>
          <w:szCs w:val="20"/>
        </w:rPr>
        <w:t xml:space="preserve"> is constant for the same t for each seasonal period. Thus, after choosing the decomposition model, we can know the estimate of seasonal data. </w:t>
      </w:r>
    </w:p>
    <w:p w:rsidR="003F2655" w:rsidRPr="00871D77" w:rsidRDefault="003F2655" w:rsidP="00871D77">
      <w:pPr>
        <w:spacing w:after="0" w:line="240" w:lineRule="auto"/>
        <w:ind w:left="-2" w:firstLineChars="0" w:firstLine="0"/>
        <w:jc w:val="both"/>
        <w:rPr>
          <w:rFonts w:ascii="Arial" w:eastAsiaTheme="minorEastAsia" w:hAnsi="Arial" w:cs="Arial"/>
          <w:sz w:val="20"/>
          <w:szCs w:val="20"/>
        </w:rPr>
      </w:pPr>
      <w:r w:rsidRPr="003F2655">
        <w:rPr>
          <w:rFonts w:ascii="Arial" w:eastAsiaTheme="minorEastAsia" w:hAnsi="Arial" w:cs="Arial"/>
          <w:sz w:val="20"/>
          <w:szCs w:val="20"/>
        </w:rPr>
        <w:t>For the trend data, we still need to do the other estimation. In this study, we use double moving average method to estimate</w:t>
      </w:r>
      <w:r w:rsidR="00871D77">
        <w:rPr>
          <w:rFonts w:ascii="Arial" w:eastAsiaTheme="minorEastAsia" w:hAnsi="Arial" w:cs="Arial"/>
          <w:sz w:val="20"/>
          <w:szCs w:val="20"/>
        </w:rPr>
        <w:t xml:space="preserve"> it. </w:t>
      </w:r>
      <w:r w:rsidRPr="003F2655">
        <w:rPr>
          <w:rFonts w:ascii="Arial" w:hAnsi="Arial" w:cs="Arial"/>
          <w:sz w:val="20"/>
          <w:szCs w:val="20"/>
        </w:rPr>
        <w:t>Double moving average forecast model can help to predict trend patterns in the data</w:t>
      </w:r>
      <w:r w:rsidR="0038150E">
        <w:rPr>
          <w:rFonts w:ascii="Arial" w:hAnsi="Arial" w:cs="Arial"/>
          <w:sz w:val="20"/>
          <w:szCs w:val="20"/>
        </w:rPr>
        <w:t xml:space="preserve"> </w:t>
      </w:r>
      <w:r w:rsidRPr="003F2655">
        <w:rPr>
          <w:rFonts w:ascii="Arial" w:hAnsi="Arial" w:cs="Arial"/>
          <w:sz w:val="20"/>
          <w:szCs w:val="20"/>
        </w:rPr>
        <w:fldChar w:fldCharType="begin" w:fldLock="1"/>
      </w:r>
      <w:r w:rsidR="00AA5E59">
        <w:rPr>
          <w:rFonts w:ascii="Arial" w:hAnsi="Arial" w:cs="Arial"/>
          <w:sz w:val="20"/>
          <w:szCs w:val="20"/>
        </w:rPr>
        <w:instrText>ADDIN CSL_CITATION {"citationItems":[{"id":"ITEM-1","itemData":{"DOI":"10.1088/1742-6596/1462/1/012046","ISSN":"17426596","abstract":"In Mathematics, Forecasting is scientific. Forecasting uses statistical techniques to describe the future using previous data. Based on North Sumatra BPS data, the number of foreign tourists coming to North Sumatra fluctuates. Therefore, forecasting the number of foreign tourism needs to be done so that tourism actors can prepare themselves. The purpose of this study is to compare time series forecasting methods, namely Double Moving Average (DMA) and Double Exponential Smoothing (DES). Then the number of tourists is predicted using the best method, the method with the smallest MAPE. The research data in the form of secondary data obtained from BPS as many as 108 data, from January 2010 to December 2018. The calculation process uses Ms. Excel. The results showed that the 12th time order on DMA had the smallest MAPE value, which was 14.12%. Whereas the DES Brown method with and DES Holt yielding MAPE values respectively 12.71% and 12.21%. Forecasting the number of foreign tourists coming to North Sumatra in 2019 using the DES Holt method.","author":[{"dropping-particle":"","family":"Febrian","given":"Didi","non-dropping-particle":"","parse-names":false,"suffix":""},{"dropping-particle":"Al","family":"Idrus","given":"Said Iskandar","non-dropping-particle":"","parse-names":false,"suffix":""},{"dropping-particle":"","family":"Nainggolan","given":"Debora Agnes Jessica","non-dropping-particle":"","parse-names":false,"suffix":""}],"container-title":"Journal of Physics: Conference Series","id":"ITEM-1","issue":"1","issued":{"date-parts":[["2020"]]},"page":"0-10","title":"The Comparison of Double Moving Average and Double Exponential Smoothing Methods in Forecasting the Number of Foreign Tourists Coming to North Sumatera","type":"article-journal","volume":"1462"},"uris":["http://www.mendeley.com/documents/?uuid=4a6e3c35-3959-4910-a4a6-6ef3d7851755"]}],"mendeley":{"formattedCitation":"[28]","plainTextFormattedCitation":"[28]","previouslyFormattedCitation":"[28]"},"properties":{"noteIndex":0},"schema":"https://github.com/citation-style-language/schema/raw/master/csl-citation.json"}</w:instrText>
      </w:r>
      <w:r w:rsidRPr="003F2655">
        <w:rPr>
          <w:rFonts w:ascii="Arial" w:hAnsi="Arial" w:cs="Arial"/>
          <w:sz w:val="20"/>
          <w:szCs w:val="20"/>
        </w:rPr>
        <w:fldChar w:fldCharType="separate"/>
      </w:r>
      <w:r w:rsidR="00AA5E59" w:rsidRPr="00AA5E59">
        <w:rPr>
          <w:rFonts w:ascii="Arial" w:hAnsi="Arial" w:cs="Arial"/>
          <w:noProof/>
          <w:sz w:val="20"/>
          <w:szCs w:val="20"/>
        </w:rPr>
        <w:t>[28]</w:t>
      </w:r>
      <w:r w:rsidRPr="003F2655">
        <w:rPr>
          <w:rFonts w:ascii="Arial" w:hAnsi="Arial" w:cs="Arial"/>
          <w:sz w:val="20"/>
          <w:szCs w:val="20"/>
        </w:rPr>
        <w:fldChar w:fldCharType="end"/>
      </w:r>
      <w:r w:rsidRPr="003F2655">
        <w:rPr>
          <w:rFonts w:ascii="Arial" w:hAnsi="Arial" w:cs="Arial"/>
          <w:sz w:val="20"/>
          <w:szCs w:val="20"/>
        </w:rPr>
        <w:t xml:space="preserve">. </w:t>
      </w:r>
      <w:r w:rsidRPr="000722D2">
        <w:rPr>
          <w:rFonts w:ascii="Arial" w:hAnsi="Arial" w:cs="Arial"/>
          <w:sz w:val="20"/>
          <w:szCs w:val="20"/>
        </w:rPr>
        <w:t xml:space="preserve">The double moving average model is </w:t>
      </w:r>
      <w:r w:rsidRPr="000722D2">
        <w:rPr>
          <w:rFonts w:ascii="Arial" w:hAnsi="Arial" w:cs="Arial"/>
          <w:sz w:val="20"/>
          <w:szCs w:val="20"/>
        </w:rPr>
        <w:fldChar w:fldCharType="begin" w:fldLock="1"/>
      </w:r>
      <w:r w:rsidR="00AA5E59">
        <w:rPr>
          <w:rFonts w:ascii="Arial" w:hAnsi="Arial" w:cs="Arial"/>
          <w:sz w:val="20"/>
          <w:szCs w:val="20"/>
        </w:rPr>
        <w:instrText>ADDIN CSL_CITATION {"citationItems":[{"id":"ITEM-1","itemData":{"DOI":"10.11591/eei.v10i2.2711","ISSN":"23029285","abstract":"Spread of dengue hemorrhagic fever (DHF) is influenced by an increase in air temperature due to changes in weather and population density so that there is a lot of exchange of dengue virus through the bite of the Aedes aegypti mosquito. Forecasting models are needed to predict the number of DHF patients in the future so that monitoring of the number of DHF patients can be carried out as anticipation and consideration of decision making. Forecasting the number of patients is based on actual data within 2 (two) previous years by comparing the two methods, namely trend moment and double moving average. To measure the accuracy of the forecasting results from the two forecasting methods, tracking signal and moving range are used. based on the test results, it shows that the forecasting results are said to be good because no one has passed the upper control limit and lower control limit values so that the difference between the actual data and the forecasting results is not too significant and the trend moment more recommended because the difference in actual data and forecasting results are approached and shown in the pattern graph by looking at the data difference in each period.","author":[{"dropping-particle":"","family":"Khairina","given":"Dyna Marisa","non-dropping-particle":"","parse-names":false,"suffix":""},{"dropping-particle":"","family":"Khairunnisa","given":"Rizka","non-dropping-particle":"","parse-names":false,"suffix":""},{"dropping-particle":"","family":"Hatta","given":"Heliza Rahmania","non-dropping-particle":"","parse-names":false,"suffix":""},{"dropping-particle":"","family":"Maharani","given":"Septya","non-dropping-particle":"","parse-names":false,"suffix":""}],"container-title":"Bulletin of Electrical Engineering and Informatics","id":"ITEM-1","issue":"2","issued":{"date-parts":[["2021"]]},"page":"978-987","title":"Comparison of the trend moment and double moving average methods for forecasting the number of dengue hemorrhagic fever patients","type":"article-journal","volume":"10"},"uris":["http://www.mendeley.com/documents/?uuid=ed58e693-1c8a-4241-a0a4-ad89ce9ab8eb"]}],"mendeley":{"formattedCitation":"[29]","plainTextFormattedCitation":"[29]","previouslyFormattedCitation":"[29]"},"properties":{"noteIndex":0},"schema":"https://github.com/citation-style-language/schema/raw/master/csl-citation.json"}</w:instrText>
      </w:r>
      <w:r w:rsidRPr="000722D2">
        <w:rPr>
          <w:rFonts w:ascii="Arial" w:hAnsi="Arial" w:cs="Arial"/>
          <w:sz w:val="20"/>
          <w:szCs w:val="20"/>
        </w:rPr>
        <w:fldChar w:fldCharType="separate"/>
      </w:r>
      <w:r w:rsidR="00AA5E59" w:rsidRPr="00AA5E59">
        <w:rPr>
          <w:rFonts w:ascii="Arial" w:hAnsi="Arial" w:cs="Arial"/>
          <w:noProof/>
          <w:sz w:val="20"/>
          <w:szCs w:val="20"/>
        </w:rPr>
        <w:t>[29]</w:t>
      </w:r>
      <w:r w:rsidRPr="000722D2">
        <w:rPr>
          <w:rFonts w:ascii="Arial" w:hAnsi="Arial" w:cs="Arial"/>
          <w:sz w:val="20"/>
          <w:szCs w:val="20"/>
        </w:rPr>
        <w:fldChar w:fldCharType="end"/>
      </w:r>
      <w:r w:rsidR="0038150E">
        <w:rPr>
          <w:rFonts w:ascii="Arial" w:hAnsi="Arial" w:cs="Arial"/>
          <w:sz w:val="20"/>
          <w:szCs w:val="20"/>
        </w:rPr>
        <w:t>:</w:t>
      </w:r>
    </w:p>
    <w:p w:rsidR="002000CA" w:rsidRPr="000722D2" w:rsidRDefault="002000CA" w:rsidP="000722D2">
      <w:pPr>
        <w:pStyle w:val="ListParagraph"/>
        <w:suppressAutoHyphens w:val="0"/>
        <w:spacing w:after="0" w:line="240" w:lineRule="auto"/>
        <w:ind w:leftChars="0" w:left="0" w:firstLineChars="0" w:firstLine="0"/>
        <w:jc w:val="both"/>
        <w:textDirection w:val="lrTb"/>
        <w:textAlignment w:val="auto"/>
        <w:outlineLvl w:val="9"/>
        <w:rPr>
          <w:rFonts w:ascii="Arial" w:hAnsi="Arial" w:cs="Arial"/>
          <w:sz w:val="20"/>
          <w:szCs w:val="20"/>
        </w:rPr>
      </w:pPr>
    </w:p>
    <w:p w:rsidR="001D34F0" w:rsidRPr="000722D2" w:rsidRDefault="001D34F0" w:rsidP="000722D2">
      <w:pPr>
        <w:pStyle w:val="ListParagraph"/>
        <w:suppressAutoHyphens w:val="0"/>
        <w:spacing w:after="0" w:line="240" w:lineRule="auto"/>
        <w:ind w:leftChars="0" w:left="0" w:firstLineChars="0" w:firstLine="0"/>
        <w:jc w:val="both"/>
        <w:textDirection w:val="lrTb"/>
        <w:textAlignment w:val="auto"/>
        <w:outlineLvl w:val="9"/>
        <w:rPr>
          <w:rFonts w:ascii="Arial" w:hAnsi="Arial" w:cs="Arial"/>
          <w:sz w:val="20"/>
          <w:szCs w:val="20"/>
        </w:rPr>
      </w:pPr>
      <w:r w:rsidRPr="000722D2">
        <w:rPr>
          <w:rFonts w:ascii="Arial" w:hAnsi="Arial" w:cs="Arial"/>
          <w:sz w:val="20"/>
          <w:szCs w:val="20"/>
        </w:rPr>
        <w:t>Single Moving Average (S’) of period t:</w:t>
      </w:r>
    </w:p>
    <w:tbl>
      <w:tblPr>
        <w:tblStyle w:val="a1"/>
        <w:tblW w:w="4503" w:type="dxa"/>
        <w:tblInd w:w="-108" w:type="dxa"/>
        <w:tblLayout w:type="fixed"/>
        <w:tblLook w:val="0000" w:firstRow="0" w:lastRow="0" w:firstColumn="0" w:lastColumn="0" w:noHBand="0" w:noVBand="0"/>
      </w:tblPr>
      <w:tblGrid>
        <w:gridCol w:w="3369"/>
        <w:gridCol w:w="1134"/>
      </w:tblGrid>
      <w:tr w:rsidR="00D41F86" w:rsidRPr="000722D2" w:rsidTr="00BC0E4D">
        <w:tc>
          <w:tcPr>
            <w:tcW w:w="3369" w:type="dxa"/>
            <w:vAlign w:val="center"/>
          </w:tcPr>
          <w:p w:rsidR="00D41F86" w:rsidRPr="000722D2" w:rsidRDefault="00D0002E" w:rsidP="00871D77">
            <w:pPr>
              <w:spacing w:after="0"/>
              <w:ind w:left="0" w:hanging="2"/>
              <w:jc w:val="both"/>
              <w:rPr>
                <w:rFonts w:ascii="Arial" w:hAnsi="Arial" w:cs="Arial"/>
                <w:sz w:val="20"/>
                <w:szCs w:val="20"/>
              </w:rPr>
            </w:pPr>
            <m:oMathPara>
              <m:oMath>
                <m:sSub>
                  <m:sSubPr>
                    <m:ctrlPr>
                      <w:rPr>
                        <w:rFonts w:ascii="Cambria Math" w:hAnsi="Cambria Math" w:cs="Arial"/>
                        <w:i/>
                        <w:sz w:val="20"/>
                        <w:szCs w:val="20"/>
                      </w:rPr>
                    </m:ctrlPr>
                  </m:sSubPr>
                  <m:e>
                    <m:sSup>
                      <m:sSupPr>
                        <m:ctrlPr>
                          <w:rPr>
                            <w:rFonts w:ascii="Cambria Math" w:hAnsi="Cambria Math" w:cs="Arial"/>
                            <w:i/>
                            <w:sz w:val="20"/>
                            <w:szCs w:val="20"/>
                          </w:rPr>
                        </m:ctrlPr>
                      </m:sSupPr>
                      <m:e>
                        <m:r>
                          <w:rPr>
                            <w:rFonts w:ascii="Cambria Math" w:hAnsi="Cambria Math" w:cs="Arial"/>
                            <w:sz w:val="20"/>
                            <w:szCs w:val="20"/>
                          </w:rPr>
                          <m:t>S</m:t>
                        </m:r>
                      </m:e>
                      <m:sup>
                        <m:r>
                          <w:rPr>
                            <w:rFonts w:ascii="Cambria Math" w:hAnsi="Cambria Math" w:cs="Arial"/>
                            <w:sz w:val="20"/>
                            <w:szCs w:val="20"/>
                          </w:rPr>
                          <m:t>'</m:t>
                        </m:r>
                      </m:sup>
                    </m:sSup>
                  </m:e>
                  <m:sub>
                    <m:r>
                      <w:rPr>
                        <w:rFonts w:ascii="Cambria Math" w:hAnsi="Cambria Math" w:cs="Arial"/>
                        <w:sz w:val="20"/>
                        <w:szCs w:val="20"/>
                      </w:rPr>
                      <m:t>t</m:t>
                    </m:r>
                  </m:sub>
                </m:sSub>
                <m:r>
                  <w:rPr>
                    <w:rFonts w:ascii="Cambria Math" w:hAnsi="Cambria Math" w:cs="Arial"/>
                    <w:sz w:val="20"/>
                    <w:szCs w:val="20"/>
                  </w:rPr>
                  <m:t>=</m:t>
                </m:r>
                <m:f>
                  <m:fPr>
                    <m:ctrlPr>
                      <w:rPr>
                        <w:rFonts w:ascii="Cambria Math" w:hAnsi="Cambria Math" w:cs="Arial"/>
                        <w:i/>
                        <w:sz w:val="20"/>
                        <w:szCs w:val="20"/>
                      </w:rPr>
                    </m:ctrlPr>
                  </m:fPr>
                  <m:num>
                    <m:sSub>
                      <m:sSubPr>
                        <m:ctrlPr>
                          <w:rPr>
                            <w:rFonts w:ascii="Cambria Math" w:hAnsi="Cambria Math" w:cs="Arial"/>
                            <w:i/>
                            <w:sz w:val="20"/>
                            <w:szCs w:val="20"/>
                          </w:rPr>
                        </m:ctrlPr>
                      </m:sSubPr>
                      <m:e>
                        <m:r>
                          <w:rPr>
                            <w:rFonts w:ascii="Cambria Math" w:hAnsi="Cambria Math" w:cs="Arial"/>
                            <w:sz w:val="20"/>
                            <w:szCs w:val="20"/>
                          </w:rPr>
                          <m:t>Y</m:t>
                        </m:r>
                      </m:e>
                      <m:sub>
                        <m:r>
                          <w:rPr>
                            <w:rFonts w:ascii="Cambria Math" w:hAnsi="Cambria Math" w:cs="Arial"/>
                            <w:sz w:val="20"/>
                            <w:szCs w:val="20"/>
                          </w:rPr>
                          <m:t>t</m:t>
                        </m:r>
                      </m:sub>
                    </m:sSub>
                    <m:r>
                      <w:rPr>
                        <w:rFonts w:ascii="Cambria Math" w:hAnsi="Cambria Math" w:cs="Arial"/>
                        <w:sz w:val="20"/>
                        <w:szCs w:val="20"/>
                      </w:rPr>
                      <m:t>+</m:t>
                    </m:r>
                    <m:sSub>
                      <m:sSubPr>
                        <m:ctrlPr>
                          <w:rPr>
                            <w:rFonts w:ascii="Cambria Math" w:hAnsi="Cambria Math" w:cs="Arial"/>
                            <w:i/>
                            <w:sz w:val="20"/>
                            <w:szCs w:val="20"/>
                          </w:rPr>
                        </m:ctrlPr>
                      </m:sSubPr>
                      <m:e>
                        <m:r>
                          <w:rPr>
                            <w:rFonts w:ascii="Cambria Math" w:hAnsi="Cambria Math" w:cs="Arial"/>
                            <w:sz w:val="20"/>
                            <w:szCs w:val="20"/>
                          </w:rPr>
                          <m:t>Y</m:t>
                        </m:r>
                      </m:e>
                      <m:sub>
                        <m:r>
                          <w:rPr>
                            <w:rFonts w:ascii="Cambria Math" w:hAnsi="Cambria Math" w:cs="Arial"/>
                            <w:sz w:val="20"/>
                            <w:szCs w:val="20"/>
                          </w:rPr>
                          <m:t>t-1</m:t>
                        </m:r>
                      </m:sub>
                    </m:sSub>
                    <m:r>
                      <w:rPr>
                        <w:rFonts w:ascii="Cambria Math" w:hAnsi="Cambria Math" w:cs="Arial"/>
                        <w:sz w:val="20"/>
                        <w:szCs w:val="20"/>
                      </w:rPr>
                      <m:t>+</m:t>
                    </m:r>
                    <m:sSub>
                      <m:sSubPr>
                        <m:ctrlPr>
                          <w:rPr>
                            <w:rFonts w:ascii="Cambria Math" w:hAnsi="Cambria Math" w:cs="Arial"/>
                            <w:i/>
                            <w:sz w:val="20"/>
                            <w:szCs w:val="20"/>
                          </w:rPr>
                        </m:ctrlPr>
                      </m:sSubPr>
                      <m:e>
                        <m:r>
                          <w:rPr>
                            <w:rFonts w:ascii="Cambria Math" w:hAnsi="Cambria Math" w:cs="Arial"/>
                            <w:sz w:val="20"/>
                            <w:szCs w:val="20"/>
                          </w:rPr>
                          <m:t>Y</m:t>
                        </m:r>
                      </m:e>
                      <m:sub>
                        <m:r>
                          <w:rPr>
                            <w:rFonts w:ascii="Cambria Math" w:hAnsi="Cambria Math" w:cs="Arial"/>
                            <w:sz w:val="20"/>
                            <w:szCs w:val="20"/>
                          </w:rPr>
                          <m:t>t-2</m:t>
                        </m:r>
                      </m:sub>
                    </m:sSub>
                    <m:r>
                      <w:rPr>
                        <w:rFonts w:ascii="Cambria Math" w:hAnsi="Cambria Math" w:cs="Arial"/>
                        <w:sz w:val="20"/>
                        <w:szCs w:val="20"/>
                      </w:rPr>
                      <m:t>+…+</m:t>
                    </m:r>
                    <m:sSub>
                      <m:sSubPr>
                        <m:ctrlPr>
                          <w:rPr>
                            <w:rFonts w:ascii="Cambria Math" w:hAnsi="Cambria Math" w:cs="Arial"/>
                            <w:i/>
                            <w:sz w:val="20"/>
                            <w:szCs w:val="20"/>
                          </w:rPr>
                        </m:ctrlPr>
                      </m:sSubPr>
                      <m:e>
                        <m:r>
                          <w:rPr>
                            <w:rFonts w:ascii="Cambria Math" w:hAnsi="Cambria Math" w:cs="Arial"/>
                            <w:sz w:val="20"/>
                            <w:szCs w:val="20"/>
                          </w:rPr>
                          <m:t>Y</m:t>
                        </m:r>
                      </m:e>
                      <m:sub>
                        <m:r>
                          <w:rPr>
                            <w:rFonts w:ascii="Cambria Math" w:hAnsi="Cambria Math" w:cs="Arial"/>
                            <w:sz w:val="20"/>
                            <w:szCs w:val="20"/>
                          </w:rPr>
                          <m:t>t-n+1</m:t>
                        </m:r>
                      </m:sub>
                    </m:sSub>
                  </m:num>
                  <m:den>
                    <m:r>
                      <w:rPr>
                        <w:rFonts w:ascii="Cambria Math" w:hAnsi="Cambria Math" w:cs="Arial"/>
                        <w:sz w:val="20"/>
                        <w:szCs w:val="20"/>
                      </w:rPr>
                      <m:t>n</m:t>
                    </m:r>
                  </m:den>
                </m:f>
              </m:oMath>
            </m:oMathPara>
          </w:p>
        </w:tc>
        <w:tc>
          <w:tcPr>
            <w:tcW w:w="1134" w:type="dxa"/>
            <w:vAlign w:val="center"/>
          </w:tcPr>
          <w:p w:rsidR="00D41F86" w:rsidRPr="000722D2" w:rsidRDefault="00D41F86" w:rsidP="00871D77">
            <w:pPr>
              <w:pBdr>
                <w:top w:val="nil"/>
                <w:left w:val="nil"/>
                <w:bottom w:val="nil"/>
                <w:right w:val="nil"/>
                <w:between w:val="nil"/>
              </w:pBdr>
              <w:spacing w:after="0"/>
              <w:ind w:left="0" w:hanging="2"/>
              <w:jc w:val="right"/>
              <w:rPr>
                <w:rFonts w:ascii="Arial" w:eastAsia="Arial" w:hAnsi="Arial" w:cs="Arial"/>
                <w:color w:val="000000"/>
                <w:sz w:val="20"/>
                <w:szCs w:val="20"/>
              </w:rPr>
            </w:pPr>
            <w:r w:rsidRPr="000722D2">
              <w:rPr>
                <w:rFonts w:ascii="Arial" w:eastAsia="Arial" w:hAnsi="Arial" w:cs="Arial"/>
                <w:color w:val="000000"/>
                <w:sz w:val="20"/>
                <w:szCs w:val="20"/>
              </w:rPr>
              <w:t>(5)</w:t>
            </w:r>
          </w:p>
        </w:tc>
      </w:tr>
    </w:tbl>
    <w:p w:rsidR="00CC7B8E" w:rsidRPr="000722D2" w:rsidRDefault="00CC7B8E" w:rsidP="000722D2">
      <w:pPr>
        <w:pStyle w:val="ListParagraph"/>
        <w:suppressAutoHyphens w:val="0"/>
        <w:spacing w:after="0" w:line="240" w:lineRule="auto"/>
        <w:ind w:leftChars="0" w:left="0" w:firstLineChars="0" w:firstLine="0"/>
        <w:jc w:val="both"/>
        <w:textDirection w:val="lrTb"/>
        <w:textAlignment w:val="auto"/>
        <w:outlineLvl w:val="9"/>
        <w:rPr>
          <w:rFonts w:ascii="Arial" w:hAnsi="Arial" w:cs="Arial"/>
          <w:sz w:val="20"/>
          <w:szCs w:val="20"/>
        </w:rPr>
      </w:pPr>
      <w:r w:rsidRPr="000722D2">
        <w:rPr>
          <w:rFonts w:ascii="Arial" w:hAnsi="Arial" w:cs="Arial"/>
          <w:sz w:val="20"/>
          <w:szCs w:val="20"/>
        </w:rPr>
        <w:t>Double Moving Average (S’’) of period t:</w:t>
      </w:r>
    </w:p>
    <w:tbl>
      <w:tblPr>
        <w:tblStyle w:val="a1"/>
        <w:tblW w:w="4503" w:type="dxa"/>
        <w:tblInd w:w="-108" w:type="dxa"/>
        <w:tblLayout w:type="fixed"/>
        <w:tblLook w:val="0000" w:firstRow="0" w:lastRow="0" w:firstColumn="0" w:lastColumn="0" w:noHBand="0" w:noVBand="0"/>
      </w:tblPr>
      <w:tblGrid>
        <w:gridCol w:w="3794"/>
        <w:gridCol w:w="709"/>
      </w:tblGrid>
      <w:tr w:rsidR="00D41F86" w:rsidRPr="000722D2" w:rsidTr="002000CA">
        <w:tc>
          <w:tcPr>
            <w:tcW w:w="3794" w:type="dxa"/>
            <w:vAlign w:val="center"/>
          </w:tcPr>
          <w:p w:rsidR="00D41F86" w:rsidRPr="000722D2" w:rsidRDefault="00D0002E" w:rsidP="00871D77">
            <w:pPr>
              <w:pStyle w:val="ListParagraph"/>
              <w:spacing w:after="0"/>
              <w:ind w:left="0" w:hanging="2"/>
              <w:jc w:val="both"/>
              <w:rPr>
                <w:rFonts w:ascii="Arial" w:hAnsi="Arial" w:cs="Arial"/>
                <w:sz w:val="20"/>
                <w:szCs w:val="20"/>
              </w:rPr>
            </w:pPr>
            <m:oMathPara>
              <m:oMath>
                <m:sSub>
                  <m:sSubPr>
                    <m:ctrlPr>
                      <w:rPr>
                        <w:rFonts w:ascii="Cambria Math" w:hAnsi="Cambria Math" w:cs="Arial"/>
                        <w:i/>
                        <w:sz w:val="20"/>
                        <w:szCs w:val="20"/>
                      </w:rPr>
                    </m:ctrlPr>
                  </m:sSubPr>
                  <m:e>
                    <m:r>
                      <w:rPr>
                        <w:rFonts w:ascii="Cambria Math" w:hAnsi="Cambria Math" w:cs="Arial"/>
                        <w:sz w:val="20"/>
                        <w:szCs w:val="20"/>
                      </w:rPr>
                      <m:t>S''</m:t>
                    </m:r>
                  </m:e>
                  <m:sub>
                    <m:r>
                      <w:rPr>
                        <w:rFonts w:ascii="Cambria Math" w:hAnsi="Cambria Math" w:cs="Arial"/>
                        <w:sz w:val="20"/>
                        <w:szCs w:val="20"/>
                      </w:rPr>
                      <m:t>t</m:t>
                    </m:r>
                  </m:sub>
                </m:sSub>
                <m:r>
                  <w:rPr>
                    <w:rFonts w:ascii="Cambria Math" w:hAnsi="Cambria Math" w:cs="Arial"/>
                    <w:sz w:val="20"/>
                    <w:szCs w:val="20"/>
                  </w:rPr>
                  <m:t>=</m:t>
                </m:r>
                <m:f>
                  <m:fPr>
                    <m:ctrlPr>
                      <w:rPr>
                        <w:rFonts w:ascii="Cambria Math" w:hAnsi="Cambria Math" w:cs="Arial"/>
                        <w:i/>
                        <w:sz w:val="20"/>
                        <w:szCs w:val="20"/>
                      </w:rPr>
                    </m:ctrlPr>
                  </m:fPr>
                  <m:num>
                    <m:sSub>
                      <m:sSubPr>
                        <m:ctrlPr>
                          <w:rPr>
                            <w:rFonts w:ascii="Cambria Math" w:hAnsi="Cambria Math" w:cs="Arial"/>
                            <w:i/>
                            <w:sz w:val="20"/>
                            <w:szCs w:val="20"/>
                          </w:rPr>
                        </m:ctrlPr>
                      </m:sSubPr>
                      <m:e>
                        <m:r>
                          <w:rPr>
                            <w:rFonts w:ascii="Cambria Math" w:hAnsi="Cambria Math" w:cs="Arial"/>
                            <w:sz w:val="20"/>
                            <w:szCs w:val="20"/>
                          </w:rPr>
                          <m:t>S'</m:t>
                        </m:r>
                      </m:e>
                      <m:sub>
                        <m:r>
                          <w:rPr>
                            <w:rFonts w:ascii="Cambria Math" w:hAnsi="Cambria Math" w:cs="Arial"/>
                            <w:sz w:val="20"/>
                            <w:szCs w:val="20"/>
                          </w:rPr>
                          <m:t>t</m:t>
                        </m:r>
                      </m:sub>
                    </m:sSub>
                    <m:r>
                      <w:rPr>
                        <w:rFonts w:ascii="Cambria Math" w:hAnsi="Cambria Math" w:cs="Arial"/>
                        <w:sz w:val="20"/>
                        <w:szCs w:val="20"/>
                      </w:rPr>
                      <m:t>+</m:t>
                    </m:r>
                    <m:sSub>
                      <m:sSubPr>
                        <m:ctrlPr>
                          <w:rPr>
                            <w:rFonts w:ascii="Cambria Math" w:hAnsi="Cambria Math" w:cs="Arial"/>
                            <w:i/>
                            <w:sz w:val="20"/>
                            <w:szCs w:val="20"/>
                          </w:rPr>
                        </m:ctrlPr>
                      </m:sSubPr>
                      <m:e>
                        <m:r>
                          <w:rPr>
                            <w:rFonts w:ascii="Cambria Math" w:hAnsi="Cambria Math" w:cs="Arial"/>
                            <w:sz w:val="20"/>
                            <w:szCs w:val="20"/>
                          </w:rPr>
                          <m:t>S'</m:t>
                        </m:r>
                      </m:e>
                      <m:sub>
                        <m:r>
                          <w:rPr>
                            <w:rFonts w:ascii="Cambria Math" w:hAnsi="Cambria Math" w:cs="Arial"/>
                            <w:sz w:val="20"/>
                            <w:szCs w:val="20"/>
                          </w:rPr>
                          <m:t>t-1</m:t>
                        </m:r>
                      </m:sub>
                    </m:sSub>
                    <m:r>
                      <w:rPr>
                        <w:rFonts w:ascii="Cambria Math" w:hAnsi="Cambria Math" w:cs="Arial"/>
                        <w:sz w:val="20"/>
                        <w:szCs w:val="20"/>
                      </w:rPr>
                      <m:t>+</m:t>
                    </m:r>
                    <m:sSub>
                      <m:sSubPr>
                        <m:ctrlPr>
                          <w:rPr>
                            <w:rFonts w:ascii="Cambria Math" w:hAnsi="Cambria Math" w:cs="Arial"/>
                            <w:i/>
                            <w:sz w:val="20"/>
                            <w:szCs w:val="20"/>
                          </w:rPr>
                        </m:ctrlPr>
                      </m:sSubPr>
                      <m:e>
                        <m:r>
                          <w:rPr>
                            <w:rFonts w:ascii="Cambria Math" w:hAnsi="Cambria Math" w:cs="Arial"/>
                            <w:sz w:val="20"/>
                            <w:szCs w:val="20"/>
                          </w:rPr>
                          <m:t>S''</m:t>
                        </m:r>
                      </m:e>
                      <m:sub>
                        <m:r>
                          <w:rPr>
                            <w:rFonts w:ascii="Cambria Math" w:hAnsi="Cambria Math" w:cs="Arial"/>
                            <w:sz w:val="20"/>
                            <w:szCs w:val="20"/>
                          </w:rPr>
                          <m:t>t-2</m:t>
                        </m:r>
                      </m:sub>
                    </m:sSub>
                    <m:r>
                      <w:rPr>
                        <w:rFonts w:ascii="Cambria Math" w:hAnsi="Cambria Math" w:cs="Arial"/>
                        <w:sz w:val="20"/>
                        <w:szCs w:val="20"/>
                      </w:rPr>
                      <m:t>+…+</m:t>
                    </m:r>
                    <m:sSub>
                      <m:sSubPr>
                        <m:ctrlPr>
                          <w:rPr>
                            <w:rFonts w:ascii="Cambria Math" w:hAnsi="Cambria Math" w:cs="Arial"/>
                            <w:i/>
                            <w:sz w:val="20"/>
                            <w:szCs w:val="20"/>
                          </w:rPr>
                        </m:ctrlPr>
                      </m:sSubPr>
                      <m:e>
                        <m:r>
                          <w:rPr>
                            <w:rFonts w:ascii="Cambria Math" w:hAnsi="Cambria Math" w:cs="Arial"/>
                            <w:sz w:val="20"/>
                            <w:szCs w:val="20"/>
                          </w:rPr>
                          <m:t>S'</m:t>
                        </m:r>
                      </m:e>
                      <m:sub>
                        <m:r>
                          <w:rPr>
                            <w:rFonts w:ascii="Cambria Math" w:hAnsi="Cambria Math" w:cs="Arial"/>
                            <w:sz w:val="20"/>
                            <w:szCs w:val="20"/>
                          </w:rPr>
                          <m:t>t-n+1</m:t>
                        </m:r>
                      </m:sub>
                    </m:sSub>
                  </m:num>
                  <m:den>
                    <m:r>
                      <w:rPr>
                        <w:rFonts w:ascii="Cambria Math" w:hAnsi="Cambria Math" w:cs="Arial"/>
                        <w:sz w:val="20"/>
                        <w:szCs w:val="20"/>
                      </w:rPr>
                      <m:t>n</m:t>
                    </m:r>
                  </m:den>
                </m:f>
              </m:oMath>
            </m:oMathPara>
          </w:p>
        </w:tc>
        <w:tc>
          <w:tcPr>
            <w:tcW w:w="709" w:type="dxa"/>
            <w:vAlign w:val="center"/>
          </w:tcPr>
          <w:p w:rsidR="00D41F86" w:rsidRPr="000722D2" w:rsidRDefault="00D41F86" w:rsidP="00871D77">
            <w:pPr>
              <w:pBdr>
                <w:top w:val="nil"/>
                <w:left w:val="nil"/>
                <w:bottom w:val="nil"/>
                <w:right w:val="nil"/>
                <w:between w:val="nil"/>
              </w:pBdr>
              <w:spacing w:after="0"/>
              <w:ind w:left="0" w:hanging="2"/>
              <w:jc w:val="right"/>
              <w:rPr>
                <w:rFonts w:ascii="Arial" w:eastAsia="Arial" w:hAnsi="Arial" w:cs="Arial"/>
                <w:color w:val="000000"/>
                <w:sz w:val="20"/>
                <w:szCs w:val="20"/>
              </w:rPr>
            </w:pPr>
            <w:r w:rsidRPr="000722D2">
              <w:rPr>
                <w:rFonts w:ascii="Arial" w:eastAsia="Arial" w:hAnsi="Arial" w:cs="Arial"/>
                <w:color w:val="000000"/>
                <w:sz w:val="20"/>
                <w:szCs w:val="20"/>
              </w:rPr>
              <w:t>(6)</w:t>
            </w:r>
          </w:p>
        </w:tc>
      </w:tr>
    </w:tbl>
    <w:p w:rsidR="00D41F86" w:rsidRPr="000722D2" w:rsidRDefault="00147EBB" w:rsidP="000722D2">
      <w:pPr>
        <w:spacing w:after="0" w:line="240" w:lineRule="auto"/>
        <w:ind w:left="0" w:hanging="2"/>
        <w:jc w:val="both"/>
        <w:rPr>
          <w:rFonts w:ascii="Arial" w:hAnsi="Arial" w:cs="Arial"/>
          <w:sz w:val="20"/>
          <w:szCs w:val="20"/>
        </w:rPr>
      </w:pPr>
      <w:r w:rsidRPr="000722D2">
        <w:rPr>
          <w:rFonts w:ascii="Arial" w:hAnsi="Arial" w:cs="Arial"/>
          <w:sz w:val="20"/>
          <w:szCs w:val="20"/>
        </w:rPr>
        <w:t>The value of the constant or intercept of period t</w:t>
      </w:r>
      <w:r w:rsidR="00D41F86" w:rsidRPr="000722D2">
        <w:rPr>
          <w:rFonts w:ascii="Arial" w:hAnsi="Arial" w:cs="Arial"/>
          <w:sz w:val="20"/>
          <w:szCs w:val="20"/>
        </w:rPr>
        <w:t>:</w:t>
      </w:r>
    </w:p>
    <w:tbl>
      <w:tblPr>
        <w:tblStyle w:val="a1"/>
        <w:tblW w:w="4503" w:type="dxa"/>
        <w:tblInd w:w="-108" w:type="dxa"/>
        <w:tblLayout w:type="fixed"/>
        <w:tblLook w:val="0000" w:firstRow="0" w:lastRow="0" w:firstColumn="0" w:lastColumn="0" w:noHBand="0" w:noVBand="0"/>
      </w:tblPr>
      <w:tblGrid>
        <w:gridCol w:w="3369"/>
        <w:gridCol w:w="1134"/>
      </w:tblGrid>
      <w:tr w:rsidR="00D41F86" w:rsidRPr="000722D2" w:rsidTr="00BC0E4D">
        <w:tc>
          <w:tcPr>
            <w:tcW w:w="3369" w:type="dxa"/>
            <w:vAlign w:val="center"/>
          </w:tcPr>
          <w:p w:rsidR="00D41F86" w:rsidRPr="000722D2" w:rsidRDefault="00D0002E" w:rsidP="00871D77">
            <w:pPr>
              <w:pStyle w:val="ListParagraph"/>
              <w:spacing w:after="0"/>
              <w:ind w:left="0" w:hanging="2"/>
              <w:jc w:val="both"/>
              <w:rPr>
                <w:rFonts w:ascii="Arial" w:hAnsi="Arial" w:cs="Arial"/>
                <w:sz w:val="20"/>
                <w:szCs w:val="20"/>
              </w:rPr>
            </w:pPr>
            <m:oMathPara>
              <m:oMath>
                <m:sSub>
                  <m:sSubPr>
                    <m:ctrlPr>
                      <w:rPr>
                        <w:rFonts w:ascii="Cambria Math" w:hAnsi="Cambria Math" w:cs="Arial"/>
                        <w:i/>
                        <w:sz w:val="20"/>
                        <w:szCs w:val="20"/>
                      </w:rPr>
                    </m:ctrlPr>
                  </m:sSubPr>
                  <m:e>
                    <m:r>
                      <w:rPr>
                        <w:rFonts w:ascii="Cambria Math" w:hAnsi="Cambria Math" w:cs="Arial"/>
                        <w:sz w:val="20"/>
                        <w:szCs w:val="20"/>
                      </w:rPr>
                      <m:t>a</m:t>
                    </m:r>
                  </m:e>
                  <m:sub>
                    <m:r>
                      <w:rPr>
                        <w:rFonts w:ascii="Cambria Math" w:hAnsi="Cambria Math" w:cs="Arial"/>
                        <w:sz w:val="20"/>
                        <w:szCs w:val="20"/>
                      </w:rPr>
                      <m:t>t</m:t>
                    </m:r>
                  </m:sub>
                </m:sSub>
                <m:r>
                  <w:rPr>
                    <w:rFonts w:ascii="Cambria Math" w:hAnsi="Cambria Math" w:cs="Arial"/>
                    <w:sz w:val="20"/>
                    <w:szCs w:val="20"/>
                  </w:rPr>
                  <m:t>=2</m:t>
                </m:r>
                <m:sSub>
                  <m:sSubPr>
                    <m:ctrlPr>
                      <w:rPr>
                        <w:rFonts w:ascii="Cambria Math" w:hAnsi="Cambria Math" w:cs="Arial"/>
                        <w:i/>
                        <w:sz w:val="20"/>
                        <w:szCs w:val="20"/>
                      </w:rPr>
                    </m:ctrlPr>
                  </m:sSubPr>
                  <m:e>
                    <m:r>
                      <w:rPr>
                        <w:rFonts w:ascii="Cambria Math" w:hAnsi="Cambria Math" w:cs="Arial"/>
                        <w:sz w:val="20"/>
                        <w:szCs w:val="20"/>
                      </w:rPr>
                      <m:t>S'</m:t>
                    </m:r>
                  </m:e>
                  <m:sub>
                    <m:r>
                      <w:rPr>
                        <w:rFonts w:ascii="Cambria Math" w:hAnsi="Cambria Math" w:cs="Arial"/>
                        <w:sz w:val="20"/>
                        <w:szCs w:val="20"/>
                      </w:rPr>
                      <m:t>t</m:t>
                    </m:r>
                  </m:sub>
                </m:sSub>
                <m:r>
                  <w:rPr>
                    <w:rFonts w:ascii="Cambria Math" w:hAnsi="Cambria Math" w:cs="Arial"/>
                    <w:sz w:val="20"/>
                    <w:szCs w:val="20"/>
                  </w:rPr>
                  <m:t>-</m:t>
                </m:r>
                <m:sSub>
                  <m:sSubPr>
                    <m:ctrlPr>
                      <w:rPr>
                        <w:rFonts w:ascii="Cambria Math" w:hAnsi="Cambria Math" w:cs="Arial"/>
                        <w:i/>
                        <w:sz w:val="20"/>
                        <w:szCs w:val="20"/>
                      </w:rPr>
                    </m:ctrlPr>
                  </m:sSubPr>
                  <m:e>
                    <m:r>
                      <w:rPr>
                        <w:rFonts w:ascii="Cambria Math" w:hAnsi="Cambria Math" w:cs="Arial"/>
                        <w:sz w:val="20"/>
                        <w:szCs w:val="20"/>
                      </w:rPr>
                      <m:t>S''</m:t>
                    </m:r>
                  </m:e>
                  <m:sub>
                    <m:r>
                      <w:rPr>
                        <w:rFonts w:ascii="Cambria Math" w:hAnsi="Cambria Math" w:cs="Arial"/>
                        <w:sz w:val="20"/>
                        <w:szCs w:val="20"/>
                      </w:rPr>
                      <m:t>t</m:t>
                    </m:r>
                  </m:sub>
                </m:sSub>
              </m:oMath>
            </m:oMathPara>
          </w:p>
        </w:tc>
        <w:tc>
          <w:tcPr>
            <w:tcW w:w="1134" w:type="dxa"/>
            <w:vAlign w:val="center"/>
          </w:tcPr>
          <w:p w:rsidR="00D41F86" w:rsidRPr="000722D2" w:rsidRDefault="00D41F86" w:rsidP="00871D77">
            <w:pPr>
              <w:pBdr>
                <w:top w:val="nil"/>
                <w:left w:val="nil"/>
                <w:bottom w:val="nil"/>
                <w:right w:val="nil"/>
                <w:between w:val="nil"/>
              </w:pBdr>
              <w:spacing w:after="0"/>
              <w:ind w:left="0" w:hanging="2"/>
              <w:jc w:val="right"/>
              <w:rPr>
                <w:rFonts w:ascii="Arial" w:eastAsia="Arial" w:hAnsi="Arial" w:cs="Arial"/>
                <w:color w:val="000000"/>
                <w:sz w:val="20"/>
                <w:szCs w:val="20"/>
              </w:rPr>
            </w:pPr>
            <w:r w:rsidRPr="000722D2">
              <w:rPr>
                <w:rFonts w:ascii="Arial" w:eastAsia="Arial" w:hAnsi="Arial" w:cs="Arial"/>
                <w:color w:val="000000"/>
                <w:sz w:val="20"/>
                <w:szCs w:val="20"/>
              </w:rPr>
              <w:t>(7)</w:t>
            </w:r>
          </w:p>
        </w:tc>
      </w:tr>
    </w:tbl>
    <w:p w:rsidR="00D41F86" w:rsidRPr="000722D2" w:rsidRDefault="00090430" w:rsidP="000722D2">
      <w:pPr>
        <w:spacing w:after="0" w:line="240" w:lineRule="auto"/>
        <w:ind w:left="0" w:hanging="2"/>
        <w:jc w:val="both"/>
        <w:rPr>
          <w:rFonts w:ascii="Arial" w:hAnsi="Arial" w:cs="Arial"/>
          <w:sz w:val="20"/>
          <w:szCs w:val="20"/>
        </w:rPr>
      </w:pPr>
      <w:r w:rsidRPr="000722D2">
        <w:rPr>
          <w:rFonts w:ascii="Arial" w:hAnsi="Arial" w:cs="Arial"/>
          <w:sz w:val="20"/>
          <w:szCs w:val="20"/>
        </w:rPr>
        <w:t>The value of the trend of period t</w:t>
      </w:r>
      <w:r w:rsidR="00D41F86" w:rsidRPr="000722D2">
        <w:rPr>
          <w:rFonts w:ascii="Arial" w:hAnsi="Arial" w:cs="Arial"/>
          <w:sz w:val="20"/>
          <w:szCs w:val="20"/>
        </w:rPr>
        <w:t>:</w:t>
      </w:r>
    </w:p>
    <w:tbl>
      <w:tblPr>
        <w:tblStyle w:val="a1"/>
        <w:tblW w:w="4503" w:type="dxa"/>
        <w:tblInd w:w="-108" w:type="dxa"/>
        <w:tblLayout w:type="fixed"/>
        <w:tblLook w:val="0000" w:firstRow="0" w:lastRow="0" w:firstColumn="0" w:lastColumn="0" w:noHBand="0" w:noVBand="0"/>
      </w:tblPr>
      <w:tblGrid>
        <w:gridCol w:w="3369"/>
        <w:gridCol w:w="1134"/>
      </w:tblGrid>
      <w:tr w:rsidR="00D41F86" w:rsidRPr="000722D2" w:rsidTr="00BC0E4D">
        <w:tc>
          <w:tcPr>
            <w:tcW w:w="3369" w:type="dxa"/>
            <w:vAlign w:val="center"/>
          </w:tcPr>
          <w:p w:rsidR="00D41F86" w:rsidRPr="000722D2" w:rsidRDefault="00D0002E" w:rsidP="00871D77">
            <w:pPr>
              <w:pStyle w:val="ListParagraph"/>
              <w:spacing w:after="0"/>
              <w:ind w:left="0" w:hanging="2"/>
              <w:jc w:val="both"/>
              <w:rPr>
                <w:rFonts w:ascii="Arial" w:hAnsi="Arial" w:cs="Arial"/>
                <w:sz w:val="20"/>
                <w:szCs w:val="20"/>
              </w:rPr>
            </w:pPr>
            <m:oMathPara>
              <m:oMath>
                <m:sSub>
                  <m:sSubPr>
                    <m:ctrlPr>
                      <w:rPr>
                        <w:rFonts w:ascii="Cambria Math" w:hAnsi="Cambria Math" w:cs="Arial"/>
                        <w:i/>
                        <w:sz w:val="20"/>
                        <w:szCs w:val="20"/>
                      </w:rPr>
                    </m:ctrlPr>
                  </m:sSubPr>
                  <m:e>
                    <m:r>
                      <w:rPr>
                        <w:rFonts w:ascii="Cambria Math" w:hAnsi="Cambria Math" w:cs="Arial"/>
                        <w:sz w:val="20"/>
                        <w:szCs w:val="20"/>
                      </w:rPr>
                      <m:t>b</m:t>
                    </m:r>
                  </m:e>
                  <m:sub>
                    <m:r>
                      <w:rPr>
                        <w:rFonts w:ascii="Cambria Math" w:hAnsi="Cambria Math" w:cs="Arial"/>
                        <w:sz w:val="20"/>
                        <w:szCs w:val="20"/>
                      </w:rPr>
                      <m:t>t</m:t>
                    </m:r>
                  </m:sub>
                </m:sSub>
                <m:r>
                  <w:rPr>
                    <w:rFonts w:ascii="Cambria Math" w:hAnsi="Cambria Math" w:cs="Arial"/>
                    <w:sz w:val="20"/>
                    <w:szCs w:val="20"/>
                  </w:rPr>
                  <m:t>=</m:t>
                </m:r>
                <m:f>
                  <m:fPr>
                    <m:ctrlPr>
                      <w:rPr>
                        <w:rFonts w:ascii="Cambria Math" w:hAnsi="Cambria Math" w:cs="Arial"/>
                        <w:i/>
                        <w:sz w:val="20"/>
                        <w:szCs w:val="20"/>
                      </w:rPr>
                    </m:ctrlPr>
                  </m:fPr>
                  <m:num>
                    <m:r>
                      <w:rPr>
                        <w:rFonts w:ascii="Cambria Math" w:hAnsi="Cambria Math" w:cs="Arial"/>
                        <w:sz w:val="20"/>
                        <w:szCs w:val="20"/>
                      </w:rPr>
                      <m:t>2</m:t>
                    </m:r>
                  </m:num>
                  <m:den>
                    <m:r>
                      <w:rPr>
                        <w:rFonts w:ascii="Cambria Math" w:hAnsi="Cambria Math" w:cs="Arial"/>
                        <w:sz w:val="20"/>
                        <w:szCs w:val="20"/>
                      </w:rPr>
                      <m:t>n-1</m:t>
                    </m:r>
                  </m:den>
                </m:f>
                <m:d>
                  <m:dPr>
                    <m:ctrlPr>
                      <w:rPr>
                        <w:rFonts w:ascii="Cambria Math" w:hAnsi="Cambria Math" w:cs="Arial"/>
                        <w:i/>
                        <w:sz w:val="20"/>
                        <w:szCs w:val="20"/>
                      </w:rPr>
                    </m:ctrlPr>
                  </m:dPr>
                  <m:e>
                    <m:sSub>
                      <m:sSubPr>
                        <m:ctrlPr>
                          <w:rPr>
                            <w:rFonts w:ascii="Cambria Math" w:hAnsi="Cambria Math" w:cs="Arial"/>
                            <w:i/>
                            <w:sz w:val="20"/>
                            <w:szCs w:val="20"/>
                          </w:rPr>
                        </m:ctrlPr>
                      </m:sSubPr>
                      <m:e>
                        <m:r>
                          <w:rPr>
                            <w:rFonts w:ascii="Cambria Math" w:hAnsi="Cambria Math" w:cs="Arial"/>
                            <w:sz w:val="20"/>
                            <w:szCs w:val="20"/>
                          </w:rPr>
                          <m:t>S'</m:t>
                        </m:r>
                      </m:e>
                      <m:sub>
                        <m:r>
                          <w:rPr>
                            <w:rFonts w:ascii="Cambria Math" w:hAnsi="Cambria Math" w:cs="Arial"/>
                            <w:sz w:val="20"/>
                            <w:szCs w:val="20"/>
                          </w:rPr>
                          <m:t>t</m:t>
                        </m:r>
                      </m:sub>
                    </m:sSub>
                    <m:r>
                      <w:rPr>
                        <w:rFonts w:ascii="Cambria Math" w:hAnsi="Cambria Math" w:cs="Arial"/>
                        <w:sz w:val="20"/>
                        <w:szCs w:val="20"/>
                      </w:rPr>
                      <m:t>-</m:t>
                    </m:r>
                    <m:sSub>
                      <m:sSubPr>
                        <m:ctrlPr>
                          <w:rPr>
                            <w:rFonts w:ascii="Cambria Math" w:hAnsi="Cambria Math" w:cs="Arial"/>
                            <w:i/>
                            <w:sz w:val="20"/>
                            <w:szCs w:val="20"/>
                          </w:rPr>
                        </m:ctrlPr>
                      </m:sSubPr>
                      <m:e>
                        <m:r>
                          <w:rPr>
                            <w:rFonts w:ascii="Cambria Math" w:hAnsi="Cambria Math" w:cs="Arial"/>
                            <w:sz w:val="20"/>
                            <w:szCs w:val="20"/>
                          </w:rPr>
                          <m:t>S''</m:t>
                        </m:r>
                      </m:e>
                      <m:sub>
                        <m:r>
                          <w:rPr>
                            <w:rFonts w:ascii="Cambria Math" w:hAnsi="Cambria Math" w:cs="Arial"/>
                            <w:sz w:val="20"/>
                            <w:szCs w:val="20"/>
                          </w:rPr>
                          <m:t>t</m:t>
                        </m:r>
                      </m:sub>
                    </m:sSub>
                  </m:e>
                </m:d>
              </m:oMath>
            </m:oMathPara>
          </w:p>
        </w:tc>
        <w:tc>
          <w:tcPr>
            <w:tcW w:w="1134" w:type="dxa"/>
            <w:vAlign w:val="center"/>
          </w:tcPr>
          <w:p w:rsidR="00D41F86" w:rsidRPr="000722D2" w:rsidRDefault="00D41F86" w:rsidP="00871D77">
            <w:pPr>
              <w:pBdr>
                <w:top w:val="nil"/>
                <w:left w:val="nil"/>
                <w:bottom w:val="nil"/>
                <w:right w:val="nil"/>
                <w:between w:val="nil"/>
              </w:pBdr>
              <w:spacing w:after="0"/>
              <w:ind w:left="0" w:hanging="2"/>
              <w:jc w:val="right"/>
              <w:rPr>
                <w:rFonts w:ascii="Arial" w:eastAsia="Arial" w:hAnsi="Arial" w:cs="Arial"/>
                <w:color w:val="000000"/>
                <w:sz w:val="20"/>
                <w:szCs w:val="20"/>
              </w:rPr>
            </w:pPr>
            <w:r w:rsidRPr="000722D2">
              <w:rPr>
                <w:rFonts w:ascii="Arial" w:eastAsia="Arial" w:hAnsi="Arial" w:cs="Arial"/>
                <w:color w:val="000000"/>
                <w:sz w:val="20"/>
                <w:szCs w:val="20"/>
              </w:rPr>
              <w:t>(8)</w:t>
            </w:r>
          </w:p>
        </w:tc>
      </w:tr>
    </w:tbl>
    <w:p w:rsidR="00D41F86" w:rsidRPr="000722D2" w:rsidRDefault="004F79A3" w:rsidP="000722D2">
      <w:pPr>
        <w:spacing w:after="0" w:line="240" w:lineRule="auto"/>
        <w:ind w:left="0" w:hanging="2"/>
        <w:jc w:val="both"/>
        <w:rPr>
          <w:rFonts w:ascii="Arial" w:hAnsi="Arial" w:cs="Arial"/>
          <w:sz w:val="20"/>
          <w:szCs w:val="20"/>
        </w:rPr>
      </w:pPr>
      <w:r w:rsidRPr="000722D2">
        <w:rPr>
          <w:rFonts w:ascii="Arial" w:hAnsi="Arial" w:cs="Arial"/>
          <w:sz w:val="20"/>
          <w:szCs w:val="20"/>
        </w:rPr>
        <w:t xml:space="preserve">The forecast value of period </w:t>
      </w:r>
      <w:proofErr w:type="spellStart"/>
      <w:r w:rsidRPr="000722D2">
        <w:rPr>
          <w:rFonts w:ascii="Arial" w:hAnsi="Arial" w:cs="Arial"/>
          <w:sz w:val="20"/>
          <w:szCs w:val="20"/>
        </w:rPr>
        <w:t>t+m</w:t>
      </w:r>
      <w:proofErr w:type="spellEnd"/>
      <w:r w:rsidR="00D41F86" w:rsidRPr="000722D2">
        <w:rPr>
          <w:rFonts w:ascii="Arial" w:hAnsi="Arial" w:cs="Arial"/>
          <w:sz w:val="20"/>
          <w:szCs w:val="20"/>
        </w:rPr>
        <w:t>:</w:t>
      </w:r>
    </w:p>
    <w:tbl>
      <w:tblPr>
        <w:tblStyle w:val="a1"/>
        <w:tblW w:w="4503" w:type="dxa"/>
        <w:tblInd w:w="-108" w:type="dxa"/>
        <w:tblLayout w:type="fixed"/>
        <w:tblLook w:val="0000" w:firstRow="0" w:lastRow="0" w:firstColumn="0" w:lastColumn="0" w:noHBand="0" w:noVBand="0"/>
      </w:tblPr>
      <w:tblGrid>
        <w:gridCol w:w="3369"/>
        <w:gridCol w:w="1134"/>
      </w:tblGrid>
      <w:tr w:rsidR="00D41F86" w:rsidRPr="000722D2" w:rsidTr="00BC0E4D">
        <w:tc>
          <w:tcPr>
            <w:tcW w:w="3369" w:type="dxa"/>
            <w:vAlign w:val="center"/>
          </w:tcPr>
          <w:p w:rsidR="004F79A3" w:rsidRPr="000722D2" w:rsidRDefault="00D0002E" w:rsidP="00871D77">
            <w:pPr>
              <w:pStyle w:val="ListParagraph"/>
              <w:spacing w:after="0"/>
              <w:ind w:left="0" w:hanging="2"/>
              <w:jc w:val="both"/>
              <w:rPr>
                <w:rFonts w:ascii="Arial" w:eastAsiaTheme="minorEastAsia" w:hAnsi="Arial" w:cs="Arial"/>
                <w:sz w:val="20"/>
                <w:szCs w:val="20"/>
              </w:rPr>
            </w:pPr>
            <m:oMathPara>
              <m:oMath>
                <m:sSub>
                  <m:sSubPr>
                    <m:ctrlPr>
                      <w:rPr>
                        <w:rFonts w:ascii="Cambria Math" w:hAnsi="Cambria Math" w:cs="Arial"/>
                        <w:i/>
                        <w:sz w:val="20"/>
                        <w:szCs w:val="20"/>
                      </w:rPr>
                    </m:ctrlPr>
                  </m:sSubPr>
                  <m:e>
                    <m:r>
                      <w:rPr>
                        <w:rFonts w:ascii="Cambria Math" w:hAnsi="Cambria Math" w:cs="Arial"/>
                        <w:sz w:val="20"/>
                        <w:szCs w:val="20"/>
                      </w:rPr>
                      <m:t>F</m:t>
                    </m:r>
                  </m:e>
                  <m:sub>
                    <m:r>
                      <w:rPr>
                        <w:rFonts w:ascii="Cambria Math" w:hAnsi="Cambria Math" w:cs="Arial"/>
                        <w:sz w:val="20"/>
                        <w:szCs w:val="20"/>
                      </w:rPr>
                      <m:t>t+m</m:t>
                    </m:r>
                  </m:sub>
                </m:sSub>
                <m:r>
                  <w:rPr>
                    <w:rFonts w:ascii="Cambria Math" w:hAnsi="Cambria Math" w:cs="Arial"/>
                    <w:sz w:val="20"/>
                    <w:szCs w:val="20"/>
                  </w:rPr>
                  <m:t>=</m:t>
                </m:r>
                <m:sSub>
                  <m:sSubPr>
                    <m:ctrlPr>
                      <w:rPr>
                        <w:rFonts w:ascii="Cambria Math" w:hAnsi="Cambria Math" w:cs="Arial"/>
                        <w:i/>
                        <w:sz w:val="20"/>
                        <w:szCs w:val="20"/>
                      </w:rPr>
                    </m:ctrlPr>
                  </m:sSubPr>
                  <m:e>
                    <m:r>
                      <w:rPr>
                        <w:rFonts w:ascii="Cambria Math" w:hAnsi="Cambria Math" w:cs="Arial"/>
                        <w:sz w:val="20"/>
                        <w:szCs w:val="20"/>
                      </w:rPr>
                      <m:t>a</m:t>
                    </m:r>
                  </m:e>
                  <m:sub>
                    <m:r>
                      <w:rPr>
                        <w:rFonts w:ascii="Cambria Math" w:hAnsi="Cambria Math" w:cs="Arial"/>
                        <w:sz w:val="20"/>
                        <w:szCs w:val="20"/>
                      </w:rPr>
                      <m:t>t</m:t>
                    </m:r>
                  </m:sub>
                </m:sSub>
                <m:r>
                  <w:rPr>
                    <w:rFonts w:ascii="Cambria Math" w:hAnsi="Cambria Math" w:cs="Arial"/>
                    <w:sz w:val="20"/>
                    <w:szCs w:val="20"/>
                  </w:rPr>
                  <m:t>+</m:t>
                </m:r>
                <m:sSub>
                  <m:sSubPr>
                    <m:ctrlPr>
                      <w:rPr>
                        <w:rFonts w:ascii="Cambria Math" w:hAnsi="Cambria Math" w:cs="Arial"/>
                        <w:i/>
                        <w:sz w:val="20"/>
                        <w:szCs w:val="20"/>
                      </w:rPr>
                    </m:ctrlPr>
                  </m:sSubPr>
                  <m:e>
                    <m:r>
                      <w:rPr>
                        <w:rFonts w:ascii="Cambria Math" w:hAnsi="Cambria Math" w:cs="Arial"/>
                        <w:sz w:val="20"/>
                        <w:szCs w:val="20"/>
                      </w:rPr>
                      <m:t>b</m:t>
                    </m:r>
                  </m:e>
                  <m:sub>
                    <m:r>
                      <w:rPr>
                        <w:rFonts w:ascii="Cambria Math" w:hAnsi="Cambria Math" w:cs="Arial"/>
                        <w:sz w:val="20"/>
                        <w:szCs w:val="20"/>
                      </w:rPr>
                      <m:t>t</m:t>
                    </m:r>
                  </m:sub>
                </m:sSub>
                <m:r>
                  <w:rPr>
                    <w:rFonts w:ascii="Cambria Math" w:hAnsi="Cambria Math" w:cs="Arial"/>
                    <w:sz w:val="20"/>
                    <w:szCs w:val="20"/>
                  </w:rPr>
                  <m:t>m</m:t>
                </m:r>
              </m:oMath>
            </m:oMathPara>
          </w:p>
          <w:p w:rsidR="00D41F86" w:rsidRPr="000722D2" w:rsidRDefault="00D41F86" w:rsidP="00871D77">
            <w:pPr>
              <w:spacing w:after="0"/>
              <w:ind w:left="0" w:hanging="2"/>
              <w:jc w:val="center"/>
              <w:rPr>
                <w:rFonts w:ascii="Arial" w:hAnsi="Arial" w:cs="Arial"/>
                <w:sz w:val="20"/>
                <w:szCs w:val="20"/>
              </w:rPr>
            </w:pPr>
          </w:p>
        </w:tc>
        <w:tc>
          <w:tcPr>
            <w:tcW w:w="1134" w:type="dxa"/>
            <w:vAlign w:val="center"/>
          </w:tcPr>
          <w:p w:rsidR="00D41F86" w:rsidRPr="000722D2" w:rsidRDefault="00D41F86" w:rsidP="00871D77">
            <w:pPr>
              <w:pBdr>
                <w:top w:val="nil"/>
                <w:left w:val="nil"/>
                <w:bottom w:val="nil"/>
                <w:right w:val="nil"/>
                <w:between w:val="nil"/>
              </w:pBdr>
              <w:spacing w:after="0"/>
              <w:ind w:left="0" w:hanging="2"/>
              <w:jc w:val="right"/>
              <w:rPr>
                <w:rFonts w:ascii="Arial" w:eastAsia="Arial" w:hAnsi="Arial" w:cs="Arial"/>
                <w:color w:val="000000"/>
                <w:sz w:val="20"/>
                <w:szCs w:val="20"/>
              </w:rPr>
            </w:pPr>
            <w:r w:rsidRPr="000722D2">
              <w:rPr>
                <w:rFonts w:ascii="Arial" w:eastAsia="Arial" w:hAnsi="Arial" w:cs="Arial"/>
                <w:color w:val="000000"/>
                <w:sz w:val="20"/>
                <w:szCs w:val="20"/>
              </w:rPr>
              <w:t>(9)</w:t>
            </w:r>
          </w:p>
        </w:tc>
      </w:tr>
    </w:tbl>
    <w:p w:rsidR="00F5663B" w:rsidRDefault="004F79A3" w:rsidP="00F5663B">
      <w:pPr>
        <w:spacing w:after="0"/>
        <w:ind w:left="-2" w:firstLineChars="0" w:firstLine="0"/>
        <w:jc w:val="both"/>
        <w:rPr>
          <w:rFonts w:ascii="Arial" w:eastAsiaTheme="minorEastAsia" w:hAnsi="Arial" w:cs="Arial"/>
          <w:sz w:val="20"/>
          <w:szCs w:val="20"/>
        </w:rPr>
      </w:pPr>
      <w:r w:rsidRPr="000722D2">
        <w:rPr>
          <w:rFonts w:ascii="Arial" w:eastAsiaTheme="minorEastAsia" w:hAnsi="Arial" w:cs="Arial"/>
          <w:sz w:val="20"/>
          <w:szCs w:val="20"/>
        </w:rPr>
        <w:t xml:space="preserve">Where </w:t>
      </w:r>
      <m:oMath>
        <m:sSub>
          <m:sSubPr>
            <m:ctrlPr>
              <w:rPr>
                <w:rFonts w:ascii="Cambria Math" w:hAnsi="Cambria Math" w:cs="Arial"/>
                <w:i/>
                <w:sz w:val="20"/>
                <w:szCs w:val="20"/>
              </w:rPr>
            </m:ctrlPr>
          </m:sSubPr>
          <m:e>
            <m:r>
              <w:rPr>
                <w:rFonts w:ascii="Cambria Math" w:hAnsi="Cambria Math" w:cs="Arial"/>
                <w:sz w:val="20"/>
                <w:szCs w:val="20"/>
              </w:rPr>
              <m:t>Y</m:t>
            </m:r>
          </m:e>
          <m:sub>
            <m:r>
              <w:rPr>
                <w:rFonts w:ascii="Cambria Math" w:hAnsi="Cambria Math" w:cs="Arial"/>
                <w:sz w:val="20"/>
                <w:szCs w:val="20"/>
              </w:rPr>
              <m:t>t</m:t>
            </m:r>
          </m:sub>
        </m:sSub>
      </m:oMath>
      <w:proofErr w:type="gramStart"/>
      <w:r w:rsidR="00F5663B">
        <w:rPr>
          <w:rFonts w:ascii="Arial" w:eastAsiaTheme="minorEastAsia" w:hAnsi="Arial" w:cs="Arial"/>
          <w:sz w:val="20"/>
          <w:szCs w:val="20"/>
        </w:rPr>
        <w:t xml:space="preserve"> is </w:t>
      </w:r>
      <w:r w:rsidR="00DD7B7A">
        <w:rPr>
          <w:rFonts w:ascii="Arial" w:eastAsiaTheme="minorEastAsia" w:hAnsi="Arial" w:cs="Arial"/>
          <w:sz w:val="20"/>
          <w:szCs w:val="20"/>
        </w:rPr>
        <w:t>the input</w:t>
      </w:r>
      <w:r w:rsidR="00F5663B">
        <w:rPr>
          <w:rFonts w:ascii="Arial" w:eastAsiaTheme="minorEastAsia" w:hAnsi="Arial" w:cs="Arial"/>
          <w:sz w:val="20"/>
          <w:szCs w:val="20"/>
        </w:rPr>
        <w:t xml:space="preserve"> data and n</w:t>
      </w:r>
      <w:proofErr w:type="gramEnd"/>
      <w:r w:rsidR="00F5663B">
        <w:rPr>
          <w:rFonts w:ascii="Arial" w:eastAsiaTheme="minorEastAsia" w:hAnsi="Arial" w:cs="Arial"/>
          <w:sz w:val="20"/>
          <w:szCs w:val="20"/>
        </w:rPr>
        <w:t xml:space="preserve"> </w:t>
      </w:r>
      <w:r w:rsidRPr="000722D2">
        <w:rPr>
          <w:rFonts w:ascii="Arial" w:eastAsiaTheme="minorEastAsia" w:hAnsi="Arial" w:cs="Arial"/>
          <w:sz w:val="20"/>
          <w:szCs w:val="20"/>
        </w:rPr>
        <w:t>is the number of periods chosen to</w:t>
      </w:r>
      <w:r w:rsidR="00F5663B">
        <w:rPr>
          <w:rFonts w:ascii="Arial" w:eastAsiaTheme="minorEastAsia" w:hAnsi="Arial" w:cs="Arial"/>
          <w:sz w:val="20"/>
          <w:szCs w:val="20"/>
        </w:rPr>
        <w:t xml:space="preserve"> make the average period.</w:t>
      </w:r>
    </w:p>
    <w:p w:rsidR="00EA3C65" w:rsidRDefault="004F79A3" w:rsidP="00F5663B">
      <w:pPr>
        <w:spacing w:after="0" w:line="240" w:lineRule="auto"/>
        <w:ind w:left="-2" w:firstLineChars="0" w:firstLine="0"/>
        <w:jc w:val="both"/>
        <w:rPr>
          <w:rFonts w:ascii="Arial" w:eastAsia="Arial" w:hAnsi="Arial" w:cs="Arial"/>
          <w:sz w:val="20"/>
          <w:szCs w:val="20"/>
        </w:rPr>
      </w:pPr>
      <w:r w:rsidRPr="004F79A3">
        <w:rPr>
          <w:rFonts w:ascii="Arial" w:eastAsiaTheme="minorEastAsia" w:hAnsi="Arial" w:cs="Arial"/>
          <w:sz w:val="20"/>
          <w:szCs w:val="20"/>
        </w:rPr>
        <w:t xml:space="preserve">This n </w:t>
      </w:r>
      <w:r w:rsidR="00F5663B">
        <w:rPr>
          <w:rFonts w:ascii="Arial" w:eastAsiaTheme="minorEastAsia" w:hAnsi="Arial" w:cs="Arial"/>
          <w:sz w:val="20"/>
          <w:szCs w:val="20"/>
        </w:rPr>
        <w:t xml:space="preserve">period </w:t>
      </w:r>
      <w:r w:rsidRPr="004F79A3">
        <w:rPr>
          <w:rFonts w:ascii="Arial" w:eastAsiaTheme="minorEastAsia" w:hAnsi="Arial" w:cs="Arial"/>
          <w:sz w:val="20"/>
          <w:szCs w:val="20"/>
        </w:rPr>
        <w:t>can be picked from a minimum of two periods. In this study, to decide the best n period to fit the forecasting model, several n periods are run to predict trend composition data, and this trend prediction is combined with the seasonal decomposition period to get the final decomposition forecast value. The best-fitted n period is chosen based on the smallest MAPE of the testing data set</w:t>
      </w:r>
      <w:r w:rsidR="000722D2">
        <w:rPr>
          <w:rFonts w:ascii="Arial" w:eastAsiaTheme="minorEastAsia" w:hAnsi="Arial" w:cs="Arial"/>
          <w:sz w:val="20"/>
          <w:szCs w:val="20"/>
        </w:rPr>
        <w:t>.</w:t>
      </w:r>
    </w:p>
    <w:p w:rsidR="00BC7E6E" w:rsidRDefault="00BC7E6E">
      <w:pPr>
        <w:spacing w:after="0" w:line="240" w:lineRule="auto"/>
        <w:ind w:left="0" w:hanging="2"/>
        <w:jc w:val="both"/>
        <w:rPr>
          <w:rFonts w:ascii="Arial" w:eastAsia="Arial" w:hAnsi="Arial" w:cs="Arial"/>
          <w:sz w:val="20"/>
          <w:szCs w:val="20"/>
        </w:rPr>
      </w:pPr>
    </w:p>
    <w:p w:rsidR="00BC7E6E" w:rsidRDefault="007266B7">
      <w:pPr>
        <w:spacing w:after="0" w:line="240" w:lineRule="auto"/>
        <w:ind w:left="0" w:hanging="2"/>
        <w:jc w:val="both"/>
        <w:rPr>
          <w:rFonts w:ascii="Arial" w:eastAsia="Arial" w:hAnsi="Arial" w:cs="Arial"/>
          <w:color w:val="1F4E79"/>
          <w:sz w:val="20"/>
          <w:szCs w:val="20"/>
        </w:rPr>
      </w:pPr>
      <w:r>
        <w:rPr>
          <w:rFonts w:ascii="Arial" w:eastAsia="Arial" w:hAnsi="Arial" w:cs="Arial"/>
          <w:b/>
          <w:color w:val="1F4E79"/>
          <w:sz w:val="20"/>
          <w:szCs w:val="20"/>
        </w:rPr>
        <w:t>RESULTS AND DISCUSSION</w:t>
      </w:r>
    </w:p>
    <w:p w:rsidR="001A3CF6" w:rsidRDefault="008F495C" w:rsidP="001A3CF6">
      <w:pPr>
        <w:pBdr>
          <w:top w:val="nil"/>
          <w:left w:val="nil"/>
          <w:bottom w:val="nil"/>
          <w:right w:val="nil"/>
          <w:between w:val="nil"/>
        </w:pBdr>
        <w:shd w:val="clear" w:color="auto" w:fill="FFFFFF"/>
        <w:spacing w:after="0" w:line="240" w:lineRule="auto"/>
        <w:ind w:left="0" w:hanging="2"/>
        <w:jc w:val="both"/>
        <w:rPr>
          <w:rFonts w:ascii="Arial" w:eastAsia="Arial" w:hAnsi="Arial" w:cs="Arial"/>
          <w:color w:val="000000"/>
          <w:sz w:val="20"/>
          <w:szCs w:val="20"/>
        </w:rPr>
      </w:pPr>
      <w:r>
        <w:rPr>
          <w:rFonts w:ascii="Arial" w:eastAsia="Arial" w:hAnsi="Arial" w:cs="Arial"/>
          <w:b/>
          <w:color w:val="1F4E79"/>
          <w:sz w:val="20"/>
          <w:szCs w:val="20"/>
        </w:rPr>
        <w:t>Data Exploration and Understanding</w:t>
      </w:r>
      <w:r w:rsidR="001A3CF6">
        <w:rPr>
          <w:rFonts w:ascii="Arial" w:eastAsia="Arial" w:hAnsi="Arial" w:cs="Arial"/>
          <w:color w:val="000000"/>
          <w:sz w:val="20"/>
          <w:szCs w:val="20"/>
        </w:rPr>
        <w:t xml:space="preserve"> </w:t>
      </w:r>
    </w:p>
    <w:p w:rsidR="00AE4F29" w:rsidRDefault="00AE4F29" w:rsidP="00AE4F29">
      <w:pPr>
        <w:spacing w:after="0" w:line="240" w:lineRule="auto"/>
        <w:ind w:left="0" w:hanging="2"/>
        <w:jc w:val="both"/>
        <w:rPr>
          <w:rFonts w:ascii="Arial" w:hAnsi="Arial" w:cs="Arial"/>
          <w:sz w:val="20"/>
          <w:szCs w:val="20"/>
        </w:rPr>
      </w:pPr>
      <w:r w:rsidRPr="00AE4F29">
        <w:rPr>
          <w:rFonts w:ascii="Arial" w:hAnsi="Arial" w:cs="Arial"/>
          <w:sz w:val="20"/>
          <w:szCs w:val="20"/>
        </w:rPr>
        <w:t xml:space="preserve">To understand the data, we should see the graph of </w:t>
      </w:r>
      <w:r w:rsidR="007D1408">
        <w:rPr>
          <w:rFonts w:ascii="Arial" w:hAnsi="Arial" w:cs="Arial"/>
          <w:sz w:val="20"/>
          <w:szCs w:val="20"/>
        </w:rPr>
        <w:t xml:space="preserve">sugar sales </w:t>
      </w:r>
      <w:r w:rsidRPr="00AE4F29">
        <w:rPr>
          <w:rFonts w:ascii="Arial" w:hAnsi="Arial" w:cs="Arial"/>
          <w:sz w:val="20"/>
          <w:szCs w:val="20"/>
        </w:rPr>
        <w:t>d</w:t>
      </w:r>
      <w:r w:rsidR="00935C62">
        <w:rPr>
          <w:rFonts w:ascii="Arial" w:hAnsi="Arial" w:cs="Arial"/>
          <w:sz w:val="20"/>
          <w:szCs w:val="20"/>
        </w:rPr>
        <w:t>ata</w:t>
      </w:r>
      <w:r w:rsidR="00695B2D">
        <w:rPr>
          <w:rFonts w:ascii="Arial" w:hAnsi="Arial" w:cs="Arial"/>
          <w:sz w:val="20"/>
          <w:szCs w:val="20"/>
        </w:rPr>
        <w:t xml:space="preserve"> and know the basic statistic</w:t>
      </w:r>
      <w:r w:rsidR="00561973">
        <w:rPr>
          <w:rFonts w:ascii="Arial" w:hAnsi="Arial" w:cs="Arial"/>
          <w:sz w:val="20"/>
          <w:szCs w:val="20"/>
        </w:rPr>
        <w:t>s</w:t>
      </w:r>
      <w:r w:rsidR="00695B2D">
        <w:rPr>
          <w:rFonts w:ascii="Arial" w:hAnsi="Arial" w:cs="Arial"/>
          <w:sz w:val="20"/>
          <w:szCs w:val="20"/>
        </w:rPr>
        <w:t xml:space="preserve"> of the data</w:t>
      </w:r>
      <w:r w:rsidR="00935C62">
        <w:rPr>
          <w:rFonts w:ascii="Arial" w:hAnsi="Arial" w:cs="Arial"/>
          <w:sz w:val="20"/>
          <w:szCs w:val="20"/>
        </w:rPr>
        <w:t>. Figure</w:t>
      </w:r>
      <w:r w:rsidR="007D1408">
        <w:rPr>
          <w:rFonts w:ascii="Arial" w:hAnsi="Arial" w:cs="Arial"/>
          <w:sz w:val="20"/>
          <w:szCs w:val="20"/>
        </w:rPr>
        <w:t xml:space="preserve"> 7</w:t>
      </w:r>
      <w:r w:rsidRPr="00AE4F29">
        <w:rPr>
          <w:rFonts w:ascii="Arial" w:hAnsi="Arial" w:cs="Arial"/>
          <w:sz w:val="20"/>
          <w:szCs w:val="20"/>
        </w:rPr>
        <w:t xml:space="preserve"> of the observed </w:t>
      </w:r>
      <w:r w:rsidR="00695B2D">
        <w:rPr>
          <w:rFonts w:ascii="Arial" w:hAnsi="Arial" w:cs="Arial"/>
          <w:sz w:val="20"/>
          <w:szCs w:val="20"/>
        </w:rPr>
        <w:t>data part shows the sugar sales, while</w:t>
      </w:r>
      <w:r w:rsidR="00F53AB5">
        <w:rPr>
          <w:rFonts w:ascii="Arial" w:hAnsi="Arial" w:cs="Arial"/>
          <w:sz w:val="20"/>
          <w:szCs w:val="20"/>
        </w:rPr>
        <w:t xml:space="preserve"> Tab</w:t>
      </w:r>
      <w:r w:rsidR="008F6997">
        <w:rPr>
          <w:rFonts w:ascii="Arial" w:hAnsi="Arial" w:cs="Arial"/>
          <w:sz w:val="20"/>
          <w:szCs w:val="20"/>
        </w:rPr>
        <w:t>le</w:t>
      </w:r>
      <w:r w:rsidR="00F53AB5">
        <w:rPr>
          <w:rFonts w:ascii="Arial" w:hAnsi="Arial" w:cs="Arial"/>
          <w:sz w:val="20"/>
          <w:szCs w:val="20"/>
        </w:rPr>
        <w:t xml:space="preserve"> 1 shows the b</w:t>
      </w:r>
      <w:r w:rsidR="007D1408">
        <w:rPr>
          <w:rFonts w:ascii="Arial" w:hAnsi="Arial" w:cs="Arial"/>
          <w:sz w:val="20"/>
          <w:szCs w:val="20"/>
        </w:rPr>
        <w:t xml:space="preserve">asic statistics to understand the </w:t>
      </w:r>
      <w:r w:rsidR="00F53AB5">
        <w:rPr>
          <w:rFonts w:ascii="Arial" w:hAnsi="Arial" w:cs="Arial"/>
          <w:sz w:val="20"/>
          <w:szCs w:val="20"/>
        </w:rPr>
        <w:t>data</w:t>
      </w:r>
      <w:r w:rsidR="00561973">
        <w:rPr>
          <w:rFonts w:ascii="Arial" w:hAnsi="Arial" w:cs="Arial"/>
          <w:sz w:val="20"/>
          <w:szCs w:val="20"/>
        </w:rPr>
        <w:t xml:space="preserve"> further.</w:t>
      </w:r>
      <w:r w:rsidR="008E4687">
        <w:rPr>
          <w:rFonts w:ascii="Arial" w:hAnsi="Arial" w:cs="Arial"/>
          <w:sz w:val="20"/>
          <w:szCs w:val="20"/>
        </w:rPr>
        <w:t xml:space="preserve"> Tab</w:t>
      </w:r>
      <w:r w:rsidR="008F6997">
        <w:rPr>
          <w:rFonts w:ascii="Arial" w:hAnsi="Arial" w:cs="Arial"/>
          <w:sz w:val="20"/>
          <w:szCs w:val="20"/>
        </w:rPr>
        <w:t>le</w:t>
      </w:r>
      <w:r w:rsidR="008E4687">
        <w:rPr>
          <w:rFonts w:ascii="Arial" w:hAnsi="Arial" w:cs="Arial"/>
          <w:sz w:val="20"/>
          <w:szCs w:val="20"/>
        </w:rPr>
        <w:t xml:space="preserve"> 1 shows that the retail can </w:t>
      </w:r>
      <w:r w:rsidRPr="00AE4F29">
        <w:rPr>
          <w:rFonts w:ascii="Arial" w:hAnsi="Arial" w:cs="Arial"/>
          <w:sz w:val="20"/>
          <w:szCs w:val="20"/>
        </w:rPr>
        <w:t>sell more than 100 packages of sugar</w:t>
      </w:r>
      <w:r w:rsidR="00935C62">
        <w:rPr>
          <w:rFonts w:ascii="Arial" w:hAnsi="Arial" w:cs="Arial"/>
          <w:sz w:val="20"/>
          <w:szCs w:val="20"/>
        </w:rPr>
        <w:t xml:space="preserve"> every month</w:t>
      </w:r>
      <w:r w:rsidRPr="00AE4F29">
        <w:rPr>
          <w:rFonts w:ascii="Arial" w:hAnsi="Arial" w:cs="Arial"/>
          <w:sz w:val="20"/>
          <w:szCs w:val="20"/>
        </w:rPr>
        <w:t>. There is high variability of the sales</w:t>
      </w:r>
      <w:r w:rsidR="00935C62">
        <w:rPr>
          <w:rFonts w:ascii="Arial" w:hAnsi="Arial" w:cs="Arial"/>
          <w:sz w:val="20"/>
          <w:szCs w:val="20"/>
        </w:rPr>
        <w:t xml:space="preserve"> shown by </w:t>
      </w:r>
      <w:r w:rsidRPr="00AE4F29">
        <w:rPr>
          <w:rFonts w:ascii="Arial" w:hAnsi="Arial" w:cs="Arial"/>
          <w:sz w:val="20"/>
          <w:szCs w:val="20"/>
        </w:rPr>
        <w:t>the coefficient of variability</w:t>
      </w:r>
      <w:r w:rsidR="00935C62">
        <w:rPr>
          <w:rFonts w:ascii="Arial" w:hAnsi="Arial" w:cs="Arial"/>
          <w:sz w:val="20"/>
          <w:szCs w:val="20"/>
        </w:rPr>
        <w:t xml:space="preserve"> (CV). The CV is 27</w:t>
      </w:r>
      <w:proofErr w:type="gramStart"/>
      <w:r w:rsidR="00935C62">
        <w:rPr>
          <w:rFonts w:ascii="Arial" w:hAnsi="Arial" w:cs="Arial"/>
          <w:sz w:val="20"/>
          <w:szCs w:val="20"/>
        </w:rPr>
        <w:t>,</w:t>
      </w:r>
      <w:r w:rsidR="006637D3">
        <w:rPr>
          <w:rFonts w:ascii="Arial" w:hAnsi="Arial" w:cs="Arial"/>
          <w:sz w:val="20"/>
          <w:szCs w:val="20"/>
        </w:rPr>
        <w:t>44</w:t>
      </w:r>
      <w:proofErr w:type="gramEnd"/>
      <w:r w:rsidR="006637D3">
        <w:rPr>
          <w:rFonts w:ascii="Arial" w:hAnsi="Arial" w:cs="Arial"/>
          <w:sz w:val="20"/>
          <w:szCs w:val="20"/>
        </w:rPr>
        <w:t>. That</w:t>
      </w:r>
      <w:r w:rsidR="00935C62">
        <w:rPr>
          <w:rFonts w:ascii="Arial" w:hAnsi="Arial" w:cs="Arial"/>
          <w:sz w:val="20"/>
          <w:szCs w:val="20"/>
        </w:rPr>
        <w:t xml:space="preserve"> is</w:t>
      </w:r>
      <w:r w:rsidRPr="00AE4F29">
        <w:rPr>
          <w:rFonts w:ascii="Arial" w:hAnsi="Arial" w:cs="Arial"/>
          <w:sz w:val="20"/>
          <w:szCs w:val="20"/>
        </w:rPr>
        <w:t xml:space="preserve"> higher than the variability severity threshold, which is 15</w:t>
      </w:r>
      <w:r w:rsidR="00935C62">
        <w:rPr>
          <w:rFonts w:ascii="Arial" w:hAnsi="Arial" w:cs="Arial"/>
          <w:sz w:val="20"/>
          <w:szCs w:val="20"/>
        </w:rPr>
        <w:t>%</w:t>
      </w:r>
      <w:r w:rsidRPr="00AE4F29">
        <w:rPr>
          <w:rFonts w:ascii="Arial" w:hAnsi="Arial" w:cs="Arial"/>
          <w:sz w:val="20"/>
          <w:szCs w:val="20"/>
        </w:rPr>
        <w:t xml:space="preserve"> </w:t>
      </w:r>
      <w:r w:rsidRPr="00935C62">
        <w:rPr>
          <w:rFonts w:ascii="Arial" w:hAnsi="Arial" w:cs="Arial"/>
          <w:sz w:val="20"/>
          <w:szCs w:val="20"/>
        </w:rPr>
        <w:fldChar w:fldCharType="begin" w:fldLock="1"/>
      </w:r>
      <w:r w:rsidR="00AA5E59">
        <w:rPr>
          <w:rFonts w:ascii="Arial" w:hAnsi="Arial" w:cs="Arial"/>
          <w:sz w:val="20"/>
          <w:szCs w:val="20"/>
        </w:rPr>
        <w:instrText>ADDIN CSL_CITATION {"citationItems":[{"id":"ITEM-1","itemData":{"DOI":"10.1007/978-3-642-37131-8_4","ISBN":"9783642371318","abstract":"This chapter focuses on the use of the coefficient of variation (CV) as an index of reliability or variability in the health sciences (medical and biological sciences) for the purpose of clinical research and clinical practice in the context of diagnostic tests, human performance tests, and biochemical laboratory assays. Before examining the use of the CV as an index of measurement reliability or variability, there is a need to define basic terms in measurement theory such as reliability, validity, and measurement error. A discussion and examples of use of the CV as a measure of reliability or variability are also provided","author":[{"dropping-particle":"","family":"Shechtman","given":"Orit","non-dropping-particle":"","parse-names":false,"suffix":""}],"chapter-number":"4","container-title":"Methods of Clinical Epidemiology","editor":[{"dropping-particle":"","family":"Doi","given":"Suhail A. R.","non-dropping-particle":"","parse-names":false,"suffix":""},{"dropping-particle":"","family":"Williams","given":"Gail M.","non-dropping-particle":"","parse-names":false,"suffix":""}],"id":"ITEM-1","issue":"Springer Series on Epidemiology and Public Health","issued":{"date-parts":[["2013"]]},"page":"39-49","publisher":"Springer","publisher-place":"Verlag Berlin Heidelberg","title":"The Coefficient of Variation as an Index of Measurement Reliability","type":"chapter"},"uris":["http://www.mendeley.com/documents/?uuid=acf0cb6f-8bbe-4ee3-9473-8f8cd2c01541"]}],"mendeley":{"formattedCitation":"[30]","plainTextFormattedCitation":"[30]","previouslyFormattedCitation":"[30]"},"properties":{"noteIndex":0},"schema":"https://github.com/citation-style-language/schema/raw/master/csl-citation.json"}</w:instrText>
      </w:r>
      <w:r w:rsidRPr="00935C62">
        <w:rPr>
          <w:rFonts w:ascii="Arial" w:hAnsi="Arial" w:cs="Arial"/>
          <w:sz w:val="20"/>
          <w:szCs w:val="20"/>
        </w:rPr>
        <w:fldChar w:fldCharType="separate"/>
      </w:r>
      <w:r w:rsidR="00AA5E59" w:rsidRPr="00AA5E59">
        <w:rPr>
          <w:rFonts w:ascii="Arial" w:hAnsi="Arial" w:cs="Arial"/>
          <w:noProof/>
          <w:sz w:val="20"/>
          <w:szCs w:val="20"/>
        </w:rPr>
        <w:t>[30]</w:t>
      </w:r>
      <w:r w:rsidRPr="00935C62">
        <w:rPr>
          <w:rFonts w:ascii="Arial" w:hAnsi="Arial" w:cs="Arial"/>
          <w:sz w:val="20"/>
          <w:szCs w:val="20"/>
        </w:rPr>
        <w:fldChar w:fldCharType="end"/>
      </w:r>
      <w:r w:rsidR="00935C62">
        <w:rPr>
          <w:rFonts w:ascii="Arial" w:hAnsi="Arial" w:cs="Arial"/>
          <w:sz w:val="20"/>
          <w:szCs w:val="20"/>
        </w:rPr>
        <w:t>.</w:t>
      </w:r>
      <w:r w:rsidRPr="00AE4F29">
        <w:rPr>
          <w:rFonts w:ascii="Arial" w:hAnsi="Arial" w:cs="Arial"/>
          <w:color w:val="FF0000"/>
          <w:sz w:val="20"/>
          <w:szCs w:val="20"/>
        </w:rPr>
        <w:t xml:space="preserve"> </w:t>
      </w:r>
      <w:r w:rsidR="00830B4B">
        <w:rPr>
          <w:rFonts w:ascii="Arial" w:hAnsi="Arial" w:cs="Arial"/>
          <w:sz w:val="20"/>
          <w:szCs w:val="20"/>
        </w:rPr>
        <w:t>The high variability can</w:t>
      </w:r>
      <w:r w:rsidRPr="00AE4F29">
        <w:rPr>
          <w:rFonts w:ascii="Arial" w:hAnsi="Arial" w:cs="Arial"/>
          <w:sz w:val="20"/>
          <w:szCs w:val="20"/>
        </w:rPr>
        <w:t xml:space="preserve"> lead to the difficulty of sales prediction. </w:t>
      </w:r>
      <w:r w:rsidR="005E5158">
        <w:rPr>
          <w:rFonts w:ascii="Arial" w:hAnsi="Arial" w:cs="Arial"/>
          <w:sz w:val="20"/>
          <w:szCs w:val="20"/>
        </w:rPr>
        <w:t xml:space="preserve">In line with this analysis, </w:t>
      </w:r>
      <w:r w:rsidR="00561973">
        <w:rPr>
          <w:rFonts w:ascii="Arial" w:hAnsi="Arial" w:cs="Arial"/>
          <w:sz w:val="20"/>
          <w:szCs w:val="20"/>
        </w:rPr>
        <w:t xml:space="preserve">Figure 7 also shows that the sugar sales look very </w:t>
      </w:r>
      <w:proofErr w:type="spellStart"/>
      <w:r w:rsidR="00561973">
        <w:rPr>
          <w:rFonts w:ascii="Arial" w:hAnsi="Arial" w:cs="Arial"/>
          <w:sz w:val="20"/>
          <w:szCs w:val="20"/>
        </w:rPr>
        <w:t>fluctuative</w:t>
      </w:r>
      <w:proofErr w:type="spellEnd"/>
      <w:r w:rsidR="00561973">
        <w:rPr>
          <w:rFonts w:ascii="Arial" w:hAnsi="Arial" w:cs="Arial"/>
          <w:sz w:val="20"/>
          <w:szCs w:val="20"/>
        </w:rPr>
        <w:t>.</w:t>
      </w:r>
      <w:r w:rsidR="00A324C5">
        <w:rPr>
          <w:rFonts w:ascii="Arial" w:hAnsi="Arial" w:cs="Arial"/>
          <w:sz w:val="20"/>
          <w:szCs w:val="20"/>
        </w:rPr>
        <w:t xml:space="preserve"> </w:t>
      </w:r>
    </w:p>
    <w:p w:rsidR="00AE4F29" w:rsidRDefault="00AE4F29" w:rsidP="00AE4F29">
      <w:pPr>
        <w:spacing w:after="0" w:line="240" w:lineRule="auto"/>
        <w:ind w:left="0" w:hanging="2"/>
        <w:jc w:val="both"/>
        <w:rPr>
          <w:rFonts w:ascii="Arial" w:hAnsi="Arial" w:cs="Arial"/>
          <w:sz w:val="20"/>
          <w:szCs w:val="20"/>
        </w:rPr>
      </w:pPr>
    </w:p>
    <w:p w:rsidR="00AE4F29" w:rsidRDefault="00337017" w:rsidP="00AE4F29">
      <w:pPr>
        <w:keepNext/>
        <w:pBdr>
          <w:top w:val="nil"/>
          <w:left w:val="nil"/>
          <w:bottom w:val="nil"/>
          <w:right w:val="nil"/>
          <w:between w:val="nil"/>
        </w:pBdr>
        <w:spacing w:after="0" w:line="240" w:lineRule="auto"/>
        <w:ind w:left="0" w:hanging="2"/>
        <w:jc w:val="center"/>
        <w:rPr>
          <w:rFonts w:ascii="Arial" w:eastAsia="Arial" w:hAnsi="Arial" w:cs="Arial"/>
          <w:color w:val="000000"/>
          <w:sz w:val="20"/>
          <w:szCs w:val="20"/>
        </w:rPr>
      </w:pPr>
      <w:r>
        <w:rPr>
          <w:rFonts w:ascii="Arial" w:eastAsia="Arial" w:hAnsi="Arial" w:cs="Arial"/>
          <w:color w:val="000000"/>
          <w:sz w:val="20"/>
          <w:szCs w:val="20"/>
        </w:rPr>
        <w:t>Table 1</w:t>
      </w:r>
      <w:r w:rsidR="00BA68F1">
        <w:rPr>
          <w:rFonts w:ascii="Arial" w:eastAsia="Arial" w:hAnsi="Arial" w:cs="Arial"/>
          <w:color w:val="000000"/>
          <w:sz w:val="20"/>
          <w:szCs w:val="20"/>
        </w:rPr>
        <w:t>.</w:t>
      </w:r>
      <w:r>
        <w:rPr>
          <w:rFonts w:ascii="Arial" w:eastAsia="Arial" w:hAnsi="Arial" w:cs="Arial"/>
          <w:color w:val="000000"/>
          <w:sz w:val="20"/>
          <w:szCs w:val="20"/>
        </w:rPr>
        <w:t xml:space="preserve"> Basic S</w:t>
      </w:r>
      <w:r w:rsidR="00D96894">
        <w:rPr>
          <w:rFonts w:ascii="Arial" w:eastAsia="Arial" w:hAnsi="Arial" w:cs="Arial"/>
          <w:color w:val="000000"/>
          <w:sz w:val="20"/>
          <w:szCs w:val="20"/>
        </w:rPr>
        <w:t>tatistics of Da</w:t>
      </w:r>
      <w:r>
        <w:rPr>
          <w:rFonts w:ascii="Arial" w:eastAsia="Arial" w:hAnsi="Arial" w:cs="Arial"/>
          <w:color w:val="000000"/>
          <w:sz w:val="20"/>
          <w:szCs w:val="20"/>
        </w:rPr>
        <w:t>ta</w:t>
      </w:r>
    </w:p>
    <w:tbl>
      <w:tblPr>
        <w:tblStyle w:val="a2"/>
        <w:tblW w:w="4395" w:type="dxa"/>
        <w:jc w:val="center"/>
        <w:tblBorders>
          <w:top w:val="single" w:sz="4" w:space="0" w:color="000000"/>
          <w:left w:val="nil"/>
          <w:bottom w:val="single" w:sz="4" w:space="0" w:color="000000"/>
          <w:right w:val="nil"/>
          <w:insideH w:val="nil"/>
          <w:insideV w:val="nil"/>
        </w:tblBorders>
        <w:tblLayout w:type="fixed"/>
        <w:tblLook w:val="0000" w:firstRow="0" w:lastRow="0" w:firstColumn="0" w:lastColumn="0" w:noHBand="0" w:noVBand="0"/>
      </w:tblPr>
      <w:tblGrid>
        <w:gridCol w:w="2268"/>
        <w:gridCol w:w="2127"/>
      </w:tblGrid>
      <w:tr w:rsidR="00337017" w:rsidRPr="003E7689" w:rsidTr="0027516B">
        <w:trPr>
          <w:trHeight w:val="20"/>
          <w:jc w:val="center"/>
        </w:trPr>
        <w:tc>
          <w:tcPr>
            <w:tcW w:w="2268" w:type="dxa"/>
            <w:tcBorders>
              <w:top w:val="single" w:sz="4" w:space="0" w:color="000000"/>
              <w:bottom w:val="single" w:sz="4" w:space="0" w:color="000000"/>
            </w:tcBorders>
            <w:vAlign w:val="bottom"/>
          </w:tcPr>
          <w:p w:rsidR="00337017" w:rsidRPr="003E7689" w:rsidRDefault="004F47F5" w:rsidP="00337017">
            <w:pPr>
              <w:spacing w:after="0" w:line="240" w:lineRule="auto"/>
              <w:ind w:left="0" w:hanging="2"/>
              <w:jc w:val="center"/>
              <w:rPr>
                <w:rFonts w:ascii="Arial" w:eastAsia="Times New Roman" w:hAnsi="Arial" w:cs="Arial"/>
                <w:b/>
                <w:bCs/>
                <w:color w:val="000000"/>
                <w:sz w:val="16"/>
                <w:szCs w:val="16"/>
                <w:lang w:eastAsia="en-ID"/>
              </w:rPr>
            </w:pPr>
            <w:r>
              <w:rPr>
                <w:rFonts w:ascii="Arial" w:eastAsia="Times New Roman" w:hAnsi="Arial" w:cs="Arial"/>
                <w:b/>
                <w:bCs/>
                <w:color w:val="000000"/>
                <w:sz w:val="16"/>
                <w:szCs w:val="16"/>
                <w:lang w:eastAsia="en-ID"/>
              </w:rPr>
              <w:t>Basic Statistics</w:t>
            </w:r>
          </w:p>
        </w:tc>
        <w:tc>
          <w:tcPr>
            <w:tcW w:w="2127" w:type="dxa"/>
            <w:tcBorders>
              <w:top w:val="single" w:sz="4" w:space="0" w:color="000000"/>
              <w:bottom w:val="single" w:sz="4" w:space="0" w:color="000000"/>
            </w:tcBorders>
            <w:vAlign w:val="bottom"/>
          </w:tcPr>
          <w:p w:rsidR="00337017" w:rsidRPr="003E7689" w:rsidRDefault="00337017" w:rsidP="00337017">
            <w:pPr>
              <w:spacing w:after="0" w:line="240" w:lineRule="auto"/>
              <w:ind w:left="0" w:hanging="2"/>
              <w:jc w:val="center"/>
              <w:rPr>
                <w:rFonts w:ascii="Arial" w:eastAsia="Times New Roman" w:hAnsi="Arial" w:cs="Arial"/>
                <w:b/>
                <w:bCs/>
                <w:color w:val="000000"/>
                <w:sz w:val="16"/>
                <w:szCs w:val="16"/>
                <w:lang w:eastAsia="en-ID"/>
              </w:rPr>
            </w:pPr>
            <w:r w:rsidRPr="003E7689">
              <w:rPr>
                <w:rFonts w:ascii="Arial" w:eastAsia="Times New Roman" w:hAnsi="Arial" w:cs="Arial"/>
                <w:b/>
                <w:bCs/>
                <w:color w:val="000000"/>
                <w:sz w:val="16"/>
                <w:szCs w:val="16"/>
                <w:lang w:eastAsia="en-ID"/>
              </w:rPr>
              <w:t>Value</w:t>
            </w:r>
          </w:p>
        </w:tc>
      </w:tr>
      <w:tr w:rsidR="00337017" w:rsidRPr="003E7689" w:rsidTr="0027516B">
        <w:trPr>
          <w:trHeight w:val="20"/>
          <w:jc w:val="center"/>
        </w:trPr>
        <w:tc>
          <w:tcPr>
            <w:tcW w:w="2268" w:type="dxa"/>
            <w:tcBorders>
              <w:top w:val="single" w:sz="4" w:space="0" w:color="000000"/>
            </w:tcBorders>
            <w:vAlign w:val="bottom"/>
          </w:tcPr>
          <w:p w:rsidR="00337017" w:rsidRPr="003E7689" w:rsidRDefault="00337017" w:rsidP="00337017">
            <w:pPr>
              <w:spacing w:after="0" w:line="240" w:lineRule="auto"/>
              <w:ind w:left="0" w:hanging="2"/>
              <w:rPr>
                <w:rFonts w:ascii="Arial" w:eastAsia="Times New Roman" w:hAnsi="Arial" w:cs="Arial"/>
                <w:color w:val="000000"/>
                <w:sz w:val="16"/>
                <w:szCs w:val="16"/>
                <w:lang w:eastAsia="en-ID"/>
              </w:rPr>
            </w:pPr>
            <w:r w:rsidRPr="003E7689">
              <w:rPr>
                <w:rFonts w:ascii="Arial" w:eastAsia="Times New Roman" w:hAnsi="Arial" w:cs="Arial"/>
                <w:color w:val="000000"/>
                <w:sz w:val="16"/>
                <w:szCs w:val="16"/>
                <w:lang w:eastAsia="en-ID"/>
              </w:rPr>
              <w:t>Total Data</w:t>
            </w:r>
          </w:p>
        </w:tc>
        <w:tc>
          <w:tcPr>
            <w:tcW w:w="2127" w:type="dxa"/>
            <w:tcBorders>
              <w:top w:val="single" w:sz="4" w:space="0" w:color="000000"/>
            </w:tcBorders>
            <w:vAlign w:val="bottom"/>
          </w:tcPr>
          <w:p w:rsidR="00337017" w:rsidRPr="003E7689" w:rsidRDefault="00337017" w:rsidP="00337017">
            <w:pPr>
              <w:tabs>
                <w:tab w:val="left" w:pos="1430"/>
              </w:tabs>
              <w:spacing w:after="0" w:line="240" w:lineRule="auto"/>
              <w:ind w:left="0" w:hanging="2"/>
              <w:jc w:val="right"/>
              <w:rPr>
                <w:rFonts w:ascii="Arial" w:eastAsia="Times New Roman" w:hAnsi="Arial" w:cs="Arial"/>
                <w:color w:val="000000"/>
                <w:sz w:val="16"/>
                <w:szCs w:val="16"/>
                <w:lang w:eastAsia="en-ID"/>
              </w:rPr>
            </w:pPr>
            <w:r w:rsidRPr="003E7689">
              <w:rPr>
                <w:rFonts w:ascii="Arial" w:eastAsia="Times New Roman" w:hAnsi="Arial" w:cs="Arial"/>
                <w:color w:val="000000"/>
                <w:sz w:val="16"/>
                <w:szCs w:val="16"/>
                <w:lang w:eastAsia="en-ID"/>
              </w:rPr>
              <w:t>72</w:t>
            </w:r>
          </w:p>
        </w:tc>
      </w:tr>
      <w:tr w:rsidR="00337017" w:rsidRPr="003E7689" w:rsidTr="0027516B">
        <w:trPr>
          <w:trHeight w:val="20"/>
          <w:jc w:val="center"/>
        </w:trPr>
        <w:tc>
          <w:tcPr>
            <w:tcW w:w="2268" w:type="dxa"/>
            <w:vAlign w:val="bottom"/>
          </w:tcPr>
          <w:p w:rsidR="00337017" w:rsidRPr="003E7689" w:rsidRDefault="00337017" w:rsidP="00337017">
            <w:pPr>
              <w:spacing w:after="0" w:line="240" w:lineRule="auto"/>
              <w:ind w:left="0" w:hanging="2"/>
              <w:rPr>
                <w:rFonts w:ascii="Arial" w:eastAsia="Times New Roman" w:hAnsi="Arial" w:cs="Arial"/>
                <w:color w:val="000000"/>
                <w:sz w:val="16"/>
                <w:szCs w:val="16"/>
                <w:lang w:eastAsia="en-ID"/>
              </w:rPr>
            </w:pPr>
            <w:r w:rsidRPr="003E7689">
              <w:rPr>
                <w:rFonts w:ascii="Arial" w:eastAsia="Times New Roman" w:hAnsi="Arial" w:cs="Arial"/>
                <w:color w:val="000000"/>
                <w:sz w:val="16"/>
                <w:szCs w:val="16"/>
                <w:lang w:eastAsia="en-ID"/>
              </w:rPr>
              <w:t>Mean</w:t>
            </w:r>
          </w:p>
        </w:tc>
        <w:tc>
          <w:tcPr>
            <w:tcW w:w="2127" w:type="dxa"/>
            <w:vAlign w:val="bottom"/>
          </w:tcPr>
          <w:p w:rsidR="00337017" w:rsidRPr="003E7689" w:rsidRDefault="00337017" w:rsidP="003E7689">
            <w:pPr>
              <w:tabs>
                <w:tab w:val="left" w:pos="1430"/>
              </w:tabs>
              <w:spacing w:after="0" w:line="240" w:lineRule="auto"/>
              <w:ind w:left="0" w:hanging="2"/>
              <w:jc w:val="right"/>
              <w:rPr>
                <w:rFonts w:ascii="Arial" w:eastAsia="Times New Roman" w:hAnsi="Arial" w:cs="Arial"/>
                <w:color w:val="000000"/>
                <w:sz w:val="16"/>
                <w:szCs w:val="16"/>
                <w:lang w:eastAsia="en-ID"/>
              </w:rPr>
            </w:pPr>
            <w:r w:rsidRPr="003E7689">
              <w:rPr>
                <w:rFonts w:ascii="Arial" w:eastAsia="Times New Roman" w:hAnsi="Arial" w:cs="Arial"/>
                <w:color w:val="000000"/>
                <w:sz w:val="16"/>
                <w:szCs w:val="16"/>
                <w:lang w:eastAsia="en-ID"/>
              </w:rPr>
              <w:t>185</w:t>
            </w:r>
            <w:r w:rsidR="003E7689">
              <w:rPr>
                <w:rFonts w:ascii="Arial" w:eastAsia="Times New Roman" w:hAnsi="Arial" w:cs="Arial"/>
                <w:color w:val="000000"/>
                <w:sz w:val="16"/>
                <w:szCs w:val="16"/>
                <w:lang w:eastAsia="en-ID"/>
              </w:rPr>
              <w:t>.</w:t>
            </w:r>
            <w:r w:rsidRPr="003E7689">
              <w:rPr>
                <w:rFonts w:ascii="Arial" w:eastAsia="Times New Roman" w:hAnsi="Arial" w:cs="Arial"/>
                <w:color w:val="000000"/>
                <w:sz w:val="16"/>
                <w:szCs w:val="16"/>
                <w:lang w:eastAsia="en-ID"/>
              </w:rPr>
              <w:t>46</w:t>
            </w:r>
          </w:p>
        </w:tc>
      </w:tr>
      <w:tr w:rsidR="00337017" w:rsidRPr="003E7689" w:rsidTr="0027516B">
        <w:trPr>
          <w:trHeight w:val="20"/>
          <w:jc w:val="center"/>
        </w:trPr>
        <w:tc>
          <w:tcPr>
            <w:tcW w:w="2268" w:type="dxa"/>
            <w:vAlign w:val="bottom"/>
          </w:tcPr>
          <w:p w:rsidR="00337017" w:rsidRPr="003E7689" w:rsidRDefault="00337017" w:rsidP="00337017">
            <w:pPr>
              <w:spacing w:after="0" w:line="240" w:lineRule="auto"/>
              <w:ind w:left="0" w:hanging="2"/>
              <w:rPr>
                <w:rFonts w:ascii="Arial" w:eastAsia="Times New Roman" w:hAnsi="Arial" w:cs="Arial"/>
                <w:color w:val="000000"/>
                <w:sz w:val="16"/>
                <w:szCs w:val="16"/>
                <w:lang w:eastAsia="en-ID"/>
              </w:rPr>
            </w:pPr>
            <w:r w:rsidRPr="003E7689">
              <w:rPr>
                <w:rFonts w:ascii="Arial" w:eastAsia="Times New Roman" w:hAnsi="Arial" w:cs="Arial"/>
                <w:color w:val="000000"/>
                <w:sz w:val="16"/>
                <w:szCs w:val="16"/>
                <w:lang w:eastAsia="en-ID"/>
              </w:rPr>
              <w:t>Median</w:t>
            </w:r>
          </w:p>
        </w:tc>
        <w:tc>
          <w:tcPr>
            <w:tcW w:w="2127" w:type="dxa"/>
            <w:vAlign w:val="bottom"/>
          </w:tcPr>
          <w:p w:rsidR="00337017" w:rsidRPr="003E7689" w:rsidRDefault="00337017" w:rsidP="00337017">
            <w:pPr>
              <w:tabs>
                <w:tab w:val="left" w:pos="1430"/>
              </w:tabs>
              <w:spacing w:after="0" w:line="240" w:lineRule="auto"/>
              <w:ind w:left="0" w:hanging="2"/>
              <w:jc w:val="right"/>
              <w:rPr>
                <w:rFonts w:ascii="Arial" w:eastAsia="Times New Roman" w:hAnsi="Arial" w:cs="Arial"/>
                <w:color w:val="000000"/>
                <w:sz w:val="16"/>
                <w:szCs w:val="16"/>
                <w:lang w:eastAsia="en-ID"/>
              </w:rPr>
            </w:pPr>
            <w:r w:rsidRPr="003E7689">
              <w:rPr>
                <w:rFonts w:ascii="Arial" w:eastAsia="Times New Roman" w:hAnsi="Arial" w:cs="Arial"/>
                <w:color w:val="000000"/>
                <w:sz w:val="16"/>
                <w:szCs w:val="16"/>
                <w:lang w:eastAsia="en-ID"/>
              </w:rPr>
              <w:t>1</w:t>
            </w:r>
            <w:r w:rsidR="003E7689">
              <w:rPr>
                <w:rFonts w:ascii="Arial" w:eastAsia="Times New Roman" w:hAnsi="Arial" w:cs="Arial"/>
                <w:color w:val="000000"/>
                <w:sz w:val="16"/>
                <w:szCs w:val="16"/>
                <w:lang w:eastAsia="en-ID"/>
              </w:rPr>
              <w:t>79.</w:t>
            </w:r>
            <w:r w:rsidRPr="003E7689">
              <w:rPr>
                <w:rFonts w:ascii="Arial" w:eastAsia="Times New Roman" w:hAnsi="Arial" w:cs="Arial"/>
                <w:color w:val="000000"/>
                <w:sz w:val="16"/>
                <w:szCs w:val="16"/>
                <w:lang w:eastAsia="en-ID"/>
              </w:rPr>
              <w:t>5</w:t>
            </w:r>
          </w:p>
        </w:tc>
      </w:tr>
      <w:tr w:rsidR="00337017" w:rsidRPr="003E7689" w:rsidTr="0027516B">
        <w:trPr>
          <w:trHeight w:val="20"/>
          <w:jc w:val="center"/>
        </w:trPr>
        <w:tc>
          <w:tcPr>
            <w:tcW w:w="2268" w:type="dxa"/>
            <w:vAlign w:val="bottom"/>
          </w:tcPr>
          <w:p w:rsidR="00337017" w:rsidRPr="003E7689" w:rsidRDefault="00337017" w:rsidP="00337017">
            <w:pPr>
              <w:spacing w:after="0" w:line="240" w:lineRule="auto"/>
              <w:ind w:left="0" w:hanging="2"/>
              <w:rPr>
                <w:rFonts w:ascii="Arial" w:eastAsia="Times New Roman" w:hAnsi="Arial" w:cs="Arial"/>
                <w:color w:val="000000"/>
                <w:sz w:val="16"/>
                <w:szCs w:val="16"/>
                <w:lang w:eastAsia="en-ID"/>
              </w:rPr>
            </w:pPr>
            <w:r w:rsidRPr="003E7689">
              <w:rPr>
                <w:rFonts w:ascii="Arial" w:eastAsia="Times New Roman" w:hAnsi="Arial" w:cs="Arial"/>
                <w:color w:val="000000"/>
                <w:sz w:val="16"/>
                <w:szCs w:val="16"/>
                <w:lang w:eastAsia="en-ID"/>
              </w:rPr>
              <w:t>Variance</w:t>
            </w:r>
          </w:p>
        </w:tc>
        <w:tc>
          <w:tcPr>
            <w:tcW w:w="2127" w:type="dxa"/>
            <w:vAlign w:val="bottom"/>
          </w:tcPr>
          <w:p w:rsidR="00337017" w:rsidRPr="003E7689" w:rsidRDefault="003E7689" w:rsidP="00337017">
            <w:pPr>
              <w:tabs>
                <w:tab w:val="left" w:pos="1430"/>
              </w:tabs>
              <w:spacing w:after="0" w:line="240" w:lineRule="auto"/>
              <w:ind w:left="0" w:hanging="2"/>
              <w:jc w:val="right"/>
              <w:rPr>
                <w:rFonts w:ascii="Arial" w:eastAsia="Times New Roman" w:hAnsi="Arial" w:cs="Arial"/>
                <w:color w:val="000000"/>
                <w:sz w:val="16"/>
                <w:szCs w:val="16"/>
                <w:lang w:eastAsia="en-ID"/>
              </w:rPr>
            </w:pPr>
            <w:r>
              <w:rPr>
                <w:rFonts w:ascii="Arial" w:eastAsia="Times New Roman" w:hAnsi="Arial" w:cs="Arial"/>
                <w:color w:val="000000"/>
                <w:sz w:val="16"/>
                <w:szCs w:val="16"/>
                <w:lang w:eastAsia="en-ID"/>
              </w:rPr>
              <w:t>2589.</w:t>
            </w:r>
            <w:r w:rsidR="00337017" w:rsidRPr="003E7689">
              <w:rPr>
                <w:rFonts w:ascii="Arial" w:eastAsia="Times New Roman" w:hAnsi="Arial" w:cs="Arial"/>
                <w:color w:val="000000"/>
                <w:sz w:val="16"/>
                <w:szCs w:val="16"/>
                <w:lang w:eastAsia="en-ID"/>
              </w:rPr>
              <w:t>6</w:t>
            </w:r>
          </w:p>
        </w:tc>
      </w:tr>
      <w:tr w:rsidR="00337017" w:rsidRPr="003E7689" w:rsidTr="0027516B">
        <w:trPr>
          <w:trHeight w:val="20"/>
          <w:jc w:val="center"/>
        </w:trPr>
        <w:tc>
          <w:tcPr>
            <w:tcW w:w="2268" w:type="dxa"/>
            <w:vAlign w:val="bottom"/>
          </w:tcPr>
          <w:p w:rsidR="00337017" w:rsidRPr="003E7689" w:rsidRDefault="00337017" w:rsidP="00337017">
            <w:pPr>
              <w:spacing w:after="0" w:line="240" w:lineRule="auto"/>
              <w:ind w:left="0" w:hanging="2"/>
              <w:rPr>
                <w:rFonts w:ascii="Arial" w:eastAsia="Times New Roman" w:hAnsi="Arial" w:cs="Arial"/>
                <w:color w:val="000000"/>
                <w:sz w:val="16"/>
                <w:szCs w:val="16"/>
                <w:lang w:eastAsia="en-ID"/>
              </w:rPr>
            </w:pPr>
            <w:r w:rsidRPr="003E7689">
              <w:rPr>
                <w:rFonts w:ascii="Arial" w:eastAsia="Times New Roman" w:hAnsi="Arial" w:cs="Arial"/>
                <w:color w:val="000000"/>
                <w:sz w:val="16"/>
                <w:szCs w:val="16"/>
                <w:lang w:eastAsia="en-ID"/>
              </w:rPr>
              <w:t>Standard Deviation</w:t>
            </w:r>
          </w:p>
        </w:tc>
        <w:tc>
          <w:tcPr>
            <w:tcW w:w="2127" w:type="dxa"/>
            <w:vAlign w:val="bottom"/>
          </w:tcPr>
          <w:p w:rsidR="00337017" w:rsidRPr="003E7689" w:rsidRDefault="003E7689" w:rsidP="00337017">
            <w:pPr>
              <w:tabs>
                <w:tab w:val="left" w:pos="1430"/>
              </w:tabs>
              <w:spacing w:after="0" w:line="240" w:lineRule="auto"/>
              <w:ind w:left="0" w:hanging="2"/>
              <w:jc w:val="right"/>
              <w:rPr>
                <w:rFonts w:ascii="Arial" w:eastAsia="Times New Roman" w:hAnsi="Arial" w:cs="Arial"/>
                <w:color w:val="000000"/>
                <w:sz w:val="16"/>
                <w:szCs w:val="16"/>
                <w:lang w:eastAsia="en-ID"/>
              </w:rPr>
            </w:pPr>
            <w:r>
              <w:rPr>
                <w:rFonts w:ascii="Arial" w:eastAsia="Times New Roman" w:hAnsi="Arial" w:cs="Arial"/>
                <w:color w:val="000000"/>
                <w:sz w:val="16"/>
                <w:szCs w:val="16"/>
                <w:lang w:eastAsia="en-ID"/>
              </w:rPr>
              <w:t>50.</w:t>
            </w:r>
            <w:r w:rsidR="00337017" w:rsidRPr="003E7689">
              <w:rPr>
                <w:rFonts w:ascii="Arial" w:eastAsia="Times New Roman" w:hAnsi="Arial" w:cs="Arial"/>
                <w:color w:val="000000"/>
                <w:sz w:val="16"/>
                <w:szCs w:val="16"/>
                <w:lang w:eastAsia="en-ID"/>
              </w:rPr>
              <w:t>89</w:t>
            </w:r>
          </w:p>
        </w:tc>
      </w:tr>
      <w:tr w:rsidR="00337017" w:rsidRPr="003E7689" w:rsidTr="0027516B">
        <w:trPr>
          <w:trHeight w:val="20"/>
          <w:jc w:val="center"/>
        </w:trPr>
        <w:tc>
          <w:tcPr>
            <w:tcW w:w="2268" w:type="dxa"/>
            <w:vAlign w:val="bottom"/>
          </w:tcPr>
          <w:p w:rsidR="00337017" w:rsidRPr="003E7689" w:rsidRDefault="00337017" w:rsidP="00337017">
            <w:pPr>
              <w:spacing w:after="0" w:line="240" w:lineRule="auto"/>
              <w:ind w:left="0" w:hanging="2"/>
              <w:rPr>
                <w:rFonts w:ascii="Arial" w:eastAsia="Times New Roman" w:hAnsi="Arial" w:cs="Arial"/>
                <w:color w:val="000000"/>
                <w:sz w:val="16"/>
                <w:szCs w:val="16"/>
                <w:lang w:eastAsia="en-ID"/>
              </w:rPr>
            </w:pPr>
            <w:r w:rsidRPr="003E7689">
              <w:rPr>
                <w:rFonts w:ascii="Arial" w:eastAsia="Times New Roman" w:hAnsi="Arial" w:cs="Arial"/>
                <w:color w:val="000000"/>
                <w:sz w:val="16"/>
                <w:szCs w:val="16"/>
                <w:lang w:eastAsia="en-ID"/>
              </w:rPr>
              <w:t>Coefficient of Variance</w:t>
            </w:r>
          </w:p>
        </w:tc>
        <w:tc>
          <w:tcPr>
            <w:tcW w:w="2127" w:type="dxa"/>
            <w:vAlign w:val="bottom"/>
          </w:tcPr>
          <w:p w:rsidR="00337017" w:rsidRPr="003E7689" w:rsidRDefault="003E7689" w:rsidP="00337017">
            <w:pPr>
              <w:tabs>
                <w:tab w:val="left" w:pos="1430"/>
              </w:tabs>
              <w:spacing w:after="0" w:line="240" w:lineRule="auto"/>
              <w:ind w:left="0" w:hanging="2"/>
              <w:jc w:val="right"/>
              <w:rPr>
                <w:rFonts w:ascii="Arial" w:eastAsia="Times New Roman" w:hAnsi="Arial" w:cs="Arial"/>
                <w:color w:val="000000"/>
                <w:sz w:val="16"/>
                <w:szCs w:val="16"/>
                <w:lang w:eastAsia="en-ID"/>
              </w:rPr>
            </w:pPr>
            <w:r>
              <w:rPr>
                <w:rFonts w:ascii="Arial" w:eastAsia="Times New Roman" w:hAnsi="Arial" w:cs="Arial"/>
                <w:color w:val="000000"/>
                <w:sz w:val="16"/>
                <w:szCs w:val="16"/>
                <w:lang w:eastAsia="en-ID"/>
              </w:rPr>
              <w:t>27.</w:t>
            </w:r>
            <w:r w:rsidR="00337017" w:rsidRPr="003E7689">
              <w:rPr>
                <w:rFonts w:ascii="Arial" w:eastAsia="Times New Roman" w:hAnsi="Arial" w:cs="Arial"/>
                <w:color w:val="000000"/>
                <w:sz w:val="16"/>
                <w:szCs w:val="16"/>
                <w:lang w:eastAsia="en-ID"/>
              </w:rPr>
              <w:t>44</w:t>
            </w:r>
            <w:r w:rsidR="003B7326">
              <w:rPr>
                <w:rFonts w:ascii="Arial" w:eastAsia="Times New Roman" w:hAnsi="Arial" w:cs="Arial"/>
                <w:color w:val="000000"/>
                <w:sz w:val="16"/>
                <w:szCs w:val="16"/>
                <w:lang w:eastAsia="en-ID"/>
              </w:rPr>
              <w:t>%</w:t>
            </w:r>
          </w:p>
        </w:tc>
      </w:tr>
      <w:tr w:rsidR="00337017" w:rsidRPr="003E7689" w:rsidTr="0027516B">
        <w:trPr>
          <w:trHeight w:val="20"/>
          <w:jc w:val="center"/>
        </w:trPr>
        <w:tc>
          <w:tcPr>
            <w:tcW w:w="2268" w:type="dxa"/>
            <w:vAlign w:val="bottom"/>
          </w:tcPr>
          <w:p w:rsidR="00337017" w:rsidRPr="003E7689" w:rsidRDefault="00337017" w:rsidP="00337017">
            <w:pPr>
              <w:spacing w:after="0" w:line="240" w:lineRule="auto"/>
              <w:ind w:left="0" w:hanging="2"/>
              <w:rPr>
                <w:rFonts w:ascii="Arial" w:eastAsia="Times New Roman" w:hAnsi="Arial" w:cs="Arial"/>
                <w:color w:val="000000"/>
                <w:sz w:val="16"/>
                <w:szCs w:val="16"/>
                <w:lang w:eastAsia="en-ID"/>
              </w:rPr>
            </w:pPr>
            <w:r w:rsidRPr="003E7689">
              <w:rPr>
                <w:rFonts w:ascii="Arial" w:eastAsia="Times New Roman" w:hAnsi="Arial" w:cs="Arial"/>
                <w:color w:val="000000"/>
                <w:sz w:val="16"/>
                <w:szCs w:val="16"/>
                <w:lang w:eastAsia="en-ID"/>
              </w:rPr>
              <w:t>Maximal</w:t>
            </w:r>
          </w:p>
        </w:tc>
        <w:tc>
          <w:tcPr>
            <w:tcW w:w="2127" w:type="dxa"/>
            <w:vAlign w:val="bottom"/>
          </w:tcPr>
          <w:p w:rsidR="00337017" w:rsidRPr="003E7689" w:rsidRDefault="00337017" w:rsidP="00337017">
            <w:pPr>
              <w:tabs>
                <w:tab w:val="left" w:pos="1430"/>
              </w:tabs>
              <w:spacing w:after="0" w:line="240" w:lineRule="auto"/>
              <w:ind w:left="0" w:hanging="2"/>
              <w:jc w:val="right"/>
              <w:rPr>
                <w:rFonts w:ascii="Arial" w:eastAsia="Times New Roman" w:hAnsi="Arial" w:cs="Arial"/>
                <w:color w:val="000000"/>
                <w:sz w:val="16"/>
                <w:szCs w:val="16"/>
                <w:lang w:eastAsia="en-ID"/>
              </w:rPr>
            </w:pPr>
            <w:r w:rsidRPr="003E7689">
              <w:rPr>
                <w:rFonts w:ascii="Arial" w:eastAsia="Times New Roman" w:hAnsi="Arial" w:cs="Arial"/>
                <w:color w:val="000000"/>
                <w:sz w:val="16"/>
                <w:szCs w:val="16"/>
                <w:lang w:eastAsia="en-ID"/>
              </w:rPr>
              <w:t>389</w:t>
            </w:r>
          </w:p>
        </w:tc>
      </w:tr>
      <w:tr w:rsidR="0027516B" w:rsidRPr="003E7689" w:rsidTr="0027516B">
        <w:trPr>
          <w:trHeight w:val="20"/>
          <w:jc w:val="center"/>
        </w:trPr>
        <w:tc>
          <w:tcPr>
            <w:tcW w:w="2268" w:type="dxa"/>
            <w:vAlign w:val="bottom"/>
          </w:tcPr>
          <w:p w:rsidR="0027516B" w:rsidRPr="0027516B" w:rsidRDefault="0027516B" w:rsidP="0027516B">
            <w:pPr>
              <w:spacing w:after="0" w:line="240" w:lineRule="auto"/>
              <w:ind w:left="0" w:hanging="2"/>
              <w:rPr>
                <w:rFonts w:ascii="Arial" w:eastAsia="Times New Roman" w:hAnsi="Arial" w:cs="Arial"/>
                <w:color w:val="000000"/>
                <w:sz w:val="16"/>
                <w:szCs w:val="16"/>
                <w:lang w:eastAsia="en-ID"/>
              </w:rPr>
            </w:pPr>
            <w:r w:rsidRPr="0027516B">
              <w:rPr>
                <w:rFonts w:ascii="Arial" w:eastAsia="Times New Roman" w:hAnsi="Arial" w:cs="Arial"/>
                <w:color w:val="000000"/>
                <w:sz w:val="16"/>
                <w:szCs w:val="16"/>
                <w:lang w:eastAsia="en-ID"/>
              </w:rPr>
              <w:t>Minimal</w:t>
            </w:r>
          </w:p>
        </w:tc>
        <w:tc>
          <w:tcPr>
            <w:tcW w:w="2127" w:type="dxa"/>
            <w:vAlign w:val="bottom"/>
          </w:tcPr>
          <w:p w:rsidR="0027516B" w:rsidRPr="0027516B" w:rsidRDefault="0027516B" w:rsidP="0027516B">
            <w:pPr>
              <w:tabs>
                <w:tab w:val="left" w:pos="1430"/>
              </w:tabs>
              <w:spacing w:after="0" w:line="240" w:lineRule="auto"/>
              <w:ind w:left="0" w:hanging="2"/>
              <w:jc w:val="right"/>
              <w:rPr>
                <w:rFonts w:ascii="Arial" w:eastAsia="Times New Roman" w:hAnsi="Arial" w:cs="Arial"/>
                <w:color w:val="000000"/>
                <w:sz w:val="16"/>
                <w:szCs w:val="16"/>
                <w:lang w:eastAsia="en-ID"/>
              </w:rPr>
            </w:pPr>
            <w:r w:rsidRPr="0027516B">
              <w:rPr>
                <w:rFonts w:ascii="Arial" w:eastAsia="Times New Roman" w:hAnsi="Arial" w:cs="Arial"/>
                <w:color w:val="000000"/>
                <w:sz w:val="16"/>
                <w:szCs w:val="16"/>
                <w:lang w:eastAsia="en-ID"/>
              </w:rPr>
              <w:t>103</w:t>
            </w:r>
          </w:p>
        </w:tc>
      </w:tr>
      <w:tr w:rsidR="0027516B" w:rsidRPr="003E7689" w:rsidTr="0027516B">
        <w:trPr>
          <w:trHeight w:val="20"/>
          <w:jc w:val="center"/>
        </w:trPr>
        <w:tc>
          <w:tcPr>
            <w:tcW w:w="2268" w:type="dxa"/>
            <w:vAlign w:val="bottom"/>
          </w:tcPr>
          <w:p w:rsidR="0027516B" w:rsidRPr="0027516B" w:rsidRDefault="0027516B" w:rsidP="0027516B">
            <w:pPr>
              <w:spacing w:after="0" w:line="240" w:lineRule="auto"/>
              <w:ind w:left="0" w:hanging="2"/>
              <w:rPr>
                <w:rFonts w:ascii="Arial" w:eastAsia="Times New Roman" w:hAnsi="Arial" w:cs="Arial"/>
                <w:color w:val="000000"/>
                <w:sz w:val="16"/>
                <w:szCs w:val="16"/>
                <w:lang w:eastAsia="en-ID"/>
              </w:rPr>
            </w:pPr>
            <w:r w:rsidRPr="0027516B">
              <w:rPr>
                <w:rFonts w:ascii="Arial" w:eastAsia="Times New Roman" w:hAnsi="Arial" w:cs="Arial"/>
                <w:color w:val="000000"/>
                <w:sz w:val="16"/>
                <w:szCs w:val="16"/>
                <w:lang w:eastAsia="en-ID"/>
              </w:rPr>
              <w:t>P-value of Kolmogorov-Smirnov</w:t>
            </w:r>
            <w:r>
              <w:rPr>
                <w:rFonts w:ascii="Arial" w:eastAsia="Times New Roman" w:hAnsi="Arial" w:cs="Arial"/>
                <w:color w:val="000000"/>
                <w:sz w:val="16"/>
                <w:szCs w:val="16"/>
                <w:lang w:eastAsia="en-ID"/>
              </w:rPr>
              <w:t xml:space="preserve"> Test</w:t>
            </w:r>
          </w:p>
        </w:tc>
        <w:tc>
          <w:tcPr>
            <w:tcW w:w="2127" w:type="dxa"/>
            <w:vAlign w:val="bottom"/>
          </w:tcPr>
          <w:p w:rsidR="0027516B" w:rsidRPr="0027516B" w:rsidRDefault="0027516B" w:rsidP="0027516B">
            <w:pPr>
              <w:pStyle w:val="ListParagraph"/>
              <w:tabs>
                <w:tab w:val="left" w:pos="1430"/>
              </w:tabs>
              <w:spacing w:after="0" w:line="240" w:lineRule="auto"/>
              <w:ind w:left="0" w:hanging="2"/>
              <w:jc w:val="right"/>
              <w:rPr>
                <w:rFonts w:ascii="Arial" w:eastAsia="Times New Roman" w:hAnsi="Arial" w:cs="Arial"/>
                <w:color w:val="000000"/>
                <w:sz w:val="16"/>
                <w:szCs w:val="16"/>
                <w:lang w:eastAsia="en-ID"/>
              </w:rPr>
            </w:pPr>
            <w:r w:rsidRPr="0027516B">
              <w:rPr>
                <w:rFonts w:ascii="Arial" w:eastAsia="Times New Roman" w:hAnsi="Arial" w:cs="Arial"/>
                <w:color w:val="000000"/>
                <w:sz w:val="16"/>
                <w:szCs w:val="16"/>
                <w:lang w:eastAsia="en-ID"/>
              </w:rPr>
              <w:t>&gt;</w:t>
            </w:r>
            <w:r>
              <w:rPr>
                <w:rFonts w:ascii="Arial" w:eastAsia="Times New Roman" w:hAnsi="Arial" w:cs="Arial"/>
                <w:color w:val="000000"/>
                <w:sz w:val="16"/>
                <w:szCs w:val="16"/>
                <w:lang w:eastAsia="en-ID"/>
              </w:rPr>
              <w:t>0.</w:t>
            </w:r>
            <w:r w:rsidRPr="0027516B">
              <w:rPr>
                <w:rFonts w:ascii="Arial" w:eastAsia="Times New Roman" w:hAnsi="Arial" w:cs="Arial"/>
                <w:color w:val="000000"/>
                <w:sz w:val="16"/>
                <w:szCs w:val="16"/>
                <w:lang w:eastAsia="en-ID"/>
              </w:rPr>
              <w:t>15 (normal distribution)</w:t>
            </w:r>
          </w:p>
        </w:tc>
      </w:tr>
      <w:tr w:rsidR="0027516B" w:rsidRPr="003E7689" w:rsidTr="0027516B">
        <w:trPr>
          <w:trHeight w:val="20"/>
          <w:jc w:val="center"/>
        </w:trPr>
        <w:tc>
          <w:tcPr>
            <w:tcW w:w="2268" w:type="dxa"/>
            <w:tcBorders>
              <w:bottom w:val="single" w:sz="4" w:space="0" w:color="000000"/>
            </w:tcBorders>
            <w:vAlign w:val="bottom"/>
          </w:tcPr>
          <w:p w:rsidR="0027516B" w:rsidRPr="0027516B" w:rsidRDefault="0027516B" w:rsidP="0027516B">
            <w:pPr>
              <w:spacing w:after="0" w:line="240" w:lineRule="auto"/>
              <w:ind w:left="0" w:hanging="2"/>
              <w:rPr>
                <w:rFonts w:ascii="Arial" w:eastAsia="Times New Roman" w:hAnsi="Arial" w:cs="Arial"/>
                <w:color w:val="000000"/>
                <w:sz w:val="16"/>
                <w:szCs w:val="16"/>
                <w:lang w:eastAsia="en-ID"/>
              </w:rPr>
            </w:pPr>
            <w:r w:rsidRPr="0027516B">
              <w:rPr>
                <w:rFonts w:ascii="Arial" w:hAnsi="Arial" w:cs="Arial"/>
                <w:sz w:val="16"/>
                <w:szCs w:val="16"/>
              </w:rPr>
              <w:t xml:space="preserve">Kwiatkowski-Phillips-Schmidt-Shin (KPSS) value </w:t>
            </w:r>
          </w:p>
        </w:tc>
        <w:tc>
          <w:tcPr>
            <w:tcW w:w="2127" w:type="dxa"/>
            <w:tcBorders>
              <w:bottom w:val="single" w:sz="4" w:space="0" w:color="000000"/>
            </w:tcBorders>
            <w:vAlign w:val="bottom"/>
          </w:tcPr>
          <w:p w:rsidR="0027516B" w:rsidRPr="0027516B" w:rsidRDefault="0027516B" w:rsidP="0027516B">
            <w:pPr>
              <w:pStyle w:val="ListParagraph"/>
              <w:tabs>
                <w:tab w:val="left" w:pos="1430"/>
              </w:tabs>
              <w:spacing w:after="0" w:line="240" w:lineRule="auto"/>
              <w:ind w:left="0" w:hanging="2"/>
              <w:jc w:val="right"/>
              <w:rPr>
                <w:rFonts w:ascii="Arial" w:eastAsia="Times New Roman" w:hAnsi="Arial" w:cs="Arial"/>
                <w:color w:val="000000"/>
                <w:sz w:val="16"/>
                <w:szCs w:val="16"/>
                <w:lang w:eastAsia="en-ID"/>
              </w:rPr>
            </w:pPr>
            <w:r w:rsidRPr="0027516B">
              <w:rPr>
                <w:rFonts w:ascii="Arial" w:eastAsia="Times New Roman" w:hAnsi="Arial" w:cs="Arial"/>
                <w:color w:val="000000"/>
                <w:sz w:val="16"/>
                <w:szCs w:val="16"/>
                <w:lang w:eastAsia="en-ID"/>
              </w:rPr>
              <w:t>0.4419 (non-stationer)</w:t>
            </w:r>
          </w:p>
        </w:tc>
      </w:tr>
    </w:tbl>
    <w:p w:rsidR="00AE4F29" w:rsidRPr="00AE4F29" w:rsidRDefault="00AE4F29" w:rsidP="00AE4F29">
      <w:pPr>
        <w:spacing w:after="0" w:line="240" w:lineRule="auto"/>
        <w:ind w:left="0" w:hanging="2"/>
        <w:jc w:val="both"/>
        <w:rPr>
          <w:rFonts w:ascii="Arial" w:hAnsi="Arial" w:cs="Arial"/>
          <w:sz w:val="20"/>
          <w:szCs w:val="20"/>
        </w:rPr>
      </w:pPr>
    </w:p>
    <w:p w:rsidR="002754D8" w:rsidRDefault="00D96894" w:rsidP="00A40804">
      <w:pPr>
        <w:spacing w:after="0" w:line="240" w:lineRule="auto"/>
        <w:ind w:left="0" w:hanging="2"/>
        <w:jc w:val="both"/>
        <w:rPr>
          <w:rFonts w:ascii="Arial" w:hAnsi="Arial" w:cs="Arial"/>
          <w:sz w:val="20"/>
          <w:szCs w:val="20"/>
        </w:rPr>
      </w:pPr>
      <w:r w:rsidRPr="00D96894">
        <w:rPr>
          <w:rFonts w:ascii="Arial" w:hAnsi="Arial" w:cs="Arial"/>
          <w:sz w:val="20"/>
          <w:szCs w:val="20"/>
        </w:rPr>
        <w:t>Another data exploration that should be done is ch</w:t>
      </w:r>
      <w:r w:rsidR="00A40804">
        <w:rPr>
          <w:rFonts w:ascii="Arial" w:hAnsi="Arial" w:cs="Arial"/>
          <w:sz w:val="20"/>
          <w:szCs w:val="20"/>
        </w:rPr>
        <w:t xml:space="preserve">ecking the stationary of data. </w:t>
      </w:r>
      <w:r w:rsidRPr="00D96894">
        <w:rPr>
          <w:rFonts w:ascii="Arial" w:hAnsi="Arial" w:cs="Arial"/>
          <w:sz w:val="20"/>
          <w:szCs w:val="20"/>
        </w:rPr>
        <w:t xml:space="preserve">To check it, we can use </w:t>
      </w:r>
      <w:r w:rsidR="001310C6">
        <w:rPr>
          <w:rFonts w:ascii="Arial" w:hAnsi="Arial" w:cs="Arial"/>
          <w:sz w:val="20"/>
          <w:szCs w:val="20"/>
        </w:rPr>
        <w:t xml:space="preserve">the </w:t>
      </w:r>
      <w:r w:rsidRPr="00D96894">
        <w:rPr>
          <w:rFonts w:ascii="Arial" w:hAnsi="Arial" w:cs="Arial"/>
          <w:sz w:val="20"/>
          <w:szCs w:val="20"/>
        </w:rPr>
        <w:t xml:space="preserve">Kwiatkowski-Phillips-Schmidt-Shin (KPSS) test </w:t>
      </w:r>
      <w:r w:rsidRPr="00D96894">
        <w:rPr>
          <w:rFonts w:ascii="Arial" w:hAnsi="Arial" w:cs="Arial"/>
          <w:sz w:val="20"/>
          <w:szCs w:val="20"/>
        </w:rPr>
        <w:fldChar w:fldCharType="begin" w:fldLock="1"/>
      </w:r>
      <w:r w:rsidR="00AA5E59">
        <w:rPr>
          <w:rFonts w:ascii="Arial" w:hAnsi="Arial" w:cs="Arial"/>
          <w:sz w:val="20"/>
          <w:szCs w:val="20"/>
        </w:rPr>
        <w:instrText>ADDIN CSL_CITATION {"citationItems":[{"id":"ITEM-1","itemData":{"author":[{"dropping-particle":"","family":"Hyndman","given":"Rob J","non-dropping-particle":"","parse-names":false,"suffix":""},{"dropping-particle":"","family":"Athanasopoulos","given":"George","non-dropping-particle":"","parse-names":false,"suffix":""}],"edition":"3th","id":"ITEM-1","issued":{"date-parts":[["2021"]]},"publisher-place":"Melbourne, Australia","title":"Forecasting : Principles and Practice","type":"book"},"uris":["http://www.mendeley.com/documents/?uuid=51ab2751-17b3-4670-a13a-db2b84473a56"]},{"id":"ITEM-2","itemData":{"DOI":"10.1109/ACCESS.2022.3224938","ISSN":"21693536","abstract":"Time series forecasting using historical data is significantly important nowadays. Many fields such as finance, industries, healthcare, and meteorology use it. Profit analysis using financial data is crucial for any online or offline businesses and companies. It helps understand the sales and the profits and losses made and predict values for the future. For this effective analysis, the statistical methods- Autoregressive Integrated Moving Average (ARIMA) and Seasonal ARIMA models (SARIMA), and deep learning method- Long Short- Term Memory (LSTM) Neural Network model in time series forecasting have been chosen. It has been converted into a stationary dataset for ARIMA, not for SARIMA and LSTM. The fitted models have been built and used to predict profit on test data. After obtaining good accuracies of 93.84% (ARIMA), 94.378% (SARIMA) and 97.01% (LSTM) approximately, forecasts for the next 5 years have been done. Results show that LSTM surpasses both the statistical models in constructing the best model.","author":[{"dropping-particle":"","family":"Sirisha","given":"Uppala Meena","non-dropping-particle":"","parse-names":false,"suffix":""},{"dropping-particle":"","family":"Belavagi","given":"Manjula C.","non-dropping-particle":"","parse-names":false,"suffix":""},{"dropping-particle":"","family":"Attigeri","given":"Girija","non-dropping-particle":"","parse-names":false,"suffix":""}],"container-title":"IEEE Access","id":"ITEM-2","issue":"October","issued":{"date-parts":[["2022"]]},"page":"124715-124727","publisher":"IEEE","title":"Profit Prediction Using ARIMA, SARIMA and LSTM Models in Time Series Forecasting: A Comparison","type":"article-journal","volume":"10"},"uris":["http://www.mendeley.com/documents/?uuid=3da55f88-3351-4cf4-b2f0-6e4c48a29b98"]}],"mendeley":{"formattedCitation":"[6], [25]","plainTextFormattedCitation":"[6], [25]","previouslyFormattedCitation":"[6], [25]"},"properties":{"noteIndex":0},"schema":"https://github.com/citation-style-language/schema/raw/master/csl-citation.json"}</w:instrText>
      </w:r>
      <w:r w:rsidRPr="00D96894">
        <w:rPr>
          <w:rFonts w:ascii="Arial" w:hAnsi="Arial" w:cs="Arial"/>
          <w:sz w:val="20"/>
          <w:szCs w:val="20"/>
        </w:rPr>
        <w:fldChar w:fldCharType="separate"/>
      </w:r>
      <w:r w:rsidR="00AA5E59" w:rsidRPr="00AA5E59">
        <w:rPr>
          <w:rFonts w:ascii="Arial" w:hAnsi="Arial" w:cs="Arial"/>
          <w:noProof/>
          <w:sz w:val="20"/>
          <w:szCs w:val="20"/>
        </w:rPr>
        <w:t>[6], [25]</w:t>
      </w:r>
      <w:r w:rsidRPr="00D96894">
        <w:rPr>
          <w:rFonts w:ascii="Arial" w:hAnsi="Arial" w:cs="Arial"/>
          <w:sz w:val="20"/>
          <w:szCs w:val="20"/>
        </w:rPr>
        <w:fldChar w:fldCharType="end"/>
      </w:r>
      <w:r w:rsidR="00935C62">
        <w:rPr>
          <w:rFonts w:ascii="Arial" w:hAnsi="Arial" w:cs="Arial"/>
          <w:sz w:val="20"/>
          <w:szCs w:val="20"/>
        </w:rPr>
        <w:t xml:space="preserve"> in </w:t>
      </w:r>
      <w:r w:rsidRPr="00D96894">
        <w:rPr>
          <w:rFonts w:ascii="Arial" w:hAnsi="Arial" w:cs="Arial"/>
          <w:sz w:val="20"/>
          <w:szCs w:val="20"/>
        </w:rPr>
        <w:t>R Software. KPSS results show that the KPSS test value of this data is 0.</w:t>
      </w:r>
      <w:r w:rsidR="00935C62">
        <w:rPr>
          <w:rFonts w:ascii="Arial" w:hAnsi="Arial" w:cs="Arial"/>
          <w:sz w:val="20"/>
          <w:szCs w:val="20"/>
        </w:rPr>
        <w:t>44</w:t>
      </w:r>
      <w:r w:rsidRPr="00D96894">
        <w:rPr>
          <w:rFonts w:ascii="Arial" w:hAnsi="Arial" w:cs="Arial"/>
          <w:sz w:val="20"/>
          <w:szCs w:val="20"/>
        </w:rPr>
        <w:t>, which is higher than the critical value of 10% significant level, which is 0.34. Thus, the data is not stationer.</w:t>
      </w:r>
    </w:p>
    <w:p w:rsidR="002754D8" w:rsidRPr="002754D8" w:rsidRDefault="002754D8" w:rsidP="002754D8">
      <w:pPr>
        <w:spacing w:after="0" w:line="240" w:lineRule="auto"/>
        <w:ind w:left="0" w:hanging="2"/>
        <w:jc w:val="both"/>
        <w:rPr>
          <w:rFonts w:ascii="Arial" w:hAnsi="Arial" w:cs="Arial"/>
          <w:sz w:val="20"/>
          <w:szCs w:val="20"/>
        </w:rPr>
      </w:pPr>
      <w:r w:rsidRPr="002754D8">
        <w:rPr>
          <w:rFonts w:ascii="Arial" w:hAnsi="Arial" w:cs="Arial"/>
          <w:sz w:val="20"/>
          <w:szCs w:val="20"/>
        </w:rPr>
        <w:t>Because of this finding, the seasonality and trend pattern are checked using ACF.</w:t>
      </w:r>
      <w:r w:rsidR="003A6FB8">
        <w:rPr>
          <w:rFonts w:ascii="Arial" w:hAnsi="Arial" w:cs="Arial"/>
          <w:sz w:val="20"/>
          <w:szCs w:val="20"/>
        </w:rPr>
        <w:t xml:space="preserve"> Figur</w:t>
      </w:r>
      <w:r w:rsidR="003A6FB8" w:rsidRPr="002754D8">
        <w:rPr>
          <w:rFonts w:ascii="Arial" w:hAnsi="Arial" w:cs="Arial"/>
          <w:sz w:val="20"/>
          <w:szCs w:val="20"/>
        </w:rPr>
        <w:t>e 2</w:t>
      </w:r>
      <w:r w:rsidR="003A6FB8">
        <w:rPr>
          <w:rFonts w:ascii="Arial" w:hAnsi="Arial" w:cs="Arial"/>
          <w:sz w:val="20"/>
          <w:szCs w:val="20"/>
        </w:rPr>
        <w:t xml:space="preserve"> shows the ACF Graph from analysis done in Minitab Software. </w:t>
      </w:r>
      <w:r w:rsidRPr="002754D8">
        <w:rPr>
          <w:rFonts w:ascii="Arial" w:hAnsi="Arial" w:cs="Arial"/>
          <w:sz w:val="20"/>
          <w:szCs w:val="20"/>
        </w:rPr>
        <w:t xml:space="preserve">The data is considered to have a seasonality pattern if there is a repetition of a high number or spikes of ACF value in the same multiple periods </w:t>
      </w:r>
      <w:r w:rsidRPr="002754D8">
        <w:rPr>
          <w:rFonts w:ascii="Arial" w:hAnsi="Arial" w:cs="Arial"/>
          <w:sz w:val="20"/>
          <w:szCs w:val="20"/>
        </w:rPr>
        <w:fldChar w:fldCharType="begin" w:fldLock="1"/>
      </w:r>
      <w:r w:rsidR="00B538C3">
        <w:rPr>
          <w:rFonts w:ascii="Arial" w:hAnsi="Arial" w:cs="Arial"/>
          <w:sz w:val="20"/>
          <w:szCs w:val="20"/>
        </w:rPr>
        <w:instrText>ADDIN CSL_CITATION {"citationItems":[{"id":"ITEM-1","itemData":{"DOI":"10.1109/EPEC47565.2019.9074776","ISBN":"9781728134062","abstract":"The importance of studying time series is that most forecasting models assume that the time series must be stationary. In addition, non-stationary time series can cause unexpected behaviors or create a non-existing relationship between two variables. The aim of this study is to shine new light on the Fast Fourier Transform (FFT) technique through an examination of its efficiency in identifying the trend and seasonality by applying it to many time series. A comparison between the FFT technique and Autocorrelation Function (ACF) has been conducted as well. The results show that the FFT technique has acceptable performance in identifying the trend and seasonality. The most obvious observation is that, unlike the FFT technique, the ACF has limitations in determining the exact time of the seasonality that repeats itself.","author":[{"dropping-particle":"","family":"Musbah","given":"Hmeda","non-dropping-particle":"","parse-names":false,"suffix":""},{"dropping-particle":"","family":"El-Hawary","given":"Mo","non-dropping-particle":"","parse-names":false,"suffix":""},{"dropping-particle":"","family":"Aly","given":"Hamed","non-dropping-particle":"","parse-names":false,"suffix":""}],"container-title":"2019 IEEE Electrical Power and Energy Conference, EPEC 2019","id":"ITEM-1","issued":{"date-parts":[["2019"]]},"page":"3-6","title":"Identifying seasonality in time series by applying fast fourier transform","type":"article-journal","volume":"3"},"uris":["http://www.mendeley.com/documents/?uuid=0476c587-0734-49a4-a58b-50ab721c3ef4"]}],"mendeley":{"formattedCitation":"[31]","plainTextFormattedCitation":"[31]","previouslyFormattedCitation":"[31]"},"properties":{"noteIndex":0},"schema":"https://github.com/citation-style-language/schema/raw/master/csl-citation.json"}</w:instrText>
      </w:r>
      <w:r w:rsidRPr="002754D8">
        <w:rPr>
          <w:rFonts w:ascii="Arial" w:hAnsi="Arial" w:cs="Arial"/>
          <w:sz w:val="20"/>
          <w:szCs w:val="20"/>
        </w:rPr>
        <w:fldChar w:fldCharType="separate"/>
      </w:r>
      <w:r w:rsidR="00B538C3" w:rsidRPr="00B538C3">
        <w:rPr>
          <w:rFonts w:ascii="Arial" w:hAnsi="Arial" w:cs="Arial"/>
          <w:noProof/>
          <w:sz w:val="20"/>
          <w:szCs w:val="20"/>
        </w:rPr>
        <w:t>[31]</w:t>
      </w:r>
      <w:r w:rsidRPr="002754D8">
        <w:rPr>
          <w:rFonts w:ascii="Arial" w:hAnsi="Arial" w:cs="Arial"/>
          <w:sz w:val="20"/>
          <w:szCs w:val="20"/>
        </w:rPr>
        <w:fldChar w:fldCharType="end"/>
      </w:r>
      <w:r w:rsidR="00AB1866">
        <w:rPr>
          <w:rFonts w:ascii="Arial" w:hAnsi="Arial" w:cs="Arial"/>
          <w:sz w:val="20"/>
          <w:szCs w:val="20"/>
        </w:rPr>
        <w:t xml:space="preserve">, </w:t>
      </w:r>
      <w:r w:rsidRPr="002754D8">
        <w:rPr>
          <w:rFonts w:ascii="Arial" w:hAnsi="Arial" w:cs="Arial"/>
          <w:sz w:val="20"/>
          <w:szCs w:val="20"/>
        </w:rPr>
        <w:t>while a trend pattern is considered if the ACF score</w:t>
      </w:r>
      <w:r w:rsidR="004917BB">
        <w:rPr>
          <w:rFonts w:ascii="Arial" w:hAnsi="Arial" w:cs="Arial"/>
          <w:sz w:val="20"/>
          <w:szCs w:val="20"/>
        </w:rPr>
        <w:t>s</w:t>
      </w:r>
      <w:r w:rsidRPr="002754D8">
        <w:rPr>
          <w:rFonts w:ascii="Arial" w:hAnsi="Arial" w:cs="Arial"/>
          <w:sz w:val="20"/>
          <w:szCs w:val="20"/>
        </w:rPr>
        <w:t xml:space="preserve"> </w:t>
      </w:r>
      <w:r w:rsidR="004917BB">
        <w:rPr>
          <w:rFonts w:ascii="Arial" w:hAnsi="Arial" w:cs="Arial"/>
          <w:sz w:val="20"/>
          <w:szCs w:val="20"/>
        </w:rPr>
        <w:t>decrease</w:t>
      </w:r>
      <w:r w:rsidRPr="002754D8">
        <w:rPr>
          <w:rFonts w:ascii="Arial" w:hAnsi="Arial" w:cs="Arial"/>
          <w:sz w:val="20"/>
          <w:szCs w:val="20"/>
        </w:rPr>
        <w:t xml:space="preserve"> over time gradually. </w:t>
      </w:r>
    </w:p>
    <w:p w:rsidR="001A3CF6" w:rsidRDefault="001A3CF6" w:rsidP="001A3CF6">
      <w:pPr>
        <w:spacing w:after="0" w:line="240" w:lineRule="auto"/>
        <w:ind w:left="0" w:hanging="2"/>
        <w:jc w:val="both"/>
        <w:rPr>
          <w:rFonts w:ascii="Arial" w:eastAsia="Arial" w:hAnsi="Arial" w:cs="Arial"/>
          <w:sz w:val="20"/>
          <w:szCs w:val="20"/>
        </w:rPr>
      </w:pPr>
    </w:p>
    <w:p w:rsidR="001A3CF6" w:rsidRDefault="00486ECE" w:rsidP="001A3CF6">
      <w:pPr>
        <w:keepNext/>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rPr>
      </w:pPr>
      <w:r>
        <w:rPr>
          <w:noProof/>
          <w:lang w:val="en-ID" w:eastAsia="en-ID"/>
        </w:rPr>
        <w:drawing>
          <wp:inline distT="0" distB="0" distL="0" distR="0" wp14:anchorId="3536DE92" wp14:editId="150545AF">
            <wp:extent cx="2738432" cy="1631853"/>
            <wp:effectExtent l="0" t="0" r="5080"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2748920" cy="1638103"/>
                    </a:xfrm>
                    <a:prstGeom prst="rect">
                      <a:avLst/>
                    </a:prstGeom>
                  </pic:spPr>
                </pic:pic>
              </a:graphicData>
            </a:graphic>
          </wp:inline>
        </w:drawing>
      </w:r>
    </w:p>
    <w:p w:rsidR="001A3CF6" w:rsidRDefault="00486ECE" w:rsidP="001A3CF6">
      <w:pPr>
        <w:keepNext/>
        <w:pBdr>
          <w:top w:val="nil"/>
          <w:left w:val="nil"/>
          <w:bottom w:val="nil"/>
          <w:right w:val="nil"/>
          <w:between w:val="nil"/>
        </w:pBdr>
        <w:spacing w:after="0" w:line="240" w:lineRule="auto"/>
        <w:ind w:left="0" w:hanging="2"/>
        <w:jc w:val="center"/>
        <w:rPr>
          <w:rFonts w:ascii="Arial" w:eastAsia="Arial" w:hAnsi="Arial" w:cs="Arial"/>
          <w:color w:val="000000"/>
          <w:sz w:val="20"/>
          <w:szCs w:val="20"/>
        </w:rPr>
      </w:pPr>
      <w:r>
        <w:rPr>
          <w:rFonts w:ascii="Arial" w:eastAsia="Arial" w:hAnsi="Arial" w:cs="Arial"/>
          <w:color w:val="000000"/>
          <w:sz w:val="20"/>
          <w:szCs w:val="20"/>
        </w:rPr>
        <w:t>Figure 2. ACF Graph of Sugar Sales</w:t>
      </w:r>
    </w:p>
    <w:p w:rsidR="0088468B" w:rsidRDefault="0088468B" w:rsidP="001A3CF6">
      <w:pPr>
        <w:pBdr>
          <w:top w:val="nil"/>
          <w:left w:val="nil"/>
          <w:bottom w:val="nil"/>
          <w:right w:val="nil"/>
          <w:between w:val="nil"/>
        </w:pBdr>
        <w:spacing w:after="0" w:line="240" w:lineRule="auto"/>
        <w:ind w:left="0" w:hanging="2"/>
        <w:jc w:val="both"/>
        <w:rPr>
          <w:rFonts w:ascii="Arial" w:eastAsia="Arial" w:hAnsi="Arial" w:cs="Arial"/>
          <w:color w:val="000000"/>
          <w:sz w:val="20"/>
          <w:szCs w:val="20"/>
        </w:rPr>
      </w:pPr>
    </w:p>
    <w:p w:rsidR="0088468B" w:rsidRDefault="0088468B" w:rsidP="0088468B">
      <w:pPr>
        <w:spacing w:after="0" w:line="240" w:lineRule="auto"/>
        <w:ind w:left="0" w:hanging="2"/>
        <w:jc w:val="both"/>
        <w:rPr>
          <w:rFonts w:ascii="Arial" w:hAnsi="Arial" w:cs="Arial"/>
          <w:sz w:val="20"/>
          <w:szCs w:val="20"/>
        </w:rPr>
      </w:pPr>
      <w:r w:rsidRPr="0088468B">
        <w:rPr>
          <w:rFonts w:ascii="Arial" w:eastAsia="Arial" w:hAnsi="Arial" w:cs="Arial"/>
          <w:color w:val="000000"/>
          <w:sz w:val="20"/>
          <w:szCs w:val="20"/>
        </w:rPr>
        <w:t>Figure</w:t>
      </w:r>
      <w:r w:rsidRPr="0088468B">
        <w:rPr>
          <w:rFonts w:ascii="Arial" w:hAnsi="Arial" w:cs="Arial"/>
          <w:sz w:val="20"/>
          <w:szCs w:val="20"/>
        </w:rPr>
        <w:t xml:space="preserve"> 2 indicates that there are spikes in periods 1, 8, and 16 months. Thus the sales of sugar tend to have seasonal data with a seasonal length of 8 months. The seasonality of sugar sales is quite long, thus it requires a lot of data to analyze so that it can capture the seasonality pattern. Furthermore, by knowing there is a seasonal pattern, we should use the SARIMA model instead of the ARIMA model to forecast.</w:t>
      </w:r>
    </w:p>
    <w:p w:rsidR="0027516B" w:rsidRDefault="0027516B" w:rsidP="0088468B">
      <w:pPr>
        <w:spacing w:after="0" w:line="240" w:lineRule="auto"/>
        <w:ind w:left="0" w:hanging="2"/>
        <w:jc w:val="both"/>
        <w:rPr>
          <w:rFonts w:ascii="Arial" w:hAnsi="Arial" w:cs="Arial"/>
          <w:sz w:val="20"/>
          <w:szCs w:val="20"/>
        </w:rPr>
      </w:pPr>
    </w:p>
    <w:p w:rsidR="0027516B" w:rsidRDefault="0027516B" w:rsidP="0027516B">
      <w:pPr>
        <w:pBdr>
          <w:top w:val="nil"/>
          <w:left w:val="nil"/>
          <w:bottom w:val="nil"/>
          <w:right w:val="nil"/>
          <w:between w:val="nil"/>
        </w:pBdr>
        <w:shd w:val="clear" w:color="auto" w:fill="FFFFFF"/>
        <w:spacing w:after="0" w:line="240" w:lineRule="auto"/>
        <w:ind w:left="0" w:hanging="2"/>
        <w:jc w:val="both"/>
        <w:rPr>
          <w:rFonts w:ascii="Arial" w:eastAsia="Arial" w:hAnsi="Arial" w:cs="Arial"/>
          <w:color w:val="000000"/>
          <w:sz w:val="20"/>
          <w:szCs w:val="20"/>
        </w:rPr>
      </w:pPr>
      <w:r>
        <w:rPr>
          <w:rFonts w:ascii="Arial" w:eastAsia="Arial" w:hAnsi="Arial" w:cs="Arial"/>
          <w:b/>
          <w:color w:val="1F4E79"/>
          <w:sz w:val="20"/>
          <w:szCs w:val="20"/>
        </w:rPr>
        <w:t>SARIMA (p, d, q</w:t>
      </w:r>
      <w:proofErr w:type="gramStart"/>
      <w:r>
        <w:rPr>
          <w:rFonts w:ascii="Arial" w:eastAsia="Arial" w:hAnsi="Arial" w:cs="Arial"/>
          <w:b/>
          <w:color w:val="1F4E79"/>
          <w:sz w:val="20"/>
          <w:szCs w:val="20"/>
        </w:rPr>
        <w:t>)(</w:t>
      </w:r>
      <w:proofErr w:type="gramEnd"/>
      <w:r>
        <w:rPr>
          <w:rFonts w:ascii="Arial" w:eastAsia="Arial" w:hAnsi="Arial" w:cs="Arial"/>
          <w:b/>
          <w:color w:val="1F4E79"/>
          <w:sz w:val="20"/>
          <w:szCs w:val="20"/>
        </w:rPr>
        <w:t>P, D, Q)s Forecast</w:t>
      </w:r>
      <w:r>
        <w:rPr>
          <w:rFonts w:ascii="Arial" w:eastAsia="Arial" w:hAnsi="Arial" w:cs="Arial"/>
          <w:color w:val="000000"/>
          <w:sz w:val="20"/>
          <w:szCs w:val="20"/>
        </w:rPr>
        <w:t xml:space="preserve"> </w:t>
      </w:r>
    </w:p>
    <w:p w:rsidR="007F6347" w:rsidRPr="007F6347" w:rsidRDefault="007F6347" w:rsidP="007F6347">
      <w:pPr>
        <w:spacing w:after="0" w:line="240" w:lineRule="auto"/>
        <w:ind w:left="0" w:hanging="2"/>
        <w:jc w:val="both"/>
        <w:rPr>
          <w:rFonts w:ascii="Arial" w:hAnsi="Arial" w:cs="Arial"/>
          <w:sz w:val="20"/>
          <w:szCs w:val="20"/>
        </w:rPr>
      </w:pPr>
      <w:r w:rsidRPr="007F6347">
        <w:rPr>
          <w:rFonts w:ascii="Arial" w:hAnsi="Arial" w:cs="Arial"/>
          <w:sz w:val="20"/>
          <w:szCs w:val="20"/>
        </w:rPr>
        <w:t xml:space="preserve">Since the sales are not stationary, the data should be transformed first. This transformation is done in the training data set by taking out </w:t>
      </w:r>
      <w:r w:rsidR="00A62A3C">
        <w:rPr>
          <w:rFonts w:ascii="Arial" w:hAnsi="Arial" w:cs="Arial"/>
          <w:sz w:val="20"/>
          <w:szCs w:val="20"/>
        </w:rPr>
        <w:t>the seasonal pattern</w:t>
      </w:r>
      <w:r w:rsidRPr="007F6347">
        <w:rPr>
          <w:rFonts w:ascii="Arial" w:hAnsi="Arial" w:cs="Arial"/>
          <w:sz w:val="20"/>
          <w:szCs w:val="20"/>
        </w:rPr>
        <w:t xml:space="preserve"> by </w:t>
      </w:r>
      <w:r w:rsidR="00695B2D">
        <w:rPr>
          <w:rFonts w:ascii="Arial" w:hAnsi="Arial" w:cs="Arial"/>
          <w:sz w:val="20"/>
          <w:szCs w:val="20"/>
        </w:rPr>
        <w:t xml:space="preserve">seasonal </w:t>
      </w:r>
      <w:r w:rsidRPr="007F6347">
        <w:rPr>
          <w:rFonts w:ascii="Arial" w:hAnsi="Arial" w:cs="Arial"/>
          <w:sz w:val="20"/>
          <w:szCs w:val="20"/>
        </w:rPr>
        <w:t xml:space="preserve">differencing. This differencing is done by subtracting the data on each same seasonal period from its previous observation data. The KPSS test shows that this transformed data has a </w:t>
      </w:r>
      <w:r>
        <w:rPr>
          <w:rFonts w:ascii="Arial" w:hAnsi="Arial" w:cs="Arial"/>
          <w:sz w:val="20"/>
          <w:szCs w:val="20"/>
        </w:rPr>
        <w:t>value of 0.</w:t>
      </w:r>
      <w:r w:rsidR="00A62A3C">
        <w:rPr>
          <w:rFonts w:ascii="Arial" w:hAnsi="Arial" w:cs="Arial"/>
          <w:sz w:val="20"/>
          <w:szCs w:val="20"/>
        </w:rPr>
        <w:t>12</w:t>
      </w:r>
      <w:r w:rsidRPr="007F6347">
        <w:rPr>
          <w:rFonts w:ascii="Arial" w:hAnsi="Arial" w:cs="Arial"/>
          <w:sz w:val="20"/>
          <w:szCs w:val="20"/>
        </w:rPr>
        <w:t>. This value indicates that the transformed data is stationer since the KPSS value is under the critical values of 10%</w:t>
      </w:r>
      <w:r>
        <w:rPr>
          <w:rFonts w:ascii="Arial" w:hAnsi="Arial" w:cs="Arial"/>
          <w:sz w:val="20"/>
          <w:szCs w:val="20"/>
        </w:rPr>
        <w:t xml:space="preserve"> significance level, which is 0.</w:t>
      </w:r>
      <w:r w:rsidR="00A62A3C">
        <w:rPr>
          <w:rFonts w:ascii="Arial" w:hAnsi="Arial" w:cs="Arial"/>
          <w:sz w:val="20"/>
          <w:szCs w:val="20"/>
        </w:rPr>
        <w:t>34</w:t>
      </w:r>
      <w:r w:rsidRPr="007F6347">
        <w:rPr>
          <w:rFonts w:ascii="Arial" w:hAnsi="Arial" w:cs="Arial"/>
          <w:sz w:val="20"/>
          <w:szCs w:val="20"/>
        </w:rPr>
        <w:t>. This result explains that there is no need to differencing the trend pattern. Thus, this new</w:t>
      </w:r>
      <w:r w:rsidR="00E3428E">
        <w:rPr>
          <w:rFonts w:ascii="Arial" w:hAnsi="Arial" w:cs="Arial"/>
          <w:sz w:val="20"/>
          <w:szCs w:val="20"/>
        </w:rPr>
        <w:t xml:space="preserve"> data</w:t>
      </w:r>
      <w:r w:rsidRPr="007F6347">
        <w:rPr>
          <w:rFonts w:ascii="Arial" w:hAnsi="Arial" w:cs="Arial"/>
          <w:sz w:val="20"/>
          <w:szCs w:val="20"/>
        </w:rPr>
        <w:t xml:space="preserve"> </w:t>
      </w:r>
      <w:r w:rsidR="00E3428E">
        <w:rPr>
          <w:rFonts w:ascii="Arial" w:hAnsi="Arial" w:cs="Arial"/>
          <w:sz w:val="20"/>
          <w:szCs w:val="20"/>
        </w:rPr>
        <w:t>is ready to analyze</w:t>
      </w:r>
      <w:r w:rsidRPr="007F6347">
        <w:rPr>
          <w:rFonts w:ascii="Arial" w:hAnsi="Arial" w:cs="Arial"/>
          <w:sz w:val="20"/>
          <w:szCs w:val="20"/>
        </w:rPr>
        <w:t>.</w:t>
      </w:r>
    </w:p>
    <w:p w:rsidR="007F6347" w:rsidRPr="007F6347" w:rsidRDefault="007F6347" w:rsidP="007F6347">
      <w:pPr>
        <w:spacing w:after="0" w:line="240" w:lineRule="auto"/>
        <w:ind w:left="0" w:hanging="2"/>
        <w:jc w:val="both"/>
        <w:rPr>
          <w:rFonts w:ascii="Arial" w:hAnsi="Arial" w:cs="Arial"/>
          <w:sz w:val="20"/>
          <w:szCs w:val="20"/>
        </w:rPr>
      </w:pPr>
      <w:r w:rsidRPr="007F6347">
        <w:rPr>
          <w:rFonts w:ascii="Arial" w:hAnsi="Arial" w:cs="Arial"/>
          <w:sz w:val="20"/>
          <w:szCs w:val="20"/>
        </w:rPr>
        <w:t>Since we know there is no need to do trend differencing, we can write trend order in (</w:t>
      </w:r>
      <w:proofErr w:type="spellStart"/>
      <w:r w:rsidRPr="007F6347">
        <w:rPr>
          <w:rFonts w:ascii="Arial" w:hAnsi="Arial" w:cs="Arial"/>
          <w:sz w:val="20"/>
          <w:szCs w:val="20"/>
        </w:rPr>
        <w:t>p</w:t>
      </w:r>
      <w:proofErr w:type="gramStart"/>
      <w:r w:rsidRPr="007F6347">
        <w:rPr>
          <w:rFonts w:ascii="Arial" w:hAnsi="Arial" w:cs="Arial"/>
          <w:sz w:val="20"/>
          <w:szCs w:val="20"/>
        </w:rPr>
        <w:t>,d,q</w:t>
      </w:r>
      <w:proofErr w:type="spellEnd"/>
      <w:proofErr w:type="gramEnd"/>
      <w:r w:rsidRPr="007F6347">
        <w:rPr>
          <w:rFonts w:ascii="Arial" w:hAnsi="Arial" w:cs="Arial"/>
          <w:sz w:val="20"/>
          <w:szCs w:val="20"/>
        </w:rPr>
        <w:t>) as (0,0,0). We should find out the seasonal order (P, D, Q</w:t>
      </w:r>
      <w:proofErr w:type="gramStart"/>
      <w:r w:rsidRPr="007F6347">
        <w:rPr>
          <w:rFonts w:ascii="Arial" w:hAnsi="Arial" w:cs="Arial"/>
          <w:sz w:val="20"/>
          <w:szCs w:val="20"/>
        </w:rPr>
        <w:t>)s</w:t>
      </w:r>
      <w:proofErr w:type="gramEnd"/>
      <w:r w:rsidRPr="007F6347">
        <w:rPr>
          <w:rFonts w:ascii="Arial" w:hAnsi="Arial" w:cs="Arial"/>
          <w:sz w:val="20"/>
          <w:szCs w:val="20"/>
        </w:rPr>
        <w:t xml:space="preserve">. Because the seasonal length is 8, we can write s=8 and we know that we do one-time seasonal differencing, therefore, D=1. </w:t>
      </w:r>
    </w:p>
    <w:p w:rsidR="009B5AAF" w:rsidRDefault="00BD038C" w:rsidP="00D77A27">
      <w:pPr>
        <w:spacing w:after="0" w:line="240" w:lineRule="auto"/>
        <w:ind w:left="0" w:hanging="2"/>
        <w:jc w:val="both"/>
        <w:rPr>
          <w:rFonts w:ascii="Arial" w:hAnsi="Arial" w:cs="Arial"/>
          <w:color w:val="FF0000"/>
          <w:sz w:val="20"/>
          <w:szCs w:val="20"/>
        </w:rPr>
      </w:pPr>
      <w:r>
        <w:rPr>
          <w:rFonts w:ascii="Arial" w:hAnsi="Arial" w:cs="Arial"/>
          <w:sz w:val="20"/>
          <w:szCs w:val="20"/>
        </w:rPr>
        <w:t>To find</w:t>
      </w:r>
      <w:r w:rsidR="009532CF">
        <w:rPr>
          <w:rFonts w:ascii="Arial" w:hAnsi="Arial" w:cs="Arial"/>
          <w:sz w:val="20"/>
          <w:szCs w:val="20"/>
        </w:rPr>
        <w:t xml:space="preserve"> P and Q, we need to</w:t>
      </w:r>
      <w:r w:rsidR="007F6347" w:rsidRPr="007F6347">
        <w:rPr>
          <w:rFonts w:ascii="Arial" w:hAnsi="Arial" w:cs="Arial"/>
          <w:sz w:val="20"/>
          <w:szCs w:val="20"/>
        </w:rPr>
        <w:t xml:space="preserve"> see PACF and ACF graphs. The numbers of PACF and ACF values that exceed the control line in PACF and ACF graphs a</w:t>
      </w:r>
      <w:r w:rsidR="009532CF">
        <w:rPr>
          <w:rFonts w:ascii="Arial" w:hAnsi="Arial" w:cs="Arial"/>
          <w:sz w:val="20"/>
          <w:szCs w:val="20"/>
        </w:rPr>
        <w:t xml:space="preserve">re considered the maximum number </w:t>
      </w:r>
      <w:r w:rsidR="004D171A">
        <w:rPr>
          <w:rFonts w:ascii="Arial" w:hAnsi="Arial" w:cs="Arial"/>
          <w:sz w:val="20"/>
          <w:szCs w:val="20"/>
        </w:rPr>
        <w:t>of</w:t>
      </w:r>
      <w:r w:rsidR="007F6347" w:rsidRPr="007F6347">
        <w:rPr>
          <w:rFonts w:ascii="Arial" w:hAnsi="Arial" w:cs="Arial"/>
          <w:sz w:val="20"/>
          <w:szCs w:val="20"/>
        </w:rPr>
        <w:t xml:space="preserve"> order P and Q</w:t>
      </w:r>
      <w:r w:rsidR="009532CF">
        <w:rPr>
          <w:rFonts w:ascii="Arial" w:hAnsi="Arial" w:cs="Arial"/>
          <w:sz w:val="20"/>
          <w:szCs w:val="20"/>
        </w:rPr>
        <w:t xml:space="preserve"> possibilities</w:t>
      </w:r>
      <w:r w:rsidR="00C24906">
        <w:rPr>
          <w:rFonts w:ascii="Arial" w:hAnsi="Arial" w:cs="Arial"/>
          <w:sz w:val="20"/>
          <w:szCs w:val="20"/>
        </w:rPr>
        <w:t>, respectively</w:t>
      </w:r>
      <w:r w:rsidR="004D171A">
        <w:rPr>
          <w:rFonts w:ascii="Arial" w:hAnsi="Arial" w:cs="Arial"/>
          <w:sz w:val="20"/>
          <w:szCs w:val="20"/>
        </w:rPr>
        <w:t>. T</w:t>
      </w:r>
      <w:r w:rsidR="007F6347" w:rsidRPr="007F6347">
        <w:rPr>
          <w:rFonts w:ascii="Arial" w:hAnsi="Arial" w:cs="Arial"/>
          <w:sz w:val="20"/>
          <w:szCs w:val="20"/>
        </w:rPr>
        <w:t>h</w:t>
      </w:r>
      <w:r w:rsidR="001310C6">
        <w:rPr>
          <w:rFonts w:ascii="Arial" w:hAnsi="Arial" w:cs="Arial"/>
          <w:sz w:val="20"/>
          <w:szCs w:val="20"/>
        </w:rPr>
        <w:t>ese</w:t>
      </w:r>
      <w:r w:rsidR="007F6347" w:rsidRPr="007F6347">
        <w:rPr>
          <w:rFonts w:ascii="Arial" w:hAnsi="Arial" w:cs="Arial"/>
          <w:sz w:val="20"/>
          <w:szCs w:val="20"/>
        </w:rPr>
        <w:t xml:space="preserve"> spike</w:t>
      </w:r>
      <w:r w:rsidR="004D171A">
        <w:rPr>
          <w:rFonts w:ascii="Arial" w:hAnsi="Arial" w:cs="Arial"/>
          <w:sz w:val="20"/>
          <w:szCs w:val="20"/>
        </w:rPr>
        <w:t>s happen</w:t>
      </w:r>
      <w:r w:rsidR="007F6347" w:rsidRPr="007F6347">
        <w:rPr>
          <w:rFonts w:ascii="Arial" w:hAnsi="Arial" w:cs="Arial"/>
          <w:sz w:val="20"/>
          <w:szCs w:val="20"/>
        </w:rPr>
        <w:t xml:space="preserve"> in the corresponding number of lag values that same </w:t>
      </w:r>
      <w:r w:rsidR="001310C6">
        <w:rPr>
          <w:rFonts w:ascii="Arial" w:hAnsi="Arial" w:cs="Arial"/>
          <w:sz w:val="20"/>
          <w:szCs w:val="20"/>
        </w:rPr>
        <w:t>as</w:t>
      </w:r>
      <w:r w:rsidR="007F6347" w:rsidRPr="007F6347">
        <w:rPr>
          <w:rFonts w:ascii="Arial" w:hAnsi="Arial" w:cs="Arial"/>
          <w:sz w:val="20"/>
          <w:szCs w:val="20"/>
        </w:rPr>
        <w:t xml:space="preserve"> </w:t>
      </w:r>
      <w:r w:rsidR="001310C6">
        <w:rPr>
          <w:rFonts w:ascii="Arial" w:hAnsi="Arial" w:cs="Arial"/>
          <w:sz w:val="20"/>
          <w:szCs w:val="20"/>
        </w:rPr>
        <w:t xml:space="preserve">the </w:t>
      </w:r>
      <w:r w:rsidR="007F6347" w:rsidRPr="007F6347">
        <w:rPr>
          <w:rFonts w:ascii="Arial" w:hAnsi="Arial" w:cs="Arial"/>
          <w:sz w:val="20"/>
          <w:szCs w:val="20"/>
        </w:rPr>
        <w:t xml:space="preserve">seasonal period length or its multiplication length </w:t>
      </w:r>
      <w:r w:rsidR="007F6347" w:rsidRPr="007F6347">
        <w:rPr>
          <w:rFonts w:ascii="Arial" w:hAnsi="Arial" w:cs="Arial"/>
          <w:sz w:val="20"/>
          <w:szCs w:val="20"/>
        </w:rPr>
        <w:fldChar w:fldCharType="begin" w:fldLock="1"/>
      </w:r>
      <w:r w:rsidR="00AA5E59">
        <w:rPr>
          <w:rFonts w:ascii="Arial" w:hAnsi="Arial" w:cs="Arial"/>
          <w:sz w:val="20"/>
          <w:szCs w:val="20"/>
        </w:rPr>
        <w:instrText>ADDIN CSL_CITATION {"citationItems":[{"id":"ITEM-1","itemData":{"author":[{"dropping-particle":"","family":"Hyndman","given":"Rob J","non-dropping-particle":"","parse-names":false,"suffix":""},{"dropping-particle":"","family":"Athanasopoulos","given":"George","non-dropping-particle":"","parse-names":false,"suffix":""}],"edition":"3th","id":"ITEM-1","issued":{"date-parts":[["2021"]]},"publisher-place":"Melbourne, Australia","title":"Forecasting : Principles and Practice","type":"book"},"uris":["http://www.mendeley.com/documents/?uuid=51ab2751-17b3-4670-a13a-db2b84473a56"]}],"mendeley":{"formattedCitation":"[6]","plainTextFormattedCitation":"[6]","previouslyFormattedCitation":"[6]"},"properties":{"noteIndex":0},"schema":"https://github.com/citation-style-language/schema/raw/master/csl-citation.json"}</w:instrText>
      </w:r>
      <w:r w:rsidR="007F6347" w:rsidRPr="007F6347">
        <w:rPr>
          <w:rFonts w:ascii="Arial" w:hAnsi="Arial" w:cs="Arial"/>
          <w:sz w:val="20"/>
          <w:szCs w:val="20"/>
        </w:rPr>
        <w:fldChar w:fldCharType="separate"/>
      </w:r>
      <w:r w:rsidR="00AA5E59" w:rsidRPr="00AA5E59">
        <w:rPr>
          <w:rFonts w:ascii="Arial" w:hAnsi="Arial" w:cs="Arial"/>
          <w:noProof/>
          <w:sz w:val="20"/>
          <w:szCs w:val="20"/>
        </w:rPr>
        <w:t>[6]</w:t>
      </w:r>
      <w:r w:rsidR="007F6347" w:rsidRPr="007F6347">
        <w:rPr>
          <w:rFonts w:ascii="Arial" w:hAnsi="Arial" w:cs="Arial"/>
          <w:sz w:val="20"/>
          <w:szCs w:val="20"/>
        </w:rPr>
        <w:fldChar w:fldCharType="end"/>
      </w:r>
      <w:r w:rsidR="007F6347" w:rsidRPr="007F6347">
        <w:rPr>
          <w:rFonts w:ascii="Arial" w:hAnsi="Arial" w:cs="Arial"/>
          <w:sz w:val="20"/>
          <w:szCs w:val="20"/>
        </w:rPr>
        <w:t>.</w:t>
      </w:r>
      <w:r w:rsidR="007F6347" w:rsidRPr="007F6347">
        <w:rPr>
          <w:rFonts w:ascii="Arial" w:hAnsi="Arial" w:cs="Arial"/>
          <w:color w:val="FF0000"/>
          <w:sz w:val="20"/>
          <w:szCs w:val="20"/>
        </w:rPr>
        <w:t xml:space="preserve"> </w:t>
      </w:r>
    </w:p>
    <w:p w:rsidR="003A6FB8" w:rsidRPr="00D77A27" w:rsidRDefault="003A6FB8" w:rsidP="00D77A27">
      <w:pPr>
        <w:spacing w:after="0" w:line="240" w:lineRule="auto"/>
        <w:ind w:left="0" w:hanging="2"/>
        <w:jc w:val="both"/>
        <w:rPr>
          <w:rFonts w:ascii="Arial" w:hAnsi="Arial" w:cs="Arial"/>
          <w:sz w:val="20"/>
          <w:szCs w:val="20"/>
        </w:rPr>
      </w:pPr>
    </w:p>
    <w:p w:rsidR="00D77A27" w:rsidRPr="00D77A27" w:rsidRDefault="00D77A27" w:rsidP="001427A4">
      <w:pPr>
        <w:spacing w:after="0" w:line="240" w:lineRule="auto"/>
        <w:ind w:left="0" w:hanging="2"/>
        <w:jc w:val="center"/>
        <w:rPr>
          <w:rFonts w:ascii="Arial" w:hAnsi="Arial" w:cs="Arial"/>
          <w:sz w:val="20"/>
          <w:szCs w:val="20"/>
        </w:rPr>
      </w:pPr>
      <w:r w:rsidRPr="00D77A27">
        <w:rPr>
          <w:rFonts w:ascii="Arial" w:hAnsi="Arial" w:cs="Arial"/>
          <w:noProof/>
          <w:sz w:val="20"/>
          <w:szCs w:val="20"/>
          <w:lang w:val="en-ID" w:eastAsia="en-ID"/>
        </w:rPr>
        <w:drawing>
          <wp:inline distT="0" distB="0" distL="0" distR="0" wp14:anchorId="7DA738D9" wp14:editId="133CE7FA">
            <wp:extent cx="2679895" cy="1564508"/>
            <wp:effectExtent l="0" t="0" r="6350" b="0"/>
            <wp:docPr id="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21"/>
                    <a:stretch>
                      <a:fillRect/>
                    </a:stretch>
                  </pic:blipFill>
                  <pic:spPr>
                    <a:xfrm>
                      <a:off x="0" y="0"/>
                      <a:ext cx="2709199" cy="1581616"/>
                    </a:xfrm>
                    <a:prstGeom prst="rect">
                      <a:avLst/>
                    </a:prstGeom>
                  </pic:spPr>
                </pic:pic>
              </a:graphicData>
            </a:graphic>
          </wp:inline>
        </w:drawing>
      </w:r>
    </w:p>
    <w:p w:rsidR="00A8441B" w:rsidRDefault="005F4F79" w:rsidP="00A8441B">
      <w:pPr>
        <w:spacing w:after="0" w:line="240" w:lineRule="auto"/>
        <w:ind w:left="0" w:hanging="2"/>
        <w:jc w:val="center"/>
        <w:rPr>
          <w:rFonts w:ascii="Arial" w:hAnsi="Arial" w:cs="Arial"/>
          <w:sz w:val="20"/>
          <w:szCs w:val="20"/>
        </w:rPr>
      </w:pPr>
      <w:r>
        <w:rPr>
          <w:rFonts w:ascii="Arial" w:hAnsi="Arial" w:cs="Arial"/>
          <w:sz w:val="20"/>
          <w:szCs w:val="20"/>
        </w:rPr>
        <w:t>(</w:t>
      </w:r>
      <w:r w:rsidR="00A8441B">
        <w:rPr>
          <w:rFonts w:ascii="Arial" w:hAnsi="Arial" w:cs="Arial"/>
          <w:sz w:val="20"/>
          <w:szCs w:val="20"/>
        </w:rPr>
        <w:t>a)</w:t>
      </w:r>
    </w:p>
    <w:p w:rsidR="00965D7D" w:rsidRDefault="00965D7D" w:rsidP="00A8441B">
      <w:pPr>
        <w:spacing w:after="0" w:line="240" w:lineRule="auto"/>
        <w:ind w:left="0" w:hanging="2"/>
        <w:jc w:val="center"/>
        <w:rPr>
          <w:rFonts w:ascii="Arial" w:hAnsi="Arial" w:cs="Arial"/>
          <w:sz w:val="20"/>
          <w:szCs w:val="20"/>
        </w:rPr>
      </w:pPr>
    </w:p>
    <w:p w:rsidR="00A8441B" w:rsidRDefault="00A8441B" w:rsidP="001427A4">
      <w:pPr>
        <w:spacing w:after="0" w:line="240" w:lineRule="auto"/>
        <w:ind w:left="0" w:hanging="2"/>
        <w:jc w:val="center"/>
        <w:rPr>
          <w:rFonts w:ascii="Arial" w:hAnsi="Arial" w:cs="Arial"/>
          <w:sz w:val="20"/>
          <w:szCs w:val="20"/>
        </w:rPr>
      </w:pPr>
      <w:r w:rsidRPr="00D77A27">
        <w:rPr>
          <w:rFonts w:ascii="Arial" w:hAnsi="Arial" w:cs="Arial"/>
          <w:noProof/>
          <w:sz w:val="20"/>
          <w:szCs w:val="20"/>
          <w:lang w:val="en-ID" w:eastAsia="en-ID"/>
        </w:rPr>
        <w:drawing>
          <wp:inline distT="0" distB="0" distL="0" distR="0" wp14:anchorId="150EC169" wp14:editId="721E8F51">
            <wp:extent cx="2686930" cy="1580249"/>
            <wp:effectExtent l="0" t="0" r="0" b="1270"/>
            <wp:docPr id="1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pic:cNvPicPr>
                  </pic:nvPicPr>
                  <pic:blipFill>
                    <a:blip r:embed="rId22"/>
                    <a:stretch>
                      <a:fillRect/>
                    </a:stretch>
                  </pic:blipFill>
                  <pic:spPr>
                    <a:xfrm>
                      <a:off x="0" y="0"/>
                      <a:ext cx="2708766" cy="1593091"/>
                    </a:xfrm>
                    <a:prstGeom prst="rect">
                      <a:avLst/>
                    </a:prstGeom>
                  </pic:spPr>
                </pic:pic>
              </a:graphicData>
            </a:graphic>
          </wp:inline>
        </w:drawing>
      </w:r>
    </w:p>
    <w:p w:rsidR="00F407F0" w:rsidRDefault="00A8441B" w:rsidP="00965D7D">
      <w:pPr>
        <w:spacing w:after="0" w:line="240" w:lineRule="auto"/>
        <w:ind w:left="0" w:hanging="2"/>
        <w:jc w:val="center"/>
        <w:rPr>
          <w:rFonts w:ascii="Arial" w:hAnsi="Arial" w:cs="Arial"/>
          <w:sz w:val="20"/>
          <w:szCs w:val="20"/>
        </w:rPr>
      </w:pPr>
      <w:r w:rsidRPr="00D77A27">
        <w:rPr>
          <w:rFonts w:ascii="Arial" w:hAnsi="Arial" w:cs="Arial"/>
          <w:sz w:val="20"/>
          <w:szCs w:val="20"/>
        </w:rPr>
        <w:t>(b)</w:t>
      </w:r>
    </w:p>
    <w:p w:rsidR="00F407F0" w:rsidRDefault="00F407F0" w:rsidP="00F407F0">
      <w:pPr>
        <w:spacing w:after="0" w:line="240" w:lineRule="auto"/>
        <w:ind w:left="0" w:hanging="2"/>
        <w:jc w:val="center"/>
        <w:rPr>
          <w:rFonts w:ascii="Arial" w:hAnsi="Arial" w:cs="Arial"/>
          <w:sz w:val="20"/>
          <w:szCs w:val="20"/>
        </w:rPr>
      </w:pPr>
      <w:r w:rsidRPr="00D77A27">
        <w:rPr>
          <w:rFonts w:ascii="Arial" w:hAnsi="Arial" w:cs="Arial"/>
          <w:sz w:val="20"/>
          <w:szCs w:val="20"/>
        </w:rPr>
        <w:t xml:space="preserve">Figure 3. </w:t>
      </w:r>
      <w:r>
        <w:rPr>
          <w:rFonts w:ascii="Arial" w:hAnsi="Arial" w:cs="Arial"/>
          <w:sz w:val="20"/>
          <w:szCs w:val="20"/>
        </w:rPr>
        <w:t xml:space="preserve">Graph of </w:t>
      </w:r>
      <w:r w:rsidRPr="00D77A27">
        <w:rPr>
          <w:rFonts w:ascii="Arial" w:hAnsi="Arial" w:cs="Arial"/>
          <w:sz w:val="20"/>
          <w:szCs w:val="20"/>
        </w:rPr>
        <w:t xml:space="preserve">Transformed </w:t>
      </w:r>
      <w:r w:rsidR="00C24906">
        <w:rPr>
          <w:rFonts w:ascii="Arial" w:hAnsi="Arial" w:cs="Arial"/>
          <w:sz w:val="20"/>
          <w:szCs w:val="20"/>
        </w:rPr>
        <w:t xml:space="preserve">Training Data </w:t>
      </w:r>
      <w:proofErr w:type="gramStart"/>
      <w:r w:rsidR="00C24906">
        <w:rPr>
          <w:rFonts w:ascii="Arial" w:hAnsi="Arial" w:cs="Arial"/>
          <w:sz w:val="20"/>
          <w:szCs w:val="20"/>
        </w:rPr>
        <w:t>After</w:t>
      </w:r>
      <w:proofErr w:type="gramEnd"/>
      <w:r w:rsidR="00C24906">
        <w:rPr>
          <w:rFonts w:ascii="Arial" w:hAnsi="Arial" w:cs="Arial"/>
          <w:sz w:val="20"/>
          <w:szCs w:val="20"/>
        </w:rPr>
        <w:t xml:space="preserve"> </w:t>
      </w:r>
      <w:r w:rsidRPr="00D77A27">
        <w:rPr>
          <w:rFonts w:ascii="Arial" w:hAnsi="Arial" w:cs="Arial"/>
          <w:sz w:val="20"/>
          <w:szCs w:val="20"/>
        </w:rPr>
        <w:t>Seasonal Differencing</w:t>
      </w:r>
      <w:r>
        <w:rPr>
          <w:rFonts w:ascii="Arial" w:hAnsi="Arial" w:cs="Arial"/>
          <w:sz w:val="20"/>
          <w:szCs w:val="20"/>
        </w:rPr>
        <w:t xml:space="preserve"> (a) PACF and (b) ACF</w:t>
      </w:r>
    </w:p>
    <w:p w:rsidR="00965D7D" w:rsidRDefault="00965D7D" w:rsidP="00F407F0">
      <w:pPr>
        <w:spacing w:after="0" w:line="240" w:lineRule="auto"/>
        <w:ind w:left="0" w:hanging="2"/>
        <w:jc w:val="center"/>
        <w:rPr>
          <w:rFonts w:ascii="Arial" w:hAnsi="Arial" w:cs="Arial"/>
          <w:sz w:val="20"/>
          <w:szCs w:val="20"/>
        </w:rPr>
      </w:pPr>
    </w:p>
    <w:p w:rsidR="00D77A27" w:rsidRPr="00D77A27" w:rsidRDefault="003A6FB8" w:rsidP="003A6FB8">
      <w:pPr>
        <w:spacing w:after="0" w:line="240" w:lineRule="auto"/>
        <w:ind w:left="0" w:hanging="2"/>
        <w:jc w:val="both"/>
        <w:rPr>
          <w:rFonts w:ascii="Arial" w:hAnsi="Arial" w:cs="Arial"/>
          <w:sz w:val="20"/>
          <w:szCs w:val="20"/>
        </w:rPr>
      </w:pPr>
      <w:r>
        <w:rPr>
          <w:rFonts w:ascii="Arial" w:hAnsi="Arial" w:cs="Arial"/>
          <w:sz w:val="20"/>
          <w:szCs w:val="20"/>
        </w:rPr>
        <w:t>Figure</w:t>
      </w:r>
      <w:r w:rsidRPr="007F6347">
        <w:rPr>
          <w:rFonts w:ascii="Arial" w:hAnsi="Arial" w:cs="Arial"/>
          <w:sz w:val="20"/>
          <w:szCs w:val="20"/>
        </w:rPr>
        <w:t xml:space="preserve"> 3</w:t>
      </w:r>
      <w:r w:rsidR="00BD00E5">
        <w:rPr>
          <w:rFonts w:ascii="Arial" w:hAnsi="Arial" w:cs="Arial"/>
          <w:sz w:val="20"/>
          <w:szCs w:val="20"/>
        </w:rPr>
        <w:t xml:space="preserve"> (a) describes</w:t>
      </w:r>
      <w:r w:rsidRPr="007F6347">
        <w:rPr>
          <w:rFonts w:ascii="Arial" w:hAnsi="Arial" w:cs="Arial"/>
          <w:sz w:val="20"/>
          <w:szCs w:val="20"/>
        </w:rPr>
        <w:t xml:space="preserve"> the PACF and </w:t>
      </w:r>
      <w:r w:rsidR="00BD00E5">
        <w:rPr>
          <w:rFonts w:ascii="Arial" w:hAnsi="Arial" w:cs="Arial"/>
          <w:sz w:val="20"/>
          <w:szCs w:val="20"/>
        </w:rPr>
        <w:t xml:space="preserve">Figure 3 (b) explains </w:t>
      </w:r>
      <w:r w:rsidRPr="007F6347">
        <w:rPr>
          <w:rFonts w:ascii="Arial" w:hAnsi="Arial" w:cs="Arial"/>
          <w:sz w:val="20"/>
          <w:szCs w:val="20"/>
        </w:rPr>
        <w:t xml:space="preserve">ACF graphs of the stationer data. </w:t>
      </w:r>
      <w:r w:rsidR="00BD00E5">
        <w:rPr>
          <w:rFonts w:ascii="Arial" w:hAnsi="Arial" w:cs="Arial"/>
          <w:sz w:val="20"/>
          <w:szCs w:val="20"/>
        </w:rPr>
        <w:t>Both figures show that t</w:t>
      </w:r>
      <w:r w:rsidRPr="007F6347">
        <w:rPr>
          <w:rFonts w:ascii="Arial" w:hAnsi="Arial" w:cs="Arial"/>
          <w:sz w:val="20"/>
          <w:szCs w:val="20"/>
        </w:rPr>
        <w:t xml:space="preserve">here is a spike </w:t>
      </w:r>
      <w:r w:rsidR="00BD00E5">
        <w:rPr>
          <w:rFonts w:ascii="Arial" w:hAnsi="Arial" w:cs="Arial"/>
          <w:sz w:val="20"/>
          <w:szCs w:val="20"/>
        </w:rPr>
        <w:t xml:space="preserve">in lag 8 for each graph </w:t>
      </w:r>
      <w:r>
        <w:rPr>
          <w:rFonts w:ascii="Arial" w:hAnsi="Arial" w:cs="Arial"/>
          <w:sz w:val="20"/>
          <w:szCs w:val="20"/>
        </w:rPr>
        <w:t>so that</w:t>
      </w:r>
      <w:r w:rsidRPr="00D77A27">
        <w:rPr>
          <w:rFonts w:ascii="Arial" w:hAnsi="Arial" w:cs="Arial"/>
          <w:sz w:val="20"/>
          <w:szCs w:val="20"/>
        </w:rPr>
        <w:t xml:space="preserve"> P=1 and Q=1.</w:t>
      </w:r>
      <w:r w:rsidR="00BD00E5">
        <w:rPr>
          <w:rFonts w:ascii="Arial" w:hAnsi="Arial" w:cs="Arial"/>
          <w:sz w:val="20"/>
          <w:szCs w:val="20"/>
        </w:rPr>
        <w:t xml:space="preserve"> Based on the</w:t>
      </w:r>
      <w:r>
        <w:rPr>
          <w:rFonts w:ascii="Arial" w:hAnsi="Arial" w:cs="Arial"/>
          <w:sz w:val="20"/>
          <w:szCs w:val="20"/>
        </w:rPr>
        <w:t>s</w:t>
      </w:r>
      <w:r w:rsidR="00BD00E5">
        <w:rPr>
          <w:rFonts w:ascii="Arial" w:hAnsi="Arial" w:cs="Arial"/>
          <w:sz w:val="20"/>
          <w:szCs w:val="20"/>
        </w:rPr>
        <w:t>e</w:t>
      </w:r>
      <w:r>
        <w:rPr>
          <w:rFonts w:ascii="Arial" w:hAnsi="Arial" w:cs="Arial"/>
          <w:sz w:val="20"/>
          <w:szCs w:val="20"/>
        </w:rPr>
        <w:t xml:space="preserve"> figure</w:t>
      </w:r>
      <w:r w:rsidR="00BD00E5">
        <w:rPr>
          <w:rFonts w:ascii="Arial" w:hAnsi="Arial" w:cs="Arial"/>
          <w:sz w:val="20"/>
          <w:szCs w:val="20"/>
        </w:rPr>
        <w:t>s</w:t>
      </w:r>
      <w:r>
        <w:rPr>
          <w:rFonts w:ascii="Arial" w:hAnsi="Arial" w:cs="Arial"/>
          <w:sz w:val="20"/>
          <w:szCs w:val="20"/>
        </w:rPr>
        <w:t>, t</w:t>
      </w:r>
      <w:r w:rsidR="00150D1E">
        <w:rPr>
          <w:rFonts w:ascii="Arial" w:hAnsi="Arial" w:cs="Arial"/>
          <w:sz w:val="20"/>
          <w:szCs w:val="20"/>
        </w:rPr>
        <w:t xml:space="preserve">here </w:t>
      </w:r>
      <w:r w:rsidR="00D77A27" w:rsidRPr="00D77A27">
        <w:rPr>
          <w:rFonts w:ascii="Arial" w:hAnsi="Arial" w:cs="Arial"/>
          <w:sz w:val="20"/>
          <w:szCs w:val="20"/>
        </w:rPr>
        <w:t>are three possible SARIMA models, those are SARIMA (0,0,0)(0,1,1)8, SARIMA (0,0,0)(1,1,0)8, and SARIMA (0,0,0)(1,1,1)8. Those three models are run in the training data to see whether the SARIMA assumptions are satisfied. If more than one model can satisfy the residual requirements, we need to compare the performance of those forecast models by choosing the smallest MAPE from testing data.</w:t>
      </w:r>
    </w:p>
    <w:p w:rsidR="00BD00E5" w:rsidRDefault="00D77A27" w:rsidP="00BD00E5">
      <w:pPr>
        <w:spacing w:after="0" w:line="240" w:lineRule="auto"/>
        <w:ind w:left="0" w:hanging="2"/>
        <w:jc w:val="both"/>
        <w:rPr>
          <w:rFonts w:ascii="Arial" w:hAnsi="Arial" w:cs="Arial"/>
          <w:sz w:val="20"/>
          <w:szCs w:val="20"/>
        </w:rPr>
      </w:pPr>
      <w:r w:rsidRPr="00D77A27">
        <w:rPr>
          <w:rFonts w:ascii="Arial" w:hAnsi="Arial" w:cs="Arial"/>
          <w:sz w:val="20"/>
          <w:szCs w:val="20"/>
        </w:rPr>
        <w:lastRenderedPageBreak/>
        <w:t>After running all possible SARIMA models, there is only one model that satisfies residual assumptions; the model is SARIMA (0</w:t>
      </w:r>
      <w:proofErr w:type="gramStart"/>
      <w:r w:rsidRPr="00D77A27">
        <w:rPr>
          <w:rFonts w:ascii="Arial" w:hAnsi="Arial" w:cs="Arial"/>
          <w:sz w:val="20"/>
          <w:szCs w:val="20"/>
        </w:rPr>
        <w:t>,0,0</w:t>
      </w:r>
      <w:proofErr w:type="gramEnd"/>
      <w:r w:rsidRPr="00D77A27">
        <w:rPr>
          <w:rFonts w:ascii="Arial" w:hAnsi="Arial" w:cs="Arial"/>
          <w:sz w:val="20"/>
          <w:szCs w:val="20"/>
        </w:rPr>
        <w:t xml:space="preserve">)(0,1,1)8. </w:t>
      </w:r>
      <w:r w:rsidR="00BD00E5">
        <w:rPr>
          <w:rFonts w:ascii="Arial" w:hAnsi="Arial" w:cs="Arial"/>
          <w:sz w:val="20"/>
          <w:szCs w:val="20"/>
        </w:rPr>
        <w:t xml:space="preserve">The residual of </w:t>
      </w:r>
      <w:r w:rsidR="008F6997">
        <w:rPr>
          <w:rFonts w:ascii="Arial" w:hAnsi="Arial" w:cs="Arial"/>
          <w:sz w:val="20"/>
          <w:szCs w:val="20"/>
        </w:rPr>
        <w:t xml:space="preserve">the </w:t>
      </w:r>
      <w:r w:rsidR="00BD00E5">
        <w:rPr>
          <w:rFonts w:ascii="Arial" w:hAnsi="Arial" w:cs="Arial"/>
          <w:sz w:val="20"/>
          <w:szCs w:val="20"/>
        </w:rPr>
        <w:t>forecast shou</w:t>
      </w:r>
      <w:r w:rsidR="008F6997">
        <w:rPr>
          <w:rFonts w:ascii="Arial" w:hAnsi="Arial" w:cs="Arial"/>
          <w:sz w:val="20"/>
          <w:szCs w:val="20"/>
        </w:rPr>
        <w:t>l</w:t>
      </w:r>
      <w:r w:rsidR="00BD00E5">
        <w:rPr>
          <w:rFonts w:ascii="Arial" w:hAnsi="Arial" w:cs="Arial"/>
          <w:sz w:val="20"/>
          <w:szCs w:val="20"/>
        </w:rPr>
        <w:t xml:space="preserve">d be independent, homoscedasticity, and have </w:t>
      </w:r>
      <w:r w:rsidR="008F6997">
        <w:rPr>
          <w:rFonts w:ascii="Arial" w:hAnsi="Arial" w:cs="Arial"/>
          <w:sz w:val="20"/>
          <w:szCs w:val="20"/>
        </w:rPr>
        <w:t xml:space="preserve">a </w:t>
      </w:r>
      <w:r w:rsidR="00BD00E5">
        <w:rPr>
          <w:rFonts w:ascii="Arial" w:hAnsi="Arial" w:cs="Arial"/>
          <w:sz w:val="20"/>
          <w:szCs w:val="20"/>
        </w:rPr>
        <w:t xml:space="preserve">normal distribution. </w:t>
      </w:r>
      <w:r w:rsidRPr="00D77A27">
        <w:rPr>
          <w:rFonts w:ascii="Arial" w:hAnsi="Arial" w:cs="Arial"/>
          <w:sz w:val="20"/>
          <w:szCs w:val="20"/>
        </w:rPr>
        <w:t xml:space="preserve">These assumptions can be checked using ACF, PACF, </w:t>
      </w:r>
      <w:proofErr w:type="spellStart"/>
      <w:r w:rsidR="00BD00E5">
        <w:rPr>
          <w:rFonts w:ascii="Arial" w:hAnsi="Arial" w:cs="Arial"/>
          <w:sz w:val="20"/>
          <w:szCs w:val="20"/>
        </w:rPr>
        <w:t>Ljung</w:t>
      </w:r>
      <w:proofErr w:type="spellEnd"/>
      <w:r w:rsidR="00BD00E5">
        <w:rPr>
          <w:rFonts w:ascii="Arial" w:hAnsi="Arial" w:cs="Arial"/>
          <w:sz w:val="20"/>
          <w:szCs w:val="20"/>
        </w:rPr>
        <w:t>-Box test</w:t>
      </w:r>
      <w:r w:rsidR="008F6997">
        <w:rPr>
          <w:rFonts w:ascii="Arial" w:hAnsi="Arial" w:cs="Arial"/>
          <w:sz w:val="20"/>
          <w:szCs w:val="20"/>
        </w:rPr>
        <w:t>,</w:t>
      </w:r>
      <w:r w:rsidR="00BD00E5">
        <w:rPr>
          <w:rFonts w:ascii="Arial" w:hAnsi="Arial" w:cs="Arial"/>
          <w:sz w:val="20"/>
          <w:szCs w:val="20"/>
        </w:rPr>
        <w:t xml:space="preserve"> </w:t>
      </w:r>
      <w:r w:rsidRPr="00D77A27">
        <w:rPr>
          <w:rFonts w:ascii="Arial" w:hAnsi="Arial" w:cs="Arial"/>
          <w:sz w:val="20"/>
          <w:szCs w:val="20"/>
        </w:rPr>
        <w:t>and normal distribution tests</w:t>
      </w:r>
      <w:r w:rsidR="00BD00E5">
        <w:rPr>
          <w:rFonts w:ascii="Arial" w:hAnsi="Arial" w:cs="Arial"/>
          <w:sz w:val="20"/>
          <w:szCs w:val="20"/>
        </w:rPr>
        <w:t xml:space="preserve">. </w:t>
      </w:r>
    </w:p>
    <w:p w:rsidR="00695B2D" w:rsidRPr="00BD00E5" w:rsidRDefault="00844CDE" w:rsidP="00BD00E5">
      <w:pPr>
        <w:spacing w:after="0" w:line="240" w:lineRule="auto"/>
        <w:ind w:left="0" w:hanging="2"/>
        <w:jc w:val="both"/>
        <w:rPr>
          <w:rFonts w:ascii="Arial" w:hAnsi="Arial" w:cs="Arial"/>
          <w:sz w:val="20"/>
          <w:szCs w:val="20"/>
        </w:rPr>
      </w:pPr>
      <w:r w:rsidRPr="003814AB">
        <w:rPr>
          <w:rFonts w:ascii="Arial" w:hAnsi="Arial" w:cs="Arial"/>
          <w:color w:val="000000" w:themeColor="text1"/>
          <w:sz w:val="20"/>
          <w:szCs w:val="20"/>
        </w:rPr>
        <w:t>Figure</w:t>
      </w:r>
      <w:r w:rsidR="00D77A27" w:rsidRPr="003814AB">
        <w:rPr>
          <w:rFonts w:ascii="Arial" w:hAnsi="Arial" w:cs="Arial"/>
          <w:color w:val="000000" w:themeColor="text1"/>
          <w:sz w:val="20"/>
          <w:szCs w:val="20"/>
        </w:rPr>
        <w:t xml:space="preserve"> 4 shows these </w:t>
      </w:r>
      <w:r w:rsidR="00BD00E5">
        <w:rPr>
          <w:rFonts w:ascii="Arial" w:hAnsi="Arial" w:cs="Arial"/>
          <w:color w:val="000000" w:themeColor="text1"/>
          <w:sz w:val="20"/>
          <w:szCs w:val="20"/>
        </w:rPr>
        <w:t xml:space="preserve">residual </w:t>
      </w:r>
      <w:r w:rsidR="00D77A27" w:rsidRPr="003814AB">
        <w:rPr>
          <w:rFonts w:ascii="Arial" w:hAnsi="Arial" w:cs="Arial"/>
          <w:color w:val="000000" w:themeColor="text1"/>
          <w:sz w:val="20"/>
          <w:szCs w:val="20"/>
        </w:rPr>
        <w:t>tests of SARIMA (0</w:t>
      </w:r>
      <w:proofErr w:type="gramStart"/>
      <w:r w:rsidR="00D77A27" w:rsidRPr="003814AB">
        <w:rPr>
          <w:rFonts w:ascii="Arial" w:hAnsi="Arial" w:cs="Arial"/>
          <w:color w:val="000000" w:themeColor="text1"/>
          <w:sz w:val="20"/>
          <w:szCs w:val="20"/>
        </w:rPr>
        <w:t>,0,0</w:t>
      </w:r>
      <w:proofErr w:type="gramEnd"/>
      <w:r w:rsidR="00D77A27" w:rsidRPr="003814AB">
        <w:rPr>
          <w:rFonts w:ascii="Arial" w:hAnsi="Arial" w:cs="Arial"/>
          <w:color w:val="000000" w:themeColor="text1"/>
          <w:sz w:val="20"/>
          <w:szCs w:val="20"/>
        </w:rPr>
        <w:t xml:space="preserve">)(0,1,1)8. </w:t>
      </w:r>
      <w:r w:rsidR="00F335BA">
        <w:rPr>
          <w:rFonts w:ascii="Arial" w:hAnsi="Arial" w:cs="Arial"/>
          <w:color w:val="000000" w:themeColor="text1"/>
          <w:sz w:val="20"/>
          <w:szCs w:val="20"/>
        </w:rPr>
        <w:t>Figure</w:t>
      </w:r>
      <w:r w:rsidR="008F6997">
        <w:rPr>
          <w:rFonts w:ascii="Arial" w:hAnsi="Arial" w:cs="Arial"/>
          <w:color w:val="000000" w:themeColor="text1"/>
          <w:sz w:val="20"/>
          <w:szCs w:val="20"/>
        </w:rPr>
        <w:t>s</w:t>
      </w:r>
      <w:r w:rsidR="00F335BA">
        <w:rPr>
          <w:rFonts w:ascii="Arial" w:hAnsi="Arial" w:cs="Arial"/>
          <w:color w:val="000000" w:themeColor="text1"/>
          <w:sz w:val="20"/>
          <w:szCs w:val="20"/>
        </w:rPr>
        <w:t xml:space="preserve"> 4 (a) and (b) indicate that there is </w:t>
      </w:r>
      <w:r w:rsidR="008F6997">
        <w:rPr>
          <w:rFonts w:ascii="Arial" w:hAnsi="Arial" w:cs="Arial"/>
          <w:color w:val="000000" w:themeColor="text1"/>
          <w:sz w:val="20"/>
          <w:szCs w:val="20"/>
        </w:rPr>
        <w:t xml:space="preserve">no </w:t>
      </w:r>
      <w:r w:rsidR="00F335BA">
        <w:rPr>
          <w:rFonts w:ascii="Arial" w:hAnsi="Arial" w:cs="Arial"/>
          <w:color w:val="000000" w:themeColor="text1"/>
          <w:sz w:val="20"/>
          <w:szCs w:val="20"/>
        </w:rPr>
        <w:t xml:space="preserve">value of </w:t>
      </w:r>
      <w:r w:rsidR="008F6997">
        <w:rPr>
          <w:rFonts w:ascii="Arial" w:hAnsi="Arial" w:cs="Arial"/>
          <w:color w:val="000000" w:themeColor="text1"/>
          <w:sz w:val="20"/>
          <w:szCs w:val="20"/>
        </w:rPr>
        <w:t xml:space="preserve">each </w:t>
      </w:r>
      <w:r w:rsidR="00D77A27" w:rsidRPr="003814AB">
        <w:rPr>
          <w:rFonts w:ascii="Arial" w:hAnsi="Arial" w:cs="Arial"/>
          <w:color w:val="000000" w:themeColor="text1"/>
          <w:sz w:val="20"/>
          <w:szCs w:val="20"/>
        </w:rPr>
        <w:t xml:space="preserve">PACF </w:t>
      </w:r>
      <w:r w:rsidR="00F335BA">
        <w:rPr>
          <w:rFonts w:ascii="Arial" w:hAnsi="Arial" w:cs="Arial"/>
          <w:color w:val="000000" w:themeColor="text1"/>
          <w:sz w:val="20"/>
          <w:szCs w:val="20"/>
        </w:rPr>
        <w:t xml:space="preserve">and ACF </w:t>
      </w:r>
      <w:r w:rsidR="008F6997">
        <w:rPr>
          <w:rFonts w:ascii="Arial" w:hAnsi="Arial" w:cs="Arial"/>
          <w:color w:val="000000" w:themeColor="text1"/>
          <w:sz w:val="20"/>
          <w:szCs w:val="20"/>
        </w:rPr>
        <w:t xml:space="preserve">graph </w:t>
      </w:r>
      <w:r w:rsidR="00F335BA">
        <w:rPr>
          <w:rFonts w:ascii="Arial" w:hAnsi="Arial" w:cs="Arial"/>
          <w:color w:val="000000" w:themeColor="text1"/>
          <w:sz w:val="20"/>
          <w:szCs w:val="20"/>
        </w:rPr>
        <w:t xml:space="preserve">that </w:t>
      </w:r>
      <w:r w:rsidR="00D77A27" w:rsidRPr="003814AB">
        <w:rPr>
          <w:rFonts w:ascii="Arial" w:hAnsi="Arial" w:cs="Arial"/>
          <w:color w:val="000000" w:themeColor="text1"/>
          <w:sz w:val="20"/>
          <w:szCs w:val="20"/>
        </w:rPr>
        <w:t xml:space="preserve">is out of the control line, </w:t>
      </w:r>
      <w:r w:rsidR="00F335BA">
        <w:rPr>
          <w:rFonts w:ascii="Arial" w:hAnsi="Arial" w:cs="Arial"/>
          <w:color w:val="000000" w:themeColor="text1"/>
          <w:sz w:val="20"/>
          <w:szCs w:val="20"/>
        </w:rPr>
        <w:t xml:space="preserve">concluding that </w:t>
      </w:r>
      <w:r w:rsidR="00D77A27" w:rsidRPr="003814AB">
        <w:rPr>
          <w:rFonts w:ascii="Arial" w:hAnsi="Arial" w:cs="Arial"/>
          <w:color w:val="000000" w:themeColor="text1"/>
          <w:sz w:val="20"/>
          <w:szCs w:val="20"/>
        </w:rPr>
        <w:t xml:space="preserve">the </w:t>
      </w:r>
      <w:r w:rsidR="00D77A27" w:rsidRPr="003814AB">
        <w:rPr>
          <w:rFonts w:ascii="Arial" w:hAnsi="Arial" w:cs="Arial"/>
          <w:color w:val="000000" w:themeColor="text1"/>
          <w:sz w:val="20"/>
          <w:szCs w:val="20"/>
        </w:rPr>
        <w:t xml:space="preserve">residuals are independent or </w:t>
      </w:r>
      <w:r w:rsidR="00F335BA">
        <w:rPr>
          <w:rFonts w:ascii="Arial" w:hAnsi="Arial" w:cs="Arial"/>
          <w:color w:val="000000" w:themeColor="text1"/>
          <w:sz w:val="20"/>
          <w:szCs w:val="20"/>
        </w:rPr>
        <w:t>have no autocorrelation. These figures also indicate that the residuals</w:t>
      </w:r>
      <w:r w:rsidR="00D77A27" w:rsidRPr="003814AB">
        <w:rPr>
          <w:rFonts w:ascii="Arial" w:hAnsi="Arial" w:cs="Arial"/>
          <w:color w:val="000000" w:themeColor="text1"/>
          <w:sz w:val="20"/>
          <w:szCs w:val="20"/>
        </w:rPr>
        <w:t xml:space="preserve"> are homosce</w:t>
      </w:r>
      <w:r w:rsidR="00F335BA">
        <w:rPr>
          <w:rFonts w:ascii="Arial" w:hAnsi="Arial" w:cs="Arial"/>
          <w:color w:val="000000" w:themeColor="text1"/>
          <w:sz w:val="20"/>
          <w:szCs w:val="20"/>
        </w:rPr>
        <w:t>dasticity. Streng</w:t>
      </w:r>
      <w:r w:rsidR="008F6997">
        <w:rPr>
          <w:rFonts w:ascii="Arial" w:hAnsi="Arial" w:cs="Arial"/>
          <w:color w:val="000000" w:themeColor="text1"/>
          <w:sz w:val="20"/>
          <w:szCs w:val="20"/>
        </w:rPr>
        <w:t>th</w:t>
      </w:r>
      <w:r w:rsidR="00F335BA">
        <w:rPr>
          <w:rFonts w:ascii="Arial" w:hAnsi="Arial" w:cs="Arial"/>
          <w:color w:val="000000" w:themeColor="text1"/>
          <w:sz w:val="20"/>
          <w:szCs w:val="20"/>
        </w:rPr>
        <w:t>ening this analysis, Figure 4 (</w:t>
      </w:r>
      <w:r w:rsidR="00BD00E5">
        <w:rPr>
          <w:rFonts w:ascii="Arial" w:hAnsi="Arial" w:cs="Arial"/>
          <w:color w:val="000000" w:themeColor="text1"/>
          <w:sz w:val="20"/>
          <w:szCs w:val="20"/>
        </w:rPr>
        <w:t>c</w:t>
      </w:r>
      <w:r w:rsidR="00F335BA">
        <w:rPr>
          <w:rFonts w:ascii="Arial" w:hAnsi="Arial" w:cs="Arial"/>
          <w:color w:val="000000" w:themeColor="text1"/>
          <w:sz w:val="20"/>
          <w:szCs w:val="20"/>
        </w:rPr>
        <w:t xml:space="preserve">) also explains that </w:t>
      </w:r>
      <w:r w:rsidR="00D77A27" w:rsidRPr="003814AB">
        <w:rPr>
          <w:rFonts w:ascii="Arial" w:hAnsi="Arial" w:cs="Arial"/>
          <w:color w:val="000000" w:themeColor="text1"/>
          <w:sz w:val="20"/>
          <w:szCs w:val="20"/>
        </w:rPr>
        <w:t xml:space="preserve">the P-value of the </w:t>
      </w:r>
      <w:proofErr w:type="spellStart"/>
      <w:r w:rsidR="00D77A27" w:rsidRPr="003814AB">
        <w:rPr>
          <w:rFonts w:ascii="Arial" w:hAnsi="Arial" w:cs="Arial"/>
          <w:color w:val="000000" w:themeColor="text1"/>
          <w:sz w:val="20"/>
          <w:szCs w:val="20"/>
        </w:rPr>
        <w:t>Lj</w:t>
      </w:r>
      <w:r w:rsidR="00BD00E5">
        <w:rPr>
          <w:rFonts w:ascii="Arial" w:hAnsi="Arial" w:cs="Arial"/>
          <w:color w:val="000000" w:themeColor="text1"/>
          <w:sz w:val="20"/>
          <w:szCs w:val="20"/>
        </w:rPr>
        <w:t>ung</w:t>
      </w:r>
      <w:proofErr w:type="spellEnd"/>
      <w:r w:rsidR="00BD00E5">
        <w:rPr>
          <w:rFonts w:ascii="Arial" w:hAnsi="Arial" w:cs="Arial"/>
          <w:color w:val="000000" w:themeColor="text1"/>
          <w:sz w:val="20"/>
          <w:szCs w:val="20"/>
        </w:rPr>
        <w:t>-Box test is above 0.05; indicating that</w:t>
      </w:r>
      <w:r w:rsidR="00D77A27" w:rsidRPr="003814AB">
        <w:rPr>
          <w:rFonts w:ascii="Arial" w:hAnsi="Arial" w:cs="Arial"/>
          <w:color w:val="000000" w:themeColor="text1"/>
          <w:sz w:val="20"/>
          <w:szCs w:val="20"/>
        </w:rPr>
        <w:t xml:space="preserve"> the residuals are independent. </w:t>
      </w:r>
      <w:r w:rsidR="00BD00E5">
        <w:rPr>
          <w:rFonts w:ascii="Arial" w:hAnsi="Arial" w:cs="Arial"/>
          <w:color w:val="000000" w:themeColor="text1"/>
          <w:sz w:val="20"/>
          <w:szCs w:val="20"/>
        </w:rPr>
        <w:t>Figure 4 (d) shows that t</w:t>
      </w:r>
      <w:r w:rsidR="00D77A27" w:rsidRPr="003814AB">
        <w:rPr>
          <w:rFonts w:ascii="Arial" w:hAnsi="Arial" w:cs="Arial"/>
          <w:color w:val="000000" w:themeColor="text1"/>
          <w:sz w:val="20"/>
          <w:szCs w:val="20"/>
        </w:rPr>
        <w:t xml:space="preserve">he residual also has a normal distribution. </w:t>
      </w:r>
    </w:p>
    <w:p w:rsidR="00D77A27" w:rsidRDefault="00D77A27" w:rsidP="00D77A27">
      <w:pPr>
        <w:spacing w:after="0" w:line="240" w:lineRule="auto"/>
        <w:ind w:left="0" w:hanging="2"/>
        <w:jc w:val="both"/>
        <w:rPr>
          <w:rFonts w:ascii="Arial" w:hAnsi="Arial" w:cs="Arial"/>
          <w:sz w:val="20"/>
          <w:szCs w:val="20"/>
        </w:rPr>
      </w:pPr>
      <w:r w:rsidRPr="003814AB">
        <w:rPr>
          <w:rFonts w:ascii="Arial" w:hAnsi="Arial" w:cs="Arial"/>
          <w:color w:val="000000" w:themeColor="text1"/>
          <w:sz w:val="20"/>
          <w:szCs w:val="20"/>
        </w:rPr>
        <w:t>After we find the forecast model, we need to see the performance of this model by calculating MAPE. Based on the testing data, the MAPE of this forecast model is around 15.22%.</w:t>
      </w:r>
      <w:r w:rsidR="0027516B" w:rsidRPr="00D77A27">
        <w:rPr>
          <w:rFonts w:ascii="Arial" w:hAnsi="Arial" w:cs="Arial"/>
          <w:sz w:val="20"/>
          <w:szCs w:val="20"/>
        </w:rPr>
        <w:t xml:space="preserve"> </w:t>
      </w:r>
    </w:p>
    <w:p w:rsidR="00A8441B" w:rsidRDefault="00A8441B" w:rsidP="00695B2D">
      <w:pPr>
        <w:spacing w:after="0" w:line="240" w:lineRule="auto"/>
        <w:ind w:leftChars="0" w:left="0" w:firstLineChars="0" w:firstLine="0"/>
        <w:jc w:val="both"/>
        <w:rPr>
          <w:rFonts w:ascii="Arial" w:hAnsi="Arial" w:cs="Arial"/>
          <w:sz w:val="20"/>
          <w:szCs w:val="20"/>
        </w:rPr>
        <w:sectPr w:rsidR="00A8441B" w:rsidSect="00A8441B">
          <w:type w:val="continuous"/>
          <w:pgSz w:w="11907" w:h="16840"/>
          <w:pgMar w:top="1701" w:right="1134" w:bottom="1701" w:left="1701" w:header="680" w:footer="680" w:gutter="0"/>
          <w:cols w:num="2" w:space="284"/>
          <w:titlePg/>
        </w:sectPr>
      </w:pPr>
    </w:p>
    <w:p w:rsidR="003814AB" w:rsidRDefault="003814AB" w:rsidP="00D77A27">
      <w:pPr>
        <w:spacing w:after="0" w:line="240" w:lineRule="auto"/>
        <w:ind w:left="0" w:hanging="2"/>
        <w:jc w:val="both"/>
        <w:rPr>
          <w:rFonts w:ascii="Arial" w:hAnsi="Arial" w:cs="Arial"/>
          <w:sz w:val="20"/>
          <w:szCs w:val="20"/>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252"/>
      </w:tblGrid>
      <w:tr w:rsidR="006814A4" w:rsidTr="004829DB">
        <w:trPr>
          <w:jc w:val="center"/>
        </w:trPr>
        <w:tc>
          <w:tcPr>
            <w:tcW w:w="4704" w:type="dxa"/>
          </w:tcPr>
          <w:p w:rsidR="006814A4" w:rsidRDefault="00A8441B" w:rsidP="003858FA">
            <w:pPr>
              <w:ind w:leftChars="0" w:left="0" w:firstLineChars="0" w:firstLine="0"/>
              <w:jc w:val="center"/>
              <w:rPr>
                <w:rFonts w:ascii="Arial" w:hAnsi="Arial" w:cs="Arial"/>
                <w:color w:val="00B050"/>
                <w:sz w:val="20"/>
                <w:szCs w:val="20"/>
              </w:rPr>
            </w:pPr>
            <w:r>
              <w:rPr>
                <w:rFonts w:ascii="Arial" w:hAnsi="Arial" w:cs="Arial"/>
                <w:color w:val="00B050"/>
                <w:sz w:val="20"/>
                <w:szCs w:val="20"/>
              </w:rPr>
              <w:br w:type="page"/>
            </w:r>
            <w:r w:rsidR="0062148F" w:rsidRPr="00E26237">
              <w:rPr>
                <w:noProof/>
                <w:lang w:val="en-ID" w:eastAsia="en-ID"/>
              </w:rPr>
              <w:drawing>
                <wp:inline distT="0" distB="0" distL="0" distR="0" wp14:anchorId="5D8EDBEA" wp14:editId="4C978F5A">
                  <wp:extent cx="2511083" cy="1485063"/>
                  <wp:effectExtent l="0" t="0" r="3810" b="1270"/>
                  <wp:docPr id="1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23"/>
                          <a:stretch>
                            <a:fillRect/>
                          </a:stretch>
                        </pic:blipFill>
                        <pic:spPr>
                          <a:xfrm>
                            <a:off x="0" y="0"/>
                            <a:ext cx="2552953" cy="1509825"/>
                          </a:xfrm>
                          <a:prstGeom prst="rect">
                            <a:avLst/>
                          </a:prstGeom>
                        </pic:spPr>
                      </pic:pic>
                    </a:graphicData>
                  </a:graphic>
                </wp:inline>
              </w:drawing>
            </w:r>
          </w:p>
        </w:tc>
        <w:tc>
          <w:tcPr>
            <w:tcW w:w="4368" w:type="dxa"/>
          </w:tcPr>
          <w:p w:rsidR="006814A4" w:rsidRDefault="0096624B" w:rsidP="003858FA">
            <w:pPr>
              <w:ind w:leftChars="0" w:left="0" w:firstLineChars="0" w:firstLine="0"/>
              <w:jc w:val="center"/>
              <w:rPr>
                <w:rFonts w:ascii="Arial" w:hAnsi="Arial" w:cs="Arial"/>
                <w:color w:val="00B050"/>
                <w:sz w:val="20"/>
                <w:szCs w:val="20"/>
              </w:rPr>
            </w:pPr>
            <w:r w:rsidRPr="00E26237">
              <w:rPr>
                <w:noProof/>
                <w:lang w:val="en-ID" w:eastAsia="en-ID"/>
              </w:rPr>
              <w:drawing>
                <wp:inline distT="0" distB="0" distL="0" distR="0" wp14:anchorId="69B1F7EF" wp14:editId="6B81788B">
                  <wp:extent cx="2489982" cy="1463752"/>
                  <wp:effectExtent l="0" t="0" r="5715" b="3175"/>
                  <wp:docPr id="1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pic:cNvPicPr>
                        </pic:nvPicPr>
                        <pic:blipFill>
                          <a:blip r:embed="rId24"/>
                          <a:stretch>
                            <a:fillRect/>
                          </a:stretch>
                        </pic:blipFill>
                        <pic:spPr>
                          <a:xfrm>
                            <a:off x="0" y="0"/>
                            <a:ext cx="2544848" cy="1496005"/>
                          </a:xfrm>
                          <a:prstGeom prst="rect">
                            <a:avLst/>
                          </a:prstGeom>
                        </pic:spPr>
                      </pic:pic>
                    </a:graphicData>
                  </a:graphic>
                </wp:inline>
              </w:drawing>
            </w:r>
          </w:p>
        </w:tc>
      </w:tr>
      <w:tr w:rsidR="006814A4" w:rsidTr="004829DB">
        <w:trPr>
          <w:jc w:val="center"/>
        </w:trPr>
        <w:tc>
          <w:tcPr>
            <w:tcW w:w="4704" w:type="dxa"/>
          </w:tcPr>
          <w:p w:rsidR="005F4F79" w:rsidRPr="005F4F79" w:rsidRDefault="0096624B" w:rsidP="00FA4654">
            <w:pPr>
              <w:ind w:leftChars="0" w:left="0" w:firstLineChars="0" w:firstLine="0"/>
              <w:jc w:val="center"/>
              <w:rPr>
                <w:rFonts w:ascii="Arial" w:hAnsi="Arial" w:cs="Arial"/>
                <w:sz w:val="20"/>
                <w:szCs w:val="20"/>
              </w:rPr>
            </w:pPr>
            <w:r w:rsidRPr="005F4F79">
              <w:rPr>
                <w:rFonts w:ascii="Arial" w:hAnsi="Arial" w:cs="Arial"/>
                <w:sz w:val="20"/>
                <w:szCs w:val="20"/>
              </w:rPr>
              <w:t>(a)</w:t>
            </w:r>
          </w:p>
        </w:tc>
        <w:tc>
          <w:tcPr>
            <w:tcW w:w="4368" w:type="dxa"/>
          </w:tcPr>
          <w:p w:rsidR="005F4F79" w:rsidRPr="005F4F79" w:rsidRDefault="0096624B" w:rsidP="00FA4654">
            <w:pPr>
              <w:ind w:leftChars="0" w:left="0" w:firstLineChars="0" w:firstLine="0"/>
              <w:jc w:val="center"/>
              <w:rPr>
                <w:rFonts w:ascii="Arial" w:hAnsi="Arial" w:cs="Arial"/>
                <w:sz w:val="20"/>
                <w:szCs w:val="20"/>
              </w:rPr>
            </w:pPr>
            <w:r w:rsidRPr="005F4F79">
              <w:rPr>
                <w:rFonts w:ascii="Arial" w:hAnsi="Arial" w:cs="Arial"/>
                <w:sz w:val="20"/>
                <w:szCs w:val="20"/>
              </w:rPr>
              <w:t>(b)</w:t>
            </w:r>
          </w:p>
        </w:tc>
      </w:tr>
      <w:tr w:rsidR="006814A4" w:rsidTr="00FA4654">
        <w:trPr>
          <w:jc w:val="center"/>
        </w:trPr>
        <w:tc>
          <w:tcPr>
            <w:tcW w:w="4704" w:type="dxa"/>
            <w:vAlign w:val="center"/>
          </w:tcPr>
          <w:p w:rsidR="006814A4" w:rsidRPr="005F4F79" w:rsidRDefault="00BD00E5" w:rsidP="00FA4654">
            <w:pPr>
              <w:ind w:leftChars="0" w:left="0" w:firstLineChars="0" w:firstLine="0"/>
              <w:jc w:val="center"/>
              <w:rPr>
                <w:rFonts w:ascii="Arial" w:hAnsi="Arial" w:cs="Arial"/>
                <w:sz w:val="20"/>
                <w:szCs w:val="20"/>
              </w:rPr>
            </w:pPr>
            <w:r w:rsidRPr="005F4F79">
              <w:rPr>
                <w:noProof/>
                <w:lang w:val="en-ID" w:eastAsia="en-ID"/>
              </w:rPr>
              <w:drawing>
                <wp:inline distT="0" distB="0" distL="0" distR="0" wp14:anchorId="2C39AFBA" wp14:editId="3C17466A">
                  <wp:extent cx="2923967" cy="717550"/>
                  <wp:effectExtent l="0" t="0" r="0" b="635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3031556" cy="743953"/>
                          </a:xfrm>
                          <a:prstGeom prst="rect">
                            <a:avLst/>
                          </a:prstGeom>
                        </pic:spPr>
                      </pic:pic>
                    </a:graphicData>
                  </a:graphic>
                </wp:inline>
              </w:drawing>
            </w:r>
          </w:p>
        </w:tc>
        <w:tc>
          <w:tcPr>
            <w:tcW w:w="4368" w:type="dxa"/>
          </w:tcPr>
          <w:p w:rsidR="006814A4" w:rsidRPr="005F4F79" w:rsidRDefault="00BD00E5" w:rsidP="003858FA">
            <w:pPr>
              <w:ind w:leftChars="0" w:left="0" w:firstLineChars="0" w:firstLine="0"/>
              <w:jc w:val="center"/>
              <w:rPr>
                <w:rFonts w:ascii="Arial" w:hAnsi="Arial" w:cs="Arial"/>
                <w:sz w:val="20"/>
                <w:szCs w:val="20"/>
              </w:rPr>
            </w:pPr>
            <w:r w:rsidRPr="005F4F79">
              <w:rPr>
                <w:noProof/>
                <w:lang w:val="en-ID" w:eastAsia="en-ID"/>
              </w:rPr>
              <w:t xml:space="preserve"> </w:t>
            </w:r>
            <w:r w:rsidRPr="005F4F79">
              <w:rPr>
                <w:noProof/>
                <w:lang w:val="en-ID" w:eastAsia="en-ID"/>
              </w:rPr>
              <w:drawing>
                <wp:inline distT="0" distB="0" distL="0" distR="0" wp14:anchorId="0564F77E" wp14:editId="0D775D24">
                  <wp:extent cx="2489981" cy="1532296"/>
                  <wp:effectExtent l="0" t="0" r="5715" b="0"/>
                  <wp:docPr id="1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pic:cNvPicPr>
                            <a:picLocks noChangeAspect="1"/>
                          </pic:cNvPicPr>
                        </pic:nvPicPr>
                        <pic:blipFill>
                          <a:blip r:embed="rId26"/>
                          <a:stretch>
                            <a:fillRect/>
                          </a:stretch>
                        </pic:blipFill>
                        <pic:spPr>
                          <a:xfrm>
                            <a:off x="0" y="0"/>
                            <a:ext cx="2529646" cy="1556706"/>
                          </a:xfrm>
                          <a:prstGeom prst="rect">
                            <a:avLst/>
                          </a:prstGeom>
                        </pic:spPr>
                      </pic:pic>
                    </a:graphicData>
                  </a:graphic>
                </wp:inline>
              </w:drawing>
            </w:r>
          </w:p>
        </w:tc>
      </w:tr>
      <w:tr w:rsidR="006814A4" w:rsidTr="004829DB">
        <w:trPr>
          <w:jc w:val="center"/>
        </w:trPr>
        <w:tc>
          <w:tcPr>
            <w:tcW w:w="4704" w:type="dxa"/>
          </w:tcPr>
          <w:p w:rsidR="006814A4" w:rsidRPr="005F4F79" w:rsidRDefault="0096624B" w:rsidP="00586ADB">
            <w:pPr>
              <w:ind w:leftChars="0" w:left="0" w:firstLineChars="0" w:firstLine="0"/>
              <w:jc w:val="center"/>
              <w:rPr>
                <w:rFonts w:ascii="Arial" w:hAnsi="Arial" w:cs="Arial"/>
                <w:sz w:val="20"/>
                <w:szCs w:val="20"/>
              </w:rPr>
            </w:pPr>
            <w:r w:rsidRPr="005F4F79">
              <w:rPr>
                <w:rFonts w:ascii="Arial" w:hAnsi="Arial" w:cs="Arial"/>
                <w:sz w:val="20"/>
                <w:szCs w:val="20"/>
              </w:rPr>
              <w:t>(c)</w:t>
            </w:r>
          </w:p>
        </w:tc>
        <w:tc>
          <w:tcPr>
            <w:tcW w:w="4368" w:type="dxa"/>
          </w:tcPr>
          <w:p w:rsidR="00483745" w:rsidRPr="005F4F79" w:rsidRDefault="0096624B" w:rsidP="00483745">
            <w:pPr>
              <w:ind w:leftChars="0" w:left="0" w:firstLineChars="0" w:firstLine="0"/>
              <w:jc w:val="center"/>
              <w:rPr>
                <w:rFonts w:ascii="Arial" w:hAnsi="Arial" w:cs="Arial"/>
                <w:sz w:val="20"/>
                <w:szCs w:val="20"/>
              </w:rPr>
            </w:pPr>
            <w:r w:rsidRPr="005F4F79">
              <w:rPr>
                <w:rFonts w:ascii="Arial" w:hAnsi="Arial" w:cs="Arial"/>
                <w:sz w:val="20"/>
                <w:szCs w:val="20"/>
              </w:rPr>
              <w:t>(d)</w:t>
            </w:r>
          </w:p>
        </w:tc>
      </w:tr>
    </w:tbl>
    <w:p w:rsidR="00ED34D8" w:rsidRDefault="003814AB" w:rsidP="00ED34D8">
      <w:pPr>
        <w:spacing w:after="0" w:line="240" w:lineRule="auto"/>
        <w:ind w:leftChars="0" w:left="0" w:firstLineChars="0" w:firstLine="0"/>
        <w:jc w:val="center"/>
        <w:rPr>
          <w:rFonts w:ascii="Arial" w:hAnsi="Arial" w:cs="Arial"/>
          <w:sz w:val="20"/>
          <w:szCs w:val="20"/>
        </w:rPr>
      </w:pPr>
      <w:r w:rsidRPr="005F4F79">
        <w:rPr>
          <w:rFonts w:ascii="Arial" w:hAnsi="Arial" w:cs="Arial"/>
          <w:sz w:val="20"/>
          <w:szCs w:val="20"/>
        </w:rPr>
        <w:t>Figure 4. Residual Testing of SARIMA(0,0,0)(0,1,1)8 Mode</w:t>
      </w:r>
      <w:r w:rsidR="006814A4" w:rsidRPr="005F4F79">
        <w:rPr>
          <w:rFonts w:ascii="Arial" w:hAnsi="Arial" w:cs="Arial"/>
          <w:sz w:val="20"/>
          <w:szCs w:val="20"/>
        </w:rPr>
        <w:t>l</w:t>
      </w:r>
      <w:r w:rsidR="00E43A11">
        <w:rPr>
          <w:rFonts w:ascii="Arial" w:hAnsi="Arial" w:cs="Arial"/>
          <w:sz w:val="20"/>
          <w:szCs w:val="20"/>
        </w:rPr>
        <w:t xml:space="preserve"> (a) PACF, (b) PACF, (c) Normal Probability Plot, (d) </w:t>
      </w:r>
      <w:proofErr w:type="spellStart"/>
      <w:r w:rsidR="00E43A11">
        <w:rPr>
          <w:rFonts w:ascii="Arial" w:hAnsi="Arial" w:cs="Arial"/>
          <w:sz w:val="20"/>
          <w:szCs w:val="20"/>
        </w:rPr>
        <w:t>Ljung</w:t>
      </w:r>
      <w:proofErr w:type="spellEnd"/>
      <w:r w:rsidR="00E43A11">
        <w:rPr>
          <w:rFonts w:ascii="Arial" w:hAnsi="Arial" w:cs="Arial"/>
          <w:sz w:val="20"/>
          <w:szCs w:val="20"/>
        </w:rPr>
        <w:t>-Box Test</w:t>
      </w:r>
    </w:p>
    <w:p w:rsidR="004C16E7" w:rsidRDefault="004C16E7" w:rsidP="00ED34D8">
      <w:pPr>
        <w:spacing w:after="0" w:line="240" w:lineRule="auto"/>
        <w:ind w:leftChars="0" w:left="0" w:firstLineChars="0" w:firstLine="0"/>
        <w:jc w:val="center"/>
        <w:rPr>
          <w:rFonts w:ascii="Arial" w:hAnsi="Arial" w:cs="Arial"/>
          <w:sz w:val="20"/>
          <w:szCs w:val="20"/>
        </w:rPr>
      </w:pPr>
    </w:p>
    <w:p w:rsidR="00ED34D8" w:rsidRDefault="00ED34D8" w:rsidP="00ED34D8">
      <w:pPr>
        <w:spacing w:after="0" w:line="240" w:lineRule="auto"/>
        <w:ind w:leftChars="0" w:left="0" w:firstLineChars="0" w:firstLine="0"/>
        <w:rPr>
          <w:rFonts w:ascii="Arial" w:hAnsi="Arial" w:cs="Arial"/>
          <w:sz w:val="20"/>
          <w:szCs w:val="20"/>
        </w:rPr>
        <w:sectPr w:rsidR="00ED34D8" w:rsidSect="006814A4">
          <w:type w:val="continuous"/>
          <w:pgSz w:w="11907" w:h="16840"/>
          <w:pgMar w:top="1701" w:right="1134" w:bottom="1701" w:left="1701" w:header="680" w:footer="680" w:gutter="0"/>
          <w:cols w:space="284"/>
          <w:titlePg/>
        </w:sectPr>
      </w:pPr>
    </w:p>
    <w:p w:rsidR="00D61242" w:rsidRDefault="00D61242" w:rsidP="00ED34D8">
      <w:pPr>
        <w:pBdr>
          <w:top w:val="nil"/>
          <w:left w:val="nil"/>
          <w:bottom w:val="nil"/>
          <w:right w:val="nil"/>
          <w:between w:val="nil"/>
        </w:pBdr>
        <w:shd w:val="clear" w:color="auto" w:fill="FFFFFF"/>
        <w:spacing w:after="0" w:line="240" w:lineRule="auto"/>
        <w:ind w:leftChars="0" w:left="0" w:firstLineChars="0" w:firstLine="0"/>
        <w:jc w:val="both"/>
        <w:rPr>
          <w:rFonts w:ascii="Arial" w:eastAsia="Arial" w:hAnsi="Arial" w:cs="Arial"/>
          <w:color w:val="000000"/>
          <w:sz w:val="20"/>
          <w:szCs w:val="20"/>
        </w:rPr>
      </w:pPr>
      <w:r>
        <w:rPr>
          <w:rFonts w:ascii="Arial" w:eastAsia="Arial" w:hAnsi="Arial" w:cs="Arial"/>
          <w:b/>
          <w:color w:val="1F4E79"/>
          <w:sz w:val="20"/>
          <w:szCs w:val="20"/>
        </w:rPr>
        <w:t>Decomposition Forecast</w:t>
      </w:r>
      <w:r>
        <w:rPr>
          <w:rFonts w:ascii="Arial" w:eastAsia="Arial" w:hAnsi="Arial" w:cs="Arial"/>
          <w:color w:val="000000"/>
          <w:sz w:val="20"/>
          <w:szCs w:val="20"/>
        </w:rPr>
        <w:t xml:space="preserve"> </w:t>
      </w:r>
    </w:p>
    <w:p w:rsidR="00084789" w:rsidRDefault="00084789" w:rsidP="00504B7B">
      <w:pPr>
        <w:spacing w:after="0" w:line="240" w:lineRule="auto"/>
        <w:ind w:left="0" w:hanging="2"/>
        <w:jc w:val="both"/>
        <w:rPr>
          <w:rFonts w:ascii="Arial" w:hAnsi="Arial" w:cs="Arial"/>
          <w:sz w:val="20"/>
          <w:szCs w:val="20"/>
        </w:rPr>
        <w:sectPr w:rsidR="00084789" w:rsidSect="002076FA">
          <w:type w:val="continuous"/>
          <w:pgSz w:w="11907" w:h="16840"/>
          <w:pgMar w:top="1701" w:right="1134" w:bottom="1701" w:left="1701" w:header="680" w:footer="680" w:gutter="0"/>
          <w:cols w:num="2" w:space="284"/>
          <w:titlePg/>
        </w:sectPr>
      </w:pPr>
    </w:p>
    <w:p w:rsidR="003E78E0" w:rsidRDefault="00800D55" w:rsidP="00DD478D">
      <w:pPr>
        <w:spacing w:after="0" w:line="240" w:lineRule="auto"/>
        <w:ind w:left="0" w:hanging="2"/>
        <w:jc w:val="both"/>
        <w:rPr>
          <w:rFonts w:ascii="Arial" w:hAnsi="Arial" w:cs="Arial"/>
          <w:sz w:val="20"/>
          <w:szCs w:val="20"/>
        </w:rPr>
      </w:pPr>
      <w:r w:rsidRPr="00800D55">
        <w:rPr>
          <w:rFonts w:ascii="Arial" w:hAnsi="Arial" w:cs="Arial"/>
          <w:sz w:val="20"/>
          <w:szCs w:val="20"/>
        </w:rPr>
        <w:t xml:space="preserve">After running additive and multiplicative decomposition models </w:t>
      </w:r>
      <w:r w:rsidR="002A5D82">
        <w:rPr>
          <w:rFonts w:ascii="Arial" w:hAnsi="Arial" w:cs="Arial"/>
          <w:sz w:val="20"/>
          <w:szCs w:val="20"/>
        </w:rPr>
        <w:t xml:space="preserve">based on the formula (4) and (5), </w:t>
      </w:r>
      <w:r w:rsidRPr="00800D55">
        <w:rPr>
          <w:rFonts w:ascii="Arial" w:hAnsi="Arial" w:cs="Arial"/>
          <w:sz w:val="20"/>
          <w:szCs w:val="20"/>
        </w:rPr>
        <w:t xml:space="preserve">and </w:t>
      </w:r>
      <w:r w:rsidR="002A5D82">
        <w:rPr>
          <w:rFonts w:ascii="Arial" w:hAnsi="Arial" w:cs="Arial"/>
          <w:sz w:val="20"/>
          <w:szCs w:val="20"/>
        </w:rPr>
        <w:t xml:space="preserve">later </w:t>
      </w:r>
      <w:r w:rsidRPr="00800D55">
        <w:rPr>
          <w:rFonts w:ascii="Arial" w:hAnsi="Arial" w:cs="Arial"/>
          <w:sz w:val="20"/>
          <w:szCs w:val="20"/>
        </w:rPr>
        <w:t xml:space="preserve">checking the </w:t>
      </w:r>
      <w:r w:rsidR="0024410E">
        <w:rPr>
          <w:rFonts w:ascii="Arial" w:hAnsi="Arial" w:cs="Arial"/>
          <w:sz w:val="20"/>
          <w:szCs w:val="20"/>
        </w:rPr>
        <w:t>residual</w:t>
      </w:r>
      <w:r w:rsidRPr="00800D55">
        <w:rPr>
          <w:rFonts w:ascii="Arial" w:hAnsi="Arial" w:cs="Arial"/>
          <w:sz w:val="20"/>
          <w:szCs w:val="20"/>
        </w:rPr>
        <w:t xml:space="preserve"> </w:t>
      </w:r>
      <w:r w:rsidR="003858FA">
        <w:rPr>
          <w:rFonts w:ascii="Arial" w:hAnsi="Arial" w:cs="Arial"/>
          <w:sz w:val="20"/>
          <w:szCs w:val="20"/>
        </w:rPr>
        <w:t xml:space="preserve">or random </w:t>
      </w:r>
      <w:r w:rsidRPr="00800D55">
        <w:rPr>
          <w:rFonts w:ascii="Arial" w:hAnsi="Arial" w:cs="Arial"/>
          <w:sz w:val="20"/>
          <w:szCs w:val="20"/>
        </w:rPr>
        <w:t>assumptions</w:t>
      </w:r>
      <w:r w:rsidR="002A5D82">
        <w:rPr>
          <w:rFonts w:ascii="Arial" w:hAnsi="Arial" w:cs="Arial"/>
          <w:sz w:val="20"/>
          <w:szCs w:val="20"/>
        </w:rPr>
        <w:t xml:space="preserve"> for both models</w:t>
      </w:r>
      <w:r w:rsidRPr="00800D55">
        <w:rPr>
          <w:rFonts w:ascii="Arial" w:hAnsi="Arial" w:cs="Arial"/>
          <w:sz w:val="20"/>
          <w:szCs w:val="20"/>
        </w:rPr>
        <w:t xml:space="preserve">, only </w:t>
      </w:r>
      <w:r w:rsidR="00D15141">
        <w:rPr>
          <w:rFonts w:ascii="Arial" w:hAnsi="Arial" w:cs="Arial"/>
          <w:sz w:val="20"/>
          <w:szCs w:val="20"/>
        </w:rPr>
        <w:t xml:space="preserve">the </w:t>
      </w:r>
      <w:r w:rsidRPr="00800D55">
        <w:rPr>
          <w:rFonts w:ascii="Arial" w:hAnsi="Arial" w:cs="Arial"/>
          <w:sz w:val="20"/>
          <w:szCs w:val="20"/>
        </w:rPr>
        <w:t xml:space="preserve">multiplicative </w:t>
      </w:r>
      <w:r w:rsidR="00D15141">
        <w:rPr>
          <w:rFonts w:ascii="Arial" w:hAnsi="Arial" w:cs="Arial"/>
          <w:sz w:val="20"/>
          <w:szCs w:val="20"/>
        </w:rPr>
        <w:t xml:space="preserve">model </w:t>
      </w:r>
      <w:r w:rsidRPr="00800D55">
        <w:rPr>
          <w:rFonts w:ascii="Arial" w:hAnsi="Arial" w:cs="Arial"/>
          <w:sz w:val="20"/>
          <w:szCs w:val="20"/>
        </w:rPr>
        <w:t>meet</w:t>
      </w:r>
      <w:r w:rsidR="00D15141">
        <w:rPr>
          <w:rFonts w:ascii="Arial" w:hAnsi="Arial" w:cs="Arial"/>
          <w:sz w:val="20"/>
          <w:szCs w:val="20"/>
        </w:rPr>
        <w:t>s</w:t>
      </w:r>
      <w:r w:rsidR="001427A4">
        <w:rPr>
          <w:rFonts w:ascii="Arial" w:hAnsi="Arial" w:cs="Arial"/>
          <w:sz w:val="20"/>
          <w:szCs w:val="20"/>
        </w:rPr>
        <w:t xml:space="preserve"> this assumption. Figure</w:t>
      </w:r>
      <w:r w:rsidR="00D15141">
        <w:rPr>
          <w:rFonts w:ascii="Arial" w:hAnsi="Arial" w:cs="Arial"/>
          <w:sz w:val="20"/>
          <w:szCs w:val="20"/>
        </w:rPr>
        <w:t>s</w:t>
      </w:r>
      <w:r w:rsidRPr="00800D55">
        <w:rPr>
          <w:rFonts w:ascii="Arial" w:hAnsi="Arial" w:cs="Arial"/>
          <w:sz w:val="20"/>
          <w:szCs w:val="20"/>
        </w:rPr>
        <w:t xml:space="preserve"> 5 </w:t>
      </w:r>
      <w:r w:rsidR="001427A4">
        <w:rPr>
          <w:rFonts w:ascii="Arial" w:hAnsi="Arial" w:cs="Arial"/>
          <w:sz w:val="20"/>
          <w:szCs w:val="20"/>
        </w:rPr>
        <w:t>and 6 g</w:t>
      </w:r>
      <w:r w:rsidRPr="00800D55">
        <w:rPr>
          <w:rFonts w:ascii="Arial" w:hAnsi="Arial" w:cs="Arial"/>
          <w:sz w:val="20"/>
          <w:szCs w:val="20"/>
        </w:rPr>
        <w:t>ive information about</w:t>
      </w:r>
      <w:r w:rsidR="00D15141">
        <w:rPr>
          <w:rFonts w:ascii="Arial" w:hAnsi="Arial" w:cs="Arial"/>
          <w:sz w:val="20"/>
          <w:szCs w:val="20"/>
        </w:rPr>
        <w:t xml:space="preserve"> the test of</w:t>
      </w:r>
      <w:r w:rsidRPr="00800D55">
        <w:rPr>
          <w:rFonts w:ascii="Arial" w:hAnsi="Arial" w:cs="Arial"/>
          <w:sz w:val="20"/>
          <w:szCs w:val="20"/>
        </w:rPr>
        <w:t xml:space="preserve"> both decomposition models using Kolmogorov-Smirnov Test. </w:t>
      </w:r>
      <w:r w:rsidR="00355362">
        <w:rPr>
          <w:rFonts w:ascii="Arial" w:hAnsi="Arial" w:cs="Arial"/>
          <w:sz w:val="20"/>
          <w:szCs w:val="20"/>
        </w:rPr>
        <w:t>Figure 6 shows that t</w:t>
      </w:r>
      <w:r w:rsidR="003E78E0" w:rsidRPr="00504B7B">
        <w:rPr>
          <w:rFonts w:ascii="Arial" w:hAnsi="Arial" w:cs="Arial"/>
          <w:sz w:val="20"/>
          <w:szCs w:val="20"/>
        </w:rPr>
        <w:t xml:space="preserve">he distribution of </w:t>
      </w:r>
      <w:r w:rsidR="003E78E0">
        <w:rPr>
          <w:rFonts w:ascii="Arial" w:hAnsi="Arial" w:cs="Arial"/>
          <w:sz w:val="20"/>
          <w:szCs w:val="20"/>
        </w:rPr>
        <w:t xml:space="preserve">residual in </w:t>
      </w:r>
      <w:r w:rsidR="00D15141">
        <w:rPr>
          <w:rFonts w:ascii="Arial" w:hAnsi="Arial" w:cs="Arial"/>
          <w:sz w:val="20"/>
          <w:szCs w:val="20"/>
        </w:rPr>
        <w:t xml:space="preserve">the </w:t>
      </w:r>
      <w:r w:rsidR="003E78E0">
        <w:rPr>
          <w:rFonts w:ascii="Arial" w:hAnsi="Arial" w:cs="Arial"/>
          <w:sz w:val="20"/>
          <w:szCs w:val="20"/>
        </w:rPr>
        <w:t xml:space="preserve">multiplicative model </w:t>
      </w:r>
      <w:r w:rsidR="003E78E0" w:rsidRPr="00504B7B">
        <w:rPr>
          <w:rFonts w:ascii="Arial" w:hAnsi="Arial" w:cs="Arial"/>
          <w:sz w:val="20"/>
          <w:szCs w:val="20"/>
        </w:rPr>
        <w:t xml:space="preserve">is normal and </w:t>
      </w:r>
      <w:r w:rsidR="003E78E0">
        <w:rPr>
          <w:rFonts w:ascii="Arial" w:hAnsi="Arial" w:cs="Arial"/>
          <w:sz w:val="20"/>
          <w:szCs w:val="20"/>
        </w:rPr>
        <w:t xml:space="preserve">its </w:t>
      </w:r>
      <w:r w:rsidR="003E78E0" w:rsidRPr="00504B7B">
        <w:rPr>
          <w:rFonts w:ascii="Arial" w:hAnsi="Arial" w:cs="Arial"/>
          <w:sz w:val="20"/>
          <w:szCs w:val="20"/>
        </w:rPr>
        <w:t xml:space="preserve">mean </w:t>
      </w:r>
      <w:r w:rsidR="003E78E0">
        <w:rPr>
          <w:rFonts w:ascii="Arial" w:hAnsi="Arial" w:cs="Arial"/>
          <w:sz w:val="20"/>
          <w:szCs w:val="20"/>
        </w:rPr>
        <w:t>is</w:t>
      </w:r>
      <w:r w:rsidR="003E78E0" w:rsidRPr="00504B7B">
        <w:rPr>
          <w:rFonts w:ascii="Arial" w:hAnsi="Arial" w:cs="Arial"/>
          <w:sz w:val="20"/>
          <w:szCs w:val="20"/>
        </w:rPr>
        <w:t xml:space="preserve"> nearly 1</w:t>
      </w:r>
      <w:r w:rsidR="00355362">
        <w:rPr>
          <w:rFonts w:ascii="Arial" w:hAnsi="Arial" w:cs="Arial"/>
          <w:sz w:val="20"/>
          <w:szCs w:val="20"/>
        </w:rPr>
        <w:t xml:space="preserve">, which </w:t>
      </w:r>
      <w:r w:rsidR="009274C2">
        <w:rPr>
          <w:rFonts w:ascii="Arial" w:hAnsi="Arial" w:cs="Arial"/>
          <w:sz w:val="20"/>
          <w:szCs w:val="20"/>
        </w:rPr>
        <w:t>fulfills</w:t>
      </w:r>
      <w:r w:rsidR="00355362">
        <w:rPr>
          <w:rFonts w:ascii="Arial" w:hAnsi="Arial" w:cs="Arial"/>
          <w:sz w:val="20"/>
          <w:szCs w:val="20"/>
        </w:rPr>
        <w:t xml:space="preserve"> the residual assumption</w:t>
      </w:r>
      <w:r w:rsidR="00BD737A">
        <w:rPr>
          <w:rFonts w:ascii="Arial" w:hAnsi="Arial" w:cs="Arial"/>
          <w:sz w:val="20"/>
          <w:szCs w:val="20"/>
        </w:rPr>
        <w:t xml:space="preserve"> for </w:t>
      </w:r>
      <w:r w:rsidR="009274C2">
        <w:rPr>
          <w:rFonts w:ascii="Arial" w:hAnsi="Arial" w:cs="Arial"/>
          <w:sz w:val="20"/>
          <w:szCs w:val="20"/>
        </w:rPr>
        <w:t xml:space="preserve">the </w:t>
      </w:r>
      <w:r w:rsidR="00BD737A">
        <w:rPr>
          <w:rFonts w:ascii="Arial" w:hAnsi="Arial" w:cs="Arial"/>
          <w:sz w:val="20"/>
          <w:szCs w:val="20"/>
        </w:rPr>
        <w:t>multiplicative decomposition model</w:t>
      </w:r>
      <w:r w:rsidR="00355362">
        <w:rPr>
          <w:rFonts w:ascii="Arial" w:hAnsi="Arial" w:cs="Arial"/>
          <w:sz w:val="20"/>
          <w:szCs w:val="20"/>
        </w:rPr>
        <w:t xml:space="preserve">. </w:t>
      </w:r>
      <w:r w:rsidR="00BD737A">
        <w:rPr>
          <w:rFonts w:ascii="Arial" w:hAnsi="Arial" w:cs="Arial"/>
          <w:sz w:val="20"/>
          <w:szCs w:val="20"/>
        </w:rPr>
        <w:t xml:space="preserve">Figure 5 shows that </w:t>
      </w:r>
      <w:r w:rsidR="009274C2">
        <w:rPr>
          <w:rFonts w:ascii="Arial" w:hAnsi="Arial" w:cs="Arial"/>
          <w:sz w:val="20"/>
          <w:szCs w:val="20"/>
        </w:rPr>
        <w:t xml:space="preserve">the </w:t>
      </w:r>
      <w:r w:rsidR="00BD737A">
        <w:rPr>
          <w:rFonts w:ascii="Arial" w:hAnsi="Arial" w:cs="Arial"/>
          <w:sz w:val="20"/>
          <w:szCs w:val="20"/>
        </w:rPr>
        <w:t>residual test</w:t>
      </w:r>
      <w:r w:rsidR="00935F27">
        <w:rPr>
          <w:rFonts w:ascii="Arial" w:hAnsi="Arial" w:cs="Arial"/>
          <w:sz w:val="20"/>
          <w:szCs w:val="20"/>
        </w:rPr>
        <w:t xml:space="preserve"> for additive decomposition </w:t>
      </w:r>
      <w:proofErr w:type="spellStart"/>
      <w:r w:rsidR="00935F27">
        <w:rPr>
          <w:rFonts w:ascii="Arial" w:hAnsi="Arial" w:cs="Arial"/>
          <w:sz w:val="20"/>
          <w:szCs w:val="20"/>
        </w:rPr>
        <w:t xml:space="preserve">can </w:t>
      </w:r>
      <w:r w:rsidR="00BD737A">
        <w:rPr>
          <w:rFonts w:ascii="Arial" w:hAnsi="Arial" w:cs="Arial"/>
          <w:sz w:val="20"/>
          <w:szCs w:val="20"/>
        </w:rPr>
        <w:t>not</w:t>
      </w:r>
      <w:proofErr w:type="spellEnd"/>
      <w:r w:rsidR="00BD737A">
        <w:rPr>
          <w:rFonts w:ascii="Arial" w:hAnsi="Arial" w:cs="Arial"/>
          <w:sz w:val="20"/>
          <w:szCs w:val="20"/>
        </w:rPr>
        <w:t xml:space="preserve"> meet its residual assumption. A</w:t>
      </w:r>
      <w:r w:rsidR="003E78E0">
        <w:rPr>
          <w:rFonts w:ascii="Arial" w:hAnsi="Arial" w:cs="Arial"/>
          <w:sz w:val="20"/>
          <w:szCs w:val="20"/>
        </w:rPr>
        <w:t>lthough the residual distribution is normal, its mean is around -1.47</w:t>
      </w:r>
      <w:r w:rsidR="006E2D5C">
        <w:rPr>
          <w:rFonts w:ascii="Arial" w:hAnsi="Arial" w:cs="Arial"/>
          <w:sz w:val="20"/>
          <w:szCs w:val="20"/>
        </w:rPr>
        <w:t>, which is far from 0</w:t>
      </w:r>
      <w:r w:rsidR="0024410E">
        <w:rPr>
          <w:rFonts w:ascii="Arial" w:hAnsi="Arial" w:cs="Arial"/>
          <w:sz w:val="20"/>
          <w:szCs w:val="20"/>
        </w:rPr>
        <w:t>. C</w:t>
      </w:r>
      <w:r w:rsidR="003E78E0">
        <w:rPr>
          <w:rFonts w:ascii="Arial" w:hAnsi="Arial" w:cs="Arial"/>
          <w:sz w:val="20"/>
          <w:szCs w:val="20"/>
        </w:rPr>
        <w:t>onsequently</w:t>
      </w:r>
      <w:r w:rsidR="0024410E">
        <w:rPr>
          <w:rFonts w:ascii="Arial" w:hAnsi="Arial" w:cs="Arial"/>
          <w:sz w:val="20"/>
          <w:szCs w:val="20"/>
        </w:rPr>
        <w:t xml:space="preserve">, </w:t>
      </w:r>
      <w:r w:rsidR="003E78E0">
        <w:rPr>
          <w:rFonts w:ascii="Arial" w:hAnsi="Arial" w:cs="Arial"/>
          <w:sz w:val="20"/>
          <w:szCs w:val="20"/>
        </w:rPr>
        <w:t>the</w:t>
      </w:r>
      <w:r w:rsidR="00355362">
        <w:rPr>
          <w:rFonts w:ascii="Arial" w:hAnsi="Arial" w:cs="Arial"/>
          <w:sz w:val="20"/>
          <w:szCs w:val="20"/>
        </w:rPr>
        <w:t xml:space="preserve"> residual</w:t>
      </w:r>
      <w:r w:rsidR="006E2D5C">
        <w:rPr>
          <w:rFonts w:ascii="Arial" w:hAnsi="Arial" w:cs="Arial"/>
          <w:sz w:val="20"/>
          <w:szCs w:val="20"/>
        </w:rPr>
        <w:t xml:space="preserve"> </w:t>
      </w:r>
      <w:r w:rsidR="003E78E0">
        <w:rPr>
          <w:rFonts w:ascii="Arial" w:hAnsi="Arial" w:cs="Arial"/>
          <w:sz w:val="20"/>
          <w:szCs w:val="20"/>
        </w:rPr>
        <w:t xml:space="preserve">assumption </w:t>
      </w:r>
      <w:r w:rsidR="00355362">
        <w:rPr>
          <w:rFonts w:ascii="Arial" w:hAnsi="Arial" w:cs="Arial"/>
          <w:sz w:val="20"/>
          <w:szCs w:val="20"/>
        </w:rPr>
        <w:t xml:space="preserve">of </w:t>
      </w:r>
      <w:r w:rsidR="009274C2">
        <w:rPr>
          <w:rFonts w:ascii="Arial" w:hAnsi="Arial" w:cs="Arial"/>
          <w:sz w:val="20"/>
          <w:szCs w:val="20"/>
        </w:rPr>
        <w:t xml:space="preserve">the </w:t>
      </w:r>
      <w:r w:rsidR="00355362">
        <w:rPr>
          <w:rFonts w:ascii="Arial" w:hAnsi="Arial" w:cs="Arial"/>
          <w:sz w:val="20"/>
          <w:szCs w:val="20"/>
        </w:rPr>
        <w:t xml:space="preserve">additive model </w:t>
      </w:r>
      <w:r w:rsidR="003E78E0">
        <w:rPr>
          <w:rFonts w:ascii="Arial" w:hAnsi="Arial" w:cs="Arial"/>
          <w:sz w:val="20"/>
          <w:szCs w:val="20"/>
        </w:rPr>
        <w:t>is not satisfied</w:t>
      </w:r>
      <w:r w:rsidR="000D229E">
        <w:rPr>
          <w:rFonts w:ascii="Arial" w:hAnsi="Arial" w:cs="Arial"/>
          <w:sz w:val="20"/>
          <w:szCs w:val="20"/>
        </w:rPr>
        <w:t>. Hence we only use the multiplicative to forecast.</w:t>
      </w:r>
    </w:p>
    <w:p w:rsidR="00965D7D" w:rsidRPr="00504B7B" w:rsidRDefault="00965D7D" w:rsidP="001427A4">
      <w:pPr>
        <w:spacing w:after="0" w:line="240" w:lineRule="auto"/>
        <w:ind w:left="0" w:hanging="2"/>
        <w:jc w:val="both"/>
        <w:rPr>
          <w:rFonts w:ascii="Arial" w:eastAsiaTheme="minorEastAsia" w:hAnsi="Arial" w:cs="Arial"/>
          <w:sz w:val="20"/>
          <w:szCs w:val="20"/>
        </w:rPr>
      </w:pPr>
    </w:p>
    <w:p w:rsidR="00F407F0" w:rsidRDefault="00504B7B" w:rsidP="00800D55">
      <w:pPr>
        <w:spacing w:after="0" w:line="240" w:lineRule="auto"/>
        <w:ind w:left="0" w:hanging="2"/>
        <w:rPr>
          <w:rFonts w:ascii="Arial" w:hAnsi="Arial" w:cs="Arial"/>
          <w:sz w:val="20"/>
          <w:szCs w:val="20"/>
        </w:rPr>
      </w:pPr>
      <w:r w:rsidRPr="00504B7B">
        <w:rPr>
          <w:rFonts w:ascii="Arial" w:hAnsi="Arial" w:cs="Arial"/>
          <w:sz w:val="20"/>
          <w:szCs w:val="20"/>
        </w:rPr>
        <w:t xml:space="preserve"> </w:t>
      </w:r>
      <w:r w:rsidR="001427A4">
        <w:rPr>
          <w:noProof/>
          <w:lang w:val="en-ID" w:eastAsia="en-ID"/>
        </w:rPr>
        <w:drawing>
          <wp:inline distT="0" distB="0" distL="0" distR="0" wp14:anchorId="067FFD1A" wp14:editId="771D6F56">
            <wp:extent cx="2686050" cy="1523817"/>
            <wp:effectExtent l="0" t="0" r="0" b="63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2712035" cy="1538558"/>
                    </a:xfrm>
                    <a:prstGeom prst="rect">
                      <a:avLst/>
                    </a:prstGeom>
                  </pic:spPr>
                </pic:pic>
              </a:graphicData>
            </a:graphic>
          </wp:inline>
        </w:drawing>
      </w:r>
    </w:p>
    <w:p w:rsidR="00F407F0" w:rsidRDefault="00DD478D" w:rsidP="00F407F0">
      <w:pPr>
        <w:spacing w:after="0" w:line="240" w:lineRule="auto"/>
        <w:ind w:left="0" w:hanging="2"/>
        <w:jc w:val="center"/>
        <w:rPr>
          <w:rFonts w:ascii="Arial" w:hAnsi="Arial" w:cs="Arial"/>
          <w:sz w:val="20"/>
          <w:szCs w:val="20"/>
        </w:rPr>
      </w:pPr>
      <w:r>
        <w:rPr>
          <w:rFonts w:ascii="Arial" w:hAnsi="Arial" w:cs="Arial"/>
          <w:sz w:val="20"/>
          <w:szCs w:val="20"/>
        </w:rPr>
        <w:t xml:space="preserve">Figure 5. </w:t>
      </w:r>
      <w:r w:rsidR="001427A4">
        <w:rPr>
          <w:rFonts w:ascii="Arial" w:hAnsi="Arial" w:cs="Arial"/>
          <w:sz w:val="20"/>
          <w:szCs w:val="20"/>
        </w:rPr>
        <w:t xml:space="preserve">Additive </w:t>
      </w:r>
      <w:r>
        <w:rPr>
          <w:rFonts w:ascii="Arial" w:hAnsi="Arial" w:cs="Arial"/>
          <w:sz w:val="20"/>
          <w:szCs w:val="20"/>
        </w:rPr>
        <w:t>Decomposition Residual Test</w:t>
      </w:r>
    </w:p>
    <w:p w:rsidR="00DF5D0E" w:rsidRPr="00D77A27" w:rsidRDefault="00DF5D0E" w:rsidP="00F407F0">
      <w:pPr>
        <w:spacing w:after="0" w:line="240" w:lineRule="auto"/>
        <w:ind w:left="0" w:hanging="2"/>
        <w:jc w:val="center"/>
        <w:rPr>
          <w:rFonts w:ascii="Arial" w:hAnsi="Arial" w:cs="Arial"/>
          <w:sz w:val="20"/>
          <w:szCs w:val="20"/>
        </w:rPr>
      </w:pPr>
    </w:p>
    <w:p w:rsidR="00F407F0" w:rsidRPr="00D77A27" w:rsidRDefault="00F407F0" w:rsidP="00585FF8">
      <w:pPr>
        <w:spacing w:after="0" w:line="240" w:lineRule="auto"/>
        <w:ind w:left="0" w:hanging="2"/>
        <w:jc w:val="center"/>
        <w:rPr>
          <w:rFonts w:ascii="Arial" w:hAnsi="Arial" w:cs="Arial"/>
          <w:sz w:val="20"/>
          <w:szCs w:val="20"/>
        </w:rPr>
      </w:pPr>
      <w:r>
        <w:rPr>
          <w:noProof/>
          <w:lang w:val="en-ID" w:eastAsia="en-ID"/>
        </w:rPr>
        <w:lastRenderedPageBreak/>
        <w:drawing>
          <wp:inline distT="0" distB="0" distL="0" distR="0" wp14:anchorId="5C7BFB1E" wp14:editId="1B5D8EEF">
            <wp:extent cx="2651760" cy="1528011"/>
            <wp:effectExtent l="0" t="0" r="0" b="0"/>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2651760" cy="1528011"/>
                    </a:xfrm>
                    <a:prstGeom prst="rect">
                      <a:avLst/>
                    </a:prstGeom>
                  </pic:spPr>
                </pic:pic>
              </a:graphicData>
            </a:graphic>
          </wp:inline>
        </w:drawing>
      </w:r>
    </w:p>
    <w:p w:rsidR="00F407F0" w:rsidRDefault="00F407F0" w:rsidP="00F407F0">
      <w:pPr>
        <w:spacing w:after="0" w:line="240" w:lineRule="auto"/>
        <w:ind w:left="0" w:hanging="2"/>
        <w:jc w:val="center"/>
        <w:rPr>
          <w:rFonts w:ascii="Arial" w:hAnsi="Arial" w:cs="Arial"/>
          <w:sz w:val="20"/>
          <w:szCs w:val="20"/>
        </w:rPr>
      </w:pPr>
      <w:r w:rsidRPr="000E3486">
        <w:rPr>
          <w:rFonts w:ascii="Arial" w:hAnsi="Arial" w:cs="Arial"/>
          <w:sz w:val="20"/>
          <w:szCs w:val="20"/>
        </w:rPr>
        <w:t>Fi</w:t>
      </w:r>
      <w:r w:rsidR="001427A4">
        <w:rPr>
          <w:rFonts w:ascii="Arial" w:hAnsi="Arial" w:cs="Arial"/>
          <w:sz w:val="20"/>
          <w:szCs w:val="20"/>
        </w:rPr>
        <w:t>gure 6</w:t>
      </w:r>
      <w:r w:rsidRPr="000E3486">
        <w:rPr>
          <w:rFonts w:ascii="Arial" w:hAnsi="Arial" w:cs="Arial"/>
          <w:sz w:val="20"/>
          <w:szCs w:val="20"/>
        </w:rPr>
        <w:t xml:space="preserve">. </w:t>
      </w:r>
      <w:r w:rsidR="001427A4">
        <w:rPr>
          <w:rFonts w:ascii="Arial" w:hAnsi="Arial" w:cs="Arial"/>
          <w:sz w:val="20"/>
          <w:szCs w:val="20"/>
        </w:rPr>
        <w:t>Mul</w:t>
      </w:r>
      <w:r w:rsidR="00DD478D">
        <w:rPr>
          <w:rFonts w:ascii="Arial" w:hAnsi="Arial" w:cs="Arial"/>
          <w:sz w:val="20"/>
          <w:szCs w:val="20"/>
        </w:rPr>
        <w:t>tiplicative Decomposition Residual Test</w:t>
      </w:r>
    </w:p>
    <w:p w:rsidR="00DD478D" w:rsidRDefault="00DD478D" w:rsidP="00F407F0">
      <w:pPr>
        <w:spacing w:after="0" w:line="240" w:lineRule="auto"/>
        <w:ind w:left="0" w:hanging="2"/>
        <w:jc w:val="center"/>
        <w:rPr>
          <w:rFonts w:ascii="Arial" w:hAnsi="Arial" w:cs="Arial"/>
          <w:sz w:val="20"/>
          <w:szCs w:val="20"/>
        </w:rPr>
      </w:pPr>
    </w:p>
    <w:p w:rsidR="00B939A3" w:rsidRDefault="00F407F0" w:rsidP="00DD478D">
      <w:pPr>
        <w:spacing w:after="0" w:line="240" w:lineRule="auto"/>
        <w:ind w:left="0" w:hanging="2"/>
        <w:jc w:val="both"/>
        <w:rPr>
          <w:rFonts w:ascii="Arial" w:hAnsi="Arial" w:cs="Arial"/>
          <w:sz w:val="20"/>
          <w:szCs w:val="20"/>
        </w:rPr>
      </w:pPr>
      <w:r w:rsidRPr="009067E3">
        <w:rPr>
          <w:rFonts w:ascii="Arial" w:hAnsi="Arial" w:cs="Arial"/>
          <w:sz w:val="20"/>
          <w:szCs w:val="20"/>
        </w:rPr>
        <w:t>Figure</w:t>
      </w:r>
      <w:r w:rsidR="001427A4">
        <w:rPr>
          <w:rFonts w:ascii="Arial" w:hAnsi="Arial" w:cs="Arial"/>
          <w:sz w:val="20"/>
          <w:szCs w:val="20"/>
        </w:rPr>
        <w:t xml:space="preserve"> 7</w:t>
      </w:r>
      <w:r w:rsidRPr="009067E3">
        <w:rPr>
          <w:rFonts w:ascii="Arial" w:hAnsi="Arial" w:cs="Arial"/>
          <w:sz w:val="20"/>
          <w:szCs w:val="20"/>
        </w:rPr>
        <w:t xml:space="preserve"> shows the result of multiplicative decomposition in sugar sales. This figure has not shown the</w:t>
      </w:r>
      <w:r w:rsidR="00355362">
        <w:rPr>
          <w:rFonts w:ascii="Arial" w:hAnsi="Arial" w:cs="Arial"/>
          <w:sz w:val="20"/>
          <w:szCs w:val="20"/>
        </w:rPr>
        <w:t xml:space="preserve"> forecast value yet, but it</w:t>
      </w:r>
      <w:r w:rsidRPr="009067E3">
        <w:rPr>
          <w:rFonts w:ascii="Arial" w:hAnsi="Arial" w:cs="Arial"/>
          <w:sz w:val="20"/>
          <w:szCs w:val="20"/>
        </w:rPr>
        <w:t xml:space="preserve"> shows each decomposition pattern of the data. The decomposition not only can be used to help </w:t>
      </w:r>
      <w:r w:rsidRPr="009067E3">
        <w:rPr>
          <w:rFonts w:ascii="Arial" w:hAnsi="Arial" w:cs="Arial"/>
          <w:sz w:val="20"/>
          <w:szCs w:val="20"/>
        </w:rPr>
        <w:t>forecast but also can be used to explore and understand the data pattern.</w:t>
      </w:r>
      <w:r w:rsidR="003E78E0">
        <w:rPr>
          <w:rFonts w:ascii="Arial" w:hAnsi="Arial" w:cs="Arial"/>
          <w:sz w:val="20"/>
          <w:szCs w:val="20"/>
        </w:rPr>
        <w:t xml:space="preserve"> </w:t>
      </w:r>
      <w:r w:rsidR="00DD478D">
        <w:rPr>
          <w:rFonts w:ascii="Arial" w:hAnsi="Arial" w:cs="Arial"/>
          <w:sz w:val="20"/>
          <w:szCs w:val="20"/>
        </w:rPr>
        <w:t xml:space="preserve"> </w:t>
      </w:r>
      <w:r w:rsidR="007554B5">
        <w:rPr>
          <w:rFonts w:ascii="Arial" w:hAnsi="Arial" w:cs="Arial"/>
          <w:sz w:val="20"/>
          <w:szCs w:val="20"/>
        </w:rPr>
        <w:t>From Figure 7 in the observed data, it can be seen that the initial data does not have constant var</w:t>
      </w:r>
      <w:r w:rsidR="004841A1">
        <w:rPr>
          <w:rFonts w:ascii="Arial" w:hAnsi="Arial" w:cs="Arial"/>
          <w:sz w:val="20"/>
          <w:szCs w:val="20"/>
        </w:rPr>
        <w:t>iability over time;</w:t>
      </w:r>
      <w:r w:rsidR="007554B5">
        <w:rPr>
          <w:rFonts w:ascii="Arial" w:hAnsi="Arial" w:cs="Arial"/>
          <w:sz w:val="20"/>
          <w:szCs w:val="20"/>
        </w:rPr>
        <w:t xml:space="preserve"> thus it makes sense that the multiplicative decomposition serves better than additive decomposition</w:t>
      </w:r>
      <w:r w:rsidR="004841A1">
        <w:rPr>
          <w:rFonts w:ascii="Arial" w:hAnsi="Arial" w:cs="Arial"/>
          <w:sz w:val="20"/>
          <w:szCs w:val="20"/>
        </w:rPr>
        <w:t xml:space="preserve"> </w:t>
      </w:r>
      <w:r w:rsidR="004841A1">
        <w:rPr>
          <w:rFonts w:ascii="Arial" w:hAnsi="Arial" w:cs="Arial"/>
          <w:sz w:val="20"/>
          <w:szCs w:val="20"/>
        </w:rPr>
        <w:fldChar w:fldCharType="begin" w:fldLock="1"/>
      </w:r>
      <w:r w:rsidR="00E642B9">
        <w:rPr>
          <w:rFonts w:ascii="Arial" w:hAnsi="Arial" w:cs="Arial"/>
          <w:sz w:val="20"/>
          <w:szCs w:val="20"/>
        </w:rPr>
        <w:instrText>ADDIN CSL_CITATION {"citationItems":[{"id":"ITEM-1","itemData":{"DOI":"10.4236/oalib.1106435","ISSN":"2333-9721","abstract":"This paper demonstrates the use of Buys-Ballot table for identification of decomposition model using graphical method, when the trend cycle component is quadratic. A suitable ARIMA model was fitted, and was used for forecasting. Using the Buys-Ballot techniques, the column means, variances and standard deviation were estimated for the model identification. The additive model had no seasonal effect but, the multiplicative model had seasonal effect. The result of the illustrative example using the data of Nigeria Spot component price of oil (US Dollar per Barrel) showed the additive model to be the appropriate model for decomposition of this series. AR(2) model was identified as a suitable ARIMA model for the de-trended Nigeria Spot component price of oil. This was used to make forecast for the next twelve months. The obtained expected oil prices were compared with the observed prices. The comparison of expected and observed prices showed no significance difference between them, using Mean Absolute Percentage Error (MAPE).","author":[{"dropping-particle":"","family":"Emmanuel","given":"Biu O.","non-dropping-particle":"","parse-names":false,"suffix":""},{"dropping-particle":"","family":"Enegesele","given":"Dennis","non-dropping-particle":"","parse-names":false,"suffix":""},{"dropping-particle":"","family":"Arimie","given":"C. O.","non-dropping-particle":"","parse-names":false,"suffix":""}],"container-title":"OALib","id":"ITEM-1","issue":"07","issued":{"date-parts":[["2020"]]},"page":"1-20","title":"Additive Decomposition with Arima Model Forecasts When the Trend Component Is Quadratic","type":"article-journal","volume":"07"},"uris":["http://www.mendeley.com/documents/?uuid=9babbbcb-86ef-48a8-b678-8c05e713f95d"]}],"mendeley":{"formattedCitation":"[9]","plainTextFormattedCitation":"[9]","previouslyFormattedCitation":"[9]"},"properties":{"noteIndex":0},"schema":"https://github.com/citation-style-language/schema/raw/master/csl-citation.json"}</w:instrText>
      </w:r>
      <w:r w:rsidR="004841A1">
        <w:rPr>
          <w:rFonts w:ascii="Arial" w:hAnsi="Arial" w:cs="Arial"/>
          <w:sz w:val="20"/>
          <w:szCs w:val="20"/>
        </w:rPr>
        <w:fldChar w:fldCharType="separate"/>
      </w:r>
      <w:r w:rsidR="004841A1" w:rsidRPr="004841A1">
        <w:rPr>
          <w:rFonts w:ascii="Arial" w:hAnsi="Arial" w:cs="Arial"/>
          <w:noProof/>
          <w:sz w:val="20"/>
          <w:szCs w:val="20"/>
        </w:rPr>
        <w:t>[9]</w:t>
      </w:r>
      <w:r w:rsidR="004841A1">
        <w:rPr>
          <w:rFonts w:ascii="Arial" w:hAnsi="Arial" w:cs="Arial"/>
          <w:sz w:val="20"/>
          <w:szCs w:val="20"/>
        </w:rPr>
        <w:fldChar w:fldCharType="end"/>
      </w:r>
      <w:r w:rsidR="007554B5">
        <w:rPr>
          <w:rFonts w:ascii="Arial" w:hAnsi="Arial" w:cs="Arial"/>
          <w:sz w:val="20"/>
          <w:szCs w:val="20"/>
        </w:rPr>
        <w:t xml:space="preserve">. </w:t>
      </w:r>
    </w:p>
    <w:p w:rsidR="00355362" w:rsidRDefault="00355362" w:rsidP="00DD478D">
      <w:pPr>
        <w:spacing w:after="0" w:line="240" w:lineRule="auto"/>
        <w:ind w:left="0" w:hanging="2"/>
        <w:jc w:val="both"/>
        <w:rPr>
          <w:rFonts w:ascii="Arial" w:hAnsi="Arial" w:cs="Arial"/>
          <w:sz w:val="20"/>
          <w:szCs w:val="20"/>
        </w:rPr>
      </w:pPr>
      <w:r>
        <w:rPr>
          <w:rFonts w:ascii="Arial" w:hAnsi="Arial" w:cs="Arial"/>
          <w:sz w:val="20"/>
          <w:szCs w:val="20"/>
        </w:rPr>
        <w:t xml:space="preserve">Figure 7 explains that </w:t>
      </w:r>
      <w:r w:rsidRPr="009067E3">
        <w:rPr>
          <w:rFonts w:ascii="Arial" w:hAnsi="Arial" w:cs="Arial"/>
          <w:sz w:val="20"/>
          <w:szCs w:val="20"/>
        </w:rPr>
        <w:t xml:space="preserve">there is a declining trend in sales of sugar. However, this trend is only little and almost </w:t>
      </w:r>
      <w:proofErr w:type="spellStart"/>
      <w:r w:rsidRPr="009067E3">
        <w:rPr>
          <w:rFonts w:ascii="Arial" w:hAnsi="Arial" w:cs="Arial"/>
          <w:sz w:val="20"/>
          <w:szCs w:val="20"/>
        </w:rPr>
        <w:t>not</w:t>
      </w:r>
      <w:proofErr w:type="spellEnd"/>
      <w:r w:rsidRPr="009067E3">
        <w:rPr>
          <w:rFonts w:ascii="Arial" w:hAnsi="Arial" w:cs="Arial"/>
          <w:sz w:val="20"/>
          <w:szCs w:val="20"/>
        </w:rPr>
        <w:t xml:space="preserve"> noticeable. This slight downward trend might be</w:t>
      </w:r>
      <w:r>
        <w:rPr>
          <w:rFonts w:ascii="Arial" w:hAnsi="Arial" w:cs="Arial"/>
          <w:sz w:val="20"/>
          <w:szCs w:val="20"/>
        </w:rPr>
        <w:t xml:space="preserve"> </w:t>
      </w:r>
      <w:r w:rsidRPr="009067E3">
        <w:rPr>
          <w:rFonts w:ascii="Arial" w:hAnsi="Arial" w:cs="Arial"/>
          <w:sz w:val="20"/>
          <w:szCs w:val="20"/>
        </w:rPr>
        <w:t xml:space="preserve">the reason for SARIMA does not consider it in the model. For the seasonal data, after decomposition is done, the estimation of seasonal data can be known, and the values are fixed for </w:t>
      </w:r>
      <w:r w:rsidR="00BE32A0">
        <w:rPr>
          <w:rFonts w:ascii="Arial" w:hAnsi="Arial" w:cs="Arial"/>
          <w:sz w:val="20"/>
          <w:szCs w:val="20"/>
        </w:rPr>
        <w:t xml:space="preserve">each </w:t>
      </w:r>
      <w:r w:rsidR="009274C2">
        <w:rPr>
          <w:rFonts w:ascii="Arial" w:hAnsi="Arial" w:cs="Arial"/>
          <w:sz w:val="20"/>
          <w:szCs w:val="20"/>
        </w:rPr>
        <w:t xml:space="preserve">of </w:t>
      </w:r>
      <w:r w:rsidRPr="009067E3">
        <w:rPr>
          <w:rFonts w:ascii="Arial" w:hAnsi="Arial" w:cs="Arial"/>
          <w:sz w:val="20"/>
          <w:szCs w:val="20"/>
        </w:rPr>
        <w:t>the same t period</w:t>
      </w:r>
      <w:r w:rsidR="009274C2">
        <w:rPr>
          <w:rFonts w:ascii="Arial" w:hAnsi="Arial" w:cs="Arial"/>
          <w:sz w:val="20"/>
          <w:szCs w:val="20"/>
        </w:rPr>
        <w:t>s</w:t>
      </w:r>
      <w:r>
        <w:rPr>
          <w:rFonts w:ascii="Arial" w:hAnsi="Arial" w:cs="Arial"/>
          <w:sz w:val="20"/>
          <w:szCs w:val="20"/>
        </w:rPr>
        <w:t xml:space="preserve"> in different seasonal times.</w:t>
      </w:r>
    </w:p>
    <w:p w:rsidR="008A02BF" w:rsidRDefault="008A02BF" w:rsidP="00355362">
      <w:pPr>
        <w:spacing w:after="0" w:line="240" w:lineRule="auto"/>
        <w:ind w:leftChars="0" w:left="0" w:firstLineChars="0" w:firstLine="0"/>
        <w:jc w:val="both"/>
        <w:rPr>
          <w:rFonts w:ascii="Arial" w:hAnsi="Arial" w:cs="Arial"/>
          <w:sz w:val="20"/>
          <w:szCs w:val="20"/>
        </w:rPr>
      </w:pPr>
    </w:p>
    <w:p w:rsidR="008A02BF" w:rsidRDefault="008A02BF" w:rsidP="00355362">
      <w:pPr>
        <w:spacing w:after="0" w:line="240" w:lineRule="auto"/>
        <w:ind w:leftChars="0" w:left="0" w:firstLineChars="0" w:firstLine="0"/>
        <w:jc w:val="both"/>
        <w:rPr>
          <w:rFonts w:ascii="Arial" w:hAnsi="Arial" w:cs="Arial"/>
          <w:sz w:val="20"/>
          <w:szCs w:val="20"/>
        </w:rPr>
      </w:pPr>
    </w:p>
    <w:p w:rsidR="008A02BF" w:rsidRDefault="008A02BF" w:rsidP="00355362">
      <w:pPr>
        <w:spacing w:after="0" w:line="240" w:lineRule="auto"/>
        <w:ind w:leftChars="0" w:left="0" w:firstLineChars="0" w:firstLine="0"/>
        <w:jc w:val="both"/>
        <w:rPr>
          <w:rFonts w:ascii="Arial" w:hAnsi="Arial" w:cs="Arial"/>
          <w:sz w:val="20"/>
          <w:szCs w:val="20"/>
        </w:rPr>
        <w:sectPr w:rsidR="008A02BF" w:rsidSect="002076FA">
          <w:type w:val="continuous"/>
          <w:pgSz w:w="11907" w:h="16840"/>
          <w:pgMar w:top="1701" w:right="1134" w:bottom="1701" w:left="1701" w:header="680" w:footer="680" w:gutter="0"/>
          <w:cols w:num="2" w:space="284"/>
          <w:titlePg/>
        </w:sectPr>
      </w:pPr>
    </w:p>
    <w:p w:rsidR="00B939A3" w:rsidRDefault="00B939A3" w:rsidP="004A568D">
      <w:pPr>
        <w:spacing w:after="0" w:line="240" w:lineRule="auto"/>
        <w:ind w:leftChars="0" w:left="0" w:firstLineChars="0" w:firstLine="0"/>
        <w:jc w:val="center"/>
        <w:rPr>
          <w:rFonts w:ascii="Arial" w:hAnsi="Arial" w:cs="Arial"/>
          <w:color w:val="00B050"/>
          <w:sz w:val="20"/>
          <w:szCs w:val="20"/>
        </w:rPr>
      </w:pPr>
    </w:p>
    <w:p w:rsidR="00D37447" w:rsidRDefault="008A02BF" w:rsidP="004A568D">
      <w:pPr>
        <w:spacing w:after="0" w:line="240" w:lineRule="auto"/>
        <w:ind w:leftChars="0" w:left="0" w:firstLineChars="0" w:firstLine="0"/>
        <w:jc w:val="center"/>
        <w:rPr>
          <w:rFonts w:ascii="Arial" w:hAnsi="Arial" w:cs="Arial"/>
          <w:color w:val="00B050"/>
          <w:sz w:val="20"/>
          <w:szCs w:val="20"/>
        </w:rPr>
      </w:pPr>
      <w:r>
        <w:rPr>
          <w:rFonts w:ascii="Arial" w:hAnsi="Arial" w:cs="Arial"/>
          <w:noProof/>
          <w:color w:val="00B050"/>
          <w:sz w:val="20"/>
          <w:szCs w:val="20"/>
          <w:lang w:val="en-ID" w:eastAsia="en-ID"/>
        </w:rPr>
        <w:drawing>
          <wp:inline distT="0" distB="0" distL="0" distR="0" wp14:anchorId="61C35450" wp14:editId="1D867C3F">
            <wp:extent cx="5697220" cy="4494627"/>
            <wp:effectExtent l="0" t="0" r="0" b="127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732544" cy="4522495"/>
                    </a:xfrm>
                    <a:prstGeom prst="rect">
                      <a:avLst/>
                    </a:prstGeom>
                    <a:noFill/>
                  </pic:spPr>
                </pic:pic>
              </a:graphicData>
            </a:graphic>
          </wp:inline>
        </w:drawing>
      </w:r>
    </w:p>
    <w:p w:rsidR="00D37447" w:rsidRPr="00211955" w:rsidRDefault="00D37447" w:rsidP="004F29EB">
      <w:pPr>
        <w:spacing w:after="0" w:line="240" w:lineRule="auto"/>
        <w:ind w:left="0" w:hanging="2"/>
        <w:jc w:val="center"/>
        <w:rPr>
          <w:rFonts w:ascii="Arial" w:hAnsi="Arial" w:cs="Arial"/>
          <w:sz w:val="20"/>
          <w:szCs w:val="20"/>
        </w:rPr>
        <w:sectPr w:rsidR="00D37447" w:rsidRPr="00211955" w:rsidSect="00634580">
          <w:type w:val="continuous"/>
          <w:pgSz w:w="11907" w:h="16840"/>
          <w:pgMar w:top="1701" w:right="1134" w:bottom="1701" w:left="1701" w:header="680" w:footer="680" w:gutter="0"/>
          <w:cols w:space="284"/>
          <w:titlePg/>
        </w:sectPr>
      </w:pPr>
      <w:r w:rsidRPr="00211955">
        <w:rPr>
          <w:rFonts w:ascii="Arial" w:hAnsi="Arial" w:cs="Arial"/>
          <w:sz w:val="20"/>
          <w:szCs w:val="20"/>
        </w:rPr>
        <w:t>Figure</w:t>
      </w:r>
      <w:r w:rsidR="001427A4">
        <w:rPr>
          <w:rFonts w:ascii="Arial" w:hAnsi="Arial" w:cs="Arial"/>
          <w:sz w:val="20"/>
          <w:szCs w:val="20"/>
        </w:rPr>
        <w:t xml:space="preserve"> 7</w:t>
      </w:r>
      <w:r w:rsidRPr="00211955">
        <w:rPr>
          <w:rFonts w:ascii="Arial" w:hAnsi="Arial" w:cs="Arial"/>
          <w:sz w:val="20"/>
          <w:szCs w:val="20"/>
        </w:rPr>
        <w:t>. Multiplicative Decomposition of Sugar Sales</w:t>
      </w:r>
    </w:p>
    <w:p w:rsidR="002076FA" w:rsidRDefault="002076FA" w:rsidP="002076FA">
      <w:pPr>
        <w:spacing w:after="0" w:line="240" w:lineRule="auto"/>
        <w:ind w:left="0" w:hanging="2"/>
        <w:jc w:val="both"/>
        <w:rPr>
          <w:rFonts w:ascii="Arial" w:hAnsi="Arial" w:cs="Arial"/>
          <w:sz w:val="20"/>
          <w:szCs w:val="20"/>
        </w:rPr>
      </w:pPr>
      <w:r>
        <w:rPr>
          <w:rFonts w:ascii="Arial" w:hAnsi="Arial" w:cs="Arial"/>
          <w:sz w:val="20"/>
          <w:szCs w:val="20"/>
        </w:rPr>
        <w:lastRenderedPageBreak/>
        <w:t>This research</w:t>
      </w:r>
      <w:r w:rsidRPr="00F1271B">
        <w:rPr>
          <w:rFonts w:ascii="Arial" w:hAnsi="Arial" w:cs="Arial"/>
          <w:sz w:val="20"/>
          <w:szCs w:val="20"/>
        </w:rPr>
        <w:t xml:space="preserve"> estimate</w:t>
      </w:r>
      <w:r>
        <w:rPr>
          <w:rFonts w:ascii="Arial" w:hAnsi="Arial" w:cs="Arial"/>
          <w:sz w:val="20"/>
          <w:szCs w:val="20"/>
        </w:rPr>
        <w:t>s</w:t>
      </w:r>
      <w:r w:rsidRPr="00F1271B">
        <w:rPr>
          <w:rFonts w:ascii="Arial" w:hAnsi="Arial" w:cs="Arial"/>
          <w:sz w:val="20"/>
          <w:szCs w:val="20"/>
        </w:rPr>
        <w:t xml:space="preserve"> the trend data by using a double</w:t>
      </w:r>
      <w:r w:rsidR="00386DFA">
        <w:rPr>
          <w:rFonts w:ascii="Arial" w:hAnsi="Arial" w:cs="Arial"/>
          <w:sz w:val="20"/>
          <w:szCs w:val="20"/>
        </w:rPr>
        <w:t>-</w:t>
      </w:r>
      <w:r w:rsidRPr="00F1271B">
        <w:rPr>
          <w:rFonts w:ascii="Arial" w:hAnsi="Arial" w:cs="Arial"/>
          <w:sz w:val="20"/>
          <w:szCs w:val="20"/>
        </w:rPr>
        <w:t xml:space="preserve">moving average. </w:t>
      </w:r>
      <w:r w:rsidRPr="00F1271B">
        <w:rPr>
          <w:rFonts w:ascii="Arial" w:hAnsi="Arial" w:cs="Arial"/>
          <w:color w:val="E36C0A" w:themeColor="accent6" w:themeShade="BF"/>
          <w:sz w:val="20"/>
          <w:szCs w:val="20"/>
        </w:rPr>
        <w:t xml:space="preserve"> </w:t>
      </w:r>
      <w:r w:rsidR="001D39B6">
        <w:rPr>
          <w:rFonts w:ascii="Arial" w:hAnsi="Arial" w:cs="Arial"/>
          <w:sz w:val="20"/>
          <w:szCs w:val="20"/>
        </w:rPr>
        <w:t xml:space="preserve">To find the period in </w:t>
      </w:r>
      <w:r w:rsidR="00386DFA">
        <w:rPr>
          <w:rFonts w:ascii="Arial" w:hAnsi="Arial" w:cs="Arial"/>
          <w:sz w:val="20"/>
          <w:szCs w:val="20"/>
        </w:rPr>
        <w:t xml:space="preserve">a </w:t>
      </w:r>
      <w:r w:rsidR="001D39B6">
        <w:rPr>
          <w:rFonts w:ascii="Arial" w:hAnsi="Arial" w:cs="Arial"/>
          <w:sz w:val="20"/>
          <w:szCs w:val="20"/>
        </w:rPr>
        <w:t>double</w:t>
      </w:r>
      <w:r w:rsidR="00386DFA">
        <w:rPr>
          <w:rFonts w:ascii="Arial" w:hAnsi="Arial" w:cs="Arial"/>
          <w:sz w:val="20"/>
          <w:szCs w:val="20"/>
        </w:rPr>
        <w:t>-</w:t>
      </w:r>
      <w:r w:rsidR="001D39B6">
        <w:rPr>
          <w:rFonts w:ascii="Arial" w:hAnsi="Arial" w:cs="Arial"/>
          <w:sz w:val="20"/>
          <w:szCs w:val="20"/>
        </w:rPr>
        <w:t>moving average that has the minimum MAPE, the simulation using several period</w:t>
      </w:r>
      <w:r w:rsidR="00386DFA">
        <w:rPr>
          <w:rFonts w:ascii="Arial" w:hAnsi="Arial" w:cs="Arial"/>
          <w:sz w:val="20"/>
          <w:szCs w:val="20"/>
        </w:rPr>
        <w:t>s</w:t>
      </w:r>
      <w:r w:rsidR="001D39B6">
        <w:rPr>
          <w:rFonts w:ascii="Arial" w:hAnsi="Arial" w:cs="Arial"/>
          <w:sz w:val="20"/>
          <w:szCs w:val="20"/>
        </w:rPr>
        <w:t xml:space="preserve"> in </w:t>
      </w:r>
      <w:r w:rsidR="00386DFA">
        <w:rPr>
          <w:rFonts w:ascii="Arial" w:hAnsi="Arial" w:cs="Arial"/>
          <w:sz w:val="20"/>
          <w:szCs w:val="20"/>
        </w:rPr>
        <w:t xml:space="preserve">a </w:t>
      </w:r>
      <w:r w:rsidR="001D39B6">
        <w:rPr>
          <w:rFonts w:ascii="Arial" w:hAnsi="Arial" w:cs="Arial"/>
          <w:sz w:val="20"/>
          <w:szCs w:val="20"/>
        </w:rPr>
        <w:t>double</w:t>
      </w:r>
      <w:r w:rsidR="00386DFA">
        <w:rPr>
          <w:rFonts w:ascii="Arial" w:hAnsi="Arial" w:cs="Arial"/>
          <w:sz w:val="20"/>
          <w:szCs w:val="20"/>
        </w:rPr>
        <w:t>-</w:t>
      </w:r>
      <w:r w:rsidR="001D39B6">
        <w:rPr>
          <w:rFonts w:ascii="Arial" w:hAnsi="Arial" w:cs="Arial"/>
          <w:sz w:val="20"/>
          <w:szCs w:val="20"/>
        </w:rPr>
        <w:t xml:space="preserve">moving average with </w:t>
      </w:r>
      <w:r w:rsidR="00386DFA">
        <w:rPr>
          <w:rFonts w:ascii="Arial" w:hAnsi="Arial" w:cs="Arial"/>
          <w:sz w:val="20"/>
          <w:szCs w:val="20"/>
        </w:rPr>
        <w:t xml:space="preserve">a </w:t>
      </w:r>
      <w:r w:rsidR="001D39B6">
        <w:rPr>
          <w:rFonts w:ascii="Arial" w:hAnsi="Arial" w:cs="Arial"/>
          <w:sz w:val="20"/>
          <w:szCs w:val="20"/>
        </w:rPr>
        <w:t xml:space="preserve">multiplicative decomposition forecast model is done. </w:t>
      </w:r>
      <w:r>
        <w:rPr>
          <w:rFonts w:ascii="Arial" w:hAnsi="Arial" w:cs="Arial"/>
          <w:sz w:val="20"/>
          <w:szCs w:val="20"/>
        </w:rPr>
        <w:t>Figure</w:t>
      </w:r>
      <w:r w:rsidR="001427A4">
        <w:rPr>
          <w:rFonts w:ascii="Arial" w:hAnsi="Arial" w:cs="Arial"/>
          <w:sz w:val="20"/>
          <w:szCs w:val="20"/>
        </w:rPr>
        <w:t xml:space="preserve"> 8</w:t>
      </w:r>
      <w:r w:rsidR="00052807">
        <w:rPr>
          <w:rFonts w:ascii="Arial" w:hAnsi="Arial" w:cs="Arial"/>
          <w:sz w:val="20"/>
          <w:szCs w:val="20"/>
        </w:rPr>
        <w:t xml:space="preserve"> informs</w:t>
      </w:r>
      <w:r w:rsidRPr="00F1271B">
        <w:rPr>
          <w:rFonts w:ascii="Arial" w:hAnsi="Arial" w:cs="Arial"/>
          <w:sz w:val="20"/>
          <w:szCs w:val="20"/>
        </w:rPr>
        <w:t xml:space="preserve"> the MAPE c</w:t>
      </w:r>
      <w:r w:rsidR="001D39B6">
        <w:rPr>
          <w:rFonts w:ascii="Arial" w:hAnsi="Arial" w:cs="Arial"/>
          <w:sz w:val="20"/>
          <w:szCs w:val="20"/>
        </w:rPr>
        <w:t xml:space="preserve">omparison of several possible </w:t>
      </w:r>
      <w:r>
        <w:rPr>
          <w:rFonts w:ascii="Arial" w:hAnsi="Arial" w:cs="Arial"/>
          <w:sz w:val="20"/>
          <w:szCs w:val="20"/>
        </w:rPr>
        <w:t>period</w:t>
      </w:r>
      <w:r w:rsidR="001D39B6">
        <w:rPr>
          <w:rFonts w:ascii="Arial" w:hAnsi="Arial" w:cs="Arial"/>
          <w:sz w:val="20"/>
          <w:szCs w:val="20"/>
        </w:rPr>
        <w:t>s</w:t>
      </w:r>
      <w:r w:rsidRPr="00F1271B">
        <w:rPr>
          <w:rFonts w:ascii="Arial" w:hAnsi="Arial" w:cs="Arial"/>
          <w:sz w:val="20"/>
          <w:szCs w:val="20"/>
        </w:rPr>
        <w:t xml:space="preserve">. </w:t>
      </w:r>
      <w:r w:rsidR="00DA1405">
        <w:rPr>
          <w:rFonts w:ascii="Arial" w:hAnsi="Arial" w:cs="Arial"/>
          <w:sz w:val="20"/>
          <w:szCs w:val="20"/>
        </w:rPr>
        <w:t xml:space="preserve">This figure shows that MAPE has </w:t>
      </w:r>
      <w:r w:rsidR="00386DFA">
        <w:rPr>
          <w:rFonts w:ascii="Arial" w:hAnsi="Arial" w:cs="Arial"/>
          <w:sz w:val="20"/>
          <w:szCs w:val="20"/>
        </w:rPr>
        <w:t xml:space="preserve">a </w:t>
      </w:r>
      <w:r w:rsidR="00DA1405">
        <w:rPr>
          <w:rFonts w:ascii="Arial" w:hAnsi="Arial" w:cs="Arial"/>
          <w:sz w:val="20"/>
          <w:szCs w:val="20"/>
        </w:rPr>
        <w:t>U-shape</w:t>
      </w:r>
      <w:r w:rsidR="001D39B6">
        <w:rPr>
          <w:rFonts w:ascii="Arial" w:hAnsi="Arial" w:cs="Arial"/>
          <w:sz w:val="20"/>
          <w:szCs w:val="20"/>
        </w:rPr>
        <w:t xml:space="preserve"> graph</w:t>
      </w:r>
      <w:r w:rsidR="00DA1405">
        <w:rPr>
          <w:rFonts w:ascii="Arial" w:hAnsi="Arial" w:cs="Arial"/>
          <w:sz w:val="20"/>
          <w:szCs w:val="20"/>
        </w:rPr>
        <w:t xml:space="preserve"> with </w:t>
      </w:r>
      <w:r w:rsidRPr="00F1271B">
        <w:rPr>
          <w:rFonts w:ascii="Arial" w:hAnsi="Arial" w:cs="Arial"/>
          <w:sz w:val="20"/>
          <w:szCs w:val="20"/>
        </w:rPr>
        <w:t>MAPE forecast go</w:t>
      </w:r>
      <w:r w:rsidR="00386DFA">
        <w:rPr>
          <w:rFonts w:ascii="Arial" w:hAnsi="Arial" w:cs="Arial"/>
          <w:sz w:val="20"/>
          <w:szCs w:val="20"/>
        </w:rPr>
        <w:t>ing</w:t>
      </w:r>
      <w:r w:rsidRPr="00F1271B">
        <w:rPr>
          <w:rFonts w:ascii="Arial" w:hAnsi="Arial" w:cs="Arial"/>
          <w:sz w:val="20"/>
          <w:szCs w:val="20"/>
        </w:rPr>
        <w:t xml:space="preserve"> down from </w:t>
      </w:r>
      <w:r>
        <w:rPr>
          <w:rFonts w:ascii="Arial" w:hAnsi="Arial" w:cs="Arial"/>
          <w:sz w:val="20"/>
          <w:szCs w:val="20"/>
        </w:rPr>
        <w:t>period two to period three and later it keeps increasing</w:t>
      </w:r>
      <w:r w:rsidRPr="00F1271B">
        <w:rPr>
          <w:rFonts w:ascii="Arial" w:hAnsi="Arial" w:cs="Arial"/>
          <w:sz w:val="20"/>
          <w:szCs w:val="20"/>
        </w:rPr>
        <w:t xml:space="preserve">. </w:t>
      </w:r>
      <w:r>
        <w:rPr>
          <w:rFonts w:ascii="Arial" w:hAnsi="Arial" w:cs="Arial"/>
          <w:sz w:val="20"/>
          <w:szCs w:val="20"/>
        </w:rPr>
        <w:t>T</w:t>
      </w:r>
      <w:r w:rsidRPr="00F1271B">
        <w:rPr>
          <w:rFonts w:ascii="Arial" w:hAnsi="Arial" w:cs="Arial"/>
          <w:sz w:val="20"/>
          <w:szCs w:val="20"/>
        </w:rPr>
        <w:t>he minim</w:t>
      </w:r>
      <w:r w:rsidR="00DA1405">
        <w:rPr>
          <w:rFonts w:ascii="Arial" w:hAnsi="Arial" w:cs="Arial"/>
          <w:sz w:val="20"/>
          <w:szCs w:val="20"/>
        </w:rPr>
        <w:t>um MAPE for this model is 13.64%, which happens in period three. Hence,</w:t>
      </w:r>
      <w:r w:rsidRPr="009A7690">
        <w:rPr>
          <w:rFonts w:ascii="Arial" w:hAnsi="Arial" w:cs="Arial"/>
          <w:sz w:val="20"/>
          <w:szCs w:val="20"/>
        </w:rPr>
        <w:t xml:space="preserve"> we use multiplicative decomposition with 3 period</w:t>
      </w:r>
      <w:r w:rsidR="00652DBE">
        <w:rPr>
          <w:rFonts w:ascii="Arial" w:hAnsi="Arial" w:cs="Arial"/>
          <w:sz w:val="20"/>
          <w:szCs w:val="20"/>
        </w:rPr>
        <w:t>s</w:t>
      </w:r>
      <w:r w:rsidRPr="009A7690">
        <w:rPr>
          <w:rFonts w:ascii="Arial" w:hAnsi="Arial" w:cs="Arial"/>
          <w:sz w:val="20"/>
          <w:szCs w:val="20"/>
        </w:rPr>
        <w:t xml:space="preserve"> of double moving average forecast model.</w:t>
      </w:r>
    </w:p>
    <w:p w:rsidR="002076FA" w:rsidRPr="009A7690" w:rsidRDefault="002076FA" w:rsidP="002076FA">
      <w:pPr>
        <w:spacing w:after="0" w:line="240" w:lineRule="auto"/>
        <w:ind w:left="0" w:hanging="2"/>
        <w:jc w:val="both"/>
        <w:rPr>
          <w:color w:val="FF0000"/>
        </w:rPr>
      </w:pPr>
    </w:p>
    <w:p w:rsidR="002076FA" w:rsidRPr="009A7690" w:rsidRDefault="002076FA" w:rsidP="002076FA">
      <w:pPr>
        <w:spacing w:after="0" w:line="240" w:lineRule="auto"/>
        <w:ind w:left="0" w:hanging="2"/>
        <w:jc w:val="both"/>
        <w:rPr>
          <w:rFonts w:ascii="Arial" w:eastAsia="Arial" w:hAnsi="Arial" w:cs="Arial"/>
          <w:sz w:val="20"/>
          <w:szCs w:val="20"/>
        </w:rPr>
      </w:pPr>
      <w:r>
        <w:rPr>
          <w:rFonts w:ascii="Arial" w:eastAsia="Arial" w:hAnsi="Arial" w:cs="Arial"/>
          <w:noProof/>
          <w:sz w:val="20"/>
          <w:szCs w:val="20"/>
          <w:lang w:val="en-ID" w:eastAsia="en-ID"/>
        </w:rPr>
        <w:drawing>
          <wp:inline distT="0" distB="0" distL="0" distR="0" wp14:anchorId="779FEDFD" wp14:editId="4D79F6E6">
            <wp:extent cx="2770895" cy="1654489"/>
            <wp:effectExtent l="0" t="0" r="0" b="317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2797519" cy="1670386"/>
                    </a:xfrm>
                    <a:prstGeom prst="rect">
                      <a:avLst/>
                    </a:prstGeom>
                    <a:noFill/>
                  </pic:spPr>
                </pic:pic>
              </a:graphicData>
            </a:graphic>
          </wp:inline>
        </w:drawing>
      </w:r>
    </w:p>
    <w:p w:rsidR="005F4F79" w:rsidRPr="000B7C45" w:rsidRDefault="001427A4" w:rsidP="00211955">
      <w:pPr>
        <w:keepNext/>
        <w:pBdr>
          <w:top w:val="nil"/>
          <w:left w:val="nil"/>
          <w:bottom w:val="nil"/>
          <w:right w:val="nil"/>
          <w:between w:val="nil"/>
        </w:pBdr>
        <w:spacing w:after="0" w:line="240" w:lineRule="auto"/>
        <w:ind w:leftChars="0" w:left="0" w:firstLineChars="0" w:firstLine="0"/>
        <w:jc w:val="center"/>
        <w:rPr>
          <w:rFonts w:ascii="Arial" w:hAnsi="Arial" w:cs="Arial"/>
          <w:sz w:val="20"/>
          <w:szCs w:val="20"/>
        </w:rPr>
      </w:pPr>
      <w:r>
        <w:rPr>
          <w:rFonts w:ascii="Arial" w:eastAsia="Arial" w:hAnsi="Arial" w:cs="Arial"/>
          <w:color w:val="000000"/>
          <w:sz w:val="20"/>
          <w:szCs w:val="20"/>
        </w:rPr>
        <w:t>Figure 8</w:t>
      </w:r>
      <w:r w:rsidR="002076FA" w:rsidRPr="000B7C45">
        <w:rPr>
          <w:rFonts w:ascii="Arial" w:eastAsia="Arial" w:hAnsi="Arial" w:cs="Arial"/>
          <w:color w:val="000000"/>
          <w:sz w:val="20"/>
          <w:szCs w:val="20"/>
        </w:rPr>
        <w:t xml:space="preserve">. </w:t>
      </w:r>
      <w:r w:rsidR="002076FA" w:rsidRPr="000B7C45">
        <w:rPr>
          <w:rFonts w:ascii="Arial" w:hAnsi="Arial" w:cs="Arial"/>
          <w:sz w:val="20"/>
          <w:szCs w:val="20"/>
        </w:rPr>
        <w:t xml:space="preserve">MAPE Comparison of </w:t>
      </w:r>
      <w:r w:rsidR="00052807">
        <w:rPr>
          <w:rFonts w:ascii="Arial" w:hAnsi="Arial" w:cs="Arial"/>
          <w:sz w:val="20"/>
          <w:szCs w:val="20"/>
        </w:rPr>
        <w:t xml:space="preserve">n Period from </w:t>
      </w:r>
      <w:r w:rsidR="002076FA" w:rsidRPr="000B7C45">
        <w:rPr>
          <w:rFonts w:ascii="Arial" w:hAnsi="Arial" w:cs="Arial"/>
          <w:sz w:val="20"/>
          <w:szCs w:val="20"/>
        </w:rPr>
        <w:t>Double Moving Average for Multiplicative Decomposition</w:t>
      </w:r>
      <w:r w:rsidR="002076FA">
        <w:rPr>
          <w:rFonts w:ascii="Arial" w:hAnsi="Arial" w:cs="Arial"/>
          <w:sz w:val="20"/>
          <w:szCs w:val="20"/>
        </w:rPr>
        <w:t xml:space="preserve"> Forecast Model</w:t>
      </w:r>
    </w:p>
    <w:p w:rsidR="009A7690" w:rsidRPr="00F1271B" w:rsidRDefault="009A7690" w:rsidP="009A7690">
      <w:pPr>
        <w:keepNext/>
        <w:pBdr>
          <w:top w:val="nil"/>
          <w:left w:val="nil"/>
          <w:bottom w:val="nil"/>
          <w:right w:val="nil"/>
          <w:between w:val="nil"/>
        </w:pBdr>
        <w:spacing w:after="0" w:line="240" w:lineRule="auto"/>
        <w:ind w:left="0" w:hanging="2"/>
        <w:jc w:val="center"/>
        <w:rPr>
          <w:rFonts w:ascii="Arial" w:hAnsi="Arial" w:cs="Arial"/>
          <w:color w:val="FF0000"/>
          <w:sz w:val="20"/>
          <w:szCs w:val="20"/>
        </w:rPr>
      </w:pPr>
    </w:p>
    <w:p w:rsidR="00F16A03" w:rsidRDefault="00F16A03" w:rsidP="00F16A03">
      <w:pPr>
        <w:pBdr>
          <w:top w:val="nil"/>
          <w:left w:val="nil"/>
          <w:bottom w:val="nil"/>
          <w:right w:val="nil"/>
          <w:between w:val="nil"/>
        </w:pBdr>
        <w:shd w:val="clear" w:color="auto" w:fill="FFFFFF"/>
        <w:spacing w:after="0" w:line="240" w:lineRule="auto"/>
        <w:ind w:left="0" w:hanging="2"/>
        <w:jc w:val="both"/>
        <w:rPr>
          <w:rFonts w:ascii="Arial" w:eastAsia="Arial" w:hAnsi="Arial" w:cs="Arial"/>
          <w:color w:val="000000"/>
          <w:sz w:val="20"/>
          <w:szCs w:val="20"/>
        </w:rPr>
      </w:pPr>
      <w:r>
        <w:rPr>
          <w:rFonts w:ascii="Arial" w:eastAsia="Arial" w:hAnsi="Arial" w:cs="Arial"/>
          <w:b/>
          <w:color w:val="1F4E79"/>
          <w:sz w:val="20"/>
          <w:szCs w:val="20"/>
        </w:rPr>
        <w:t>D</w:t>
      </w:r>
      <w:r w:rsidR="00FC3113">
        <w:rPr>
          <w:rFonts w:ascii="Arial" w:eastAsia="Arial" w:hAnsi="Arial" w:cs="Arial"/>
          <w:b/>
          <w:color w:val="1F4E79"/>
          <w:sz w:val="20"/>
          <w:szCs w:val="20"/>
        </w:rPr>
        <w:t>iscussion</w:t>
      </w:r>
      <w:r>
        <w:rPr>
          <w:rFonts w:ascii="Arial" w:eastAsia="Arial" w:hAnsi="Arial" w:cs="Arial"/>
          <w:color w:val="000000"/>
          <w:sz w:val="20"/>
          <w:szCs w:val="20"/>
        </w:rPr>
        <w:t xml:space="preserve"> </w:t>
      </w:r>
    </w:p>
    <w:p w:rsidR="002A5D82" w:rsidRDefault="002A5D82" w:rsidP="00BA68F1">
      <w:pPr>
        <w:spacing w:after="0" w:line="240" w:lineRule="auto"/>
        <w:ind w:left="0" w:hanging="2"/>
        <w:jc w:val="both"/>
        <w:rPr>
          <w:rFonts w:ascii="Arial" w:hAnsi="Arial" w:cs="Arial"/>
          <w:sz w:val="20"/>
          <w:szCs w:val="20"/>
        </w:rPr>
      </w:pPr>
      <w:r>
        <w:rPr>
          <w:rFonts w:ascii="Arial" w:hAnsi="Arial" w:cs="Arial"/>
          <w:sz w:val="20"/>
          <w:szCs w:val="20"/>
        </w:rPr>
        <w:t>T</w:t>
      </w:r>
      <w:r w:rsidRPr="00FF1BAE">
        <w:rPr>
          <w:rFonts w:ascii="Arial" w:hAnsi="Arial" w:cs="Arial"/>
          <w:sz w:val="20"/>
          <w:szCs w:val="20"/>
        </w:rPr>
        <w:t xml:space="preserve">his study </w:t>
      </w:r>
      <w:r>
        <w:rPr>
          <w:rFonts w:ascii="Arial" w:hAnsi="Arial" w:cs="Arial"/>
          <w:sz w:val="20"/>
          <w:szCs w:val="20"/>
        </w:rPr>
        <w:t>aims to find the most suitable forecast model that can capture and accommodate data patterns well to give a good prediction of sugar sales in a retail store using ARIMA or SARIMA and decomposition models. This study does two residual analyses. First, check both the residual test for ARIMA and decomposition models to avoid bias. Second, compare both residual models as the performance comparison to find the most suitable forecast model.</w:t>
      </w:r>
    </w:p>
    <w:p w:rsidR="007A0EB1" w:rsidRDefault="002A5D82" w:rsidP="00BA68F1">
      <w:pPr>
        <w:spacing w:after="0" w:line="240" w:lineRule="auto"/>
        <w:ind w:left="0" w:hanging="2"/>
        <w:jc w:val="both"/>
        <w:rPr>
          <w:rFonts w:ascii="Arial" w:hAnsi="Arial" w:cs="Arial"/>
          <w:sz w:val="20"/>
          <w:szCs w:val="20"/>
        </w:rPr>
      </w:pPr>
      <w:r>
        <w:rPr>
          <w:rFonts w:ascii="Arial" w:hAnsi="Arial" w:cs="Arial"/>
          <w:sz w:val="20"/>
          <w:szCs w:val="20"/>
        </w:rPr>
        <w:t xml:space="preserve">Based on the pattern analysis for ARIMA, which </w:t>
      </w:r>
      <w:r w:rsidR="009206DB">
        <w:rPr>
          <w:rFonts w:ascii="Arial" w:hAnsi="Arial" w:cs="Arial"/>
          <w:sz w:val="20"/>
          <w:szCs w:val="20"/>
        </w:rPr>
        <w:t>are</w:t>
      </w:r>
      <w:r>
        <w:rPr>
          <w:rFonts w:ascii="Arial" w:hAnsi="Arial" w:cs="Arial"/>
          <w:sz w:val="20"/>
          <w:szCs w:val="20"/>
        </w:rPr>
        <w:t xml:space="preserve"> shown in Figure 2 and Figure 3 previously, and also the residual testing in Figure 4. </w:t>
      </w:r>
      <w:proofErr w:type="gramStart"/>
      <w:r w:rsidRPr="00BA68F1">
        <w:rPr>
          <w:rFonts w:ascii="Arial" w:hAnsi="Arial" w:cs="Arial"/>
          <w:sz w:val="20"/>
          <w:szCs w:val="20"/>
        </w:rPr>
        <w:t>SARI</w:t>
      </w:r>
      <w:r>
        <w:rPr>
          <w:rFonts w:ascii="Arial" w:hAnsi="Arial" w:cs="Arial"/>
          <w:sz w:val="20"/>
          <w:szCs w:val="20"/>
        </w:rPr>
        <w:t>MA(</w:t>
      </w:r>
      <w:proofErr w:type="gramEnd"/>
      <w:r>
        <w:rPr>
          <w:rFonts w:ascii="Arial" w:hAnsi="Arial" w:cs="Arial"/>
          <w:sz w:val="20"/>
          <w:szCs w:val="20"/>
        </w:rPr>
        <w:t>0,0,0)(0,1,1)8 is the only possible model of ARIMA</w:t>
      </w:r>
      <w:r w:rsidR="006E003E">
        <w:rPr>
          <w:rFonts w:ascii="Arial" w:hAnsi="Arial" w:cs="Arial"/>
          <w:sz w:val="20"/>
          <w:szCs w:val="20"/>
        </w:rPr>
        <w:t xml:space="preserve"> for prediction</w:t>
      </w:r>
      <w:r>
        <w:rPr>
          <w:rFonts w:ascii="Arial" w:hAnsi="Arial" w:cs="Arial"/>
          <w:sz w:val="20"/>
          <w:szCs w:val="20"/>
        </w:rPr>
        <w:t>.</w:t>
      </w:r>
      <w:r w:rsidR="009960A1">
        <w:rPr>
          <w:rFonts w:ascii="Arial" w:hAnsi="Arial" w:cs="Arial"/>
          <w:sz w:val="20"/>
          <w:szCs w:val="20"/>
        </w:rPr>
        <w:t xml:space="preserve"> </w:t>
      </w:r>
      <w:r w:rsidR="009206DB">
        <w:rPr>
          <w:rFonts w:ascii="Arial" w:hAnsi="Arial" w:cs="Arial"/>
          <w:sz w:val="20"/>
          <w:szCs w:val="20"/>
        </w:rPr>
        <w:t>F</w:t>
      </w:r>
      <w:r w:rsidR="009960A1">
        <w:rPr>
          <w:rFonts w:ascii="Arial" w:hAnsi="Arial" w:cs="Arial"/>
          <w:sz w:val="20"/>
          <w:szCs w:val="20"/>
        </w:rPr>
        <w:t xml:space="preserve">or </w:t>
      </w:r>
      <w:r w:rsidR="009206DB">
        <w:rPr>
          <w:rFonts w:ascii="Arial" w:hAnsi="Arial" w:cs="Arial"/>
          <w:sz w:val="20"/>
          <w:szCs w:val="20"/>
        </w:rPr>
        <w:t xml:space="preserve">the </w:t>
      </w:r>
      <w:r w:rsidR="009960A1">
        <w:rPr>
          <w:rFonts w:ascii="Arial" w:hAnsi="Arial" w:cs="Arial"/>
          <w:sz w:val="20"/>
          <w:szCs w:val="20"/>
        </w:rPr>
        <w:t xml:space="preserve">decomposition model, after running both additive and multiplicative </w:t>
      </w:r>
      <w:r w:rsidR="009206DB">
        <w:rPr>
          <w:rFonts w:ascii="Arial" w:hAnsi="Arial" w:cs="Arial"/>
          <w:sz w:val="20"/>
          <w:szCs w:val="20"/>
        </w:rPr>
        <w:t xml:space="preserve">models and </w:t>
      </w:r>
      <w:r w:rsidR="009960A1">
        <w:rPr>
          <w:rFonts w:ascii="Arial" w:hAnsi="Arial" w:cs="Arial"/>
          <w:sz w:val="20"/>
          <w:szCs w:val="20"/>
        </w:rPr>
        <w:t>check</w:t>
      </w:r>
      <w:r w:rsidR="009206DB">
        <w:rPr>
          <w:rFonts w:ascii="Arial" w:hAnsi="Arial" w:cs="Arial"/>
          <w:sz w:val="20"/>
          <w:szCs w:val="20"/>
        </w:rPr>
        <w:t>ing</w:t>
      </w:r>
      <w:r w:rsidR="004D63D1">
        <w:rPr>
          <w:rFonts w:ascii="Arial" w:hAnsi="Arial" w:cs="Arial"/>
          <w:sz w:val="20"/>
          <w:szCs w:val="20"/>
        </w:rPr>
        <w:t xml:space="preserve"> </w:t>
      </w:r>
      <w:proofErr w:type="gramStart"/>
      <w:r w:rsidR="004D63D1">
        <w:rPr>
          <w:rFonts w:ascii="Arial" w:hAnsi="Arial" w:cs="Arial"/>
          <w:sz w:val="20"/>
          <w:szCs w:val="20"/>
        </w:rPr>
        <w:t xml:space="preserve">both residual properties </w:t>
      </w:r>
      <w:r w:rsidR="009960A1">
        <w:rPr>
          <w:rFonts w:ascii="Arial" w:hAnsi="Arial" w:cs="Arial"/>
          <w:sz w:val="20"/>
          <w:szCs w:val="20"/>
        </w:rPr>
        <w:t>or</w:t>
      </w:r>
      <w:proofErr w:type="gramEnd"/>
      <w:r w:rsidR="009960A1">
        <w:rPr>
          <w:rFonts w:ascii="Arial" w:hAnsi="Arial" w:cs="Arial"/>
          <w:sz w:val="20"/>
          <w:szCs w:val="20"/>
        </w:rPr>
        <w:t xml:space="preserve"> assumption</w:t>
      </w:r>
      <w:r w:rsidR="009206DB">
        <w:rPr>
          <w:rFonts w:ascii="Arial" w:hAnsi="Arial" w:cs="Arial"/>
          <w:sz w:val="20"/>
          <w:szCs w:val="20"/>
        </w:rPr>
        <w:t>s</w:t>
      </w:r>
      <w:r w:rsidR="009960A1">
        <w:rPr>
          <w:rFonts w:ascii="Arial" w:hAnsi="Arial" w:cs="Arial"/>
          <w:sz w:val="20"/>
          <w:szCs w:val="20"/>
        </w:rPr>
        <w:t xml:space="preserve">, the multiplicative model is </w:t>
      </w:r>
      <w:r w:rsidR="00CA2445">
        <w:rPr>
          <w:rFonts w:ascii="Arial" w:hAnsi="Arial" w:cs="Arial"/>
          <w:sz w:val="20"/>
          <w:szCs w:val="20"/>
        </w:rPr>
        <w:t xml:space="preserve">the </w:t>
      </w:r>
      <w:r w:rsidR="009960A1">
        <w:rPr>
          <w:rFonts w:ascii="Arial" w:hAnsi="Arial" w:cs="Arial"/>
          <w:sz w:val="20"/>
          <w:szCs w:val="20"/>
        </w:rPr>
        <w:t>model that fulfill</w:t>
      </w:r>
      <w:r w:rsidR="009206DB">
        <w:rPr>
          <w:rFonts w:ascii="Arial" w:hAnsi="Arial" w:cs="Arial"/>
          <w:sz w:val="20"/>
          <w:szCs w:val="20"/>
        </w:rPr>
        <w:t>s</w:t>
      </w:r>
      <w:r w:rsidR="009960A1">
        <w:rPr>
          <w:rFonts w:ascii="Arial" w:hAnsi="Arial" w:cs="Arial"/>
          <w:sz w:val="20"/>
          <w:szCs w:val="20"/>
        </w:rPr>
        <w:t xml:space="preserve"> the assumption</w:t>
      </w:r>
      <w:r w:rsidR="009206DB">
        <w:rPr>
          <w:rFonts w:ascii="Arial" w:hAnsi="Arial" w:cs="Arial"/>
          <w:sz w:val="20"/>
          <w:szCs w:val="20"/>
        </w:rPr>
        <w:t>s</w:t>
      </w:r>
      <w:r w:rsidR="00CA2445">
        <w:rPr>
          <w:rFonts w:ascii="Arial" w:hAnsi="Arial" w:cs="Arial"/>
          <w:sz w:val="20"/>
          <w:szCs w:val="20"/>
        </w:rPr>
        <w:t xml:space="preserve">. Moreover, based on the observed sales graph in Figure 7, it can be seen that the sales do not have </w:t>
      </w:r>
      <w:r w:rsidR="00CA2445">
        <w:rPr>
          <w:rFonts w:ascii="Arial" w:hAnsi="Arial" w:cs="Arial"/>
          <w:sz w:val="20"/>
          <w:szCs w:val="20"/>
        </w:rPr>
        <w:t xml:space="preserve">constant variability over time. For this type of data, the multiplicative is mentioned to be the suitable decomposition model </w:t>
      </w:r>
      <w:r w:rsidR="00CA2445">
        <w:rPr>
          <w:rFonts w:ascii="Arial" w:hAnsi="Arial" w:cs="Arial"/>
          <w:sz w:val="20"/>
          <w:szCs w:val="20"/>
        </w:rPr>
        <w:fldChar w:fldCharType="begin" w:fldLock="1"/>
      </w:r>
      <w:r w:rsidR="00097B73">
        <w:rPr>
          <w:rFonts w:ascii="Arial" w:hAnsi="Arial" w:cs="Arial"/>
          <w:sz w:val="20"/>
          <w:szCs w:val="20"/>
        </w:rPr>
        <w:instrText>ADDIN CSL_CITATION {"citationItems":[{"id":"ITEM-1","itemData":{"DOI":"10.4236/oalib.1106435","ISSN":"2333-9721","abstract":"This paper demonstrates the use of Buys-Ballot table for identification of decomposition model using graphical method, when the trend cycle component is quadratic. A suitable ARIMA model was fitted, and was used for forecasting. Using the Buys-Ballot techniques, the column means, variances and standard deviation were estimated for the model identification. The additive model had no seasonal effect but, the multiplicative model had seasonal effect. The result of the illustrative example using the data of Nigeria Spot component price of oil (US Dollar per Barrel) showed the additive model to be the appropriate model for decomposition of this series. AR(2) model was identified as a suitable ARIMA model for the de-trended Nigeria Spot component price of oil. This was used to make forecast for the next twelve months. The obtained expected oil prices were compared with the observed prices. The comparison of expected and observed prices showed no significance difference between them, using Mean Absolute Percentage Error (MAPE).","author":[{"dropping-particle":"","family":"Emmanuel","given":"Biu O.","non-dropping-particle":"","parse-names":false,"suffix":""},{"dropping-particle":"","family":"Enegesele","given":"Dennis","non-dropping-particle":"","parse-names":false,"suffix":""},{"dropping-particle":"","family":"Arimie","given":"C. O.","non-dropping-particle":"","parse-names":false,"suffix":""}],"container-title":"OALib","id":"ITEM-1","issue":"07","issued":{"date-parts":[["2020"]]},"page":"1-20","title":"Additive Decomposition with Arima Model Forecasts When the Trend Component Is Quadratic","type":"article-journal","volume":"07"},"uris":["http://www.mendeley.com/documents/?uuid=9babbbcb-86ef-48a8-b678-8c05e713f95d"]}],"mendeley":{"formattedCitation":"[9]","plainTextFormattedCitation":"[9]","previouslyFormattedCitation":"[9]"},"properties":{"noteIndex":0},"schema":"https://github.com/citation-style-language/schema/raw/master/csl-citation.json"}</w:instrText>
      </w:r>
      <w:r w:rsidR="00CA2445">
        <w:rPr>
          <w:rFonts w:ascii="Arial" w:hAnsi="Arial" w:cs="Arial"/>
          <w:sz w:val="20"/>
          <w:szCs w:val="20"/>
        </w:rPr>
        <w:fldChar w:fldCharType="separate"/>
      </w:r>
      <w:r w:rsidR="00CA2445" w:rsidRPr="00CA2445">
        <w:rPr>
          <w:rFonts w:ascii="Arial" w:hAnsi="Arial" w:cs="Arial"/>
          <w:noProof/>
          <w:sz w:val="20"/>
          <w:szCs w:val="20"/>
        </w:rPr>
        <w:t>[9]</w:t>
      </w:r>
      <w:r w:rsidR="00CA2445">
        <w:rPr>
          <w:rFonts w:ascii="Arial" w:hAnsi="Arial" w:cs="Arial"/>
          <w:sz w:val="20"/>
          <w:szCs w:val="20"/>
        </w:rPr>
        <w:fldChar w:fldCharType="end"/>
      </w:r>
      <w:r w:rsidR="00CA2445">
        <w:rPr>
          <w:rFonts w:ascii="Arial" w:hAnsi="Arial" w:cs="Arial"/>
          <w:sz w:val="20"/>
          <w:szCs w:val="20"/>
        </w:rPr>
        <w:t>.</w:t>
      </w:r>
      <w:r w:rsidR="001F37CC">
        <w:rPr>
          <w:rFonts w:ascii="Arial" w:hAnsi="Arial" w:cs="Arial"/>
          <w:sz w:val="20"/>
          <w:szCs w:val="20"/>
        </w:rPr>
        <w:t xml:space="preserve"> Later, </w:t>
      </w:r>
      <w:r w:rsidR="006E003E">
        <w:rPr>
          <w:rFonts w:ascii="Arial" w:hAnsi="Arial" w:cs="Arial"/>
          <w:sz w:val="20"/>
          <w:szCs w:val="20"/>
        </w:rPr>
        <w:t xml:space="preserve">based on the MAPEs comparison of several periods of double moving average in Figure 8, </w:t>
      </w:r>
      <w:r w:rsidR="001F37CC" w:rsidRPr="009A7690">
        <w:rPr>
          <w:rFonts w:ascii="Arial" w:hAnsi="Arial" w:cs="Arial"/>
          <w:sz w:val="20"/>
          <w:szCs w:val="20"/>
        </w:rPr>
        <w:t>multiplicative decomposition with 3 period</w:t>
      </w:r>
      <w:r w:rsidR="001F37CC">
        <w:rPr>
          <w:rFonts w:ascii="Arial" w:hAnsi="Arial" w:cs="Arial"/>
          <w:sz w:val="20"/>
          <w:szCs w:val="20"/>
        </w:rPr>
        <w:t>s</w:t>
      </w:r>
      <w:r w:rsidR="001F37CC" w:rsidRPr="009A7690">
        <w:rPr>
          <w:rFonts w:ascii="Arial" w:hAnsi="Arial" w:cs="Arial"/>
          <w:sz w:val="20"/>
          <w:szCs w:val="20"/>
        </w:rPr>
        <w:t xml:space="preserve"> of double moving average forecast model</w:t>
      </w:r>
      <w:r w:rsidR="001F37CC">
        <w:rPr>
          <w:rFonts w:ascii="Arial" w:hAnsi="Arial" w:cs="Arial"/>
          <w:sz w:val="20"/>
          <w:szCs w:val="20"/>
        </w:rPr>
        <w:t xml:space="preserve"> is chosen to represent the most suitable</w:t>
      </w:r>
      <w:r w:rsidR="006E003E">
        <w:rPr>
          <w:rFonts w:ascii="Arial" w:hAnsi="Arial" w:cs="Arial"/>
          <w:sz w:val="20"/>
          <w:szCs w:val="20"/>
        </w:rPr>
        <w:t xml:space="preserve"> decomposition </w:t>
      </w:r>
      <w:r w:rsidR="001F37CC">
        <w:rPr>
          <w:rFonts w:ascii="Arial" w:hAnsi="Arial" w:cs="Arial"/>
          <w:sz w:val="20"/>
          <w:szCs w:val="20"/>
        </w:rPr>
        <w:t>model.</w:t>
      </w:r>
    </w:p>
    <w:p w:rsidR="00BA68F1" w:rsidRDefault="00777DBA" w:rsidP="00BA68F1">
      <w:pPr>
        <w:spacing w:after="0" w:line="240" w:lineRule="auto"/>
        <w:ind w:left="0" w:hanging="2"/>
        <w:jc w:val="both"/>
        <w:rPr>
          <w:rFonts w:ascii="Arial" w:hAnsi="Arial" w:cs="Arial"/>
          <w:sz w:val="20"/>
          <w:szCs w:val="20"/>
        </w:rPr>
      </w:pPr>
      <w:r>
        <w:rPr>
          <w:rFonts w:ascii="Arial" w:hAnsi="Arial" w:cs="Arial"/>
          <w:sz w:val="20"/>
          <w:szCs w:val="20"/>
        </w:rPr>
        <w:t>Ta</w:t>
      </w:r>
      <w:r w:rsidRPr="00BA68F1">
        <w:rPr>
          <w:rFonts w:ascii="Arial" w:hAnsi="Arial" w:cs="Arial"/>
          <w:sz w:val="20"/>
          <w:szCs w:val="20"/>
        </w:rPr>
        <w:t>ble 2 shows the MAPE</w:t>
      </w:r>
      <w:r w:rsidR="001A1019">
        <w:rPr>
          <w:rFonts w:ascii="Arial" w:hAnsi="Arial" w:cs="Arial"/>
          <w:sz w:val="20"/>
          <w:szCs w:val="20"/>
        </w:rPr>
        <w:t>s</w:t>
      </w:r>
      <w:r w:rsidRPr="00BA68F1">
        <w:rPr>
          <w:rFonts w:ascii="Arial" w:hAnsi="Arial" w:cs="Arial"/>
          <w:sz w:val="20"/>
          <w:szCs w:val="20"/>
        </w:rPr>
        <w:t xml:space="preserve"> of SARI</w:t>
      </w:r>
      <w:r>
        <w:rPr>
          <w:rFonts w:ascii="Arial" w:hAnsi="Arial" w:cs="Arial"/>
          <w:sz w:val="20"/>
          <w:szCs w:val="20"/>
        </w:rPr>
        <w:t>MA(0,0,0)(0,1,1)8 and multiplicative decomposition</w:t>
      </w:r>
      <w:r w:rsidRPr="00BA68F1">
        <w:rPr>
          <w:rFonts w:ascii="Arial" w:hAnsi="Arial" w:cs="Arial"/>
          <w:sz w:val="20"/>
          <w:szCs w:val="20"/>
        </w:rPr>
        <w:t xml:space="preserve"> using</w:t>
      </w:r>
      <w:r w:rsidR="006E003E">
        <w:rPr>
          <w:rFonts w:ascii="Arial" w:hAnsi="Arial" w:cs="Arial"/>
          <w:sz w:val="20"/>
          <w:szCs w:val="20"/>
        </w:rPr>
        <w:t xml:space="preserve"> 3 periods</w:t>
      </w:r>
      <w:r w:rsidRPr="00BA68F1">
        <w:rPr>
          <w:rFonts w:ascii="Arial" w:hAnsi="Arial" w:cs="Arial"/>
          <w:sz w:val="20"/>
          <w:szCs w:val="20"/>
        </w:rPr>
        <w:t xml:space="preserve"> </w:t>
      </w:r>
      <w:r w:rsidR="006E003E">
        <w:rPr>
          <w:rFonts w:ascii="Arial" w:hAnsi="Arial" w:cs="Arial"/>
          <w:sz w:val="20"/>
          <w:szCs w:val="20"/>
        </w:rPr>
        <w:t xml:space="preserve">of </w:t>
      </w:r>
      <w:r w:rsidRPr="00BA68F1">
        <w:rPr>
          <w:rFonts w:ascii="Arial" w:hAnsi="Arial" w:cs="Arial"/>
          <w:sz w:val="20"/>
          <w:szCs w:val="20"/>
        </w:rPr>
        <w:t>double</w:t>
      </w:r>
      <w:r w:rsidR="00386DFA">
        <w:rPr>
          <w:rFonts w:ascii="Arial" w:hAnsi="Arial" w:cs="Arial"/>
          <w:sz w:val="20"/>
          <w:szCs w:val="20"/>
        </w:rPr>
        <w:t>-</w:t>
      </w:r>
      <w:r w:rsidRPr="00BA68F1">
        <w:rPr>
          <w:rFonts w:ascii="Arial" w:hAnsi="Arial" w:cs="Arial"/>
          <w:sz w:val="20"/>
          <w:szCs w:val="20"/>
        </w:rPr>
        <w:t>moving average forecast models</w:t>
      </w:r>
      <w:r w:rsidR="001A1019">
        <w:rPr>
          <w:rFonts w:ascii="Arial" w:hAnsi="Arial" w:cs="Arial"/>
          <w:sz w:val="20"/>
          <w:szCs w:val="20"/>
        </w:rPr>
        <w:t xml:space="preserve"> to compare the forecast performance in the testing data set</w:t>
      </w:r>
      <w:r>
        <w:rPr>
          <w:rFonts w:ascii="Arial" w:hAnsi="Arial" w:cs="Arial"/>
          <w:sz w:val="20"/>
          <w:szCs w:val="20"/>
        </w:rPr>
        <w:t>. Both models</w:t>
      </w:r>
      <w:r w:rsidR="00BA68F1" w:rsidRPr="00BA68F1">
        <w:rPr>
          <w:rFonts w:ascii="Arial" w:hAnsi="Arial" w:cs="Arial"/>
          <w:sz w:val="20"/>
          <w:szCs w:val="20"/>
        </w:rPr>
        <w:t xml:space="preserve"> have good prediction abilities since both have MAPEs under 20% </w:t>
      </w:r>
      <w:r w:rsidR="00BA68F1" w:rsidRPr="00BA68F1">
        <w:rPr>
          <w:rFonts w:ascii="Arial" w:hAnsi="Arial" w:cs="Arial"/>
          <w:sz w:val="20"/>
          <w:szCs w:val="20"/>
        </w:rPr>
        <w:fldChar w:fldCharType="begin" w:fldLock="1"/>
      </w:r>
      <w:r w:rsidR="00B538C3">
        <w:rPr>
          <w:rFonts w:ascii="Arial" w:hAnsi="Arial" w:cs="Arial"/>
          <w:sz w:val="20"/>
          <w:szCs w:val="20"/>
        </w:rPr>
        <w:instrText>ADDIN CSL_CITATION {"citationItems":[{"id":"ITEM-1","itemData":{"DOI":"10.25236/icbdem.2020.021","author":[{"dropping-particle":"","family":"Xu","given":"Pengyue","non-dropping-particle":"","parse-names":false,"suffix":""}],"container-title":"2020 International Conference on Big Data Application &amp; Economic Management","id":"ITEM-1","issue":"Icbdem","issued":{"date-parts":[["2020"]]},"page":"136-149","title":"Analysis and Prediction of Total Retail Sales of Consumer Goods Based on Multiple Regression and SARIMA Model","type":"article-journal"},"uris":["http://www.mendeley.com/documents/?uuid=3d45c91c-3172-4c94-9c4c-f60256a17912"]},{"id":"ITEM-2","itemData":{"DOI":"10.1016/j.procs.2022.01.298","ISSN":"18770509","abstract":"The application of predictive analytics (PA) in Supply Chain Management (SCM) has received growing attention over the last years, especially in demand forecasting. The purpose of this paper is to provide an overview of approaches in retail SCM and compare the quality of two selected methods. The data used comprises more than 37 months of actual retail sales data from an Austrian retailer. Based on this data, SARIMA and LSTM models were trained and evaluated. Both models produced reasonable to good results. In general, LSTM performed better for products with stable demand, while SARIMA showed better results for products with seasonal behavior. In addition, we compared results with SARIMAX by adding the external factor of promotions and found that SARIMAX performed significantly better for products with promotions. To further improve forecasting quality on the store level, we suggest hybrid approaches by training SARIMA(X) and LSTM on similar, pre-clustered store groups.","author":[{"dropping-particle":"","family":"Falatouri","given":"Taha","non-dropping-particle":"","parse-names":false,"suffix":""},{"dropping-particle":"","family":"Darbanian","given":"Farzaneh","non-dropping-particle":"","parse-names":false,"suffix":""},{"dropping-particle":"","family":"Brandtner","given":"Patrick","non-dropping-particle":"","parse-names":false,"suffix":""},{"dropping-particle":"","family":"Udokwu","given":"Chibuzor","non-dropping-particle":"","parse-names":false,"suffix":""}],"container-title":"Procedia Computer Science","id":"ITEM-2","issue":"2019","issued":{"date-parts":[["2022"]]},"page":"993-1003","publisher":"Elsevier B.V.","title":"Predictive Analytics for Demand Forecasting - A Comparison of SARIMA and LSTM in Retail SCM","type":"article-journal","volume":"200"},"uris":["http://www.mendeley.com/documents/?uuid=0821d2ac-214c-4f25-be71-c7d5b53533f3"]}],"mendeley":{"formattedCitation":"[32], [33]","plainTextFormattedCitation":"[32], [33]","previouslyFormattedCitation":"[32], [33]"},"properties":{"noteIndex":0},"schema":"https://github.com/citation-style-language/schema/raw/master/csl-citation.json"}</w:instrText>
      </w:r>
      <w:r w:rsidR="00BA68F1" w:rsidRPr="00BA68F1">
        <w:rPr>
          <w:rFonts w:ascii="Arial" w:hAnsi="Arial" w:cs="Arial"/>
          <w:sz w:val="20"/>
          <w:szCs w:val="20"/>
        </w:rPr>
        <w:fldChar w:fldCharType="separate"/>
      </w:r>
      <w:r w:rsidR="00B538C3" w:rsidRPr="00B538C3">
        <w:rPr>
          <w:rFonts w:ascii="Arial" w:hAnsi="Arial" w:cs="Arial"/>
          <w:noProof/>
          <w:sz w:val="20"/>
          <w:szCs w:val="20"/>
        </w:rPr>
        <w:t>[32], [33]</w:t>
      </w:r>
      <w:r w:rsidR="00BA68F1" w:rsidRPr="00BA68F1">
        <w:rPr>
          <w:rFonts w:ascii="Arial" w:hAnsi="Arial" w:cs="Arial"/>
          <w:sz w:val="20"/>
          <w:szCs w:val="20"/>
        </w:rPr>
        <w:fldChar w:fldCharType="end"/>
      </w:r>
      <w:r w:rsidR="00DF15C1">
        <w:rPr>
          <w:rFonts w:ascii="Arial" w:hAnsi="Arial" w:cs="Arial"/>
          <w:sz w:val="20"/>
          <w:szCs w:val="20"/>
        </w:rPr>
        <w:t xml:space="preserve">. </w:t>
      </w:r>
      <w:r w:rsidR="00BA68F1" w:rsidRPr="00BA68F1">
        <w:rPr>
          <w:rFonts w:ascii="Arial" w:hAnsi="Arial" w:cs="Arial"/>
          <w:sz w:val="20"/>
          <w:szCs w:val="20"/>
        </w:rPr>
        <w:t>However, the later forecasting model performs better by 1.58%. Alth</w:t>
      </w:r>
      <w:r w:rsidR="00DF15C1">
        <w:rPr>
          <w:rFonts w:ascii="Arial" w:hAnsi="Arial" w:cs="Arial"/>
          <w:sz w:val="20"/>
          <w:szCs w:val="20"/>
        </w:rPr>
        <w:t>ough both forecast model</w:t>
      </w:r>
      <w:r w:rsidR="00652DBE">
        <w:rPr>
          <w:rFonts w:ascii="Arial" w:hAnsi="Arial" w:cs="Arial"/>
          <w:sz w:val="20"/>
          <w:szCs w:val="20"/>
        </w:rPr>
        <w:t>s</w:t>
      </w:r>
      <w:r w:rsidR="00DF15C1">
        <w:rPr>
          <w:rFonts w:ascii="Arial" w:hAnsi="Arial" w:cs="Arial"/>
          <w:sz w:val="20"/>
          <w:szCs w:val="20"/>
        </w:rPr>
        <w:t xml:space="preserve"> do not have MAPE under 10% to get</w:t>
      </w:r>
      <w:r w:rsidR="00BA68F1" w:rsidRPr="00BA68F1">
        <w:rPr>
          <w:rFonts w:ascii="Arial" w:hAnsi="Arial" w:cs="Arial"/>
          <w:sz w:val="20"/>
          <w:szCs w:val="20"/>
        </w:rPr>
        <w:t xml:space="preserve"> an excellent prediction ability standard </w:t>
      </w:r>
      <w:r w:rsidR="00BA68F1" w:rsidRPr="00BA68F1">
        <w:rPr>
          <w:rFonts w:ascii="Arial" w:hAnsi="Arial" w:cs="Arial"/>
          <w:sz w:val="20"/>
          <w:szCs w:val="20"/>
        </w:rPr>
        <w:fldChar w:fldCharType="begin" w:fldLock="1"/>
      </w:r>
      <w:r w:rsidR="00B538C3">
        <w:rPr>
          <w:rFonts w:ascii="Arial" w:hAnsi="Arial" w:cs="Arial"/>
          <w:sz w:val="20"/>
          <w:szCs w:val="20"/>
        </w:rPr>
        <w:instrText>ADDIN CSL_CITATION {"citationItems":[{"id":"ITEM-1","itemData":{"DOI":"10.25236/icbdem.2020.021","author":[{"dropping-particle":"","family":"Xu","given":"Pengyue","non-dropping-particle":"","parse-names":false,"suffix":""}],"container-title":"2020 International Conference on Big Data Application &amp; Economic Management","id":"ITEM-1","issue":"Icbdem","issued":{"date-parts":[["2020"]]},"page":"136-149","title":"Analysis and Prediction of Total Retail Sales of Consumer Goods Based on Multiple Regression and SARIMA Model","type":"article-journal"},"uris":["http://www.mendeley.com/documents/?uuid=3d45c91c-3172-4c94-9c4c-f60256a17912"]},{"id":"ITEM-2","itemData":{"DOI":"10.1016/j.procs.2022.01.298","ISSN":"18770509","abstract":"The application of predictive analytics (PA) in Supply Chain Management (SCM) has received growing attention over the last years, especially in demand forecasting. The purpose of this paper is to provide an overview of approaches in retail SCM and compare the quality of two selected methods. The data used comprises more than 37 months of actual retail sales data from an Austrian retailer. Based on this data, SARIMA and LSTM models were trained and evaluated. Both models produced reasonable to good results. In general, LSTM performed better for products with stable demand, while SARIMA showed better results for products with seasonal behavior. In addition, we compared results with SARIMAX by adding the external factor of promotions and found that SARIMAX performed significantly better for products with promotions. To further improve forecasting quality on the store level, we suggest hybrid approaches by training SARIMA(X) and LSTM on similar, pre-clustered store groups.","author":[{"dropping-particle":"","family":"Falatouri","given":"Taha","non-dropping-particle":"","parse-names":false,"suffix":""},{"dropping-particle":"","family":"Darbanian","given":"Farzaneh","non-dropping-particle":"","parse-names":false,"suffix":""},{"dropping-particle":"","family":"Brandtner","given":"Patrick","non-dropping-particle":"","parse-names":false,"suffix":""},{"dropping-particle":"","family":"Udokwu","given":"Chibuzor","non-dropping-particle":"","parse-names":false,"suffix":""}],"container-title":"Procedia Computer Science","id":"ITEM-2","issue":"2019","issued":{"date-parts":[["2022"]]},"page":"993-1003","publisher":"Elsevier B.V.","title":"Predictive Analytics for Demand Forecasting - A Comparison of SARIMA and LSTM in Retail SCM","type":"article-journal","volume":"200"},"uris":["http://www.mendeley.com/documents/?uuid=0821d2ac-214c-4f25-be71-c7d5b53533f3"]}],"mendeley":{"formattedCitation":"[32], [33]","plainTextFormattedCitation":"[32], [33]","previouslyFormattedCitation":"[32], [33]"},"properties":{"noteIndex":0},"schema":"https://github.com/citation-style-language/schema/raw/master/csl-citation.json"}</w:instrText>
      </w:r>
      <w:r w:rsidR="00BA68F1" w:rsidRPr="00BA68F1">
        <w:rPr>
          <w:rFonts w:ascii="Arial" w:hAnsi="Arial" w:cs="Arial"/>
          <w:sz w:val="20"/>
          <w:szCs w:val="20"/>
        </w:rPr>
        <w:fldChar w:fldCharType="separate"/>
      </w:r>
      <w:r w:rsidR="00B538C3" w:rsidRPr="00B538C3">
        <w:rPr>
          <w:rFonts w:ascii="Arial" w:hAnsi="Arial" w:cs="Arial"/>
          <w:noProof/>
          <w:sz w:val="20"/>
          <w:szCs w:val="20"/>
        </w:rPr>
        <w:t>[32], [33]</w:t>
      </w:r>
      <w:r w:rsidR="00BA68F1" w:rsidRPr="00BA68F1">
        <w:rPr>
          <w:rFonts w:ascii="Arial" w:hAnsi="Arial" w:cs="Arial"/>
          <w:sz w:val="20"/>
          <w:szCs w:val="20"/>
        </w:rPr>
        <w:fldChar w:fldCharType="end"/>
      </w:r>
      <w:r w:rsidR="00DF15C1">
        <w:rPr>
          <w:rFonts w:ascii="Arial" w:hAnsi="Arial" w:cs="Arial"/>
          <w:sz w:val="20"/>
          <w:szCs w:val="20"/>
        </w:rPr>
        <w:t xml:space="preserve">, </w:t>
      </w:r>
      <w:r w:rsidR="00BA68F1" w:rsidRPr="00BA68F1">
        <w:rPr>
          <w:rFonts w:ascii="Arial" w:hAnsi="Arial" w:cs="Arial"/>
          <w:sz w:val="20"/>
          <w:szCs w:val="20"/>
        </w:rPr>
        <w:t>this result can be considered good enough since the sales of sugar have high variability based on the coefficient of variation</w:t>
      </w:r>
      <w:r w:rsidR="0017032A">
        <w:rPr>
          <w:rFonts w:ascii="Arial" w:hAnsi="Arial" w:cs="Arial"/>
          <w:sz w:val="20"/>
          <w:szCs w:val="20"/>
        </w:rPr>
        <w:t xml:space="preserve"> (CV)</w:t>
      </w:r>
      <w:r w:rsidR="00BA68F1" w:rsidRPr="00BA68F1">
        <w:rPr>
          <w:rFonts w:ascii="Arial" w:hAnsi="Arial" w:cs="Arial"/>
          <w:sz w:val="20"/>
          <w:szCs w:val="20"/>
        </w:rPr>
        <w:t xml:space="preserve"> that is above </w:t>
      </w:r>
      <w:r w:rsidR="0017032A">
        <w:rPr>
          <w:rFonts w:ascii="Arial" w:hAnsi="Arial" w:cs="Arial"/>
          <w:sz w:val="20"/>
          <w:szCs w:val="20"/>
        </w:rPr>
        <w:t>the accepted standard. The CV of this s</w:t>
      </w:r>
      <w:r w:rsidR="00386DFA">
        <w:rPr>
          <w:rFonts w:ascii="Arial" w:hAnsi="Arial" w:cs="Arial"/>
          <w:sz w:val="20"/>
          <w:szCs w:val="20"/>
        </w:rPr>
        <w:t>al</w:t>
      </w:r>
      <w:r w:rsidR="0017032A">
        <w:rPr>
          <w:rFonts w:ascii="Arial" w:hAnsi="Arial" w:cs="Arial"/>
          <w:sz w:val="20"/>
          <w:szCs w:val="20"/>
        </w:rPr>
        <w:t>es is 27.44</w:t>
      </w:r>
      <w:r w:rsidR="003B7326">
        <w:rPr>
          <w:rFonts w:ascii="Arial" w:hAnsi="Arial" w:cs="Arial"/>
          <w:sz w:val="20"/>
          <w:szCs w:val="20"/>
        </w:rPr>
        <w:t>%</w:t>
      </w:r>
      <w:r w:rsidR="0017032A">
        <w:rPr>
          <w:rFonts w:ascii="Arial" w:hAnsi="Arial" w:cs="Arial"/>
          <w:sz w:val="20"/>
          <w:szCs w:val="20"/>
        </w:rPr>
        <w:t>, while the CV standard is 15%</w:t>
      </w:r>
      <w:r w:rsidR="003A779D">
        <w:rPr>
          <w:rFonts w:ascii="Arial" w:hAnsi="Arial" w:cs="Arial"/>
          <w:sz w:val="20"/>
          <w:szCs w:val="20"/>
        </w:rPr>
        <w:t>.</w:t>
      </w:r>
      <w:r w:rsidR="0053734B">
        <w:rPr>
          <w:rFonts w:ascii="Arial" w:hAnsi="Arial" w:cs="Arial"/>
          <w:sz w:val="20"/>
          <w:szCs w:val="20"/>
        </w:rPr>
        <w:t xml:space="preserve"> </w:t>
      </w:r>
      <w:r w:rsidR="004107F5">
        <w:rPr>
          <w:rFonts w:ascii="Arial" w:hAnsi="Arial" w:cs="Arial"/>
          <w:sz w:val="20"/>
          <w:szCs w:val="20"/>
        </w:rPr>
        <w:t xml:space="preserve">The CV of sugar sales can be seen in Table 1 previously. </w:t>
      </w:r>
      <w:r w:rsidR="0053734B">
        <w:rPr>
          <w:rFonts w:ascii="Arial" w:hAnsi="Arial" w:cs="Arial"/>
          <w:sz w:val="20"/>
          <w:szCs w:val="20"/>
        </w:rPr>
        <w:t xml:space="preserve">This high volatility in retail is similar </w:t>
      </w:r>
      <w:r w:rsidR="00386DFA">
        <w:rPr>
          <w:rFonts w:ascii="Arial" w:hAnsi="Arial" w:cs="Arial"/>
          <w:sz w:val="20"/>
          <w:szCs w:val="20"/>
        </w:rPr>
        <w:t>to</w:t>
      </w:r>
      <w:r w:rsidR="0053734B">
        <w:rPr>
          <w:rFonts w:ascii="Arial" w:hAnsi="Arial" w:cs="Arial"/>
          <w:sz w:val="20"/>
          <w:szCs w:val="20"/>
        </w:rPr>
        <w:t xml:space="preserve"> what has been mentioned in previous studies by </w:t>
      </w:r>
      <w:r w:rsidR="0053734B">
        <w:rPr>
          <w:rFonts w:ascii="Arial" w:hAnsi="Arial" w:cs="Arial"/>
          <w:noProof/>
          <w:sz w:val="20"/>
          <w:szCs w:val="24"/>
        </w:rPr>
        <w:t>Badorf and</w:t>
      </w:r>
      <w:r w:rsidR="0053734B" w:rsidRPr="009260CE">
        <w:rPr>
          <w:rFonts w:ascii="Arial" w:hAnsi="Arial" w:cs="Arial"/>
          <w:noProof/>
          <w:sz w:val="20"/>
          <w:szCs w:val="24"/>
        </w:rPr>
        <w:t xml:space="preserve"> Hoberg</w:t>
      </w:r>
      <w:r w:rsidR="0053734B" w:rsidRPr="00140803">
        <w:rPr>
          <w:rFonts w:ascii="Arial" w:hAnsi="Arial" w:cs="Arial"/>
          <w:sz w:val="20"/>
          <w:szCs w:val="20"/>
        </w:rPr>
        <w:t xml:space="preserve"> </w:t>
      </w:r>
      <w:r w:rsidR="0053734B" w:rsidRPr="00140803">
        <w:rPr>
          <w:rFonts w:ascii="Arial" w:hAnsi="Arial" w:cs="Arial"/>
          <w:sz w:val="20"/>
          <w:szCs w:val="20"/>
        </w:rPr>
        <w:fldChar w:fldCharType="begin" w:fldLock="1"/>
      </w:r>
      <w:r w:rsidR="0053734B">
        <w:rPr>
          <w:rFonts w:ascii="Arial" w:hAnsi="Arial" w:cs="Arial"/>
          <w:sz w:val="20"/>
          <w:szCs w:val="20"/>
        </w:rPr>
        <w:instrText>ADDIN CSL_CITATION {"citationItems":[{"id":"ITEM-1","itemData":{"DOI":"10.1016/j.jretconser.2019.101921","ISSN":"09696989","abstract":"In this study, we examine the influence of weather on daily sales in brick-and-mortar retailing using empirical data for 673 stores. We develop a random coefficient model that considers non-linear effects and seasonal differences using different weather parameters. In the ex-post analysis using historic weather data, we quantify the explanatory power of weather information on daily sales, identify store-specific effects and analyze the influence of specific sales themes. We find that the weather has generally a complex effect on daily sales while the magnitude and the direction of the weather effect depend on the store location and the sales theme. The effect on daily sales can be as high as 23.1% based on the store location and as high as 40.7% based on the sales theme. We also find that the impact of extreme bad and good weather occurrences can be misestimated by traditional models that do not consider non-linear effects. In the ex-ante analysis, we analyze if weather forecasts can be used to improve the daily sales forecast. We show that including weather forecast information improves sales forecast accuracy up to seven days ahead. However, the improvement of the forecast accuracy diminishes with a higher forecast horizon.","author":[{"dropping-particle":"","family":"Badorf","given":"Florian","non-dropping-particle":"","parse-names":false,"suffix":""},{"dropping-particle":"","family":"Hoberg","given":"Kai","non-dropping-particle":"","parse-names":false,"suffix":""}],"container-title":"Journal of Retailing and Consumer Services","id":"ITEM-1","issue":"March 2019","issued":{"date-parts":[["2020"]]},"page":"101921","publisher":"Elsevier Ltd","title":"The impact of daily weather on retail sales: An empirical study in brick-and-mortar stores","type":"article-journal","volume":"52"},"uris":["http://www.mendeley.com/documents/?uuid=8677c97d-a69f-4327-bd4f-f15ea9ebdb27"]}],"mendeley":{"formattedCitation":"[1]","plainTextFormattedCitation":"[1]","previouslyFormattedCitation":"[1]"},"properties":{"noteIndex":0},"schema":"https://github.com/citation-style-language/schema/raw/master/csl-citation.json"}</w:instrText>
      </w:r>
      <w:r w:rsidR="0053734B" w:rsidRPr="00140803">
        <w:rPr>
          <w:rFonts w:ascii="Arial" w:hAnsi="Arial" w:cs="Arial"/>
          <w:sz w:val="20"/>
          <w:szCs w:val="20"/>
        </w:rPr>
        <w:fldChar w:fldCharType="separate"/>
      </w:r>
      <w:r w:rsidR="0053734B" w:rsidRPr="00546E20">
        <w:rPr>
          <w:rFonts w:ascii="Arial" w:hAnsi="Arial" w:cs="Arial"/>
          <w:noProof/>
          <w:sz w:val="20"/>
          <w:szCs w:val="20"/>
        </w:rPr>
        <w:t>[1]</w:t>
      </w:r>
      <w:r w:rsidR="0053734B" w:rsidRPr="00140803">
        <w:rPr>
          <w:rFonts w:ascii="Arial" w:hAnsi="Arial" w:cs="Arial"/>
          <w:sz w:val="20"/>
          <w:szCs w:val="20"/>
        </w:rPr>
        <w:fldChar w:fldCharType="end"/>
      </w:r>
      <w:r w:rsidR="0053734B">
        <w:rPr>
          <w:rFonts w:ascii="Arial" w:hAnsi="Arial" w:cs="Arial"/>
          <w:sz w:val="20"/>
          <w:szCs w:val="20"/>
        </w:rPr>
        <w:t xml:space="preserve"> and Almeida and </w:t>
      </w:r>
      <w:proofErr w:type="spellStart"/>
      <w:r w:rsidR="0053734B">
        <w:rPr>
          <w:rFonts w:ascii="Arial" w:hAnsi="Arial" w:cs="Arial"/>
          <w:sz w:val="20"/>
          <w:szCs w:val="20"/>
        </w:rPr>
        <w:t>Veiga</w:t>
      </w:r>
      <w:proofErr w:type="spellEnd"/>
      <w:r w:rsidR="0053734B">
        <w:rPr>
          <w:rFonts w:ascii="Arial" w:hAnsi="Arial" w:cs="Arial"/>
          <w:sz w:val="20"/>
          <w:szCs w:val="20"/>
        </w:rPr>
        <w:t xml:space="preserve"> </w:t>
      </w:r>
      <w:r w:rsidR="0053734B" w:rsidRPr="00140803">
        <w:rPr>
          <w:rFonts w:ascii="Arial" w:hAnsi="Arial" w:cs="Arial"/>
          <w:sz w:val="20"/>
          <w:szCs w:val="20"/>
        </w:rPr>
        <w:fldChar w:fldCharType="begin" w:fldLock="1"/>
      </w:r>
      <w:r w:rsidR="0053734B">
        <w:rPr>
          <w:rFonts w:ascii="Arial" w:hAnsi="Arial" w:cs="Arial"/>
          <w:sz w:val="20"/>
          <w:szCs w:val="20"/>
        </w:rPr>
        <w:instrText>ADDIN CSL_CITATION {"citationItems":[{"id":"ITEM-1","itemData":{"DOI":"10.1057/s41270-022-00162-x","ISBN":"0123456789","ISSN":"20503326","abstract":"Time series forecasting in retail plays an important role for retailers due to its capacity to aid managers in strategic planning to meet demand. In this article, a comparative experiment between two demand forecasting models is conducted to forecast an aggregate time series in Brazilian food retail on a twelve-year horizon. Performance was analyzed by comparing the accuracy of a linear model, Seasonal Autoregressive Integrated Moving Average (SARIMA), and a non-linear model, and Wavelets Neural Network (WNN). Performance was validated by the Mean Absolute Percentage Error (MAPE) and U-Theil, with a view to achieving the most accurate measurement of demand responsiveness, using the Fill Rate (FR). WNN had the best performance, with a FR of 98.43%, whereas SARIMA achieved a FR of 102.23%. Demand forecasting using WNN can be considered a resource for differentiation between retail organizations when it is incorporated into their operations. This article makes three contributions to the field with an application to retail and strengthening the argument for choosing a promising technique that can be used by managers to aid their decision making.","author":[{"dropping-particle":"","family":"Almeida","given":"Wesley Marcos","non-dropping-particle":"de","parse-names":false,"suffix":""},{"dropping-particle":"","family":"Veiga","given":"Claudimar Pereira","non-dropping-particle":"da","parse-names":false,"suffix":""}],"container-title":"Journal of Marketing Analytics","id":"ITEM-1","issue":"2","issued":{"date-parts":[["2023"]]},"page":"219-232","publisher":"Palgrave Macmillan UK","title":"Does demand forecasting matter to retailing?","type":"article-journal","volume":"11"},"uris":["http://www.mendeley.com/documents/?uuid=b05c72ae-5e63-40d2-bd2e-350692d8cfbc"]}],"mendeley":{"formattedCitation":"[2]","plainTextFormattedCitation":"[2]","previouslyFormattedCitation":"[2]"},"properties":{"noteIndex":0},"schema":"https://github.com/citation-style-language/schema/raw/master/csl-citation.json"}</w:instrText>
      </w:r>
      <w:r w:rsidR="0053734B" w:rsidRPr="00140803">
        <w:rPr>
          <w:rFonts w:ascii="Arial" w:hAnsi="Arial" w:cs="Arial"/>
          <w:sz w:val="20"/>
          <w:szCs w:val="20"/>
        </w:rPr>
        <w:fldChar w:fldCharType="separate"/>
      </w:r>
      <w:r w:rsidR="0053734B" w:rsidRPr="00546E20">
        <w:rPr>
          <w:rFonts w:ascii="Arial" w:hAnsi="Arial" w:cs="Arial"/>
          <w:noProof/>
          <w:sz w:val="20"/>
          <w:szCs w:val="20"/>
        </w:rPr>
        <w:t>[2]</w:t>
      </w:r>
      <w:r w:rsidR="0053734B" w:rsidRPr="00140803">
        <w:rPr>
          <w:rFonts w:ascii="Arial" w:hAnsi="Arial" w:cs="Arial"/>
          <w:sz w:val="20"/>
          <w:szCs w:val="20"/>
        </w:rPr>
        <w:fldChar w:fldCharType="end"/>
      </w:r>
      <w:r w:rsidR="0053734B">
        <w:rPr>
          <w:rFonts w:ascii="Arial" w:hAnsi="Arial" w:cs="Arial"/>
          <w:sz w:val="20"/>
          <w:szCs w:val="20"/>
        </w:rPr>
        <w:t>.</w:t>
      </w:r>
    </w:p>
    <w:p w:rsidR="001F37CC" w:rsidRDefault="001F37CC" w:rsidP="00A52C04">
      <w:pPr>
        <w:keepNext/>
        <w:pBdr>
          <w:top w:val="nil"/>
          <w:left w:val="nil"/>
          <w:bottom w:val="nil"/>
          <w:right w:val="nil"/>
          <w:between w:val="nil"/>
        </w:pBdr>
        <w:spacing w:after="0" w:line="240" w:lineRule="auto"/>
        <w:ind w:left="0" w:hanging="2"/>
        <w:jc w:val="center"/>
        <w:rPr>
          <w:rFonts w:ascii="Arial" w:eastAsia="Arial" w:hAnsi="Arial" w:cs="Arial"/>
          <w:color w:val="000000"/>
          <w:sz w:val="20"/>
          <w:szCs w:val="20"/>
        </w:rPr>
      </w:pPr>
    </w:p>
    <w:p w:rsidR="00F16A03" w:rsidRDefault="00BA68F1" w:rsidP="00A52C04">
      <w:pPr>
        <w:keepNext/>
        <w:pBdr>
          <w:top w:val="nil"/>
          <w:left w:val="nil"/>
          <w:bottom w:val="nil"/>
          <w:right w:val="nil"/>
          <w:between w:val="nil"/>
        </w:pBdr>
        <w:spacing w:after="0" w:line="240" w:lineRule="auto"/>
        <w:ind w:left="0" w:hanging="2"/>
        <w:jc w:val="center"/>
        <w:rPr>
          <w:rFonts w:ascii="Arial" w:eastAsia="Arial" w:hAnsi="Arial" w:cs="Arial"/>
          <w:color w:val="000000"/>
          <w:sz w:val="20"/>
          <w:szCs w:val="20"/>
        </w:rPr>
      </w:pPr>
      <w:r>
        <w:rPr>
          <w:rFonts w:ascii="Arial" w:eastAsia="Arial" w:hAnsi="Arial" w:cs="Arial"/>
          <w:color w:val="000000"/>
          <w:sz w:val="20"/>
          <w:szCs w:val="20"/>
        </w:rPr>
        <w:t>T</w:t>
      </w:r>
      <w:r w:rsidRPr="00A52C04">
        <w:rPr>
          <w:rFonts w:ascii="Arial" w:eastAsia="Arial" w:hAnsi="Arial" w:cs="Arial"/>
          <w:color w:val="000000"/>
          <w:sz w:val="20"/>
          <w:szCs w:val="20"/>
        </w:rPr>
        <w:t>able 2.</w:t>
      </w:r>
      <w:r w:rsidR="00F16A03" w:rsidRPr="00A52C04">
        <w:rPr>
          <w:rFonts w:ascii="Arial" w:eastAsia="Arial" w:hAnsi="Arial" w:cs="Arial"/>
          <w:color w:val="000000"/>
          <w:sz w:val="20"/>
          <w:szCs w:val="20"/>
        </w:rPr>
        <w:t xml:space="preserve"> </w:t>
      </w:r>
      <w:r w:rsidR="00A52C04" w:rsidRPr="00A52C04">
        <w:rPr>
          <w:rFonts w:ascii="Arial" w:hAnsi="Arial" w:cs="Arial"/>
          <w:sz w:val="20"/>
          <w:szCs w:val="20"/>
        </w:rPr>
        <w:t>MAPE Comparison of Forecast Models</w:t>
      </w:r>
    </w:p>
    <w:tbl>
      <w:tblPr>
        <w:tblStyle w:val="a2"/>
        <w:tblW w:w="4395" w:type="dxa"/>
        <w:jc w:val="center"/>
        <w:tblBorders>
          <w:top w:val="single" w:sz="4" w:space="0" w:color="000000"/>
          <w:left w:val="nil"/>
          <w:bottom w:val="single" w:sz="4" w:space="0" w:color="000000"/>
          <w:right w:val="nil"/>
          <w:insideH w:val="nil"/>
          <w:insideV w:val="nil"/>
        </w:tblBorders>
        <w:tblLayout w:type="fixed"/>
        <w:tblLook w:val="0000" w:firstRow="0" w:lastRow="0" w:firstColumn="0" w:lastColumn="0" w:noHBand="0" w:noVBand="0"/>
      </w:tblPr>
      <w:tblGrid>
        <w:gridCol w:w="3402"/>
        <w:gridCol w:w="993"/>
      </w:tblGrid>
      <w:tr w:rsidR="005D7DFF" w:rsidRPr="003E7689" w:rsidTr="005D7DFF">
        <w:trPr>
          <w:trHeight w:val="20"/>
          <w:jc w:val="center"/>
        </w:trPr>
        <w:tc>
          <w:tcPr>
            <w:tcW w:w="3402" w:type="dxa"/>
            <w:tcBorders>
              <w:top w:val="single" w:sz="4" w:space="0" w:color="000000"/>
              <w:bottom w:val="single" w:sz="4" w:space="0" w:color="000000"/>
            </w:tcBorders>
            <w:vAlign w:val="bottom"/>
          </w:tcPr>
          <w:p w:rsidR="005D7DFF" w:rsidRPr="005D7DFF" w:rsidRDefault="005D7DFF" w:rsidP="005D7DFF">
            <w:pPr>
              <w:spacing w:after="0" w:line="240" w:lineRule="auto"/>
              <w:ind w:left="0" w:hanging="2"/>
              <w:jc w:val="center"/>
              <w:rPr>
                <w:rFonts w:ascii="Arial" w:eastAsia="Times New Roman" w:hAnsi="Arial" w:cs="Arial"/>
                <w:b/>
                <w:bCs/>
                <w:color w:val="000000"/>
                <w:sz w:val="16"/>
                <w:szCs w:val="16"/>
                <w:lang w:eastAsia="en-ID"/>
              </w:rPr>
            </w:pPr>
            <w:r w:rsidRPr="005D7DFF">
              <w:rPr>
                <w:rFonts w:ascii="Arial" w:eastAsia="Times New Roman" w:hAnsi="Arial" w:cs="Arial"/>
                <w:b/>
                <w:bCs/>
                <w:color w:val="000000"/>
                <w:sz w:val="16"/>
                <w:szCs w:val="16"/>
                <w:lang w:eastAsia="en-ID"/>
              </w:rPr>
              <w:t>Possible Forecast Model</w:t>
            </w:r>
            <w:r w:rsidR="001253FD">
              <w:rPr>
                <w:rFonts w:ascii="Arial" w:eastAsia="Times New Roman" w:hAnsi="Arial" w:cs="Arial"/>
                <w:b/>
                <w:bCs/>
                <w:color w:val="000000"/>
                <w:sz w:val="16"/>
                <w:szCs w:val="16"/>
                <w:lang w:eastAsia="en-ID"/>
              </w:rPr>
              <w:t>s</w:t>
            </w:r>
          </w:p>
        </w:tc>
        <w:tc>
          <w:tcPr>
            <w:tcW w:w="993" w:type="dxa"/>
            <w:tcBorders>
              <w:top w:val="single" w:sz="4" w:space="0" w:color="000000"/>
              <w:bottom w:val="single" w:sz="4" w:space="0" w:color="000000"/>
            </w:tcBorders>
            <w:vAlign w:val="bottom"/>
          </w:tcPr>
          <w:p w:rsidR="005D7DFF" w:rsidRPr="005D7DFF" w:rsidRDefault="005D7DFF" w:rsidP="005D7DFF">
            <w:pPr>
              <w:spacing w:after="0" w:line="240" w:lineRule="auto"/>
              <w:ind w:left="0" w:hanging="2"/>
              <w:jc w:val="center"/>
              <w:rPr>
                <w:rFonts w:ascii="Arial" w:eastAsia="Times New Roman" w:hAnsi="Arial" w:cs="Arial"/>
                <w:b/>
                <w:bCs/>
                <w:color w:val="000000"/>
                <w:sz w:val="16"/>
                <w:szCs w:val="16"/>
                <w:lang w:eastAsia="en-ID"/>
              </w:rPr>
            </w:pPr>
            <w:r w:rsidRPr="005D7DFF">
              <w:rPr>
                <w:rFonts w:ascii="Arial" w:eastAsia="Times New Roman" w:hAnsi="Arial" w:cs="Arial"/>
                <w:b/>
                <w:bCs/>
                <w:color w:val="000000"/>
                <w:sz w:val="16"/>
                <w:szCs w:val="16"/>
                <w:lang w:eastAsia="en-ID"/>
              </w:rPr>
              <w:t>MAPE</w:t>
            </w:r>
          </w:p>
        </w:tc>
      </w:tr>
      <w:tr w:rsidR="005D7DFF" w:rsidRPr="003E7689" w:rsidTr="005D7DFF">
        <w:trPr>
          <w:trHeight w:val="20"/>
          <w:jc w:val="center"/>
        </w:trPr>
        <w:tc>
          <w:tcPr>
            <w:tcW w:w="3402" w:type="dxa"/>
            <w:tcBorders>
              <w:top w:val="single" w:sz="4" w:space="0" w:color="000000"/>
            </w:tcBorders>
            <w:vAlign w:val="bottom"/>
          </w:tcPr>
          <w:p w:rsidR="005D7DFF" w:rsidRPr="005D7DFF" w:rsidRDefault="005D7DFF" w:rsidP="005D7DFF">
            <w:pPr>
              <w:spacing w:after="0" w:line="240" w:lineRule="auto"/>
              <w:ind w:left="0" w:hanging="2"/>
              <w:rPr>
                <w:rFonts w:ascii="Arial" w:eastAsia="Times New Roman" w:hAnsi="Arial" w:cs="Arial"/>
                <w:color w:val="000000"/>
                <w:sz w:val="16"/>
                <w:szCs w:val="16"/>
                <w:lang w:eastAsia="en-ID"/>
              </w:rPr>
            </w:pPr>
            <w:r w:rsidRPr="005D7DFF">
              <w:rPr>
                <w:rFonts w:ascii="Arial" w:eastAsia="Times New Roman" w:hAnsi="Arial" w:cs="Arial"/>
                <w:color w:val="000000"/>
                <w:sz w:val="16"/>
                <w:szCs w:val="16"/>
                <w:lang w:eastAsia="en-ID"/>
              </w:rPr>
              <w:t>SARIMA (0,0,0)(0,1,1)8</w:t>
            </w:r>
          </w:p>
        </w:tc>
        <w:tc>
          <w:tcPr>
            <w:tcW w:w="993" w:type="dxa"/>
            <w:tcBorders>
              <w:top w:val="single" w:sz="4" w:space="0" w:color="000000"/>
            </w:tcBorders>
            <w:vAlign w:val="bottom"/>
          </w:tcPr>
          <w:p w:rsidR="005D7DFF" w:rsidRPr="005D7DFF" w:rsidRDefault="005D7DFF" w:rsidP="005D7DFF">
            <w:pPr>
              <w:tabs>
                <w:tab w:val="left" w:pos="1430"/>
              </w:tabs>
              <w:spacing w:after="0" w:line="240" w:lineRule="auto"/>
              <w:ind w:left="0" w:hanging="2"/>
              <w:jc w:val="right"/>
              <w:rPr>
                <w:rFonts w:ascii="Arial" w:eastAsia="Times New Roman" w:hAnsi="Arial" w:cs="Arial"/>
                <w:color w:val="000000"/>
                <w:sz w:val="16"/>
                <w:szCs w:val="16"/>
                <w:lang w:eastAsia="en-ID"/>
              </w:rPr>
            </w:pPr>
            <w:r w:rsidRPr="005D7DFF">
              <w:rPr>
                <w:rFonts w:ascii="Arial" w:eastAsia="Times New Roman" w:hAnsi="Arial" w:cs="Arial"/>
                <w:color w:val="000000"/>
                <w:sz w:val="16"/>
                <w:szCs w:val="16"/>
                <w:lang w:eastAsia="en-ID"/>
              </w:rPr>
              <w:t>15.22%</w:t>
            </w:r>
          </w:p>
        </w:tc>
      </w:tr>
      <w:tr w:rsidR="005D7DFF" w:rsidRPr="003E7689" w:rsidTr="005D7DFF">
        <w:trPr>
          <w:trHeight w:val="20"/>
          <w:jc w:val="center"/>
        </w:trPr>
        <w:tc>
          <w:tcPr>
            <w:tcW w:w="3402" w:type="dxa"/>
            <w:tcBorders>
              <w:bottom w:val="single" w:sz="4" w:space="0" w:color="000000"/>
            </w:tcBorders>
            <w:vAlign w:val="bottom"/>
          </w:tcPr>
          <w:p w:rsidR="005D7DFF" w:rsidRPr="005D7DFF" w:rsidRDefault="005D7DFF" w:rsidP="005D7DFF">
            <w:pPr>
              <w:spacing w:after="0" w:line="240" w:lineRule="auto"/>
              <w:ind w:left="0" w:hanging="2"/>
              <w:rPr>
                <w:rFonts w:ascii="Arial" w:eastAsia="Times New Roman" w:hAnsi="Arial" w:cs="Arial"/>
                <w:color w:val="000000"/>
                <w:sz w:val="16"/>
                <w:szCs w:val="16"/>
                <w:lang w:eastAsia="en-ID"/>
              </w:rPr>
            </w:pPr>
            <w:r>
              <w:rPr>
                <w:rFonts w:ascii="Arial" w:hAnsi="Arial" w:cs="Arial"/>
                <w:sz w:val="16"/>
                <w:szCs w:val="16"/>
              </w:rPr>
              <w:t xml:space="preserve">Multiplicative </w:t>
            </w:r>
            <w:r w:rsidRPr="005D7DFF">
              <w:rPr>
                <w:rFonts w:ascii="Arial" w:hAnsi="Arial" w:cs="Arial"/>
                <w:sz w:val="16"/>
                <w:szCs w:val="16"/>
              </w:rPr>
              <w:t xml:space="preserve">Decomposition Using Double Moving Average </w:t>
            </w:r>
          </w:p>
        </w:tc>
        <w:tc>
          <w:tcPr>
            <w:tcW w:w="993" w:type="dxa"/>
            <w:tcBorders>
              <w:bottom w:val="single" w:sz="4" w:space="0" w:color="000000"/>
            </w:tcBorders>
            <w:vAlign w:val="bottom"/>
          </w:tcPr>
          <w:p w:rsidR="005D7DFF" w:rsidRPr="005D7DFF" w:rsidRDefault="005D7DFF" w:rsidP="005D7DFF">
            <w:pPr>
              <w:pStyle w:val="ListParagraph"/>
              <w:tabs>
                <w:tab w:val="left" w:pos="1430"/>
              </w:tabs>
              <w:spacing w:after="0" w:line="240" w:lineRule="auto"/>
              <w:ind w:left="0" w:hanging="2"/>
              <w:jc w:val="right"/>
              <w:rPr>
                <w:rFonts w:ascii="Arial" w:eastAsia="Times New Roman" w:hAnsi="Arial" w:cs="Arial"/>
                <w:color w:val="000000"/>
                <w:sz w:val="16"/>
                <w:szCs w:val="16"/>
                <w:lang w:eastAsia="en-ID"/>
              </w:rPr>
            </w:pPr>
            <w:r w:rsidRPr="005D7DFF">
              <w:rPr>
                <w:rFonts w:ascii="Arial" w:eastAsia="Times New Roman" w:hAnsi="Arial" w:cs="Arial"/>
                <w:color w:val="000000"/>
                <w:sz w:val="16"/>
                <w:szCs w:val="16"/>
                <w:lang w:eastAsia="en-ID"/>
              </w:rPr>
              <w:t>13.64 %</w:t>
            </w:r>
          </w:p>
        </w:tc>
      </w:tr>
    </w:tbl>
    <w:p w:rsidR="00EE0732" w:rsidRDefault="00EE0732" w:rsidP="00A52C04">
      <w:pPr>
        <w:spacing w:after="0" w:line="240" w:lineRule="auto"/>
        <w:ind w:left="0" w:hanging="2"/>
        <w:jc w:val="both"/>
        <w:rPr>
          <w:rFonts w:ascii="Arial" w:hAnsi="Arial" w:cs="Arial"/>
          <w:sz w:val="20"/>
          <w:szCs w:val="20"/>
        </w:rPr>
      </w:pPr>
    </w:p>
    <w:p w:rsidR="00020C2A" w:rsidRDefault="00EE0732" w:rsidP="00020C2A">
      <w:pPr>
        <w:spacing w:after="0" w:line="240" w:lineRule="auto"/>
        <w:ind w:left="-2" w:firstLineChars="0" w:firstLine="0"/>
        <w:jc w:val="both"/>
        <w:rPr>
          <w:rFonts w:ascii="Arial" w:hAnsi="Arial" w:cs="Arial"/>
          <w:sz w:val="20"/>
          <w:szCs w:val="20"/>
        </w:rPr>
      </w:pPr>
      <w:r>
        <w:rPr>
          <w:rFonts w:ascii="Arial" w:hAnsi="Arial" w:cs="Arial"/>
          <w:sz w:val="20"/>
          <w:szCs w:val="20"/>
        </w:rPr>
        <w:t xml:space="preserve">This result is in line with </w:t>
      </w:r>
      <w:proofErr w:type="spellStart"/>
      <w:r>
        <w:rPr>
          <w:rFonts w:ascii="Arial" w:hAnsi="Arial" w:cs="Arial"/>
          <w:sz w:val="20"/>
          <w:szCs w:val="20"/>
        </w:rPr>
        <w:t>Guarnaccia</w:t>
      </w:r>
      <w:proofErr w:type="spellEnd"/>
      <w:r>
        <w:rPr>
          <w:rFonts w:ascii="Arial" w:hAnsi="Arial" w:cs="Arial"/>
          <w:sz w:val="20"/>
          <w:szCs w:val="20"/>
        </w:rPr>
        <w:t xml:space="preserve"> et al. </w:t>
      </w:r>
      <w:r>
        <w:rPr>
          <w:rFonts w:ascii="Arial" w:hAnsi="Arial" w:cs="Arial"/>
          <w:sz w:val="20"/>
          <w:szCs w:val="20"/>
        </w:rPr>
        <w:fldChar w:fldCharType="begin" w:fldLock="1"/>
      </w:r>
      <w:r w:rsidR="00AA5E59">
        <w:rPr>
          <w:rFonts w:ascii="Arial" w:hAnsi="Arial" w:cs="Arial"/>
          <w:sz w:val="20"/>
          <w:szCs w:val="20"/>
        </w:rPr>
        <w:instrText>ADDIN CSL_CITATION {"citationItems":[{"id":"ITEM-1","itemData":{"DOI":"10.1063/1.4982019","ISBN":"9780735415065","ISSN":"15517616","abstract":"One of the most hazardous physical polluting agents, considering their effects on human health, is acoustical noise. Airports are a strong source of acoustical noise, due to the airplanes turbines, to the aero-dynamical noise of transits, to the acceleration or the breaking during the take-off and landing phases of aircrafts, to the road traffic around the airport, etc.. The monitoring and the prediction of the acoustical level emitted by airports can be very useful to assess the impact on human health and activities. In the airports noise scenario, thanks to flights scheduling, the predominant sources may have a periodic behaviour. Thus, a Time Series Analysis approach can be adopted, considering that a general trend and a seasonal behaviour can be highlighted and used to build a predictive model. In this paper, two different approaches are adopted, thus two predictive models are constructed and tested. The first model is based on deterministic decomposition and is built composing the trend, that is the long term behaviour, the seasonality, that is the periodic component, and the random variations. The second model is based on seasonal autoregressive moving average, and it belongs to the stochastic class of models. The two different models are fitted on an acoustical level dataset collected close to the Nice (France) international airport. Results will be encouraging and will show good prediction performances of both the adopted strategies. A residual analysis is performed, in order to quantify the forecasting error features.","author":[{"dropping-particle":"","family":"Guarnaccia","given":"Claudio","non-dropping-particle":"","parse-names":false,"suffix":""},{"dropping-particle":"","family":"Quartieri","given":"Joseph","non-dropping-particle":"","parse-names":false,"suffix":""},{"dropping-particle":"","family":"Tepedino","given":"Carmine","non-dropping-particle":"","parse-names":false,"suffix":""}],"container-title":"AIP Conference Proceedings","id":"ITEM-1","issued":{"date-parts":[["2017"]]},"title":"Deterministic decomposition and seasonal ARIMA time series models applied to airport noise forecasting","type":"article-journal","volume":"1836"},"uris":["http://www.mendeley.com/documents/?uuid=4fcbb52c-4128-484b-bfb0-a88762e0a176"]}],"mendeley":{"formattedCitation":"[8]","plainTextFormattedCitation":"[8]","previouslyFormattedCitation":"[8]"},"properties":{"noteIndex":0},"schema":"https://github.com/citation-style-language/schema/raw/master/csl-citation.json"}</w:instrText>
      </w:r>
      <w:r>
        <w:rPr>
          <w:rFonts w:ascii="Arial" w:hAnsi="Arial" w:cs="Arial"/>
          <w:sz w:val="20"/>
          <w:szCs w:val="20"/>
        </w:rPr>
        <w:fldChar w:fldCharType="separate"/>
      </w:r>
      <w:r w:rsidR="00AA5E59" w:rsidRPr="00AA5E59">
        <w:rPr>
          <w:rFonts w:ascii="Arial" w:hAnsi="Arial" w:cs="Arial"/>
          <w:noProof/>
          <w:sz w:val="20"/>
          <w:szCs w:val="20"/>
        </w:rPr>
        <w:t>[8]</w:t>
      </w:r>
      <w:r>
        <w:rPr>
          <w:rFonts w:ascii="Arial" w:hAnsi="Arial" w:cs="Arial"/>
          <w:sz w:val="20"/>
          <w:szCs w:val="20"/>
        </w:rPr>
        <w:fldChar w:fldCharType="end"/>
      </w:r>
      <w:r w:rsidR="00FA5ECD">
        <w:rPr>
          <w:rFonts w:ascii="Arial" w:hAnsi="Arial" w:cs="Arial"/>
          <w:sz w:val="20"/>
          <w:szCs w:val="20"/>
        </w:rPr>
        <w:t xml:space="preserve"> research</w:t>
      </w:r>
      <w:r>
        <w:rPr>
          <w:rFonts w:ascii="Arial" w:hAnsi="Arial" w:cs="Arial"/>
          <w:sz w:val="20"/>
          <w:szCs w:val="20"/>
        </w:rPr>
        <w:t>.</w:t>
      </w:r>
      <w:r w:rsidR="00020C2A">
        <w:rPr>
          <w:rFonts w:ascii="Arial" w:hAnsi="Arial" w:cs="Arial"/>
          <w:sz w:val="20"/>
          <w:szCs w:val="20"/>
        </w:rPr>
        <w:t xml:space="preserve"> As men</w:t>
      </w:r>
      <w:r w:rsidR="00386DFA">
        <w:rPr>
          <w:rFonts w:ascii="Arial" w:hAnsi="Arial" w:cs="Arial"/>
          <w:sz w:val="20"/>
          <w:szCs w:val="20"/>
        </w:rPr>
        <w:t>tioned</w:t>
      </w:r>
      <w:r w:rsidR="00020C2A">
        <w:rPr>
          <w:rFonts w:ascii="Arial" w:hAnsi="Arial" w:cs="Arial"/>
          <w:sz w:val="20"/>
          <w:szCs w:val="20"/>
        </w:rPr>
        <w:t xml:space="preserve"> previously, in </w:t>
      </w:r>
      <w:r w:rsidR="00963753">
        <w:rPr>
          <w:rFonts w:ascii="Arial" w:hAnsi="Arial" w:cs="Arial"/>
          <w:sz w:val="20"/>
          <w:szCs w:val="20"/>
        </w:rPr>
        <w:t xml:space="preserve">the study of </w:t>
      </w:r>
      <w:proofErr w:type="spellStart"/>
      <w:r w:rsidR="00C77A24">
        <w:rPr>
          <w:rFonts w:ascii="Arial" w:hAnsi="Arial" w:cs="Arial"/>
          <w:sz w:val="20"/>
          <w:szCs w:val="20"/>
        </w:rPr>
        <w:t>Guarnaccia</w:t>
      </w:r>
      <w:proofErr w:type="spellEnd"/>
      <w:r w:rsidR="00C77A24">
        <w:rPr>
          <w:rFonts w:ascii="Arial" w:hAnsi="Arial" w:cs="Arial"/>
          <w:sz w:val="20"/>
          <w:szCs w:val="20"/>
        </w:rPr>
        <w:t xml:space="preserve"> et al. </w:t>
      </w:r>
      <w:r w:rsidR="00C77A24">
        <w:rPr>
          <w:rFonts w:ascii="Arial" w:hAnsi="Arial" w:cs="Arial"/>
          <w:sz w:val="20"/>
          <w:szCs w:val="20"/>
        </w:rPr>
        <w:fldChar w:fldCharType="begin" w:fldLock="1"/>
      </w:r>
      <w:r w:rsidR="00AA5E59">
        <w:rPr>
          <w:rFonts w:ascii="Arial" w:hAnsi="Arial" w:cs="Arial"/>
          <w:sz w:val="20"/>
          <w:szCs w:val="20"/>
        </w:rPr>
        <w:instrText>ADDIN CSL_CITATION {"citationItems":[{"id":"ITEM-1","itemData":{"DOI":"10.1063/1.4982019","ISBN":"9780735415065","ISSN":"15517616","abstract":"One of the most hazardous physical polluting agents, considering their effects on human health, is acoustical noise. Airports are a strong source of acoustical noise, due to the airplanes turbines, to the aero-dynamical noise of transits, to the acceleration or the breaking during the take-off and landing phases of aircrafts, to the road traffic around the airport, etc.. The monitoring and the prediction of the acoustical level emitted by airports can be very useful to assess the impact on human health and activities. In the airports noise scenario, thanks to flights scheduling, the predominant sources may have a periodic behaviour. Thus, a Time Series Analysis approach can be adopted, considering that a general trend and a seasonal behaviour can be highlighted and used to build a predictive model. In this paper, two different approaches are adopted, thus two predictive models are constructed and tested. The first model is based on deterministic decomposition and is built composing the trend, that is the long term behaviour, the seasonality, that is the periodic component, and the random variations. The second model is based on seasonal autoregressive moving average, and it belongs to the stochastic class of models. The two different models are fitted on an acoustical level dataset collected close to the Nice (France) international airport. Results will be encouraging and will show good prediction performances of both the adopted strategies. A residual analysis is performed, in order to quantify the forecasting error features.","author":[{"dropping-particle":"","family":"Guarnaccia","given":"Claudio","non-dropping-particle":"","parse-names":false,"suffix":""},{"dropping-particle":"","family":"Quartieri","given":"Joseph","non-dropping-particle":"","parse-names":false,"suffix":""},{"dropping-particle":"","family":"Tepedino","given":"Carmine","non-dropping-particle":"","parse-names":false,"suffix":""}],"container-title":"AIP Conference Proceedings","id":"ITEM-1","issued":{"date-parts":[["2017"]]},"title":"Deterministic decomposition and seasonal ARIMA time series models applied to airport noise forecasting","type":"article-journal","volume":"1836"},"uris":["http://www.mendeley.com/documents/?uuid=4fcbb52c-4128-484b-bfb0-a88762e0a176"]}],"mendeley":{"formattedCitation":"[8]","plainTextFormattedCitation":"[8]","previouslyFormattedCitation":"[8]"},"properties":{"noteIndex":0},"schema":"https://github.com/citation-style-language/schema/raw/master/csl-citation.json"}</w:instrText>
      </w:r>
      <w:r w:rsidR="00C77A24">
        <w:rPr>
          <w:rFonts w:ascii="Arial" w:hAnsi="Arial" w:cs="Arial"/>
          <w:sz w:val="20"/>
          <w:szCs w:val="20"/>
        </w:rPr>
        <w:fldChar w:fldCharType="separate"/>
      </w:r>
      <w:r w:rsidR="00AA5E59" w:rsidRPr="00AA5E59">
        <w:rPr>
          <w:rFonts w:ascii="Arial" w:hAnsi="Arial" w:cs="Arial"/>
          <w:noProof/>
          <w:sz w:val="20"/>
          <w:szCs w:val="20"/>
        </w:rPr>
        <w:t>[8]</w:t>
      </w:r>
      <w:r w:rsidR="00C77A24">
        <w:rPr>
          <w:rFonts w:ascii="Arial" w:hAnsi="Arial" w:cs="Arial"/>
          <w:sz w:val="20"/>
          <w:szCs w:val="20"/>
        </w:rPr>
        <w:fldChar w:fldCharType="end"/>
      </w:r>
      <w:r w:rsidR="00963753">
        <w:rPr>
          <w:rFonts w:ascii="Arial" w:hAnsi="Arial" w:cs="Arial"/>
          <w:sz w:val="20"/>
          <w:szCs w:val="20"/>
        </w:rPr>
        <w:t>,</w:t>
      </w:r>
      <w:r w:rsidR="00020C2A">
        <w:rPr>
          <w:rFonts w:ascii="Arial" w:hAnsi="Arial" w:cs="Arial"/>
          <w:sz w:val="20"/>
          <w:szCs w:val="20"/>
        </w:rPr>
        <w:t xml:space="preserve"> there </w:t>
      </w:r>
      <w:r w:rsidR="00386DFA">
        <w:rPr>
          <w:rFonts w:ascii="Arial" w:hAnsi="Arial" w:cs="Arial"/>
          <w:sz w:val="20"/>
          <w:szCs w:val="20"/>
        </w:rPr>
        <w:t xml:space="preserve">is </w:t>
      </w:r>
      <w:r w:rsidR="00C1339B">
        <w:rPr>
          <w:rFonts w:ascii="Arial" w:hAnsi="Arial" w:cs="Arial"/>
          <w:sz w:val="20"/>
          <w:szCs w:val="20"/>
        </w:rPr>
        <w:t xml:space="preserve">no clear explanation of which decomposition type </w:t>
      </w:r>
      <w:r w:rsidR="00C77A24">
        <w:rPr>
          <w:rFonts w:ascii="Arial" w:hAnsi="Arial" w:cs="Arial"/>
          <w:sz w:val="20"/>
          <w:szCs w:val="20"/>
        </w:rPr>
        <w:t xml:space="preserve">is </w:t>
      </w:r>
      <w:r w:rsidR="00C1339B">
        <w:rPr>
          <w:rFonts w:ascii="Arial" w:hAnsi="Arial" w:cs="Arial"/>
          <w:sz w:val="20"/>
          <w:szCs w:val="20"/>
        </w:rPr>
        <w:t>used and no</w:t>
      </w:r>
      <w:r w:rsidR="00B32BA3">
        <w:rPr>
          <w:rFonts w:ascii="Arial" w:hAnsi="Arial" w:cs="Arial"/>
          <w:sz w:val="20"/>
          <w:szCs w:val="20"/>
        </w:rPr>
        <w:t xml:space="preserve"> residual test of decomposition</w:t>
      </w:r>
      <w:r w:rsidR="00020C2A">
        <w:rPr>
          <w:rFonts w:ascii="Arial" w:hAnsi="Arial" w:cs="Arial"/>
          <w:sz w:val="20"/>
          <w:szCs w:val="20"/>
        </w:rPr>
        <w:t>. I</w:t>
      </w:r>
      <w:r w:rsidR="00812D89">
        <w:rPr>
          <w:rFonts w:ascii="Arial" w:hAnsi="Arial" w:cs="Arial"/>
          <w:sz w:val="20"/>
          <w:szCs w:val="20"/>
        </w:rPr>
        <w:t xml:space="preserve">f the residual test for </w:t>
      </w:r>
      <w:r w:rsidR="00386DFA">
        <w:rPr>
          <w:rFonts w:ascii="Arial" w:hAnsi="Arial" w:cs="Arial"/>
          <w:sz w:val="20"/>
          <w:szCs w:val="20"/>
        </w:rPr>
        <w:t xml:space="preserve">the </w:t>
      </w:r>
      <w:r w:rsidR="00812D89">
        <w:rPr>
          <w:rFonts w:ascii="Arial" w:hAnsi="Arial" w:cs="Arial"/>
          <w:sz w:val="20"/>
          <w:szCs w:val="20"/>
        </w:rPr>
        <w:t xml:space="preserve">decomposition model </w:t>
      </w:r>
      <w:r w:rsidR="00020C2A">
        <w:rPr>
          <w:rFonts w:ascii="Arial" w:hAnsi="Arial" w:cs="Arial"/>
          <w:sz w:val="20"/>
          <w:szCs w:val="20"/>
        </w:rPr>
        <w:t xml:space="preserve">is </w:t>
      </w:r>
      <w:r w:rsidR="00C77A24">
        <w:rPr>
          <w:rFonts w:ascii="Arial" w:hAnsi="Arial" w:cs="Arial"/>
          <w:sz w:val="20"/>
          <w:szCs w:val="20"/>
        </w:rPr>
        <w:t xml:space="preserve">not performed, there will be </w:t>
      </w:r>
      <w:r w:rsidR="00812D89">
        <w:rPr>
          <w:rFonts w:ascii="Arial" w:hAnsi="Arial" w:cs="Arial"/>
          <w:sz w:val="20"/>
          <w:szCs w:val="20"/>
        </w:rPr>
        <w:t>a possibility of bias in the result</w:t>
      </w:r>
      <w:r w:rsidR="00C77A24">
        <w:rPr>
          <w:rFonts w:ascii="Arial" w:hAnsi="Arial" w:cs="Arial"/>
          <w:sz w:val="20"/>
          <w:szCs w:val="20"/>
        </w:rPr>
        <w:t>.</w:t>
      </w:r>
      <w:r w:rsidR="00812D89">
        <w:rPr>
          <w:rFonts w:ascii="Arial" w:hAnsi="Arial" w:cs="Arial"/>
          <w:sz w:val="20"/>
          <w:szCs w:val="20"/>
        </w:rPr>
        <w:t xml:space="preserve"> </w:t>
      </w:r>
      <w:r w:rsidR="00C77A24">
        <w:rPr>
          <w:rFonts w:ascii="Arial" w:hAnsi="Arial" w:cs="Arial"/>
          <w:sz w:val="20"/>
          <w:szCs w:val="20"/>
        </w:rPr>
        <w:t xml:space="preserve">Resulting </w:t>
      </w:r>
      <w:r w:rsidR="00386DFA">
        <w:rPr>
          <w:rFonts w:ascii="Arial" w:hAnsi="Arial" w:cs="Arial"/>
          <w:sz w:val="20"/>
          <w:szCs w:val="20"/>
        </w:rPr>
        <w:t xml:space="preserve">in </w:t>
      </w:r>
      <w:r w:rsidR="00C77A24">
        <w:rPr>
          <w:rFonts w:ascii="Arial" w:hAnsi="Arial" w:cs="Arial"/>
          <w:sz w:val="20"/>
          <w:szCs w:val="20"/>
        </w:rPr>
        <w:t>a</w:t>
      </w:r>
      <w:r w:rsidR="00812D89">
        <w:rPr>
          <w:rFonts w:ascii="Arial" w:hAnsi="Arial" w:cs="Arial"/>
          <w:sz w:val="20"/>
          <w:szCs w:val="20"/>
        </w:rPr>
        <w:t xml:space="preserve"> problem for far future forecast</w:t>
      </w:r>
      <w:r w:rsidR="00386DFA">
        <w:rPr>
          <w:rFonts w:ascii="Arial" w:hAnsi="Arial" w:cs="Arial"/>
          <w:sz w:val="20"/>
          <w:szCs w:val="20"/>
        </w:rPr>
        <w:t>s</w:t>
      </w:r>
      <w:r w:rsidR="00812D89">
        <w:rPr>
          <w:rFonts w:ascii="Arial" w:hAnsi="Arial" w:cs="Arial"/>
          <w:sz w:val="20"/>
          <w:szCs w:val="20"/>
        </w:rPr>
        <w:t xml:space="preserve">, </w:t>
      </w:r>
      <w:r w:rsidR="00386DFA">
        <w:rPr>
          <w:rFonts w:ascii="Arial" w:hAnsi="Arial" w:cs="Arial"/>
          <w:sz w:val="20"/>
          <w:szCs w:val="20"/>
        </w:rPr>
        <w:t xml:space="preserve">in </w:t>
      </w:r>
      <w:r w:rsidR="00812D89">
        <w:rPr>
          <w:rFonts w:ascii="Arial" w:hAnsi="Arial" w:cs="Arial"/>
          <w:sz w:val="20"/>
          <w:szCs w:val="20"/>
        </w:rPr>
        <w:t xml:space="preserve">which </w:t>
      </w:r>
      <w:r w:rsidR="00B32BA3">
        <w:rPr>
          <w:rFonts w:ascii="Arial" w:hAnsi="Arial" w:cs="Arial"/>
          <w:sz w:val="20"/>
          <w:szCs w:val="20"/>
        </w:rPr>
        <w:t xml:space="preserve">the data </w:t>
      </w:r>
      <w:r w:rsidR="00812D89">
        <w:rPr>
          <w:rFonts w:ascii="Arial" w:hAnsi="Arial" w:cs="Arial"/>
          <w:sz w:val="20"/>
          <w:szCs w:val="20"/>
        </w:rPr>
        <w:t>is not analyzed in the study.</w:t>
      </w:r>
      <w:r w:rsidR="00020C2A">
        <w:rPr>
          <w:rFonts w:ascii="Arial" w:hAnsi="Arial" w:cs="Arial"/>
          <w:sz w:val="20"/>
          <w:szCs w:val="20"/>
        </w:rPr>
        <w:t xml:space="preserve"> Thi</w:t>
      </w:r>
      <w:r w:rsidR="00B32BA3">
        <w:rPr>
          <w:rFonts w:ascii="Arial" w:hAnsi="Arial" w:cs="Arial"/>
          <w:sz w:val="20"/>
          <w:szCs w:val="20"/>
        </w:rPr>
        <w:t>s is because the forecast model</w:t>
      </w:r>
      <w:r w:rsidR="00020C2A">
        <w:rPr>
          <w:rFonts w:ascii="Arial" w:hAnsi="Arial" w:cs="Arial"/>
          <w:sz w:val="20"/>
          <w:szCs w:val="20"/>
        </w:rPr>
        <w:t xml:space="preserve"> is rigid or very sensitive </w:t>
      </w:r>
      <w:r w:rsidR="00386DFA">
        <w:rPr>
          <w:rFonts w:ascii="Arial" w:hAnsi="Arial" w:cs="Arial"/>
          <w:sz w:val="20"/>
          <w:szCs w:val="20"/>
        </w:rPr>
        <w:t>to</w:t>
      </w:r>
      <w:r w:rsidR="00020C2A">
        <w:rPr>
          <w:rFonts w:ascii="Arial" w:hAnsi="Arial" w:cs="Arial"/>
          <w:sz w:val="20"/>
          <w:szCs w:val="20"/>
        </w:rPr>
        <w:t xml:space="preserve"> the data. </w:t>
      </w:r>
    </w:p>
    <w:p w:rsidR="00B56D6E" w:rsidRDefault="00020C2A" w:rsidP="00B56D6E">
      <w:pPr>
        <w:spacing w:after="0" w:line="240" w:lineRule="auto"/>
        <w:ind w:left="0" w:hanging="2"/>
        <w:jc w:val="both"/>
        <w:rPr>
          <w:rFonts w:ascii="Arial" w:hAnsi="Arial" w:cs="Arial"/>
          <w:sz w:val="20"/>
          <w:szCs w:val="20"/>
        </w:rPr>
      </w:pPr>
      <w:r>
        <w:rPr>
          <w:rFonts w:ascii="Arial" w:hAnsi="Arial" w:cs="Arial"/>
          <w:sz w:val="20"/>
          <w:szCs w:val="20"/>
        </w:rPr>
        <w:t xml:space="preserve">This problem is tackled in this study by analyzing the residual testing for </w:t>
      </w:r>
      <w:r w:rsidR="00386DFA">
        <w:rPr>
          <w:rFonts w:ascii="Arial" w:hAnsi="Arial" w:cs="Arial"/>
          <w:sz w:val="20"/>
          <w:szCs w:val="20"/>
        </w:rPr>
        <w:t xml:space="preserve">the </w:t>
      </w:r>
      <w:r>
        <w:rPr>
          <w:rFonts w:ascii="Arial" w:hAnsi="Arial" w:cs="Arial"/>
          <w:sz w:val="20"/>
          <w:szCs w:val="20"/>
        </w:rPr>
        <w:t>decomposition model</w:t>
      </w:r>
      <w:r w:rsidR="00FD0A10">
        <w:rPr>
          <w:rFonts w:ascii="Arial" w:hAnsi="Arial" w:cs="Arial"/>
          <w:sz w:val="20"/>
          <w:szCs w:val="20"/>
        </w:rPr>
        <w:t>, which was missing in the previous study</w:t>
      </w:r>
      <w:r>
        <w:rPr>
          <w:rFonts w:ascii="Arial" w:hAnsi="Arial" w:cs="Arial"/>
          <w:sz w:val="20"/>
          <w:szCs w:val="20"/>
        </w:rPr>
        <w:t>. However, unexpectedly, the result</w:t>
      </w:r>
      <w:r w:rsidR="00386DFA">
        <w:rPr>
          <w:rFonts w:ascii="Arial" w:hAnsi="Arial" w:cs="Arial"/>
          <w:sz w:val="20"/>
          <w:szCs w:val="20"/>
        </w:rPr>
        <w:t>s</w:t>
      </w:r>
      <w:r>
        <w:rPr>
          <w:rFonts w:ascii="Arial" w:hAnsi="Arial" w:cs="Arial"/>
          <w:sz w:val="20"/>
          <w:szCs w:val="20"/>
        </w:rPr>
        <w:t xml:space="preserve"> of both research are </w:t>
      </w:r>
      <w:r w:rsidR="00386DFA">
        <w:rPr>
          <w:rFonts w:ascii="Arial" w:hAnsi="Arial" w:cs="Arial"/>
          <w:sz w:val="20"/>
          <w:szCs w:val="20"/>
        </w:rPr>
        <w:t xml:space="preserve">the </w:t>
      </w:r>
      <w:r>
        <w:rPr>
          <w:rFonts w:ascii="Arial" w:hAnsi="Arial" w:cs="Arial"/>
          <w:sz w:val="20"/>
          <w:szCs w:val="20"/>
        </w:rPr>
        <w:t>same; which show</w:t>
      </w:r>
      <w:r w:rsidR="00386DFA">
        <w:rPr>
          <w:rFonts w:ascii="Arial" w:hAnsi="Arial" w:cs="Arial"/>
          <w:sz w:val="20"/>
          <w:szCs w:val="20"/>
        </w:rPr>
        <w:t>s</w:t>
      </w:r>
      <w:r>
        <w:rPr>
          <w:rFonts w:ascii="Arial" w:hAnsi="Arial" w:cs="Arial"/>
          <w:sz w:val="20"/>
          <w:szCs w:val="20"/>
        </w:rPr>
        <w:t xml:space="preserve"> that </w:t>
      </w:r>
      <w:r w:rsidR="00386DFA">
        <w:rPr>
          <w:rFonts w:ascii="Arial" w:hAnsi="Arial" w:cs="Arial"/>
          <w:sz w:val="20"/>
          <w:szCs w:val="20"/>
        </w:rPr>
        <w:t xml:space="preserve">the </w:t>
      </w:r>
      <w:r>
        <w:rPr>
          <w:rFonts w:ascii="Arial" w:hAnsi="Arial" w:cs="Arial"/>
          <w:sz w:val="20"/>
          <w:szCs w:val="20"/>
        </w:rPr>
        <w:t xml:space="preserve">decomposition model performs better than SARIMA. </w:t>
      </w:r>
      <w:r w:rsidR="00963753">
        <w:rPr>
          <w:rFonts w:ascii="Arial" w:hAnsi="Arial" w:cs="Arial"/>
          <w:sz w:val="20"/>
          <w:szCs w:val="20"/>
        </w:rPr>
        <w:t>This condition migh</w:t>
      </w:r>
      <w:r w:rsidR="00973C1D">
        <w:rPr>
          <w:rFonts w:ascii="Arial" w:hAnsi="Arial" w:cs="Arial"/>
          <w:sz w:val="20"/>
          <w:szCs w:val="20"/>
        </w:rPr>
        <w:t>t</w:t>
      </w:r>
      <w:r w:rsidR="00963753">
        <w:rPr>
          <w:rFonts w:ascii="Arial" w:hAnsi="Arial" w:cs="Arial"/>
          <w:sz w:val="20"/>
          <w:szCs w:val="20"/>
        </w:rPr>
        <w:t xml:space="preserve"> be because the </w:t>
      </w:r>
      <w:r w:rsidR="00963753">
        <w:rPr>
          <w:rFonts w:ascii="Arial" w:hAnsi="Arial" w:cs="Arial"/>
          <w:sz w:val="20"/>
          <w:szCs w:val="20"/>
        </w:rPr>
        <w:lastRenderedPageBreak/>
        <w:t>decomposition model is more sensitive</w:t>
      </w:r>
      <w:r w:rsidR="00B56D6E">
        <w:rPr>
          <w:rFonts w:ascii="Arial" w:hAnsi="Arial" w:cs="Arial"/>
          <w:sz w:val="20"/>
          <w:szCs w:val="20"/>
        </w:rPr>
        <w:t xml:space="preserve"> and can acco</w:t>
      </w:r>
      <w:r w:rsidR="00386DFA">
        <w:rPr>
          <w:rFonts w:ascii="Arial" w:hAnsi="Arial" w:cs="Arial"/>
          <w:sz w:val="20"/>
          <w:szCs w:val="20"/>
        </w:rPr>
        <w:t>m</w:t>
      </w:r>
      <w:r w:rsidR="00B56D6E">
        <w:rPr>
          <w:rFonts w:ascii="Arial" w:hAnsi="Arial" w:cs="Arial"/>
          <w:sz w:val="20"/>
          <w:szCs w:val="20"/>
        </w:rPr>
        <w:t xml:space="preserve">modate </w:t>
      </w:r>
      <w:r w:rsidR="00963753">
        <w:rPr>
          <w:rFonts w:ascii="Arial" w:hAnsi="Arial" w:cs="Arial"/>
          <w:sz w:val="20"/>
          <w:szCs w:val="20"/>
        </w:rPr>
        <w:t>the data pattern</w:t>
      </w:r>
      <w:r w:rsidR="00B56D6E">
        <w:rPr>
          <w:rFonts w:ascii="Arial" w:hAnsi="Arial" w:cs="Arial"/>
          <w:sz w:val="20"/>
          <w:szCs w:val="20"/>
        </w:rPr>
        <w:t xml:space="preserve"> better</w:t>
      </w:r>
      <w:r w:rsidR="00963753">
        <w:rPr>
          <w:rFonts w:ascii="Arial" w:hAnsi="Arial" w:cs="Arial"/>
          <w:sz w:val="20"/>
          <w:szCs w:val="20"/>
        </w:rPr>
        <w:t xml:space="preserve">. </w:t>
      </w:r>
    </w:p>
    <w:p w:rsidR="00A52C04" w:rsidRDefault="00A52C04" w:rsidP="00B56D6E">
      <w:pPr>
        <w:spacing w:after="0" w:line="240" w:lineRule="auto"/>
        <w:ind w:left="0" w:hanging="2"/>
        <w:jc w:val="both"/>
        <w:rPr>
          <w:rFonts w:ascii="Arial" w:hAnsi="Arial" w:cs="Arial"/>
          <w:sz w:val="20"/>
          <w:szCs w:val="20"/>
        </w:rPr>
      </w:pPr>
      <w:r w:rsidRPr="00A52C04">
        <w:rPr>
          <w:rFonts w:ascii="Arial" w:hAnsi="Arial" w:cs="Arial"/>
          <w:sz w:val="20"/>
          <w:szCs w:val="20"/>
        </w:rPr>
        <w:t xml:space="preserve">There is a significant difference </w:t>
      </w:r>
      <w:r w:rsidR="00386DFA">
        <w:rPr>
          <w:rFonts w:ascii="Arial" w:hAnsi="Arial" w:cs="Arial"/>
          <w:sz w:val="20"/>
          <w:szCs w:val="20"/>
        </w:rPr>
        <w:t>in</w:t>
      </w:r>
      <w:r w:rsidRPr="00A52C04">
        <w:rPr>
          <w:rFonts w:ascii="Arial" w:hAnsi="Arial" w:cs="Arial"/>
          <w:sz w:val="20"/>
          <w:szCs w:val="20"/>
        </w:rPr>
        <w:t xml:space="preserve"> </w:t>
      </w:r>
      <w:r w:rsidR="00963753">
        <w:rPr>
          <w:rFonts w:ascii="Arial" w:hAnsi="Arial" w:cs="Arial"/>
          <w:sz w:val="20"/>
          <w:szCs w:val="20"/>
        </w:rPr>
        <w:t xml:space="preserve">how </w:t>
      </w:r>
      <w:r w:rsidRPr="00A52C04">
        <w:rPr>
          <w:rFonts w:ascii="Arial" w:hAnsi="Arial" w:cs="Arial"/>
          <w:sz w:val="20"/>
          <w:szCs w:val="20"/>
        </w:rPr>
        <w:t>both models</w:t>
      </w:r>
      <w:r w:rsidR="00963753">
        <w:rPr>
          <w:rFonts w:ascii="Arial" w:hAnsi="Arial" w:cs="Arial"/>
          <w:sz w:val="20"/>
          <w:szCs w:val="20"/>
        </w:rPr>
        <w:t xml:space="preserve"> treat the data pattern</w:t>
      </w:r>
      <w:r w:rsidRPr="00A52C04">
        <w:rPr>
          <w:rFonts w:ascii="Arial" w:hAnsi="Arial" w:cs="Arial"/>
          <w:sz w:val="20"/>
          <w:szCs w:val="20"/>
        </w:rPr>
        <w:t xml:space="preserve">. </w:t>
      </w:r>
      <w:r w:rsidR="00F92E4B">
        <w:rPr>
          <w:rFonts w:ascii="Arial" w:hAnsi="Arial" w:cs="Arial"/>
          <w:sz w:val="20"/>
          <w:szCs w:val="20"/>
        </w:rPr>
        <w:t>Th</w:t>
      </w:r>
      <w:r w:rsidR="00C5166F">
        <w:rPr>
          <w:rFonts w:ascii="Arial" w:hAnsi="Arial" w:cs="Arial"/>
          <w:sz w:val="20"/>
          <w:szCs w:val="20"/>
        </w:rPr>
        <w:t>e crucial difference for both m</w:t>
      </w:r>
      <w:r w:rsidR="00F92E4B">
        <w:rPr>
          <w:rFonts w:ascii="Arial" w:hAnsi="Arial" w:cs="Arial"/>
          <w:sz w:val="20"/>
          <w:szCs w:val="20"/>
        </w:rPr>
        <w:t>o</w:t>
      </w:r>
      <w:r w:rsidR="00C5166F">
        <w:rPr>
          <w:rFonts w:ascii="Arial" w:hAnsi="Arial" w:cs="Arial"/>
          <w:sz w:val="20"/>
          <w:szCs w:val="20"/>
        </w:rPr>
        <w:t>d</w:t>
      </w:r>
      <w:r w:rsidR="00A32CF7">
        <w:rPr>
          <w:rFonts w:ascii="Arial" w:hAnsi="Arial" w:cs="Arial"/>
          <w:sz w:val="20"/>
          <w:szCs w:val="20"/>
        </w:rPr>
        <w:t>el</w:t>
      </w:r>
      <w:r w:rsidR="00386DFA">
        <w:rPr>
          <w:rFonts w:ascii="Arial" w:hAnsi="Arial" w:cs="Arial"/>
          <w:sz w:val="20"/>
          <w:szCs w:val="20"/>
        </w:rPr>
        <w:t>s</w:t>
      </w:r>
      <w:r w:rsidR="00A32CF7">
        <w:rPr>
          <w:rFonts w:ascii="Arial" w:hAnsi="Arial" w:cs="Arial"/>
          <w:sz w:val="20"/>
          <w:szCs w:val="20"/>
        </w:rPr>
        <w:t xml:space="preserve"> is that</w:t>
      </w:r>
      <w:r w:rsidR="00F92E4B">
        <w:rPr>
          <w:rFonts w:ascii="Arial" w:hAnsi="Arial" w:cs="Arial"/>
          <w:sz w:val="20"/>
          <w:szCs w:val="20"/>
        </w:rPr>
        <w:t xml:space="preserve"> SARIMA </w:t>
      </w:r>
      <w:r w:rsidR="00C5166F">
        <w:rPr>
          <w:rFonts w:ascii="Arial" w:hAnsi="Arial" w:cs="Arial"/>
          <w:sz w:val="20"/>
          <w:szCs w:val="20"/>
        </w:rPr>
        <w:t>depends on the stationary test every time the differencing is done to treat the data pattern, either seasonal or trend differencing. Further</w:t>
      </w:r>
      <w:r w:rsidR="00386DFA">
        <w:rPr>
          <w:rFonts w:ascii="Arial" w:hAnsi="Arial" w:cs="Arial"/>
          <w:sz w:val="20"/>
          <w:szCs w:val="20"/>
        </w:rPr>
        <w:t>,</w:t>
      </w:r>
      <w:r w:rsidR="00C5166F">
        <w:rPr>
          <w:rFonts w:ascii="Arial" w:hAnsi="Arial" w:cs="Arial"/>
          <w:sz w:val="20"/>
          <w:szCs w:val="20"/>
        </w:rPr>
        <w:t xml:space="preserve"> differencing is needed if the stationary test shows the data has not been stationary yet. Different </w:t>
      </w:r>
      <w:r w:rsidR="00386DFA">
        <w:rPr>
          <w:rFonts w:ascii="Arial" w:hAnsi="Arial" w:cs="Arial"/>
          <w:sz w:val="20"/>
          <w:szCs w:val="20"/>
        </w:rPr>
        <w:t>from</w:t>
      </w:r>
      <w:r w:rsidR="00C5166F">
        <w:rPr>
          <w:rFonts w:ascii="Arial" w:hAnsi="Arial" w:cs="Arial"/>
          <w:sz w:val="20"/>
          <w:szCs w:val="20"/>
        </w:rPr>
        <w:t xml:space="preserve"> SARIMA, </w:t>
      </w:r>
      <w:r w:rsidR="0057016D">
        <w:rPr>
          <w:rFonts w:ascii="Arial" w:hAnsi="Arial" w:cs="Arial"/>
          <w:sz w:val="20"/>
          <w:szCs w:val="20"/>
        </w:rPr>
        <w:t xml:space="preserve">the </w:t>
      </w:r>
      <w:r w:rsidR="00C5166F">
        <w:rPr>
          <w:rFonts w:ascii="Arial" w:hAnsi="Arial" w:cs="Arial"/>
          <w:sz w:val="20"/>
          <w:szCs w:val="20"/>
        </w:rPr>
        <w:t>decomposition model only depends on the stationary test for initial data checking. If the stationary test shows that the data is not stationa</w:t>
      </w:r>
      <w:r w:rsidR="0057016D">
        <w:rPr>
          <w:rFonts w:ascii="Arial" w:hAnsi="Arial" w:cs="Arial"/>
          <w:sz w:val="20"/>
          <w:szCs w:val="20"/>
        </w:rPr>
        <w:t>ry</w:t>
      </w:r>
      <w:r w:rsidR="00C5166F">
        <w:rPr>
          <w:rFonts w:ascii="Arial" w:hAnsi="Arial" w:cs="Arial"/>
          <w:sz w:val="20"/>
          <w:szCs w:val="20"/>
        </w:rPr>
        <w:t xml:space="preserve"> and shows there is seasonal data in the ACF, both the seasonal and trend </w:t>
      </w:r>
      <w:proofErr w:type="spellStart"/>
      <w:r w:rsidR="00C5166F">
        <w:rPr>
          <w:rFonts w:ascii="Arial" w:hAnsi="Arial" w:cs="Arial"/>
          <w:sz w:val="20"/>
          <w:szCs w:val="20"/>
        </w:rPr>
        <w:t>differencings</w:t>
      </w:r>
      <w:proofErr w:type="spellEnd"/>
      <w:r w:rsidR="00C5166F">
        <w:rPr>
          <w:rFonts w:ascii="Arial" w:hAnsi="Arial" w:cs="Arial"/>
          <w:sz w:val="20"/>
          <w:szCs w:val="20"/>
        </w:rPr>
        <w:t xml:space="preserve"> will always be performed, without chec</w:t>
      </w:r>
      <w:r w:rsidR="0057016D">
        <w:rPr>
          <w:rFonts w:ascii="Arial" w:hAnsi="Arial" w:cs="Arial"/>
          <w:sz w:val="20"/>
          <w:szCs w:val="20"/>
        </w:rPr>
        <w:t>k</w:t>
      </w:r>
      <w:r w:rsidR="00C5166F">
        <w:rPr>
          <w:rFonts w:ascii="Arial" w:hAnsi="Arial" w:cs="Arial"/>
          <w:sz w:val="20"/>
          <w:szCs w:val="20"/>
        </w:rPr>
        <w:t xml:space="preserve">ing the seasonality test again. </w:t>
      </w:r>
      <w:r w:rsidR="00F92E4B">
        <w:rPr>
          <w:rFonts w:ascii="Arial" w:hAnsi="Arial" w:cs="Arial"/>
          <w:sz w:val="20"/>
          <w:szCs w:val="20"/>
        </w:rPr>
        <w:t xml:space="preserve">Thus, </w:t>
      </w:r>
      <w:r w:rsidRPr="00A52C04">
        <w:rPr>
          <w:rFonts w:ascii="Arial" w:hAnsi="Arial" w:cs="Arial"/>
          <w:sz w:val="20"/>
          <w:szCs w:val="20"/>
        </w:rPr>
        <w:t>no m</w:t>
      </w:r>
      <w:r w:rsidR="00F92E4B">
        <w:rPr>
          <w:rFonts w:ascii="Arial" w:hAnsi="Arial" w:cs="Arial"/>
          <w:sz w:val="20"/>
          <w:szCs w:val="20"/>
        </w:rPr>
        <w:t xml:space="preserve">atter how small the trend pattern is, the decomposition will always treat it as </w:t>
      </w:r>
      <w:r w:rsidR="0057016D">
        <w:rPr>
          <w:rFonts w:ascii="Arial" w:hAnsi="Arial" w:cs="Arial"/>
          <w:sz w:val="20"/>
          <w:szCs w:val="20"/>
        </w:rPr>
        <w:t xml:space="preserve">a </w:t>
      </w:r>
      <w:r w:rsidR="00F92E4B">
        <w:rPr>
          <w:rFonts w:ascii="Arial" w:hAnsi="Arial" w:cs="Arial"/>
          <w:sz w:val="20"/>
          <w:szCs w:val="20"/>
        </w:rPr>
        <w:t>significant pattern to be considered.</w:t>
      </w:r>
      <w:r w:rsidRPr="00A52C04">
        <w:rPr>
          <w:rFonts w:ascii="Arial" w:hAnsi="Arial" w:cs="Arial"/>
          <w:sz w:val="20"/>
          <w:szCs w:val="20"/>
        </w:rPr>
        <w:t xml:space="preserve"> </w:t>
      </w:r>
      <w:r w:rsidR="002262EF">
        <w:rPr>
          <w:rFonts w:ascii="Arial" w:hAnsi="Arial" w:cs="Arial"/>
          <w:sz w:val="20"/>
          <w:szCs w:val="20"/>
        </w:rPr>
        <w:t xml:space="preserve">Making </w:t>
      </w:r>
      <w:r w:rsidR="0057016D">
        <w:rPr>
          <w:rFonts w:ascii="Arial" w:hAnsi="Arial" w:cs="Arial"/>
          <w:sz w:val="20"/>
          <w:szCs w:val="20"/>
        </w:rPr>
        <w:t xml:space="preserve">the </w:t>
      </w:r>
      <w:r w:rsidR="002262EF">
        <w:rPr>
          <w:rFonts w:ascii="Arial" w:hAnsi="Arial" w:cs="Arial"/>
          <w:sz w:val="20"/>
          <w:szCs w:val="20"/>
        </w:rPr>
        <w:t xml:space="preserve">decomposition </w:t>
      </w:r>
      <w:r w:rsidR="008C3EB5">
        <w:rPr>
          <w:rFonts w:ascii="Arial" w:hAnsi="Arial" w:cs="Arial"/>
          <w:sz w:val="20"/>
          <w:szCs w:val="20"/>
        </w:rPr>
        <w:t>model more sen</w:t>
      </w:r>
      <w:r w:rsidR="0057016D">
        <w:rPr>
          <w:rFonts w:ascii="Arial" w:hAnsi="Arial" w:cs="Arial"/>
          <w:sz w:val="20"/>
          <w:szCs w:val="20"/>
        </w:rPr>
        <w:t>si</w:t>
      </w:r>
      <w:r w:rsidR="008C3EB5">
        <w:rPr>
          <w:rFonts w:ascii="Arial" w:hAnsi="Arial" w:cs="Arial"/>
          <w:sz w:val="20"/>
          <w:szCs w:val="20"/>
        </w:rPr>
        <w:t>tive</w:t>
      </w:r>
      <w:r w:rsidR="002262EF">
        <w:rPr>
          <w:rFonts w:ascii="Arial" w:hAnsi="Arial" w:cs="Arial"/>
          <w:sz w:val="20"/>
          <w:szCs w:val="20"/>
        </w:rPr>
        <w:t xml:space="preserve"> </w:t>
      </w:r>
      <w:r w:rsidR="0057016D">
        <w:rPr>
          <w:rFonts w:ascii="Arial" w:hAnsi="Arial" w:cs="Arial"/>
          <w:sz w:val="20"/>
          <w:szCs w:val="20"/>
        </w:rPr>
        <w:t>to</w:t>
      </w:r>
      <w:r w:rsidR="002262EF">
        <w:rPr>
          <w:rFonts w:ascii="Arial" w:hAnsi="Arial" w:cs="Arial"/>
          <w:sz w:val="20"/>
          <w:szCs w:val="20"/>
        </w:rPr>
        <w:t xml:space="preserve"> trend pattern.</w:t>
      </w:r>
    </w:p>
    <w:p w:rsidR="000F71D7" w:rsidRDefault="00A32CF7" w:rsidP="0053096B">
      <w:pPr>
        <w:spacing w:after="0" w:line="240" w:lineRule="auto"/>
        <w:ind w:left="0" w:hanging="2"/>
        <w:jc w:val="both"/>
        <w:rPr>
          <w:rFonts w:ascii="Arial" w:hAnsi="Arial" w:cs="Arial"/>
          <w:sz w:val="20"/>
          <w:szCs w:val="20"/>
        </w:rPr>
      </w:pPr>
      <w:r>
        <w:rPr>
          <w:rFonts w:ascii="Arial" w:hAnsi="Arial" w:cs="Arial"/>
          <w:sz w:val="20"/>
          <w:szCs w:val="20"/>
        </w:rPr>
        <w:t xml:space="preserve">Based on many previous studies, </w:t>
      </w:r>
      <w:r w:rsidR="000F71D7">
        <w:rPr>
          <w:rFonts w:ascii="Arial" w:hAnsi="Arial" w:cs="Arial"/>
          <w:sz w:val="20"/>
          <w:szCs w:val="20"/>
        </w:rPr>
        <w:t xml:space="preserve">ARIMA or SARIMA </w:t>
      </w:r>
      <w:r>
        <w:rPr>
          <w:rFonts w:ascii="Arial" w:hAnsi="Arial" w:cs="Arial"/>
          <w:sz w:val="20"/>
          <w:szCs w:val="20"/>
        </w:rPr>
        <w:t>is a</w:t>
      </w:r>
      <w:r w:rsidR="000F71D7">
        <w:rPr>
          <w:rFonts w:ascii="Arial" w:hAnsi="Arial" w:cs="Arial"/>
          <w:sz w:val="20"/>
          <w:szCs w:val="20"/>
        </w:rPr>
        <w:t xml:space="preserve"> forecast model that is widely known and used for prediction </w:t>
      </w:r>
      <w:r w:rsidR="00AA5E59">
        <w:rPr>
          <w:rFonts w:ascii="Arial" w:hAnsi="Arial" w:cs="Arial"/>
          <w:sz w:val="20"/>
          <w:szCs w:val="20"/>
        </w:rPr>
        <w:fldChar w:fldCharType="begin" w:fldLock="1"/>
      </w:r>
      <w:r w:rsidR="000A22A3">
        <w:rPr>
          <w:rFonts w:ascii="Arial" w:hAnsi="Arial" w:cs="Arial"/>
          <w:sz w:val="20"/>
          <w:szCs w:val="20"/>
        </w:rPr>
        <w:instrText>ADDIN CSL_CITATION {"citationItems":[{"id":"ITEM-1","itemData":{"DOI":"10.1057/s41270-022-00162-x","ISBN":"0123456789","ISSN":"20503326","abstract":"Time series forecasting in retail plays an important role for retailers due to its capacity to aid managers in strategic planning to meet demand. In this article, a comparative experiment between two demand forecasting models is conducted to forecast an aggregate time series in Brazilian food retail on a twelve-year horizon. Performance was analyzed by comparing the accuracy of a linear model, Seasonal Autoregressive Integrated Moving Average (SARIMA), and a non-linear model, and Wavelets Neural Network (WNN). Performance was validated by the Mean Absolute Percentage Error (MAPE) and U-Theil, with a view to achieving the most accurate measurement of demand responsiveness, using the Fill Rate (FR). WNN had the best performance, with a FR of 98.43%, whereas SARIMA achieved a FR of 102.23%. Demand forecasting using WNN can be considered a resource for differentiation between retail organizations when it is incorporated into their operations. This article makes three contributions to the field with an application to retail and strengthening the argument for choosing a promising technique that can be used by managers to aid their decision making.","author":[{"dropping-particle":"","family":"Almeida","given":"Wesley Marcos","non-dropping-particle":"de","parse-names":false,"suffix":""},{"dropping-particle":"","family":"Veiga","given":"Claudimar Pereira","non-dropping-particle":"da","parse-names":false,"suffix":""}],"container-title":"Journal of Marketing Analytics","id":"ITEM-1","issue":"2","issued":{"date-parts":[["2023"]]},"page":"219-232","publisher":"Palgrave Macmillan UK","title":"Does demand forecasting matter to retailing?","type":"article-journal","volume":"11"},"uris":["http://www.mendeley.com/documents/?uuid=b05c72ae-5e63-40d2-bd2e-350692d8cfbc"]},{"id":"ITEM-2","itemData":{"abstract":"Predicting product sales of large retail companies is a challenging task considering volatile nature of trends, seasonalities, events as well as unknown factors such as market competitions, change in customer's preferences, or unforeseen events, e.g., COVID-19 outbreak. In this paper, we benchmark forecasting models on historical sales data from Walmart to predict their future sales. We provide a comprehensive theoretical overview and analysis of the state-of-the-art timeseries forecasting models. Then, we apply these models on the forecasting challenge dataset (M5 forecasting by Kaggle). Specifically, we use a traditional model, namely, ARIMA (Autoregressive Integrated Moving Average), and recently developed advanced models e.g., Prophet model developed by Facebook, light gradient boosting machine (LightGBM) model developed by Microsoft and benchmark their performances. Results suggest that ARIMA model outperforms the Facebook Prophet and LightGBM model while the LightGBM model achieves huge computational gain for the large dataset with negligible compromise in the prediction accuracy.","author":[{"dropping-particle":"","family":"Hasan","given":"Md Rashidul","non-dropping-particle":"","parse-names":false,"suffix":""},{"dropping-particle":"","family":"Kabir","given":"Muntasir A","non-dropping-particle":"","parse-names":false,"suffix":""},{"dropping-particle":"","family":"Shuvro","given":"Rezoan A","non-dropping-particle":"","parse-names":false,"suffix":""},{"dropping-particle":"","family":"Das","given":"Pankaz","non-dropping-particle":"","parse-names":false,"suffix":""}],"container-title":"arXiv","id":"ITEM-2","issued":{"date-parts":[["2022"]]},"page":"1-14","title":"A Comparative Study on Forecasting of Retail Sales","type":"article-journal"},"uris":["http://www.mendeley.com/documents/?uuid=56a486b1-2cd6-47df-a8fe-fe57b753cba8"]},{"id":"ITEM-3","itemData":{"DOI":"10.1007/s12355-021-01004-3","ISSN":"09740740","abstract":"Sugarcane plays an essential role in the economy of the India. During 2018, 79.9% of total sugarcane production of India was used in the manufacture of white sugar, 11.29% was used for jaggery production, and 8.80% was used as seed and feed materials. 840.16 Mt sugarcane was exported in the year 2019. Prediction of production level is basic to effective decision-making for policymakers. The objective of this study is thus to find the suitable models of forecasting for sugarcane production. India and major sugarcane producing states, namely Andhra Pradesh, Karnataka, Maharashtra, Tamil Nadu and Uttar Pradesh were selected. Sugarcane production data from 1950 to 2015 were used for training and 2016 to 2018 was used to test the model. ARIMA method was used to model the production process. Order selection was done using AIC. RMSE, MAPE and Theils’ U statistic were used to test the accuracy of the models fitted to the data. ARCH process was found for Karnataka, Tamil Nadu and Uttar Pradesh. Autocorrelation was not present in all the data series analyzed. Forecast accuracy on MAPE criteria ranged from 0.046 to 0.197 percent.","author":[{"dropping-particle":"","family":"Mishra","given":"Pradeep","non-dropping-particle":"","parse-names":false,"suffix":""},{"dropping-particle":"","family":"Khatib","given":"A. M.G.","non-dropping-particle":"Al","parse-names":false,"suffix":""},{"dropping-particle":"","family":"Sardar","given":"Iqra","non-dropping-particle":"","parse-names":false,"suffix":""},{"dropping-particle":"","family":"Mohammed","given":"Jamal","non-dropping-particle":"","parse-names":false,"suffix":""},{"dropping-particle":"","family":"Karakaya","given":"Kadir","non-dropping-particle":"","parse-names":false,"suffix":""},{"dropping-particle":"","family":"Dash","given":"Abhiram","non-dropping-particle":"","parse-names":false,"suffix":""},{"dropping-particle":"","family":"Ray","given":"Monika","non-dropping-particle":"","parse-names":false,"suffix":""},{"dropping-particle":"","family":"Narsimhaiah","given":"Lakshmi","non-dropping-particle":"","parse-names":false,"suffix":""},{"dropping-particle":"","family":"Dubey","given":"Anurag","non-dropping-particle":"","parse-names":false,"suffix":""}],"container-title":"Sugar Tech","id":"ITEM-3","issue":"6","issued":{"date-parts":[["2021"]]},"page":"1317-1324","publisher":"Springer India","title":"Modeling and Forecasting of Sugarcane Production in India","type":"article-journal","volume":"23"},"uris":["http://www.mendeley.com/documents/?uuid=8ebdae13-121a-4bfe-b89c-56feba7c5246"]},{"id":"ITEM-4","itemData":{"DOI":"10.1111/aab.12825","ISSN":"17447348","abstract":"This paper proposes a comparison of various time series forecasting models to forecast annual data on sugarcane production over 63 years from 1960 to 2022. In this research, the Mean Forecast Model, the Naive Model, the Simple Exponential Smoothing Model, Holt's model, and the Autoregressive Integrated Moving Average time series models have all been used to make effective and accurate predictions for sugarcane. Different scale-dependent error forecasting techniques and residual analysis have been used to examine the forecasting accuracy of these time series models. SE of Residuals, Root Mean Squared Error (RMSE), Mean Absolute Error (MAE) and Akaike's Information Criterion (AIC) are used to analyse the forecast's accuracy. The best model has been selected based on the predictions with the lowest value, according to the three-performance metrics of RMSE, MAE, and AIC. The estimated sugarcane production shows an increasing trend for the next 10 years and is projected to be 37,763.38 million tonnes in the year 2032. Further, empirical results support the plan and execution of viable strategies to advance sugarcane production in India to fulfil the utilisation need of the increasing population and further improve food security.","author":[{"dropping-particle":"","family":"Tyagi","given":"Sanjay","non-dropping-particle":"","parse-names":false,"suffix":""},{"dropping-particle":"","family":"Chandra","given":"Shalini","non-dropping-particle":"","parse-names":false,"suffix":""},{"dropping-particle":"","family":"Tyagi","given":"Gargi","non-dropping-particle":"","parse-names":false,"suffix":""}],"container-title":"Annals of Applied Biology","id":"ITEM-4","issue":"3","issued":{"date-parts":[["2023"]]},"page":"371-380","title":"Statistical modelling and forecasting annual sugarcane production in India: Using various time series models","type":"article-journal","volume":"182"},"uris":["http://www.mendeley.com/documents/?uuid=8f4b89a6-d303-4136-8519-1fe57e7a8d6e"]},{"id":"ITEM-5","itemData":{"author":[{"dropping-particle":"","family":"Hyndman","given":"Rob J","non-dropping-particle":"","parse-names":false,"suffix":""},{"dropping-particle":"","family":"Athanasopoulos","given":"George","non-dropping-particle":"","parse-names":false,"suffix":""}],"edition":"3th","id":"ITEM-5","issued":{"date-parts":[["2021"]]},"publisher-place":"Melbourne, Australia","title":"Forecasting : Principles and Practice","type":"book"},"uris":["http://www.mendeley.com/documents/?uuid=51ab2751-17b3-4670-a13a-db2b84473a56"]}],"mendeley":{"formattedCitation":"[2], [6], [7], [15], [16]","plainTextFormattedCitation":"[2], [6], [7], [15], [16]","previouslyFormattedCitation":"[2], [6], [7], [15], [16]"},"properties":{"noteIndex":0},"schema":"https://github.com/citation-style-language/schema/raw/master/csl-citation.json"}</w:instrText>
      </w:r>
      <w:r w:rsidR="00AA5E59">
        <w:rPr>
          <w:rFonts w:ascii="Arial" w:hAnsi="Arial" w:cs="Arial"/>
          <w:sz w:val="20"/>
          <w:szCs w:val="20"/>
        </w:rPr>
        <w:fldChar w:fldCharType="separate"/>
      </w:r>
      <w:r w:rsidR="00AA5E59" w:rsidRPr="00AA5E59">
        <w:rPr>
          <w:rFonts w:ascii="Arial" w:hAnsi="Arial" w:cs="Arial"/>
          <w:noProof/>
          <w:sz w:val="20"/>
          <w:szCs w:val="20"/>
        </w:rPr>
        <w:t>[2], [6], [7], [15], [16]</w:t>
      </w:r>
      <w:r w:rsidR="00AA5E59">
        <w:rPr>
          <w:rFonts w:ascii="Arial" w:hAnsi="Arial" w:cs="Arial"/>
          <w:sz w:val="20"/>
          <w:szCs w:val="20"/>
        </w:rPr>
        <w:fldChar w:fldCharType="end"/>
      </w:r>
      <w:r w:rsidR="000A22A3">
        <w:rPr>
          <w:rFonts w:ascii="Arial" w:hAnsi="Arial" w:cs="Arial"/>
          <w:sz w:val="20"/>
          <w:szCs w:val="20"/>
        </w:rPr>
        <w:t>.</w:t>
      </w:r>
      <w:r>
        <w:rPr>
          <w:rFonts w:ascii="Arial" w:hAnsi="Arial" w:cs="Arial"/>
          <w:sz w:val="20"/>
          <w:szCs w:val="20"/>
        </w:rPr>
        <w:t xml:space="preserve"> However</w:t>
      </w:r>
      <w:r w:rsidR="0057016D">
        <w:rPr>
          <w:rFonts w:ascii="Arial" w:hAnsi="Arial" w:cs="Arial"/>
          <w:sz w:val="20"/>
          <w:szCs w:val="20"/>
        </w:rPr>
        <w:t>,</w:t>
      </w:r>
      <w:r>
        <w:rPr>
          <w:rFonts w:ascii="Arial" w:hAnsi="Arial" w:cs="Arial"/>
          <w:sz w:val="20"/>
          <w:szCs w:val="20"/>
        </w:rPr>
        <w:t xml:space="preserve"> based on this analysis, the d</w:t>
      </w:r>
      <w:r w:rsidR="00EF1C79">
        <w:rPr>
          <w:rFonts w:ascii="Arial" w:hAnsi="Arial" w:cs="Arial"/>
          <w:sz w:val="20"/>
          <w:szCs w:val="20"/>
        </w:rPr>
        <w:t xml:space="preserve">ecomposition model can be a good alternative to </w:t>
      </w:r>
      <w:r>
        <w:rPr>
          <w:rFonts w:ascii="Arial" w:hAnsi="Arial" w:cs="Arial"/>
          <w:sz w:val="20"/>
          <w:szCs w:val="20"/>
        </w:rPr>
        <w:t xml:space="preserve">be </w:t>
      </w:r>
      <w:r w:rsidR="00EF1C79">
        <w:rPr>
          <w:rFonts w:ascii="Arial" w:hAnsi="Arial" w:cs="Arial"/>
          <w:sz w:val="20"/>
          <w:szCs w:val="20"/>
        </w:rPr>
        <w:t xml:space="preserve">used </w:t>
      </w:r>
      <w:r w:rsidR="00C92E4A">
        <w:rPr>
          <w:rFonts w:ascii="Arial" w:hAnsi="Arial" w:cs="Arial"/>
          <w:sz w:val="20"/>
          <w:szCs w:val="20"/>
        </w:rPr>
        <w:t xml:space="preserve">for prediction </w:t>
      </w:r>
      <w:r w:rsidR="0057016D">
        <w:rPr>
          <w:rFonts w:ascii="Arial" w:hAnsi="Arial" w:cs="Arial"/>
          <w:sz w:val="20"/>
          <w:szCs w:val="20"/>
        </w:rPr>
        <w:t>at</w:t>
      </w:r>
      <w:r w:rsidR="00C92E4A">
        <w:rPr>
          <w:rFonts w:ascii="Arial" w:hAnsi="Arial" w:cs="Arial"/>
          <w:sz w:val="20"/>
          <w:szCs w:val="20"/>
        </w:rPr>
        <w:t xml:space="preserve"> </w:t>
      </w:r>
      <w:r w:rsidR="0057016D">
        <w:rPr>
          <w:rFonts w:ascii="Arial" w:hAnsi="Arial" w:cs="Arial"/>
          <w:sz w:val="20"/>
          <w:szCs w:val="20"/>
        </w:rPr>
        <w:t xml:space="preserve">the </w:t>
      </w:r>
      <w:r w:rsidR="00C92E4A">
        <w:rPr>
          <w:rFonts w:ascii="Arial" w:hAnsi="Arial" w:cs="Arial"/>
          <w:sz w:val="20"/>
          <w:szCs w:val="20"/>
        </w:rPr>
        <w:t>retail level because</w:t>
      </w:r>
      <w:r w:rsidR="00EF1C79">
        <w:rPr>
          <w:rFonts w:ascii="Arial" w:hAnsi="Arial" w:cs="Arial"/>
          <w:sz w:val="20"/>
          <w:szCs w:val="20"/>
        </w:rPr>
        <w:t xml:space="preserve"> </w:t>
      </w:r>
      <w:r w:rsidR="00763746">
        <w:rPr>
          <w:rFonts w:ascii="Arial" w:hAnsi="Arial" w:cs="Arial"/>
          <w:sz w:val="20"/>
          <w:szCs w:val="20"/>
        </w:rPr>
        <w:t>it can capture and accommodate data pattern</w:t>
      </w:r>
      <w:r w:rsidR="0057016D">
        <w:rPr>
          <w:rFonts w:ascii="Arial" w:hAnsi="Arial" w:cs="Arial"/>
          <w:sz w:val="20"/>
          <w:szCs w:val="20"/>
        </w:rPr>
        <w:t>s</w:t>
      </w:r>
      <w:r w:rsidR="00763746">
        <w:rPr>
          <w:rFonts w:ascii="Arial" w:hAnsi="Arial" w:cs="Arial"/>
          <w:sz w:val="20"/>
          <w:szCs w:val="20"/>
        </w:rPr>
        <w:t xml:space="preserve"> better</w:t>
      </w:r>
      <w:r w:rsidR="00FD0A10">
        <w:rPr>
          <w:rFonts w:ascii="Arial" w:hAnsi="Arial" w:cs="Arial"/>
          <w:sz w:val="20"/>
          <w:szCs w:val="20"/>
        </w:rPr>
        <w:t xml:space="preserve"> than ARIMA or SARIMA</w:t>
      </w:r>
      <w:r w:rsidR="00763746">
        <w:rPr>
          <w:rFonts w:ascii="Arial" w:hAnsi="Arial" w:cs="Arial"/>
          <w:sz w:val="20"/>
          <w:szCs w:val="20"/>
        </w:rPr>
        <w:t>.</w:t>
      </w:r>
      <w:r w:rsidR="00EF1C79">
        <w:rPr>
          <w:rFonts w:ascii="Arial" w:hAnsi="Arial" w:cs="Arial"/>
          <w:sz w:val="20"/>
          <w:szCs w:val="20"/>
        </w:rPr>
        <w:t xml:space="preserve"> </w:t>
      </w:r>
      <w:r w:rsidR="00C92E4A">
        <w:rPr>
          <w:rFonts w:ascii="Arial" w:hAnsi="Arial" w:cs="Arial"/>
          <w:sz w:val="20"/>
          <w:szCs w:val="20"/>
        </w:rPr>
        <w:t xml:space="preserve">As mentioned in </w:t>
      </w:r>
      <w:r w:rsidR="0057016D">
        <w:rPr>
          <w:rFonts w:ascii="Arial" w:hAnsi="Arial" w:cs="Arial"/>
          <w:sz w:val="20"/>
          <w:szCs w:val="20"/>
        </w:rPr>
        <w:t xml:space="preserve">a </w:t>
      </w:r>
      <w:r w:rsidR="00C92E4A">
        <w:rPr>
          <w:rFonts w:ascii="Arial" w:hAnsi="Arial" w:cs="Arial"/>
          <w:sz w:val="20"/>
          <w:szCs w:val="20"/>
        </w:rPr>
        <w:t>previous study</w:t>
      </w:r>
      <w:r w:rsidR="00DF6E0E">
        <w:rPr>
          <w:rFonts w:ascii="Arial" w:hAnsi="Arial" w:cs="Arial"/>
          <w:sz w:val="20"/>
          <w:szCs w:val="20"/>
        </w:rPr>
        <w:t xml:space="preserve"> by Kumar et al. </w:t>
      </w:r>
      <w:r w:rsidR="00DF6E0E">
        <w:rPr>
          <w:rFonts w:ascii="Arial" w:hAnsi="Arial" w:cs="Arial"/>
          <w:sz w:val="20"/>
          <w:szCs w:val="20"/>
        </w:rPr>
        <w:fldChar w:fldCharType="begin" w:fldLock="1"/>
      </w:r>
      <w:r w:rsidR="00DF6E0E">
        <w:rPr>
          <w:rFonts w:ascii="Arial" w:hAnsi="Arial" w:cs="Arial"/>
          <w:sz w:val="20"/>
          <w:szCs w:val="20"/>
        </w:rPr>
        <w:instrText>ADDIN CSL_CITATION {"citationItems":[{"id":"ITEM-1","itemData":{"DOI":"10.1016/j.indmarman.2019.05.003","ISSN":"00198501","abstract":"This study aims to investigate the contributions of promotional marketing activities, historical demand and other factors to predict, and develop a big data-driven fuzzy classifier-based framework, also called “demand-driven forecasting,” that can shape, sense and respond to real customer demands. The availability of timely information about future customer needs is a key success factor for any business. For profit maximization, manufacturers want to sense demand signals and shape future demands using price, sales, promotion and others economic factors so that they can fulfil customer's orders immediately. However, most demand forecasting systems offer limited insight to manufacturers as they fail to capture contemporary market trends, product seasonality and the impact of forecasting on the magnitude of the bullwhip effect. This paper aims to improve the accuracy of demand forecasts. In order to achieve this, a back-propagation neural network-based model is trained by fuzzy inputs and compared with benchmark forecasting methods on a time series data, by using historical demand and sales data in combination with advertising effectiveness, expenditure, promotions, and marketing events data. A statistical analysis is conducted, and the experiments show that the method used in the proposed framework outperforms in optimality, efficiency and other statistical metrics. Finally, some invaluable insights for managers are presented to improve the forecast accuracy of fuzzy neural networks, develop marketing plans for products and discuss their implications in several fields.","author":[{"dropping-particle":"","family":"Kumar","given":"Ajay","non-dropping-particle":"","parse-names":false,"suffix":""},{"dropping-particle":"","family":"Shankar","given":"Ravi","non-dropping-particle":"","parse-names":false,"suffix":""},{"dropping-particle":"","family":"Aljohani","given":"Naif Radi","non-dropping-particle":"","parse-names":false,"suffix":""}],"container-title":"Industrial Marketing Management","id":"ITEM-1","issue":"November 2018","issued":{"date-parts":[["2020"]]},"page":"493-507","publisher":"Elsevier","title":"A big data driven framework for demand-driven forecasting with effects of marketing-mix variables","type":"article-journal","volume":"90"},"uris":["http://www.mendeley.com/documents/?uuid=6128c807-a4fc-4656-8603-a3434fec39c1"]}],"mendeley":{"formattedCitation":"[5]","plainTextFormattedCitation":"[5]","previouslyFormattedCitation":"[5]"},"properties":{"noteIndex":0},"schema":"https://github.com/citation-style-language/schema/raw/master/csl-citation.json"}</w:instrText>
      </w:r>
      <w:r w:rsidR="00DF6E0E">
        <w:rPr>
          <w:rFonts w:ascii="Arial" w:hAnsi="Arial" w:cs="Arial"/>
          <w:sz w:val="20"/>
          <w:szCs w:val="20"/>
        </w:rPr>
        <w:fldChar w:fldCharType="separate"/>
      </w:r>
      <w:r w:rsidR="00DF6E0E" w:rsidRPr="0071316D">
        <w:rPr>
          <w:rFonts w:ascii="Arial" w:hAnsi="Arial" w:cs="Arial"/>
          <w:noProof/>
          <w:sz w:val="20"/>
          <w:szCs w:val="20"/>
        </w:rPr>
        <w:t>[5]</w:t>
      </w:r>
      <w:r w:rsidR="00DF6E0E">
        <w:rPr>
          <w:rFonts w:ascii="Arial" w:hAnsi="Arial" w:cs="Arial"/>
          <w:sz w:val="20"/>
          <w:szCs w:val="20"/>
        </w:rPr>
        <w:fldChar w:fldCharType="end"/>
      </w:r>
      <w:r w:rsidR="00C92E4A">
        <w:rPr>
          <w:rFonts w:ascii="Arial" w:hAnsi="Arial" w:cs="Arial"/>
          <w:sz w:val="20"/>
          <w:szCs w:val="20"/>
        </w:rPr>
        <w:t xml:space="preserve">, </w:t>
      </w:r>
      <w:r w:rsidR="0057016D">
        <w:rPr>
          <w:rFonts w:ascii="Arial" w:hAnsi="Arial" w:cs="Arial"/>
          <w:sz w:val="20"/>
          <w:szCs w:val="20"/>
        </w:rPr>
        <w:t xml:space="preserve">a </w:t>
      </w:r>
      <w:r w:rsidR="00C92E4A">
        <w:rPr>
          <w:rFonts w:ascii="Arial" w:hAnsi="Arial" w:cs="Arial"/>
          <w:sz w:val="20"/>
          <w:szCs w:val="20"/>
        </w:rPr>
        <w:t xml:space="preserve">forecast model that can capture </w:t>
      </w:r>
      <w:r w:rsidR="0057016D">
        <w:rPr>
          <w:rFonts w:ascii="Arial" w:hAnsi="Arial" w:cs="Arial"/>
          <w:sz w:val="20"/>
          <w:szCs w:val="20"/>
        </w:rPr>
        <w:t xml:space="preserve">the </w:t>
      </w:r>
      <w:r w:rsidR="00C92E4A">
        <w:rPr>
          <w:rFonts w:ascii="Arial" w:hAnsi="Arial" w:cs="Arial"/>
          <w:sz w:val="20"/>
          <w:szCs w:val="20"/>
        </w:rPr>
        <w:t>trend and seasonal pattern</w:t>
      </w:r>
      <w:r w:rsidR="0057016D">
        <w:rPr>
          <w:rFonts w:ascii="Arial" w:hAnsi="Arial" w:cs="Arial"/>
          <w:sz w:val="20"/>
          <w:szCs w:val="20"/>
        </w:rPr>
        <w:t>s</w:t>
      </w:r>
      <w:r w:rsidR="00C92E4A">
        <w:rPr>
          <w:rFonts w:ascii="Arial" w:hAnsi="Arial" w:cs="Arial"/>
          <w:sz w:val="20"/>
          <w:szCs w:val="20"/>
        </w:rPr>
        <w:t xml:space="preserve"> is important and still lack</w:t>
      </w:r>
      <w:r w:rsidR="0057016D">
        <w:rPr>
          <w:rFonts w:ascii="Arial" w:hAnsi="Arial" w:cs="Arial"/>
          <w:sz w:val="20"/>
          <w:szCs w:val="20"/>
        </w:rPr>
        <w:t>ing</w:t>
      </w:r>
      <w:r w:rsidR="00C92E4A">
        <w:rPr>
          <w:rFonts w:ascii="Arial" w:hAnsi="Arial" w:cs="Arial"/>
          <w:sz w:val="20"/>
          <w:szCs w:val="20"/>
        </w:rPr>
        <w:t xml:space="preserve"> </w:t>
      </w:r>
      <w:r w:rsidR="0057016D">
        <w:rPr>
          <w:rFonts w:ascii="Arial" w:hAnsi="Arial" w:cs="Arial"/>
          <w:sz w:val="20"/>
          <w:szCs w:val="20"/>
        </w:rPr>
        <w:t>at</w:t>
      </w:r>
      <w:r w:rsidR="00C92E4A">
        <w:rPr>
          <w:rFonts w:ascii="Arial" w:hAnsi="Arial" w:cs="Arial"/>
          <w:sz w:val="20"/>
          <w:szCs w:val="20"/>
        </w:rPr>
        <w:t xml:space="preserve"> </w:t>
      </w:r>
      <w:r w:rsidR="00C53B95">
        <w:rPr>
          <w:rFonts w:ascii="Arial" w:hAnsi="Arial" w:cs="Arial"/>
          <w:sz w:val="20"/>
          <w:szCs w:val="20"/>
        </w:rPr>
        <w:t xml:space="preserve">the </w:t>
      </w:r>
      <w:r w:rsidR="00DF6E0E">
        <w:rPr>
          <w:rFonts w:ascii="Arial" w:hAnsi="Arial" w:cs="Arial"/>
          <w:sz w:val="20"/>
          <w:szCs w:val="20"/>
        </w:rPr>
        <w:t>retail level.</w:t>
      </w:r>
    </w:p>
    <w:p w:rsidR="00286EE8" w:rsidRDefault="00A52C04" w:rsidP="00D029C8">
      <w:pPr>
        <w:spacing w:after="0" w:line="240" w:lineRule="auto"/>
        <w:ind w:left="0" w:hanging="2"/>
        <w:jc w:val="both"/>
        <w:rPr>
          <w:rFonts w:ascii="Arial" w:hAnsi="Arial" w:cs="Arial"/>
          <w:sz w:val="20"/>
          <w:szCs w:val="20"/>
        </w:rPr>
      </w:pPr>
      <w:r w:rsidRPr="00D029C8">
        <w:rPr>
          <w:rFonts w:ascii="Arial" w:hAnsi="Arial" w:cs="Arial"/>
          <w:sz w:val="20"/>
          <w:szCs w:val="20"/>
        </w:rPr>
        <w:t xml:space="preserve">Figure </w:t>
      </w:r>
      <w:r w:rsidR="00310638">
        <w:rPr>
          <w:rFonts w:ascii="Arial" w:hAnsi="Arial" w:cs="Arial"/>
          <w:sz w:val="20"/>
          <w:szCs w:val="20"/>
        </w:rPr>
        <w:t>9</w:t>
      </w:r>
      <w:r w:rsidRPr="00D029C8">
        <w:rPr>
          <w:rFonts w:ascii="Arial" w:hAnsi="Arial" w:cs="Arial"/>
          <w:sz w:val="20"/>
          <w:szCs w:val="20"/>
        </w:rPr>
        <w:t xml:space="preserve"> shows the forecast result of SARIMA and decomposition models for </w:t>
      </w:r>
      <w:r w:rsidR="00511D4F">
        <w:rPr>
          <w:rFonts w:ascii="Arial" w:hAnsi="Arial" w:cs="Arial"/>
          <w:sz w:val="20"/>
          <w:szCs w:val="20"/>
        </w:rPr>
        <w:t xml:space="preserve">the testing and </w:t>
      </w:r>
      <w:r w:rsidRPr="00D029C8">
        <w:rPr>
          <w:rFonts w:ascii="Arial" w:hAnsi="Arial" w:cs="Arial"/>
          <w:sz w:val="20"/>
          <w:szCs w:val="20"/>
        </w:rPr>
        <w:t>the</w:t>
      </w:r>
      <w:r w:rsidR="00511D4F">
        <w:rPr>
          <w:rFonts w:ascii="Arial" w:hAnsi="Arial" w:cs="Arial"/>
          <w:sz w:val="20"/>
          <w:szCs w:val="20"/>
        </w:rPr>
        <w:t xml:space="preserve"> next</w:t>
      </w:r>
      <w:r w:rsidRPr="00D029C8">
        <w:rPr>
          <w:rFonts w:ascii="Arial" w:hAnsi="Arial" w:cs="Arial"/>
          <w:sz w:val="20"/>
          <w:szCs w:val="20"/>
        </w:rPr>
        <w:t xml:space="preserve"> 10 period</w:t>
      </w:r>
      <w:r w:rsidR="00652DBE">
        <w:rPr>
          <w:rFonts w:ascii="Arial" w:hAnsi="Arial" w:cs="Arial"/>
          <w:sz w:val="20"/>
          <w:szCs w:val="20"/>
        </w:rPr>
        <w:t>s</w:t>
      </w:r>
      <w:r w:rsidRPr="00D029C8">
        <w:rPr>
          <w:rFonts w:ascii="Arial" w:hAnsi="Arial" w:cs="Arial"/>
          <w:sz w:val="20"/>
          <w:szCs w:val="20"/>
        </w:rPr>
        <w:t xml:space="preserve"> in the future </w:t>
      </w:r>
      <w:r w:rsidR="00511D4F">
        <w:rPr>
          <w:rFonts w:ascii="Arial" w:hAnsi="Arial" w:cs="Arial"/>
          <w:sz w:val="20"/>
          <w:szCs w:val="20"/>
        </w:rPr>
        <w:t>to see the forecast and the comparison between real data and both forecast</w:t>
      </w:r>
      <w:r w:rsidR="00310638">
        <w:rPr>
          <w:rFonts w:ascii="Arial" w:hAnsi="Arial" w:cs="Arial"/>
          <w:sz w:val="20"/>
          <w:szCs w:val="20"/>
        </w:rPr>
        <w:t>s</w:t>
      </w:r>
      <w:r w:rsidR="00511D4F">
        <w:rPr>
          <w:rFonts w:ascii="Arial" w:hAnsi="Arial" w:cs="Arial"/>
          <w:sz w:val="20"/>
          <w:szCs w:val="20"/>
        </w:rPr>
        <w:t xml:space="preserve">. </w:t>
      </w:r>
      <w:r w:rsidR="00D35920">
        <w:rPr>
          <w:rFonts w:ascii="Arial" w:hAnsi="Arial" w:cs="Arial"/>
          <w:sz w:val="20"/>
          <w:szCs w:val="20"/>
        </w:rPr>
        <w:t>T</w:t>
      </w:r>
      <w:r w:rsidRPr="00D029C8">
        <w:rPr>
          <w:rFonts w:ascii="Arial" w:hAnsi="Arial" w:cs="Arial"/>
          <w:sz w:val="20"/>
          <w:szCs w:val="20"/>
        </w:rPr>
        <w:t xml:space="preserve">he pattern of the forecast is quite similar, but there is a difference in the level or number of sales forecasted. This similarity is because those forecast methods use the same approach to </w:t>
      </w:r>
      <w:r w:rsidRPr="00D029C8">
        <w:rPr>
          <w:rFonts w:ascii="Arial" w:hAnsi="Arial" w:cs="Arial"/>
          <w:sz w:val="20"/>
          <w:szCs w:val="20"/>
        </w:rPr>
        <w:t>pr</w:t>
      </w:r>
      <w:r w:rsidR="00286EE8">
        <w:rPr>
          <w:rFonts w:ascii="Arial" w:hAnsi="Arial" w:cs="Arial"/>
          <w:sz w:val="20"/>
          <w:szCs w:val="20"/>
        </w:rPr>
        <w:t>edict, which</w:t>
      </w:r>
      <w:r w:rsidR="005B7946">
        <w:rPr>
          <w:rFonts w:ascii="Arial" w:hAnsi="Arial" w:cs="Arial"/>
          <w:sz w:val="20"/>
          <w:szCs w:val="20"/>
        </w:rPr>
        <w:t xml:space="preserve"> mov</w:t>
      </w:r>
      <w:r w:rsidR="00C53B95">
        <w:rPr>
          <w:rFonts w:ascii="Arial" w:hAnsi="Arial" w:cs="Arial"/>
          <w:sz w:val="20"/>
          <w:szCs w:val="20"/>
        </w:rPr>
        <w:t>es</w:t>
      </w:r>
      <w:r w:rsidR="005B7946">
        <w:rPr>
          <w:rFonts w:ascii="Arial" w:hAnsi="Arial" w:cs="Arial"/>
          <w:sz w:val="20"/>
          <w:szCs w:val="20"/>
        </w:rPr>
        <w:t xml:space="preserve"> out the considered significant data pattern by using differencing, before performing </w:t>
      </w:r>
      <w:r w:rsidR="00C53B95">
        <w:rPr>
          <w:rFonts w:ascii="Arial" w:hAnsi="Arial" w:cs="Arial"/>
          <w:sz w:val="20"/>
          <w:szCs w:val="20"/>
        </w:rPr>
        <w:t xml:space="preserve">a </w:t>
      </w:r>
      <w:r w:rsidR="005B7946">
        <w:rPr>
          <w:rFonts w:ascii="Arial" w:hAnsi="Arial" w:cs="Arial"/>
          <w:sz w:val="20"/>
          <w:szCs w:val="20"/>
        </w:rPr>
        <w:t>forecast</w:t>
      </w:r>
      <w:r w:rsidRPr="00D029C8">
        <w:rPr>
          <w:rFonts w:ascii="Arial" w:hAnsi="Arial" w:cs="Arial"/>
          <w:sz w:val="20"/>
          <w:szCs w:val="20"/>
        </w:rPr>
        <w:t xml:space="preserve">. </w:t>
      </w:r>
    </w:p>
    <w:p w:rsidR="00A52C04" w:rsidRDefault="00A52C04" w:rsidP="00D029C8">
      <w:pPr>
        <w:spacing w:after="0" w:line="240" w:lineRule="auto"/>
        <w:ind w:left="0" w:hanging="2"/>
        <w:jc w:val="both"/>
        <w:rPr>
          <w:rFonts w:ascii="Arial" w:hAnsi="Arial" w:cs="Arial"/>
          <w:sz w:val="20"/>
          <w:szCs w:val="20"/>
        </w:rPr>
      </w:pPr>
      <w:r w:rsidRPr="00D029C8">
        <w:rPr>
          <w:rFonts w:ascii="Arial" w:hAnsi="Arial" w:cs="Arial"/>
          <w:sz w:val="20"/>
          <w:szCs w:val="20"/>
        </w:rPr>
        <w:t>If we only considered MAPE for the forecastin</w:t>
      </w:r>
      <w:r w:rsidR="00B56D6E">
        <w:rPr>
          <w:rFonts w:ascii="Arial" w:hAnsi="Arial" w:cs="Arial"/>
          <w:sz w:val="20"/>
          <w:szCs w:val="20"/>
        </w:rPr>
        <w:t>g performance, we tend to choose the model that has the smallest</w:t>
      </w:r>
      <w:r w:rsidRPr="00D029C8">
        <w:rPr>
          <w:rFonts w:ascii="Arial" w:hAnsi="Arial" w:cs="Arial"/>
          <w:sz w:val="20"/>
          <w:szCs w:val="20"/>
        </w:rPr>
        <w:t xml:space="preserve"> MAPE, which is multiplicative decomposition using the double moving average forecast model</w:t>
      </w:r>
      <w:r w:rsidR="00B56D6E">
        <w:rPr>
          <w:rFonts w:ascii="Arial" w:hAnsi="Arial" w:cs="Arial"/>
          <w:sz w:val="20"/>
          <w:szCs w:val="20"/>
        </w:rPr>
        <w:t xml:space="preserve"> for this case</w:t>
      </w:r>
      <w:r w:rsidRPr="00D029C8">
        <w:rPr>
          <w:rFonts w:ascii="Arial" w:hAnsi="Arial" w:cs="Arial"/>
          <w:sz w:val="20"/>
          <w:szCs w:val="20"/>
        </w:rPr>
        <w:t xml:space="preserve">. However, we need to understand that the longer the forecast is used, the lower </w:t>
      </w:r>
      <w:r w:rsidR="00BD1DF1">
        <w:rPr>
          <w:rFonts w:ascii="Arial" w:hAnsi="Arial" w:cs="Arial"/>
          <w:sz w:val="20"/>
          <w:szCs w:val="20"/>
        </w:rPr>
        <w:t xml:space="preserve">the </w:t>
      </w:r>
      <w:r w:rsidR="00D35920">
        <w:rPr>
          <w:rFonts w:ascii="Arial" w:hAnsi="Arial" w:cs="Arial"/>
          <w:sz w:val="20"/>
          <w:szCs w:val="20"/>
        </w:rPr>
        <w:t xml:space="preserve">number of </w:t>
      </w:r>
      <w:r w:rsidRPr="00D029C8">
        <w:rPr>
          <w:rFonts w:ascii="Arial" w:hAnsi="Arial" w:cs="Arial"/>
          <w:sz w:val="20"/>
          <w:szCs w:val="20"/>
        </w:rPr>
        <w:t>the forecast result</w:t>
      </w:r>
      <w:r w:rsidR="00D35920">
        <w:rPr>
          <w:rFonts w:ascii="Arial" w:hAnsi="Arial" w:cs="Arial"/>
          <w:sz w:val="20"/>
          <w:szCs w:val="20"/>
        </w:rPr>
        <w:t xml:space="preserve"> is. This is </w:t>
      </w:r>
      <w:r w:rsidRPr="00D029C8">
        <w:rPr>
          <w:rFonts w:ascii="Arial" w:hAnsi="Arial" w:cs="Arial"/>
          <w:sz w:val="20"/>
          <w:szCs w:val="20"/>
        </w:rPr>
        <w:t>because the slightly inclined trend from observed sales</w:t>
      </w:r>
      <w:r w:rsidR="00D35920">
        <w:rPr>
          <w:rFonts w:ascii="Arial" w:hAnsi="Arial" w:cs="Arial"/>
          <w:sz w:val="20"/>
          <w:szCs w:val="20"/>
        </w:rPr>
        <w:t xml:space="preserve"> is considered in </w:t>
      </w:r>
      <w:r w:rsidR="00BD1DF1">
        <w:rPr>
          <w:rFonts w:ascii="Arial" w:hAnsi="Arial" w:cs="Arial"/>
          <w:sz w:val="20"/>
          <w:szCs w:val="20"/>
        </w:rPr>
        <w:t xml:space="preserve">the </w:t>
      </w:r>
      <w:r w:rsidR="00D35920">
        <w:rPr>
          <w:rFonts w:ascii="Arial" w:hAnsi="Arial" w:cs="Arial"/>
          <w:sz w:val="20"/>
          <w:szCs w:val="20"/>
        </w:rPr>
        <w:t xml:space="preserve">decomposition model. For </w:t>
      </w:r>
      <w:r w:rsidR="00BD1DF1">
        <w:rPr>
          <w:rFonts w:ascii="Arial" w:hAnsi="Arial" w:cs="Arial"/>
          <w:sz w:val="20"/>
          <w:szCs w:val="20"/>
        </w:rPr>
        <w:t xml:space="preserve">the </w:t>
      </w:r>
      <w:r w:rsidR="00D35920">
        <w:rPr>
          <w:rFonts w:ascii="Arial" w:hAnsi="Arial" w:cs="Arial"/>
          <w:sz w:val="20"/>
          <w:szCs w:val="20"/>
        </w:rPr>
        <w:t xml:space="preserve">SARIMA forecast, this condition </w:t>
      </w:r>
      <w:r w:rsidR="00BD1DF1">
        <w:rPr>
          <w:rFonts w:ascii="Arial" w:hAnsi="Arial" w:cs="Arial"/>
          <w:sz w:val="20"/>
          <w:szCs w:val="20"/>
        </w:rPr>
        <w:t>does not occur</w:t>
      </w:r>
      <w:r w:rsidR="00D35920">
        <w:rPr>
          <w:rFonts w:ascii="Arial" w:hAnsi="Arial" w:cs="Arial"/>
          <w:sz w:val="20"/>
          <w:szCs w:val="20"/>
        </w:rPr>
        <w:t xml:space="preserve">. The forecast for </w:t>
      </w:r>
      <w:r w:rsidR="00BD1DF1">
        <w:rPr>
          <w:rFonts w:ascii="Arial" w:hAnsi="Arial" w:cs="Arial"/>
          <w:sz w:val="20"/>
          <w:szCs w:val="20"/>
        </w:rPr>
        <w:t xml:space="preserve">a </w:t>
      </w:r>
      <w:r w:rsidR="00D35920">
        <w:rPr>
          <w:rFonts w:ascii="Arial" w:hAnsi="Arial" w:cs="Arial"/>
          <w:sz w:val="20"/>
          <w:szCs w:val="20"/>
        </w:rPr>
        <w:t xml:space="preserve">long period will fluctuate </w:t>
      </w:r>
      <w:r w:rsidR="00BD1DF1">
        <w:rPr>
          <w:rFonts w:ascii="Arial" w:hAnsi="Arial" w:cs="Arial"/>
          <w:sz w:val="20"/>
          <w:szCs w:val="20"/>
        </w:rPr>
        <w:t>at</w:t>
      </w:r>
      <w:r w:rsidR="00D35920">
        <w:rPr>
          <w:rFonts w:ascii="Arial" w:hAnsi="Arial" w:cs="Arial"/>
          <w:sz w:val="20"/>
          <w:szCs w:val="20"/>
        </w:rPr>
        <w:t xml:space="preserve"> </w:t>
      </w:r>
      <w:r w:rsidR="00BD1DF1">
        <w:rPr>
          <w:rFonts w:ascii="Arial" w:hAnsi="Arial" w:cs="Arial"/>
          <w:sz w:val="20"/>
          <w:szCs w:val="20"/>
        </w:rPr>
        <w:t xml:space="preserve">the </w:t>
      </w:r>
      <w:r w:rsidR="00D35920">
        <w:rPr>
          <w:rFonts w:ascii="Arial" w:hAnsi="Arial" w:cs="Arial"/>
          <w:sz w:val="20"/>
          <w:szCs w:val="20"/>
        </w:rPr>
        <w:t>same level</w:t>
      </w:r>
      <w:r w:rsidRPr="00D029C8">
        <w:rPr>
          <w:rFonts w:ascii="Arial" w:hAnsi="Arial" w:cs="Arial"/>
          <w:sz w:val="20"/>
          <w:szCs w:val="20"/>
        </w:rPr>
        <w:t xml:space="preserve"> </w:t>
      </w:r>
      <w:r w:rsidR="00D35920">
        <w:rPr>
          <w:rFonts w:ascii="Arial" w:hAnsi="Arial" w:cs="Arial"/>
          <w:sz w:val="20"/>
          <w:szCs w:val="20"/>
        </w:rPr>
        <w:t>because SARIMA does not consider the trend.</w:t>
      </w:r>
      <w:r w:rsidR="000F71D7">
        <w:rPr>
          <w:rFonts w:ascii="Arial" w:hAnsi="Arial" w:cs="Arial"/>
          <w:sz w:val="20"/>
          <w:szCs w:val="20"/>
        </w:rPr>
        <w:t xml:space="preserve"> To avoid </w:t>
      </w:r>
      <w:r w:rsidR="00B56D6E">
        <w:rPr>
          <w:rFonts w:ascii="Arial" w:hAnsi="Arial" w:cs="Arial"/>
          <w:sz w:val="20"/>
          <w:szCs w:val="20"/>
        </w:rPr>
        <w:t xml:space="preserve">a </w:t>
      </w:r>
      <w:r w:rsidR="000F71D7">
        <w:rPr>
          <w:rFonts w:ascii="Arial" w:hAnsi="Arial" w:cs="Arial"/>
          <w:sz w:val="20"/>
          <w:szCs w:val="20"/>
        </w:rPr>
        <w:t>deep slope for the long forecast</w:t>
      </w:r>
      <w:r w:rsidR="00D35920">
        <w:rPr>
          <w:rFonts w:ascii="Arial" w:hAnsi="Arial" w:cs="Arial"/>
          <w:sz w:val="20"/>
          <w:szCs w:val="20"/>
        </w:rPr>
        <w:t xml:space="preserve"> in </w:t>
      </w:r>
      <w:r w:rsidR="00BD1DF1">
        <w:rPr>
          <w:rFonts w:ascii="Arial" w:hAnsi="Arial" w:cs="Arial"/>
          <w:sz w:val="20"/>
          <w:szCs w:val="20"/>
        </w:rPr>
        <w:t xml:space="preserve">the </w:t>
      </w:r>
      <w:r w:rsidR="00D35920">
        <w:rPr>
          <w:rFonts w:ascii="Arial" w:hAnsi="Arial" w:cs="Arial"/>
          <w:sz w:val="20"/>
          <w:szCs w:val="20"/>
        </w:rPr>
        <w:t>decomposition model</w:t>
      </w:r>
      <w:r w:rsidRPr="00D029C8">
        <w:rPr>
          <w:rFonts w:ascii="Arial" w:hAnsi="Arial" w:cs="Arial"/>
          <w:sz w:val="20"/>
          <w:szCs w:val="20"/>
        </w:rPr>
        <w:t xml:space="preserve">, it is better to not forecast for a long period and try to observe new data to adjust the forecast model. Moreover, since the double moving average period is only three, the forecast result is </w:t>
      </w:r>
      <w:r w:rsidR="00D029C8">
        <w:rPr>
          <w:rFonts w:ascii="Arial" w:hAnsi="Arial" w:cs="Arial"/>
          <w:sz w:val="20"/>
          <w:szCs w:val="20"/>
        </w:rPr>
        <w:t xml:space="preserve">highly </w:t>
      </w:r>
      <w:r w:rsidRPr="00D029C8">
        <w:rPr>
          <w:rFonts w:ascii="Arial" w:hAnsi="Arial" w:cs="Arial"/>
          <w:sz w:val="20"/>
          <w:szCs w:val="20"/>
        </w:rPr>
        <w:t>affected by the recent sales; thus making the long period forecast is not preferable.</w:t>
      </w:r>
    </w:p>
    <w:p w:rsidR="00041F2D" w:rsidRPr="00D029C8" w:rsidRDefault="00041F2D" w:rsidP="00D029C8">
      <w:pPr>
        <w:spacing w:after="0" w:line="240" w:lineRule="auto"/>
        <w:ind w:left="0" w:hanging="2"/>
        <w:jc w:val="both"/>
        <w:rPr>
          <w:rFonts w:ascii="Arial" w:hAnsi="Arial" w:cs="Arial"/>
          <w:sz w:val="20"/>
          <w:szCs w:val="20"/>
        </w:rPr>
      </w:pPr>
      <w:r>
        <w:rPr>
          <w:rFonts w:ascii="Arial" w:hAnsi="Arial" w:cs="Arial"/>
          <w:sz w:val="20"/>
          <w:szCs w:val="20"/>
        </w:rPr>
        <w:t>It is wo</w:t>
      </w:r>
      <w:r w:rsidR="002F11C2">
        <w:rPr>
          <w:rFonts w:ascii="Arial" w:hAnsi="Arial" w:cs="Arial"/>
          <w:sz w:val="20"/>
          <w:szCs w:val="20"/>
        </w:rPr>
        <w:t>r</w:t>
      </w:r>
      <w:r>
        <w:rPr>
          <w:rFonts w:ascii="Arial" w:hAnsi="Arial" w:cs="Arial"/>
          <w:sz w:val="20"/>
          <w:szCs w:val="20"/>
        </w:rPr>
        <w:t>th mention</w:t>
      </w:r>
      <w:r w:rsidR="00C53B95">
        <w:rPr>
          <w:rFonts w:ascii="Arial" w:hAnsi="Arial" w:cs="Arial"/>
          <w:sz w:val="20"/>
          <w:szCs w:val="20"/>
        </w:rPr>
        <w:t>ing</w:t>
      </w:r>
      <w:r>
        <w:rPr>
          <w:rFonts w:ascii="Arial" w:hAnsi="Arial" w:cs="Arial"/>
          <w:sz w:val="20"/>
          <w:szCs w:val="20"/>
        </w:rPr>
        <w:t xml:space="preserve"> that for </w:t>
      </w:r>
      <w:r w:rsidR="00C53B95">
        <w:rPr>
          <w:rFonts w:ascii="Arial" w:hAnsi="Arial" w:cs="Arial"/>
          <w:sz w:val="20"/>
          <w:szCs w:val="20"/>
        </w:rPr>
        <w:t xml:space="preserve">the </w:t>
      </w:r>
      <w:r>
        <w:rPr>
          <w:rFonts w:ascii="Arial" w:hAnsi="Arial" w:cs="Arial"/>
          <w:sz w:val="20"/>
          <w:szCs w:val="20"/>
        </w:rPr>
        <w:t>decomposition model, the method for predicting the trend patte</w:t>
      </w:r>
      <w:r w:rsidR="005778D1">
        <w:rPr>
          <w:rFonts w:ascii="Arial" w:hAnsi="Arial" w:cs="Arial"/>
          <w:sz w:val="20"/>
          <w:szCs w:val="20"/>
        </w:rPr>
        <w:t>rn</w:t>
      </w:r>
      <w:r w:rsidR="000F3252">
        <w:rPr>
          <w:rFonts w:ascii="Arial" w:hAnsi="Arial" w:cs="Arial"/>
          <w:sz w:val="20"/>
          <w:szCs w:val="20"/>
        </w:rPr>
        <w:t xml:space="preserve"> contributes to the quality of </w:t>
      </w:r>
      <w:r w:rsidR="00C53B95">
        <w:rPr>
          <w:rFonts w:ascii="Arial" w:hAnsi="Arial" w:cs="Arial"/>
          <w:sz w:val="20"/>
          <w:szCs w:val="20"/>
        </w:rPr>
        <w:t xml:space="preserve">the </w:t>
      </w:r>
      <w:r w:rsidR="000F3252">
        <w:rPr>
          <w:rFonts w:ascii="Arial" w:hAnsi="Arial" w:cs="Arial"/>
          <w:sz w:val="20"/>
          <w:szCs w:val="20"/>
        </w:rPr>
        <w:t>decomposition forecast result.</w:t>
      </w:r>
      <w:r w:rsidR="00BB208F">
        <w:rPr>
          <w:rFonts w:ascii="Arial" w:hAnsi="Arial" w:cs="Arial"/>
          <w:sz w:val="20"/>
          <w:szCs w:val="20"/>
        </w:rPr>
        <w:t xml:space="preserve"> Hence, different method</w:t>
      </w:r>
      <w:r w:rsidR="00C53B95">
        <w:rPr>
          <w:rFonts w:ascii="Arial" w:hAnsi="Arial" w:cs="Arial"/>
          <w:sz w:val="20"/>
          <w:szCs w:val="20"/>
        </w:rPr>
        <w:t>s</w:t>
      </w:r>
      <w:r w:rsidR="00BB208F">
        <w:rPr>
          <w:rFonts w:ascii="Arial" w:hAnsi="Arial" w:cs="Arial"/>
          <w:sz w:val="20"/>
          <w:szCs w:val="20"/>
        </w:rPr>
        <w:t xml:space="preserve"> to predict the trend such as linear regression and others can lead to different MAPE</w:t>
      </w:r>
      <w:r w:rsidR="00C53B95">
        <w:rPr>
          <w:rFonts w:ascii="Arial" w:hAnsi="Arial" w:cs="Arial"/>
          <w:sz w:val="20"/>
          <w:szCs w:val="20"/>
        </w:rPr>
        <w:t>s</w:t>
      </w:r>
      <w:r w:rsidR="00BB208F">
        <w:rPr>
          <w:rFonts w:ascii="Arial" w:hAnsi="Arial" w:cs="Arial"/>
          <w:sz w:val="20"/>
          <w:szCs w:val="20"/>
        </w:rPr>
        <w:t xml:space="preserve">. It can be an interesting topic to find the most suitable method to predict the trend in </w:t>
      </w:r>
      <w:r w:rsidR="00C53B95">
        <w:rPr>
          <w:rFonts w:ascii="Arial" w:hAnsi="Arial" w:cs="Arial"/>
          <w:sz w:val="20"/>
          <w:szCs w:val="20"/>
        </w:rPr>
        <w:t xml:space="preserve">the </w:t>
      </w:r>
      <w:r w:rsidR="00BB208F">
        <w:rPr>
          <w:rFonts w:ascii="Arial" w:hAnsi="Arial" w:cs="Arial"/>
          <w:sz w:val="20"/>
          <w:szCs w:val="20"/>
        </w:rPr>
        <w:t>decomposition model.</w:t>
      </w:r>
    </w:p>
    <w:p w:rsidR="00A52C04" w:rsidRDefault="00A52C04" w:rsidP="00D029C8">
      <w:pPr>
        <w:spacing w:after="0" w:line="240" w:lineRule="auto"/>
        <w:ind w:left="0" w:hanging="2"/>
        <w:jc w:val="both"/>
        <w:rPr>
          <w:rFonts w:ascii="Arial" w:hAnsi="Arial" w:cs="Arial"/>
          <w:sz w:val="20"/>
          <w:szCs w:val="20"/>
        </w:rPr>
      </w:pPr>
      <w:r w:rsidRPr="00D029C8">
        <w:rPr>
          <w:rFonts w:ascii="Arial" w:hAnsi="Arial" w:cs="Arial"/>
          <w:sz w:val="20"/>
          <w:szCs w:val="20"/>
        </w:rPr>
        <w:t xml:space="preserve">It is also worth noting that </w:t>
      </w:r>
      <w:r w:rsidR="00511D4F">
        <w:rPr>
          <w:rFonts w:ascii="Arial" w:hAnsi="Arial" w:cs="Arial"/>
          <w:sz w:val="20"/>
          <w:szCs w:val="20"/>
        </w:rPr>
        <w:t xml:space="preserve">it is impossible to use both forecast models </w:t>
      </w:r>
      <w:r w:rsidRPr="00D029C8">
        <w:rPr>
          <w:rFonts w:ascii="Arial" w:hAnsi="Arial" w:cs="Arial"/>
          <w:sz w:val="20"/>
          <w:szCs w:val="20"/>
        </w:rPr>
        <w:t>in Software R with the available package</w:t>
      </w:r>
      <w:r w:rsidR="00211955">
        <w:rPr>
          <w:rFonts w:ascii="Arial" w:hAnsi="Arial" w:cs="Arial"/>
          <w:sz w:val="20"/>
          <w:szCs w:val="20"/>
        </w:rPr>
        <w:t xml:space="preserve"> </w:t>
      </w:r>
      <w:r w:rsidRPr="00D029C8">
        <w:rPr>
          <w:rFonts w:ascii="Arial" w:hAnsi="Arial" w:cs="Arial"/>
          <w:sz w:val="20"/>
          <w:szCs w:val="20"/>
        </w:rPr>
        <w:t>because R needs more input data since the seasonal period is quite long. Therefore, the calculation forecast in this study is majorly used Minitab</w:t>
      </w:r>
      <w:r w:rsidR="00211955">
        <w:rPr>
          <w:rFonts w:ascii="Arial" w:hAnsi="Arial" w:cs="Arial"/>
          <w:sz w:val="20"/>
          <w:szCs w:val="20"/>
        </w:rPr>
        <w:t xml:space="preserve"> </w:t>
      </w:r>
      <w:r w:rsidR="00BB208F">
        <w:rPr>
          <w:rFonts w:ascii="Arial" w:hAnsi="Arial" w:cs="Arial"/>
          <w:sz w:val="20"/>
          <w:szCs w:val="20"/>
        </w:rPr>
        <w:t xml:space="preserve">and </w:t>
      </w:r>
      <w:r w:rsidR="00211955">
        <w:rPr>
          <w:rFonts w:ascii="Arial" w:hAnsi="Arial" w:cs="Arial"/>
          <w:sz w:val="20"/>
          <w:szCs w:val="20"/>
        </w:rPr>
        <w:t>M.S. Excel.</w:t>
      </w:r>
      <w:r w:rsidRPr="00D029C8">
        <w:rPr>
          <w:rFonts w:ascii="Arial" w:hAnsi="Arial" w:cs="Arial"/>
          <w:sz w:val="20"/>
          <w:szCs w:val="20"/>
        </w:rPr>
        <w:t xml:space="preserve"> This also indicates the necessity to have more input data.</w:t>
      </w:r>
    </w:p>
    <w:p w:rsidR="00B13E06" w:rsidRDefault="00B13E06" w:rsidP="00D029C8">
      <w:pPr>
        <w:spacing w:after="0" w:line="240" w:lineRule="auto"/>
        <w:ind w:left="0" w:hanging="2"/>
        <w:jc w:val="both"/>
        <w:rPr>
          <w:rFonts w:ascii="Arial" w:hAnsi="Arial" w:cs="Arial"/>
          <w:sz w:val="20"/>
          <w:szCs w:val="20"/>
        </w:rPr>
      </w:pPr>
    </w:p>
    <w:p w:rsidR="00B13E06" w:rsidRDefault="00B13E06" w:rsidP="00D029C8">
      <w:pPr>
        <w:spacing w:after="0" w:line="240" w:lineRule="auto"/>
        <w:ind w:left="0" w:hanging="2"/>
        <w:jc w:val="both"/>
        <w:rPr>
          <w:rFonts w:ascii="Arial" w:hAnsi="Arial" w:cs="Arial"/>
          <w:sz w:val="20"/>
          <w:szCs w:val="20"/>
        </w:rPr>
      </w:pPr>
    </w:p>
    <w:p w:rsidR="00E64A47" w:rsidRDefault="00E64A47" w:rsidP="00D029C8">
      <w:pPr>
        <w:spacing w:after="0" w:line="240" w:lineRule="auto"/>
        <w:ind w:left="0" w:hanging="2"/>
        <w:jc w:val="both"/>
        <w:rPr>
          <w:rFonts w:ascii="Arial" w:hAnsi="Arial" w:cs="Arial"/>
          <w:sz w:val="20"/>
          <w:szCs w:val="20"/>
        </w:rPr>
      </w:pPr>
    </w:p>
    <w:p w:rsidR="00486F38" w:rsidRDefault="00486F38" w:rsidP="00D029C8">
      <w:pPr>
        <w:spacing w:after="0" w:line="240" w:lineRule="auto"/>
        <w:ind w:left="0" w:hanging="2"/>
        <w:jc w:val="both"/>
        <w:rPr>
          <w:rFonts w:ascii="Arial" w:hAnsi="Arial" w:cs="Arial"/>
          <w:sz w:val="20"/>
          <w:szCs w:val="20"/>
        </w:rPr>
        <w:sectPr w:rsidR="00486F38" w:rsidSect="00ED34D8">
          <w:pgSz w:w="11907" w:h="16840"/>
          <w:pgMar w:top="1701" w:right="1134" w:bottom="1701" w:left="1701" w:header="680" w:footer="680" w:gutter="0"/>
          <w:cols w:num="2" w:space="284"/>
          <w:titlePg/>
        </w:sectPr>
      </w:pPr>
    </w:p>
    <w:p w:rsidR="00231587" w:rsidRDefault="00231587" w:rsidP="00D029C8">
      <w:pPr>
        <w:spacing w:after="0" w:line="240" w:lineRule="auto"/>
        <w:ind w:left="0" w:hanging="2"/>
        <w:jc w:val="both"/>
        <w:rPr>
          <w:rFonts w:ascii="Arial" w:hAnsi="Arial" w:cs="Arial"/>
          <w:sz w:val="20"/>
          <w:szCs w:val="20"/>
        </w:rPr>
      </w:pPr>
    </w:p>
    <w:p w:rsidR="00511D4F" w:rsidRDefault="00310638" w:rsidP="00D029C8">
      <w:pPr>
        <w:spacing w:after="0" w:line="240" w:lineRule="auto"/>
        <w:ind w:left="0" w:hanging="2"/>
        <w:jc w:val="both"/>
        <w:rPr>
          <w:rFonts w:ascii="Arial" w:hAnsi="Arial" w:cs="Arial"/>
          <w:sz w:val="20"/>
          <w:szCs w:val="20"/>
        </w:rPr>
      </w:pPr>
      <w:r>
        <w:rPr>
          <w:rFonts w:ascii="Arial" w:hAnsi="Arial" w:cs="Arial"/>
          <w:noProof/>
          <w:sz w:val="20"/>
          <w:szCs w:val="20"/>
          <w:lang w:val="en-ID" w:eastAsia="en-ID"/>
        </w:rPr>
        <w:drawing>
          <wp:inline distT="0" distB="0" distL="0" distR="0" wp14:anchorId="47F19BFD">
            <wp:extent cx="5734050" cy="2078186"/>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5765658" cy="2089642"/>
                    </a:xfrm>
                    <a:prstGeom prst="rect">
                      <a:avLst/>
                    </a:prstGeom>
                    <a:noFill/>
                  </pic:spPr>
                </pic:pic>
              </a:graphicData>
            </a:graphic>
          </wp:inline>
        </w:drawing>
      </w:r>
    </w:p>
    <w:p w:rsidR="00A52C04" w:rsidRPr="00310638" w:rsidRDefault="00D029C8" w:rsidP="00E64A47">
      <w:pPr>
        <w:spacing w:after="0" w:line="240" w:lineRule="auto"/>
        <w:ind w:left="0" w:hanging="2"/>
        <w:jc w:val="center"/>
        <w:rPr>
          <w:rFonts w:ascii="Arial" w:hAnsi="Arial" w:cs="Arial"/>
          <w:sz w:val="20"/>
          <w:szCs w:val="20"/>
        </w:rPr>
      </w:pPr>
      <w:r w:rsidRPr="00310638">
        <w:rPr>
          <w:rFonts w:ascii="Arial" w:hAnsi="Arial" w:cs="Arial"/>
          <w:sz w:val="20"/>
          <w:szCs w:val="20"/>
        </w:rPr>
        <w:t>F</w:t>
      </w:r>
      <w:r w:rsidR="00310638" w:rsidRPr="00310638">
        <w:rPr>
          <w:rFonts w:ascii="Arial" w:hAnsi="Arial" w:cs="Arial"/>
          <w:sz w:val="20"/>
          <w:szCs w:val="20"/>
        </w:rPr>
        <w:t>igure 9</w:t>
      </w:r>
      <w:r w:rsidRPr="00310638">
        <w:rPr>
          <w:rFonts w:ascii="Arial" w:hAnsi="Arial" w:cs="Arial"/>
          <w:sz w:val="20"/>
          <w:szCs w:val="20"/>
        </w:rPr>
        <w:t>. Comparison of Forecast Result</w:t>
      </w:r>
    </w:p>
    <w:p w:rsidR="00D029C8" w:rsidRPr="00D029C8" w:rsidRDefault="00D029C8" w:rsidP="00D029C8">
      <w:pPr>
        <w:spacing w:after="0" w:line="240" w:lineRule="auto"/>
        <w:ind w:left="0" w:hanging="2"/>
        <w:jc w:val="both"/>
        <w:rPr>
          <w:rFonts w:ascii="Arial" w:hAnsi="Arial" w:cs="Arial"/>
          <w:color w:val="00B050"/>
          <w:sz w:val="20"/>
          <w:szCs w:val="20"/>
        </w:rPr>
      </w:pPr>
    </w:p>
    <w:p w:rsidR="00E64A47" w:rsidRDefault="00E64A47">
      <w:pPr>
        <w:spacing w:after="0" w:line="240" w:lineRule="auto"/>
        <w:ind w:left="0" w:hanging="2"/>
        <w:rPr>
          <w:rFonts w:ascii="Arial" w:eastAsia="Arial" w:hAnsi="Arial" w:cs="Arial"/>
          <w:b/>
          <w:color w:val="1F4E79"/>
          <w:sz w:val="20"/>
          <w:szCs w:val="20"/>
        </w:rPr>
        <w:sectPr w:rsidR="00E64A47" w:rsidSect="00E64A47">
          <w:type w:val="continuous"/>
          <w:pgSz w:w="11907" w:h="16840"/>
          <w:pgMar w:top="1701" w:right="1134" w:bottom="1701" w:left="1701" w:header="680" w:footer="680" w:gutter="0"/>
          <w:cols w:space="284"/>
          <w:titlePg/>
        </w:sectPr>
      </w:pPr>
    </w:p>
    <w:p w:rsidR="00BC7E6E" w:rsidRDefault="007266B7">
      <w:pPr>
        <w:spacing w:after="0" w:line="240" w:lineRule="auto"/>
        <w:ind w:left="0" w:hanging="2"/>
        <w:rPr>
          <w:rFonts w:ascii="Arial" w:eastAsia="Arial" w:hAnsi="Arial" w:cs="Arial"/>
          <w:color w:val="1F4E79"/>
          <w:sz w:val="20"/>
          <w:szCs w:val="20"/>
        </w:rPr>
      </w:pPr>
      <w:r>
        <w:rPr>
          <w:rFonts w:ascii="Arial" w:eastAsia="Arial" w:hAnsi="Arial" w:cs="Arial"/>
          <w:b/>
          <w:color w:val="1F4E79"/>
          <w:sz w:val="20"/>
          <w:szCs w:val="20"/>
        </w:rPr>
        <w:t>CONCLUSION</w:t>
      </w:r>
    </w:p>
    <w:p w:rsidR="008B6838" w:rsidRDefault="008B6838" w:rsidP="00171B08">
      <w:pPr>
        <w:spacing w:after="0" w:line="240" w:lineRule="auto"/>
        <w:ind w:left="0" w:hanging="2"/>
        <w:jc w:val="both"/>
        <w:rPr>
          <w:rFonts w:ascii="Arial" w:hAnsi="Arial" w:cs="Arial"/>
          <w:sz w:val="20"/>
          <w:szCs w:val="20"/>
        </w:rPr>
      </w:pPr>
      <w:r>
        <w:rPr>
          <w:rFonts w:ascii="Arial" w:hAnsi="Arial" w:cs="Arial"/>
          <w:sz w:val="20"/>
          <w:szCs w:val="20"/>
        </w:rPr>
        <w:t>T</w:t>
      </w:r>
      <w:r w:rsidRPr="00FF1BAE">
        <w:rPr>
          <w:rFonts w:ascii="Arial" w:hAnsi="Arial" w:cs="Arial"/>
          <w:sz w:val="20"/>
          <w:szCs w:val="20"/>
        </w:rPr>
        <w:t xml:space="preserve">his study </w:t>
      </w:r>
      <w:r>
        <w:rPr>
          <w:rFonts w:ascii="Arial" w:hAnsi="Arial" w:cs="Arial"/>
          <w:sz w:val="20"/>
          <w:szCs w:val="20"/>
        </w:rPr>
        <w:t xml:space="preserve">focuses </w:t>
      </w:r>
      <w:r w:rsidR="00C53B95">
        <w:rPr>
          <w:rFonts w:ascii="Arial" w:hAnsi="Arial" w:cs="Arial"/>
          <w:sz w:val="20"/>
          <w:szCs w:val="20"/>
        </w:rPr>
        <w:t>on finding</w:t>
      </w:r>
      <w:r w:rsidR="007A68E6">
        <w:rPr>
          <w:rFonts w:ascii="Arial" w:hAnsi="Arial" w:cs="Arial"/>
          <w:sz w:val="20"/>
          <w:szCs w:val="20"/>
        </w:rPr>
        <w:t xml:space="preserve"> the most suitable forecast model that can capture data patterns well to give a good prediction of sugar sales in a retail store using ARIMA or SARIMA</w:t>
      </w:r>
      <w:r w:rsidR="002A5D82">
        <w:rPr>
          <w:rFonts w:ascii="Arial" w:hAnsi="Arial" w:cs="Arial"/>
          <w:sz w:val="20"/>
          <w:szCs w:val="20"/>
        </w:rPr>
        <w:t xml:space="preserve"> and decomposition models</w:t>
      </w:r>
      <w:r w:rsidR="007A68E6">
        <w:rPr>
          <w:rFonts w:ascii="Arial" w:hAnsi="Arial" w:cs="Arial"/>
          <w:sz w:val="20"/>
          <w:szCs w:val="20"/>
        </w:rPr>
        <w:t xml:space="preserve">. </w:t>
      </w:r>
      <w:r w:rsidRPr="00140803">
        <w:rPr>
          <w:rFonts w:ascii="Arial" w:hAnsi="Arial" w:cs="Arial"/>
          <w:sz w:val="20"/>
          <w:szCs w:val="20"/>
        </w:rPr>
        <w:t xml:space="preserve">This research takes a study case of a retail store in Yogyakarta Province, Indonesia. </w:t>
      </w:r>
    </w:p>
    <w:p w:rsidR="0051652A" w:rsidRDefault="0051652A" w:rsidP="00171B08">
      <w:pPr>
        <w:spacing w:after="0" w:line="240" w:lineRule="auto"/>
        <w:ind w:left="0" w:hanging="2"/>
        <w:jc w:val="both"/>
        <w:rPr>
          <w:rFonts w:ascii="Arial" w:hAnsi="Arial" w:cs="Arial"/>
          <w:sz w:val="20"/>
          <w:szCs w:val="20"/>
        </w:rPr>
      </w:pPr>
      <w:r>
        <w:rPr>
          <w:rFonts w:ascii="Arial" w:hAnsi="Arial" w:cs="Arial"/>
          <w:sz w:val="20"/>
          <w:szCs w:val="20"/>
        </w:rPr>
        <w:t>This research tries to fill two</w:t>
      </w:r>
      <w:r w:rsidR="00C24906">
        <w:rPr>
          <w:rFonts w:ascii="Arial" w:hAnsi="Arial" w:cs="Arial"/>
          <w:sz w:val="20"/>
          <w:szCs w:val="20"/>
        </w:rPr>
        <w:t xml:space="preserve"> research gaps. First, about</w:t>
      </w:r>
      <w:r>
        <w:rPr>
          <w:rFonts w:ascii="Arial" w:hAnsi="Arial" w:cs="Arial"/>
          <w:sz w:val="20"/>
          <w:szCs w:val="20"/>
        </w:rPr>
        <w:t xml:space="preserve"> </w:t>
      </w:r>
      <w:r w:rsidR="00C53B95">
        <w:rPr>
          <w:rFonts w:ascii="Arial" w:hAnsi="Arial" w:cs="Arial"/>
          <w:sz w:val="20"/>
          <w:szCs w:val="20"/>
        </w:rPr>
        <w:t xml:space="preserve">a </w:t>
      </w:r>
      <w:r>
        <w:rPr>
          <w:rFonts w:ascii="Arial" w:hAnsi="Arial" w:cs="Arial"/>
          <w:sz w:val="20"/>
          <w:szCs w:val="20"/>
        </w:rPr>
        <w:t>lack of</w:t>
      </w:r>
      <w:r w:rsidRPr="00FF1BAE">
        <w:rPr>
          <w:rFonts w:ascii="Arial" w:hAnsi="Arial" w:cs="Arial"/>
          <w:sz w:val="20"/>
          <w:szCs w:val="20"/>
        </w:rPr>
        <w:t xml:space="preserve"> </w:t>
      </w:r>
      <w:r>
        <w:rPr>
          <w:rFonts w:ascii="Arial" w:hAnsi="Arial" w:cs="Arial"/>
          <w:sz w:val="20"/>
          <w:szCs w:val="20"/>
        </w:rPr>
        <w:t>stud</w:t>
      </w:r>
      <w:r w:rsidR="00C53B95">
        <w:rPr>
          <w:rFonts w:ascii="Arial" w:hAnsi="Arial" w:cs="Arial"/>
          <w:sz w:val="20"/>
          <w:szCs w:val="20"/>
        </w:rPr>
        <w:t>ies</w:t>
      </w:r>
      <w:r>
        <w:rPr>
          <w:rFonts w:ascii="Arial" w:hAnsi="Arial" w:cs="Arial"/>
          <w:sz w:val="20"/>
          <w:szCs w:val="20"/>
        </w:rPr>
        <w:t xml:space="preserve"> that analyze the comparison of SARIMA with </w:t>
      </w:r>
      <w:r w:rsidR="00C53B95">
        <w:rPr>
          <w:rFonts w:ascii="Arial" w:hAnsi="Arial" w:cs="Arial"/>
          <w:sz w:val="20"/>
          <w:szCs w:val="20"/>
        </w:rPr>
        <w:t xml:space="preserve">the </w:t>
      </w:r>
      <w:r>
        <w:rPr>
          <w:rFonts w:ascii="Arial" w:hAnsi="Arial" w:cs="Arial"/>
          <w:sz w:val="20"/>
          <w:szCs w:val="20"/>
        </w:rPr>
        <w:t>decomposition f</w:t>
      </w:r>
      <w:r w:rsidR="00C24906">
        <w:rPr>
          <w:rFonts w:ascii="Arial" w:hAnsi="Arial" w:cs="Arial"/>
          <w:sz w:val="20"/>
          <w:szCs w:val="20"/>
        </w:rPr>
        <w:t>orecast model. Second, about</w:t>
      </w:r>
      <w:r>
        <w:rPr>
          <w:rFonts w:ascii="Arial" w:hAnsi="Arial" w:cs="Arial"/>
          <w:sz w:val="20"/>
          <w:szCs w:val="20"/>
        </w:rPr>
        <w:t xml:space="preserve"> </w:t>
      </w:r>
      <w:r w:rsidR="00C53B95">
        <w:rPr>
          <w:rFonts w:ascii="Arial" w:hAnsi="Arial" w:cs="Arial"/>
          <w:sz w:val="20"/>
          <w:szCs w:val="20"/>
        </w:rPr>
        <w:t xml:space="preserve">a </w:t>
      </w:r>
      <w:r>
        <w:rPr>
          <w:rFonts w:ascii="Arial" w:hAnsi="Arial" w:cs="Arial"/>
          <w:sz w:val="20"/>
          <w:szCs w:val="20"/>
        </w:rPr>
        <w:t xml:space="preserve">lack of studies </w:t>
      </w:r>
      <w:r w:rsidR="00C53B95">
        <w:rPr>
          <w:rFonts w:ascii="Arial" w:hAnsi="Arial" w:cs="Arial"/>
          <w:sz w:val="20"/>
          <w:szCs w:val="20"/>
        </w:rPr>
        <w:t>o</w:t>
      </w:r>
      <w:r>
        <w:rPr>
          <w:rFonts w:ascii="Arial" w:hAnsi="Arial" w:cs="Arial"/>
          <w:sz w:val="20"/>
          <w:szCs w:val="20"/>
        </w:rPr>
        <w:t>n sugar-related topic</w:t>
      </w:r>
      <w:r w:rsidR="00C53B95">
        <w:rPr>
          <w:rFonts w:ascii="Arial" w:hAnsi="Arial" w:cs="Arial"/>
          <w:sz w:val="20"/>
          <w:szCs w:val="20"/>
        </w:rPr>
        <w:t>s</w:t>
      </w:r>
      <w:r>
        <w:rPr>
          <w:rFonts w:ascii="Arial" w:hAnsi="Arial" w:cs="Arial"/>
          <w:sz w:val="20"/>
          <w:szCs w:val="20"/>
        </w:rPr>
        <w:t xml:space="preserve"> </w:t>
      </w:r>
      <w:r w:rsidR="00C53B95">
        <w:rPr>
          <w:rFonts w:ascii="Arial" w:hAnsi="Arial" w:cs="Arial"/>
          <w:sz w:val="20"/>
          <w:szCs w:val="20"/>
        </w:rPr>
        <w:t>at</w:t>
      </w:r>
      <w:r>
        <w:rPr>
          <w:rFonts w:ascii="Arial" w:hAnsi="Arial" w:cs="Arial"/>
          <w:sz w:val="20"/>
          <w:szCs w:val="20"/>
        </w:rPr>
        <w:t xml:space="preserve"> </w:t>
      </w:r>
      <w:r w:rsidR="00C53B95">
        <w:rPr>
          <w:rFonts w:ascii="Arial" w:hAnsi="Arial" w:cs="Arial"/>
          <w:sz w:val="20"/>
          <w:szCs w:val="20"/>
        </w:rPr>
        <w:t xml:space="preserve">the </w:t>
      </w:r>
      <w:r>
        <w:rPr>
          <w:rFonts w:ascii="Arial" w:hAnsi="Arial" w:cs="Arial"/>
          <w:sz w:val="20"/>
          <w:szCs w:val="20"/>
        </w:rPr>
        <w:t xml:space="preserve">retail level </w:t>
      </w:r>
      <w:r w:rsidR="00C53B95">
        <w:rPr>
          <w:rFonts w:ascii="Arial" w:hAnsi="Arial" w:cs="Arial"/>
          <w:sz w:val="20"/>
          <w:szCs w:val="20"/>
        </w:rPr>
        <w:t>in</w:t>
      </w:r>
      <w:r>
        <w:rPr>
          <w:rFonts w:ascii="Arial" w:hAnsi="Arial" w:cs="Arial"/>
          <w:sz w:val="20"/>
          <w:szCs w:val="20"/>
        </w:rPr>
        <w:t xml:space="preserve"> general, especially for </w:t>
      </w:r>
      <w:r w:rsidR="00C53B95">
        <w:rPr>
          <w:rFonts w:ascii="Arial" w:hAnsi="Arial" w:cs="Arial"/>
          <w:sz w:val="20"/>
          <w:szCs w:val="20"/>
        </w:rPr>
        <w:t xml:space="preserve">the </w:t>
      </w:r>
      <w:r>
        <w:rPr>
          <w:rFonts w:ascii="Arial" w:hAnsi="Arial" w:cs="Arial"/>
          <w:sz w:val="20"/>
          <w:szCs w:val="20"/>
        </w:rPr>
        <w:t xml:space="preserve">Indonesia case study. </w:t>
      </w:r>
      <w:r w:rsidR="00030521">
        <w:rPr>
          <w:rFonts w:ascii="Arial" w:hAnsi="Arial" w:cs="Arial"/>
          <w:sz w:val="20"/>
          <w:szCs w:val="20"/>
        </w:rPr>
        <w:t>By filling t</w:t>
      </w:r>
      <w:r w:rsidR="00C44F34">
        <w:rPr>
          <w:rFonts w:ascii="Arial" w:hAnsi="Arial" w:cs="Arial"/>
          <w:sz w:val="20"/>
          <w:szCs w:val="20"/>
        </w:rPr>
        <w:t>h</w:t>
      </w:r>
      <w:r w:rsidR="00030521">
        <w:rPr>
          <w:rFonts w:ascii="Arial" w:hAnsi="Arial" w:cs="Arial"/>
          <w:sz w:val="20"/>
          <w:szCs w:val="20"/>
        </w:rPr>
        <w:t>e first research gap, this study aims to contribute to</w:t>
      </w:r>
      <w:r w:rsidR="00C44F34">
        <w:rPr>
          <w:rFonts w:ascii="Arial" w:hAnsi="Arial" w:cs="Arial"/>
          <w:sz w:val="20"/>
          <w:szCs w:val="20"/>
        </w:rPr>
        <w:t xml:space="preserve"> </w:t>
      </w:r>
      <w:r w:rsidR="00030521">
        <w:rPr>
          <w:rFonts w:ascii="Arial" w:hAnsi="Arial" w:cs="Arial"/>
          <w:sz w:val="20"/>
          <w:szCs w:val="20"/>
        </w:rPr>
        <w:t>find</w:t>
      </w:r>
      <w:r w:rsidR="00C53B95">
        <w:rPr>
          <w:rFonts w:ascii="Arial" w:hAnsi="Arial" w:cs="Arial"/>
          <w:sz w:val="20"/>
          <w:szCs w:val="20"/>
        </w:rPr>
        <w:t>ing</w:t>
      </w:r>
      <w:r w:rsidR="00030521">
        <w:rPr>
          <w:rFonts w:ascii="Arial" w:hAnsi="Arial" w:cs="Arial"/>
          <w:sz w:val="20"/>
          <w:szCs w:val="20"/>
        </w:rPr>
        <w:t xml:space="preserve"> the forecast method that can capture the trend and seasonal pattern well </w:t>
      </w:r>
      <w:r w:rsidR="005E645B">
        <w:rPr>
          <w:rFonts w:ascii="Arial" w:hAnsi="Arial" w:cs="Arial"/>
          <w:sz w:val="20"/>
          <w:szCs w:val="20"/>
        </w:rPr>
        <w:t>at</w:t>
      </w:r>
      <w:r w:rsidR="00030521">
        <w:rPr>
          <w:rFonts w:ascii="Arial" w:hAnsi="Arial" w:cs="Arial"/>
          <w:sz w:val="20"/>
          <w:szCs w:val="20"/>
        </w:rPr>
        <w:t xml:space="preserve"> </w:t>
      </w:r>
      <w:r w:rsidR="00C53B95">
        <w:rPr>
          <w:rFonts w:ascii="Arial" w:hAnsi="Arial" w:cs="Arial"/>
          <w:sz w:val="20"/>
          <w:szCs w:val="20"/>
        </w:rPr>
        <w:t xml:space="preserve">the </w:t>
      </w:r>
      <w:r w:rsidR="00030521">
        <w:rPr>
          <w:rFonts w:ascii="Arial" w:hAnsi="Arial" w:cs="Arial"/>
          <w:sz w:val="20"/>
          <w:szCs w:val="20"/>
        </w:rPr>
        <w:t>retail level</w:t>
      </w:r>
      <w:r w:rsidR="009260CE">
        <w:rPr>
          <w:rFonts w:ascii="Arial" w:hAnsi="Arial" w:cs="Arial"/>
          <w:sz w:val="20"/>
          <w:szCs w:val="20"/>
        </w:rPr>
        <w:t xml:space="preserve">. In </w:t>
      </w:r>
      <w:r w:rsidR="00C53B95">
        <w:rPr>
          <w:rFonts w:ascii="Arial" w:hAnsi="Arial" w:cs="Arial"/>
          <w:sz w:val="20"/>
          <w:szCs w:val="20"/>
        </w:rPr>
        <w:t>a</w:t>
      </w:r>
      <w:r w:rsidR="009260CE">
        <w:rPr>
          <w:rFonts w:ascii="Arial" w:hAnsi="Arial" w:cs="Arial"/>
          <w:sz w:val="20"/>
          <w:szCs w:val="20"/>
        </w:rPr>
        <w:t xml:space="preserve"> recent study </w:t>
      </w:r>
      <w:r w:rsidR="009260CE">
        <w:rPr>
          <w:rFonts w:ascii="Arial" w:hAnsi="Arial" w:cs="Arial"/>
          <w:sz w:val="20"/>
          <w:szCs w:val="20"/>
        </w:rPr>
        <w:fldChar w:fldCharType="begin" w:fldLock="1"/>
      </w:r>
      <w:r w:rsidR="00540717">
        <w:rPr>
          <w:rFonts w:ascii="Arial" w:hAnsi="Arial" w:cs="Arial"/>
          <w:sz w:val="20"/>
          <w:szCs w:val="20"/>
        </w:rPr>
        <w:instrText>ADDIN CSL_CITATION {"citationItems":[{"id":"ITEM-1","itemData":{"DOI":"10.1016/j.indmarman.2019.05.003","ISSN":"00198501","abstract":"This study aims to investigate the contributions of promotional marketing activities, historical demand and other factors to predict, and develop a big data-driven fuzzy classifier-based framework, also called “demand-driven forecasting,” that can shape, sense and respond to real customer demands. The availability of timely information about future customer needs is a key success factor for any business. For profit maximization, manufacturers want to sense demand signals and shape future demands using price, sales, promotion and others economic factors so that they can fulfil customer's orders immediately. However, most demand forecasting systems offer limited insight to manufacturers as they fail to capture contemporary market trends, product seasonality and the impact of forecasting on the magnitude of the bullwhip effect. This paper aims to improve the accuracy of demand forecasts. In order to achieve this, a back-propagation neural network-based model is trained by fuzzy inputs and compared with benchmark forecasting methods on a time series data, by using historical demand and sales data in combination with advertising effectiveness, expenditure, promotions, and marketing events data. A statistical analysis is conducted, and the experiments show that the method used in the proposed framework outperforms in optimality, efficiency and other statistical metrics. Finally, some invaluable insights for managers are presented to improve the forecast accuracy of fuzzy neural networks, develop marketing plans for products and discuss their implications in several fields.","author":[{"dropping-particle":"","family":"Kumar","given":"Ajay","non-dropping-particle":"","parse-names":false,"suffix":""},{"dropping-particle":"","family":"Shankar","given":"Ravi","non-dropping-particle":"","parse-names":false,"suffix":""},{"dropping-particle":"","family":"Aljohani","given":"Naif Radi","non-dropping-particle":"","parse-names":false,"suffix":""}],"container-title":"Industrial Marketing Management","id":"ITEM-1","issue":"November 2018","issued":{"date-parts":[["2020"]]},"page":"493-507","publisher":"Elsevier","title":"A big data driven framework for demand-driven forecasting with effects of marketing-mix variables","type":"article-journal","volume":"90"},"uris":["http://www.mendeley.com/documents/?uuid=6128c807-a4fc-4656-8603-a3434fec39c1"]}],"mendeley":{"formattedCitation":"[5]","plainTextFormattedCitation":"[5]","previouslyFormattedCitation":"[5]"},"properties":{"noteIndex":0},"schema":"https://github.com/citation-style-language/schema/raw/master/csl-citation.json"}</w:instrText>
      </w:r>
      <w:r w:rsidR="009260CE">
        <w:rPr>
          <w:rFonts w:ascii="Arial" w:hAnsi="Arial" w:cs="Arial"/>
          <w:sz w:val="20"/>
          <w:szCs w:val="20"/>
        </w:rPr>
        <w:fldChar w:fldCharType="separate"/>
      </w:r>
      <w:r w:rsidR="009260CE" w:rsidRPr="009260CE">
        <w:rPr>
          <w:rFonts w:ascii="Arial" w:hAnsi="Arial" w:cs="Arial"/>
          <w:noProof/>
          <w:sz w:val="20"/>
          <w:szCs w:val="20"/>
        </w:rPr>
        <w:t>[5]</w:t>
      </w:r>
      <w:r w:rsidR="009260CE">
        <w:rPr>
          <w:rFonts w:ascii="Arial" w:hAnsi="Arial" w:cs="Arial"/>
          <w:sz w:val="20"/>
          <w:szCs w:val="20"/>
        </w:rPr>
        <w:fldChar w:fldCharType="end"/>
      </w:r>
      <w:r w:rsidR="009260CE">
        <w:rPr>
          <w:rFonts w:ascii="Arial" w:hAnsi="Arial" w:cs="Arial"/>
          <w:sz w:val="20"/>
          <w:szCs w:val="20"/>
        </w:rPr>
        <w:t xml:space="preserve">, the lack of </w:t>
      </w:r>
      <w:r w:rsidR="005E645B">
        <w:rPr>
          <w:rFonts w:ascii="Arial" w:hAnsi="Arial" w:cs="Arial"/>
          <w:sz w:val="20"/>
          <w:szCs w:val="20"/>
        </w:rPr>
        <w:t xml:space="preserve">a </w:t>
      </w:r>
      <w:r w:rsidR="009260CE">
        <w:rPr>
          <w:rFonts w:ascii="Arial" w:hAnsi="Arial" w:cs="Arial"/>
          <w:sz w:val="20"/>
          <w:szCs w:val="20"/>
        </w:rPr>
        <w:t xml:space="preserve">suitable method to accommodate the data pattern </w:t>
      </w:r>
      <w:r w:rsidR="005E645B">
        <w:rPr>
          <w:rFonts w:ascii="Arial" w:hAnsi="Arial" w:cs="Arial"/>
          <w:sz w:val="20"/>
          <w:szCs w:val="20"/>
        </w:rPr>
        <w:t>at</w:t>
      </w:r>
      <w:r w:rsidR="009260CE">
        <w:rPr>
          <w:rFonts w:ascii="Arial" w:hAnsi="Arial" w:cs="Arial"/>
          <w:sz w:val="20"/>
          <w:szCs w:val="20"/>
        </w:rPr>
        <w:t xml:space="preserve"> </w:t>
      </w:r>
      <w:r w:rsidR="005E645B">
        <w:rPr>
          <w:rFonts w:ascii="Arial" w:hAnsi="Arial" w:cs="Arial"/>
          <w:sz w:val="20"/>
          <w:szCs w:val="20"/>
        </w:rPr>
        <w:t xml:space="preserve">the </w:t>
      </w:r>
      <w:r w:rsidR="009260CE">
        <w:rPr>
          <w:rFonts w:ascii="Arial" w:hAnsi="Arial" w:cs="Arial"/>
          <w:sz w:val="20"/>
          <w:szCs w:val="20"/>
        </w:rPr>
        <w:t xml:space="preserve">retail level is mentioned as </w:t>
      </w:r>
      <w:r w:rsidR="009C4454">
        <w:rPr>
          <w:rFonts w:ascii="Arial" w:hAnsi="Arial" w:cs="Arial"/>
          <w:sz w:val="20"/>
          <w:szCs w:val="20"/>
        </w:rPr>
        <w:t xml:space="preserve">a </w:t>
      </w:r>
      <w:r w:rsidR="009260CE">
        <w:rPr>
          <w:rFonts w:ascii="Arial" w:hAnsi="Arial" w:cs="Arial"/>
          <w:sz w:val="20"/>
          <w:szCs w:val="20"/>
        </w:rPr>
        <w:t>concern.</w:t>
      </w:r>
    </w:p>
    <w:p w:rsidR="00171B08" w:rsidRPr="00171B08" w:rsidRDefault="00E36E96" w:rsidP="00171B08">
      <w:pPr>
        <w:spacing w:after="0" w:line="240" w:lineRule="auto"/>
        <w:ind w:left="0" w:hanging="2"/>
        <w:jc w:val="both"/>
        <w:rPr>
          <w:rFonts w:ascii="Arial" w:hAnsi="Arial" w:cs="Arial"/>
          <w:sz w:val="20"/>
          <w:szCs w:val="20"/>
        </w:rPr>
      </w:pPr>
      <w:r>
        <w:rPr>
          <w:rFonts w:ascii="Arial" w:hAnsi="Arial" w:cs="Arial"/>
          <w:sz w:val="20"/>
          <w:szCs w:val="20"/>
        </w:rPr>
        <w:t xml:space="preserve">Sugar sales in </w:t>
      </w:r>
      <w:r w:rsidR="008E6464">
        <w:rPr>
          <w:rFonts w:ascii="Arial" w:hAnsi="Arial" w:cs="Arial"/>
          <w:sz w:val="20"/>
          <w:szCs w:val="20"/>
        </w:rPr>
        <w:t xml:space="preserve">this </w:t>
      </w:r>
      <w:r>
        <w:rPr>
          <w:rFonts w:ascii="Arial" w:hAnsi="Arial" w:cs="Arial"/>
          <w:sz w:val="20"/>
          <w:szCs w:val="20"/>
        </w:rPr>
        <w:t xml:space="preserve">retail </w:t>
      </w:r>
      <w:r w:rsidR="008E6464">
        <w:rPr>
          <w:rFonts w:ascii="Arial" w:hAnsi="Arial" w:cs="Arial"/>
          <w:sz w:val="20"/>
          <w:szCs w:val="20"/>
        </w:rPr>
        <w:t xml:space="preserve">store </w:t>
      </w:r>
      <w:r w:rsidR="005E645B">
        <w:rPr>
          <w:rFonts w:ascii="Arial" w:hAnsi="Arial" w:cs="Arial"/>
          <w:sz w:val="20"/>
          <w:szCs w:val="20"/>
        </w:rPr>
        <w:t xml:space="preserve">have </w:t>
      </w:r>
      <w:r>
        <w:rPr>
          <w:rFonts w:ascii="Arial" w:hAnsi="Arial" w:cs="Arial"/>
          <w:sz w:val="20"/>
          <w:szCs w:val="20"/>
        </w:rPr>
        <w:t>high volatility</w:t>
      </w:r>
      <w:r w:rsidR="00171B08" w:rsidRPr="00171B08">
        <w:rPr>
          <w:rFonts w:ascii="Arial" w:hAnsi="Arial" w:cs="Arial"/>
          <w:sz w:val="20"/>
          <w:szCs w:val="20"/>
        </w:rPr>
        <w:t>, which is shown by the coefficient of variability (CV)</w:t>
      </w:r>
      <w:r w:rsidR="002F7579">
        <w:rPr>
          <w:rFonts w:ascii="Arial" w:hAnsi="Arial" w:cs="Arial"/>
          <w:sz w:val="20"/>
          <w:szCs w:val="20"/>
        </w:rPr>
        <w:t>. The CV of</w:t>
      </w:r>
      <w:r w:rsidR="00976D3A">
        <w:rPr>
          <w:rFonts w:ascii="Arial" w:hAnsi="Arial" w:cs="Arial"/>
          <w:sz w:val="20"/>
          <w:szCs w:val="20"/>
        </w:rPr>
        <w:t xml:space="preserve"> these</w:t>
      </w:r>
      <w:r w:rsidR="004B693E">
        <w:rPr>
          <w:rFonts w:ascii="Arial" w:hAnsi="Arial" w:cs="Arial"/>
          <w:sz w:val="20"/>
          <w:szCs w:val="20"/>
        </w:rPr>
        <w:t xml:space="preserve"> sales is</w:t>
      </w:r>
      <w:r w:rsidR="002F7579">
        <w:rPr>
          <w:rFonts w:ascii="Arial" w:hAnsi="Arial" w:cs="Arial"/>
          <w:sz w:val="20"/>
          <w:szCs w:val="20"/>
        </w:rPr>
        <w:t xml:space="preserve"> 27.44</w:t>
      </w:r>
      <w:r w:rsidR="003B7326">
        <w:rPr>
          <w:rFonts w:ascii="Arial" w:hAnsi="Arial" w:cs="Arial"/>
          <w:sz w:val="20"/>
          <w:szCs w:val="20"/>
        </w:rPr>
        <w:t>%</w:t>
      </w:r>
      <w:r w:rsidR="002F7579">
        <w:rPr>
          <w:rFonts w:ascii="Arial" w:hAnsi="Arial" w:cs="Arial"/>
          <w:sz w:val="20"/>
          <w:szCs w:val="20"/>
        </w:rPr>
        <w:t>, which is</w:t>
      </w:r>
      <w:r w:rsidR="00171B08" w:rsidRPr="00171B08">
        <w:rPr>
          <w:rFonts w:ascii="Arial" w:hAnsi="Arial" w:cs="Arial"/>
          <w:sz w:val="20"/>
          <w:szCs w:val="20"/>
        </w:rPr>
        <w:t xml:space="preserve"> almost twice as high as the maximum standard of accepted CV. Th</w:t>
      </w:r>
      <w:r w:rsidR="004E4A46">
        <w:rPr>
          <w:rFonts w:ascii="Arial" w:hAnsi="Arial" w:cs="Arial"/>
          <w:sz w:val="20"/>
          <w:szCs w:val="20"/>
        </w:rPr>
        <w:t>erefore, it is quite difficult</w:t>
      </w:r>
      <w:r w:rsidR="00171B08" w:rsidRPr="00171B08">
        <w:rPr>
          <w:rFonts w:ascii="Arial" w:hAnsi="Arial" w:cs="Arial"/>
          <w:sz w:val="20"/>
          <w:szCs w:val="20"/>
        </w:rPr>
        <w:t xml:space="preserve"> to get good forecast results. It is also known that sugar sales in retail have </w:t>
      </w:r>
      <w:r w:rsidR="008E6464">
        <w:rPr>
          <w:rFonts w:ascii="Arial" w:hAnsi="Arial" w:cs="Arial"/>
          <w:sz w:val="20"/>
          <w:szCs w:val="20"/>
        </w:rPr>
        <w:t xml:space="preserve">only a slight downside trend with </w:t>
      </w:r>
      <w:r w:rsidR="005E645B">
        <w:rPr>
          <w:rFonts w:ascii="Arial" w:hAnsi="Arial" w:cs="Arial"/>
          <w:sz w:val="20"/>
          <w:szCs w:val="20"/>
        </w:rPr>
        <w:t xml:space="preserve">a </w:t>
      </w:r>
      <w:r w:rsidR="008E6464">
        <w:rPr>
          <w:rFonts w:ascii="Arial" w:hAnsi="Arial" w:cs="Arial"/>
          <w:sz w:val="20"/>
          <w:szCs w:val="20"/>
        </w:rPr>
        <w:t>seasonal pattern that has</w:t>
      </w:r>
      <w:r w:rsidR="00171B08" w:rsidRPr="00171B08">
        <w:rPr>
          <w:rFonts w:ascii="Arial" w:hAnsi="Arial" w:cs="Arial"/>
          <w:sz w:val="20"/>
          <w:szCs w:val="20"/>
        </w:rPr>
        <w:t xml:space="preserve"> a high seasonal length, which is 8 months. This condition leads to the need for big numbers of input data needed. </w:t>
      </w:r>
    </w:p>
    <w:p w:rsidR="00022FA0" w:rsidRDefault="00171B08" w:rsidP="00171B08">
      <w:pPr>
        <w:spacing w:after="0" w:line="240" w:lineRule="auto"/>
        <w:ind w:left="0" w:hanging="2"/>
        <w:jc w:val="both"/>
        <w:rPr>
          <w:rFonts w:ascii="Arial" w:hAnsi="Arial" w:cs="Arial"/>
          <w:sz w:val="20"/>
          <w:szCs w:val="20"/>
        </w:rPr>
      </w:pPr>
      <w:r w:rsidRPr="00171B08">
        <w:rPr>
          <w:rFonts w:ascii="Arial" w:hAnsi="Arial" w:cs="Arial"/>
          <w:sz w:val="20"/>
          <w:szCs w:val="20"/>
        </w:rPr>
        <w:t>Despite these c</w:t>
      </w:r>
      <w:r w:rsidR="008E6464">
        <w:rPr>
          <w:rFonts w:ascii="Arial" w:hAnsi="Arial" w:cs="Arial"/>
          <w:sz w:val="20"/>
          <w:szCs w:val="20"/>
        </w:rPr>
        <w:t>hallenges</w:t>
      </w:r>
      <w:r w:rsidRPr="00171B08">
        <w:rPr>
          <w:rFonts w:ascii="Arial" w:hAnsi="Arial" w:cs="Arial"/>
          <w:sz w:val="20"/>
          <w:szCs w:val="20"/>
        </w:rPr>
        <w:t xml:space="preserve">, both SARIMA and multiplicative decomposition with double moving average </w:t>
      </w:r>
      <w:r w:rsidR="00D822A9">
        <w:rPr>
          <w:rFonts w:ascii="Arial" w:hAnsi="Arial" w:cs="Arial"/>
          <w:sz w:val="20"/>
          <w:szCs w:val="20"/>
        </w:rPr>
        <w:t xml:space="preserve">forecast models </w:t>
      </w:r>
      <w:r w:rsidR="00C1501C">
        <w:rPr>
          <w:rFonts w:ascii="Arial" w:hAnsi="Arial" w:cs="Arial"/>
          <w:sz w:val="20"/>
          <w:szCs w:val="20"/>
        </w:rPr>
        <w:t xml:space="preserve">achieve good forecast results, which is indicated by small MAPE. </w:t>
      </w:r>
      <w:r w:rsidR="00600BF7">
        <w:rPr>
          <w:rFonts w:ascii="Arial" w:hAnsi="Arial" w:cs="Arial"/>
          <w:sz w:val="20"/>
          <w:szCs w:val="20"/>
        </w:rPr>
        <w:t>The MAPE</w:t>
      </w:r>
      <w:r w:rsidR="004E4A46">
        <w:rPr>
          <w:rFonts w:ascii="Arial" w:hAnsi="Arial" w:cs="Arial"/>
          <w:sz w:val="20"/>
          <w:szCs w:val="20"/>
        </w:rPr>
        <w:t>s</w:t>
      </w:r>
      <w:r w:rsidR="00600BF7">
        <w:rPr>
          <w:rFonts w:ascii="Arial" w:hAnsi="Arial" w:cs="Arial"/>
          <w:sz w:val="20"/>
          <w:szCs w:val="20"/>
        </w:rPr>
        <w:t xml:space="preserve"> of both model</w:t>
      </w:r>
      <w:r w:rsidR="00022FA0">
        <w:rPr>
          <w:rFonts w:ascii="Arial" w:hAnsi="Arial" w:cs="Arial"/>
          <w:sz w:val="20"/>
          <w:szCs w:val="20"/>
        </w:rPr>
        <w:t>s</w:t>
      </w:r>
      <w:r w:rsidR="00600BF7">
        <w:rPr>
          <w:rFonts w:ascii="Arial" w:hAnsi="Arial" w:cs="Arial"/>
          <w:sz w:val="20"/>
          <w:szCs w:val="20"/>
        </w:rPr>
        <w:t xml:space="preserve"> are 15.22% and 13.64%</w:t>
      </w:r>
      <w:r w:rsidR="00022FA0">
        <w:rPr>
          <w:rFonts w:ascii="Arial" w:hAnsi="Arial" w:cs="Arial"/>
          <w:sz w:val="20"/>
          <w:szCs w:val="20"/>
        </w:rPr>
        <w:t xml:space="preserve"> respectively.</w:t>
      </w:r>
    </w:p>
    <w:p w:rsidR="00171B08" w:rsidRDefault="00171B08" w:rsidP="00171B08">
      <w:pPr>
        <w:spacing w:after="0" w:line="240" w:lineRule="auto"/>
        <w:ind w:left="0" w:hanging="2"/>
        <w:jc w:val="both"/>
        <w:rPr>
          <w:rFonts w:ascii="Arial" w:hAnsi="Arial" w:cs="Arial"/>
          <w:sz w:val="20"/>
          <w:szCs w:val="20"/>
        </w:rPr>
      </w:pPr>
      <w:r w:rsidRPr="00171B08">
        <w:rPr>
          <w:rFonts w:ascii="Arial" w:hAnsi="Arial" w:cs="Arial"/>
          <w:sz w:val="20"/>
          <w:szCs w:val="20"/>
        </w:rPr>
        <w:t xml:space="preserve">Both models have similar forecast patterns but with different slopes. This is because both models consider the seasonal pattern in the data but only the decomposition model considers the trend pattern. </w:t>
      </w:r>
      <w:r w:rsidR="00805C2C">
        <w:rPr>
          <w:rFonts w:ascii="Arial" w:hAnsi="Arial" w:cs="Arial"/>
          <w:sz w:val="20"/>
          <w:szCs w:val="20"/>
        </w:rPr>
        <w:t xml:space="preserve">The decomposition model is forced to consider the trend pattern </w:t>
      </w:r>
      <w:r w:rsidR="00F335BA">
        <w:rPr>
          <w:rFonts w:ascii="Arial" w:hAnsi="Arial" w:cs="Arial"/>
          <w:sz w:val="20"/>
          <w:szCs w:val="20"/>
        </w:rPr>
        <w:t xml:space="preserve">as a significant pattern to be treated, </w:t>
      </w:r>
      <w:r w:rsidR="00805C2C">
        <w:rPr>
          <w:rFonts w:ascii="Arial" w:hAnsi="Arial" w:cs="Arial"/>
          <w:sz w:val="20"/>
          <w:szCs w:val="20"/>
        </w:rPr>
        <w:t>no matter how small the trend patter</w:t>
      </w:r>
      <w:r w:rsidR="004437D9">
        <w:rPr>
          <w:rFonts w:ascii="Arial" w:hAnsi="Arial" w:cs="Arial"/>
          <w:sz w:val="20"/>
          <w:szCs w:val="20"/>
        </w:rPr>
        <w:t xml:space="preserve">n is, but </w:t>
      </w:r>
      <w:r w:rsidR="00640501">
        <w:rPr>
          <w:rFonts w:ascii="Arial" w:hAnsi="Arial" w:cs="Arial"/>
          <w:sz w:val="20"/>
          <w:szCs w:val="20"/>
        </w:rPr>
        <w:t>this</w:t>
      </w:r>
      <w:r w:rsidR="004437D9">
        <w:rPr>
          <w:rFonts w:ascii="Arial" w:hAnsi="Arial" w:cs="Arial"/>
          <w:sz w:val="20"/>
          <w:szCs w:val="20"/>
        </w:rPr>
        <w:t xml:space="preserve"> is not the case for</w:t>
      </w:r>
      <w:r w:rsidR="00805C2C">
        <w:rPr>
          <w:rFonts w:ascii="Arial" w:hAnsi="Arial" w:cs="Arial"/>
          <w:sz w:val="20"/>
          <w:szCs w:val="20"/>
        </w:rPr>
        <w:t xml:space="preserve"> </w:t>
      </w:r>
      <w:r w:rsidR="004437D9">
        <w:rPr>
          <w:rFonts w:ascii="Arial" w:hAnsi="Arial" w:cs="Arial"/>
          <w:sz w:val="20"/>
          <w:szCs w:val="20"/>
        </w:rPr>
        <w:t xml:space="preserve">the </w:t>
      </w:r>
      <w:r w:rsidR="00805C2C">
        <w:rPr>
          <w:rFonts w:ascii="Arial" w:hAnsi="Arial" w:cs="Arial"/>
          <w:sz w:val="20"/>
          <w:szCs w:val="20"/>
        </w:rPr>
        <w:t>SARIMA model.</w:t>
      </w:r>
      <w:r w:rsidR="00BB208F">
        <w:rPr>
          <w:rFonts w:ascii="Arial" w:hAnsi="Arial" w:cs="Arial"/>
          <w:sz w:val="20"/>
          <w:szCs w:val="20"/>
        </w:rPr>
        <w:t xml:space="preserve"> This condition makes the decomposition model to be more sensitive </w:t>
      </w:r>
      <w:r w:rsidR="00022FA0">
        <w:rPr>
          <w:rFonts w:ascii="Arial" w:hAnsi="Arial" w:cs="Arial"/>
          <w:sz w:val="20"/>
          <w:szCs w:val="20"/>
        </w:rPr>
        <w:t xml:space="preserve">and can accommodate </w:t>
      </w:r>
      <w:r w:rsidR="00F733EA">
        <w:rPr>
          <w:rFonts w:ascii="Arial" w:hAnsi="Arial" w:cs="Arial"/>
          <w:sz w:val="20"/>
          <w:szCs w:val="20"/>
        </w:rPr>
        <w:t>trend pattern better compare</w:t>
      </w:r>
      <w:r w:rsidR="000E178A">
        <w:rPr>
          <w:rFonts w:ascii="Arial" w:hAnsi="Arial" w:cs="Arial"/>
          <w:sz w:val="20"/>
          <w:szCs w:val="20"/>
        </w:rPr>
        <w:t>d</w:t>
      </w:r>
      <w:r w:rsidR="00F733EA">
        <w:rPr>
          <w:rFonts w:ascii="Arial" w:hAnsi="Arial" w:cs="Arial"/>
          <w:sz w:val="20"/>
          <w:szCs w:val="20"/>
        </w:rPr>
        <w:t xml:space="preserve"> to SARIMA.</w:t>
      </w:r>
    </w:p>
    <w:p w:rsidR="000F2B04" w:rsidRDefault="000F2B04" w:rsidP="00171B08">
      <w:pPr>
        <w:spacing w:after="0" w:line="240" w:lineRule="auto"/>
        <w:ind w:left="0" w:hanging="2"/>
        <w:jc w:val="both"/>
        <w:rPr>
          <w:rFonts w:ascii="Arial" w:hAnsi="Arial" w:cs="Arial"/>
          <w:sz w:val="20"/>
          <w:szCs w:val="20"/>
        </w:rPr>
      </w:pPr>
      <w:r>
        <w:rPr>
          <w:rFonts w:ascii="Arial" w:hAnsi="Arial" w:cs="Arial"/>
          <w:sz w:val="20"/>
          <w:szCs w:val="20"/>
        </w:rPr>
        <w:t xml:space="preserve">The duration of </w:t>
      </w:r>
      <w:r w:rsidR="00FB247F">
        <w:rPr>
          <w:rFonts w:ascii="Arial" w:hAnsi="Arial" w:cs="Arial"/>
          <w:sz w:val="20"/>
          <w:szCs w:val="20"/>
        </w:rPr>
        <w:t xml:space="preserve">the </w:t>
      </w:r>
      <w:r>
        <w:rPr>
          <w:rFonts w:ascii="Arial" w:hAnsi="Arial" w:cs="Arial"/>
          <w:sz w:val="20"/>
          <w:szCs w:val="20"/>
        </w:rPr>
        <w:t>forecast also become</w:t>
      </w:r>
      <w:r w:rsidR="00FB247F">
        <w:rPr>
          <w:rFonts w:ascii="Arial" w:hAnsi="Arial" w:cs="Arial"/>
          <w:sz w:val="20"/>
          <w:szCs w:val="20"/>
        </w:rPr>
        <w:t>s</w:t>
      </w:r>
      <w:r w:rsidR="00C1501C">
        <w:rPr>
          <w:rFonts w:ascii="Arial" w:hAnsi="Arial" w:cs="Arial"/>
          <w:sz w:val="20"/>
          <w:szCs w:val="20"/>
        </w:rPr>
        <w:t xml:space="preserve"> another concern. Based on the smallest MAPE, this study uses </w:t>
      </w:r>
      <w:r>
        <w:rPr>
          <w:rFonts w:ascii="Arial" w:hAnsi="Arial" w:cs="Arial"/>
          <w:sz w:val="20"/>
          <w:szCs w:val="20"/>
        </w:rPr>
        <w:t xml:space="preserve">multiplicative decomposition with </w:t>
      </w:r>
      <w:r w:rsidR="00C1501C">
        <w:rPr>
          <w:rFonts w:ascii="Arial" w:hAnsi="Arial" w:cs="Arial"/>
          <w:sz w:val="20"/>
          <w:szCs w:val="20"/>
        </w:rPr>
        <w:t xml:space="preserve">3 periods of </w:t>
      </w:r>
      <w:r>
        <w:rPr>
          <w:rFonts w:ascii="Arial" w:hAnsi="Arial" w:cs="Arial"/>
          <w:sz w:val="20"/>
          <w:szCs w:val="20"/>
        </w:rPr>
        <w:t>double moving average</w:t>
      </w:r>
      <w:r w:rsidR="00C1501C">
        <w:rPr>
          <w:rFonts w:ascii="Arial" w:hAnsi="Arial" w:cs="Arial"/>
          <w:sz w:val="20"/>
          <w:szCs w:val="20"/>
        </w:rPr>
        <w:t xml:space="preserve"> as the most suitable forecast model for this case</w:t>
      </w:r>
      <w:r>
        <w:rPr>
          <w:rFonts w:ascii="Arial" w:hAnsi="Arial" w:cs="Arial"/>
          <w:sz w:val="20"/>
          <w:szCs w:val="20"/>
        </w:rPr>
        <w:t xml:space="preserve">. This short period </w:t>
      </w:r>
      <w:r w:rsidR="00517AA4">
        <w:rPr>
          <w:rFonts w:ascii="Arial" w:hAnsi="Arial" w:cs="Arial"/>
          <w:sz w:val="20"/>
          <w:szCs w:val="20"/>
        </w:rPr>
        <w:t xml:space="preserve">of </w:t>
      </w:r>
      <w:r w:rsidR="00C1501C">
        <w:rPr>
          <w:rFonts w:ascii="Arial" w:hAnsi="Arial" w:cs="Arial"/>
          <w:sz w:val="20"/>
          <w:szCs w:val="20"/>
        </w:rPr>
        <w:t xml:space="preserve">double </w:t>
      </w:r>
      <w:r w:rsidR="00517AA4">
        <w:rPr>
          <w:rFonts w:ascii="Arial" w:hAnsi="Arial" w:cs="Arial"/>
          <w:sz w:val="20"/>
          <w:szCs w:val="20"/>
        </w:rPr>
        <w:t xml:space="preserve">moving average </w:t>
      </w:r>
      <w:r>
        <w:rPr>
          <w:rFonts w:ascii="Arial" w:hAnsi="Arial" w:cs="Arial"/>
          <w:sz w:val="20"/>
          <w:szCs w:val="20"/>
        </w:rPr>
        <w:t>m</w:t>
      </w:r>
      <w:r w:rsidR="000E178A">
        <w:rPr>
          <w:rFonts w:ascii="Arial" w:hAnsi="Arial" w:cs="Arial"/>
          <w:sz w:val="20"/>
          <w:szCs w:val="20"/>
        </w:rPr>
        <w:t>ean</w:t>
      </w:r>
      <w:r>
        <w:rPr>
          <w:rFonts w:ascii="Arial" w:hAnsi="Arial" w:cs="Arial"/>
          <w:sz w:val="20"/>
          <w:szCs w:val="20"/>
        </w:rPr>
        <w:t xml:space="preserve">s the forecast </w:t>
      </w:r>
      <w:proofErr w:type="spellStart"/>
      <w:r>
        <w:rPr>
          <w:rFonts w:ascii="Arial" w:hAnsi="Arial" w:cs="Arial"/>
          <w:sz w:val="20"/>
          <w:szCs w:val="20"/>
        </w:rPr>
        <w:t>can not</w:t>
      </w:r>
      <w:proofErr w:type="spellEnd"/>
      <w:r>
        <w:rPr>
          <w:rFonts w:ascii="Arial" w:hAnsi="Arial" w:cs="Arial"/>
          <w:sz w:val="20"/>
          <w:szCs w:val="20"/>
        </w:rPr>
        <w:t xml:space="preserve"> be do</w:t>
      </w:r>
      <w:r w:rsidR="002115EE">
        <w:rPr>
          <w:rFonts w:ascii="Arial" w:hAnsi="Arial" w:cs="Arial"/>
          <w:sz w:val="20"/>
          <w:szCs w:val="20"/>
        </w:rPr>
        <w:t xml:space="preserve">ne for </w:t>
      </w:r>
      <w:r w:rsidR="00FB247F">
        <w:rPr>
          <w:rFonts w:ascii="Arial" w:hAnsi="Arial" w:cs="Arial"/>
          <w:sz w:val="20"/>
          <w:szCs w:val="20"/>
        </w:rPr>
        <w:t xml:space="preserve">a </w:t>
      </w:r>
      <w:r w:rsidR="002115EE">
        <w:rPr>
          <w:rFonts w:ascii="Arial" w:hAnsi="Arial" w:cs="Arial"/>
          <w:sz w:val="20"/>
          <w:szCs w:val="20"/>
        </w:rPr>
        <w:t xml:space="preserve">long duration because the forecast </w:t>
      </w:r>
      <w:r w:rsidR="00FB247F">
        <w:rPr>
          <w:rFonts w:ascii="Arial" w:hAnsi="Arial" w:cs="Arial"/>
          <w:sz w:val="20"/>
          <w:szCs w:val="20"/>
        </w:rPr>
        <w:t xml:space="preserve">is </w:t>
      </w:r>
      <w:r w:rsidR="002115EE">
        <w:rPr>
          <w:rFonts w:ascii="Arial" w:hAnsi="Arial" w:cs="Arial"/>
          <w:sz w:val="20"/>
          <w:szCs w:val="20"/>
        </w:rPr>
        <w:t>heavily affected by recent sales.</w:t>
      </w:r>
    </w:p>
    <w:p w:rsidR="0074640E" w:rsidRPr="00171B08" w:rsidRDefault="0074640E" w:rsidP="00171B08">
      <w:pPr>
        <w:spacing w:after="0" w:line="240" w:lineRule="auto"/>
        <w:ind w:left="0" w:hanging="2"/>
        <w:jc w:val="both"/>
        <w:rPr>
          <w:rFonts w:ascii="Arial" w:hAnsi="Arial" w:cs="Arial"/>
          <w:sz w:val="20"/>
          <w:szCs w:val="20"/>
        </w:rPr>
      </w:pPr>
      <w:r>
        <w:rPr>
          <w:rFonts w:ascii="Arial" w:hAnsi="Arial" w:cs="Arial"/>
          <w:sz w:val="20"/>
          <w:szCs w:val="20"/>
        </w:rPr>
        <w:t xml:space="preserve">The </w:t>
      </w:r>
      <w:r w:rsidR="005E6B0C">
        <w:rPr>
          <w:rFonts w:ascii="Arial" w:hAnsi="Arial" w:cs="Arial"/>
          <w:sz w:val="20"/>
          <w:szCs w:val="20"/>
        </w:rPr>
        <w:t xml:space="preserve">quality </w:t>
      </w:r>
      <w:r>
        <w:rPr>
          <w:rFonts w:ascii="Arial" w:hAnsi="Arial" w:cs="Arial"/>
          <w:sz w:val="20"/>
          <w:szCs w:val="20"/>
        </w:rPr>
        <w:t>decomposition forecast result heavily depends on the trend prediction</w:t>
      </w:r>
      <w:r w:rsidR="005E6B0C">
        <w:rPr>
          <w:rFonts w:ascii="Arial" w:hAnsi="Arial" w:cs="Arial"/>
          <w:sz w:val="20"/>
          <w:szCs w:val="20"/>
        </w:rPr>
        <w:t>.</w:t>
      </w:r>
      <w:r w:rsidR="00C1501C">
        <w:rPr>
          <w:rFonts w:ascii="Arial" w:hAnsi="Arial" w:cs="Arial"/>
          <w:sz w:val="20"/>
          <w:szCs w:val="20"/>
        </w:rPr>
        <w:t xml:space="preserve"> </w:t>
      </w:r>
      <w:r w:rsidR="0013265C">
        <w:rPr>
          <w:rFonts w:ascii="Arial" w:hAnsi="Arial" w:cs="Arial"/>
          <w:sz w:val="20"/>
          <w:szCs w:val="20"/>
        </w:rPr>
        <w:t xml:space="preserve">This study uses </w:t>
      </w:r>
      <w:r w:rsidR="000E178A">
        <w:rPr>
          <w:rFonts w:ascii="Arial" w:hAnsi="Arial" w:cs="Arial"/>
          <w:sz w:val="20"/>
          <w:szCs w:val="20"/>
        </w:rPr>
        <w:t xml:space="preserve">a </w:t>
      </w:r>
      <w:r w:rsidR="0013265C">
        <w:rPr>
          <w:rFonts w:ascii="Arial" w:hAnsi="Arial" w:cs="Arial"/>
          <w:sz w:val="20"/>
          <w:szCs w:val="20"/>
        </w:rPr>
        <w:t>double</w:t>
      </w:r>
      <w:r w:rsidR="000E178A">
        <w:rPr>
          <w:rFonts w:ascii="Arial" w:hAnsi="Arial" w:cs="Arial"/>
          <w:sz w:val="20"/>
          <w:szCs w:val="20"/>
        </w:rPr>
        <w:t>-</w:t>
      </w:r>
      <w:r w:rsidR="0013265C">
        <w:rPr>
          <w:rFonts w:ascii="Arial" w:hAnsi="Arial" w:cs="Arial"/>
          <w:sz w:val="20"/>
          <w:szCs w:val="20"/>
        </w:rPr>
        <w:t>moving average to predict the trend. However, different trend prediction model</w:t>
      </w:r>
      <w:r w:rsidR="000E178A">
        <w:rPr>
          <w:rFonts w:ascii="Arial" w:hAnsi="Arial" w:cs="Arial"/>
          <w:sz w:val="20"/>
          <w:szCs w:val="20"/>
        </w:rPr>
        <w:t>s</w:t>
      </w:r>
      <w:r w:rsidR="0013265C">
        <w:rPr>
          <w:rFonts w:ascii="Arial" w:hAnsi="Arial" w:cs="Arial"/>
          <w:sz w:val="20"/>
          <w:szCs w:val="20"/>
        </w:rPr>
        <w:t xml:space="preserve"> </w:t>
      </w:r>
      <w:r>
        <w:rPr>
          <w:rFonts w:ascii="Arial" w:hAnsi="Arial" w:cs="Arial"/>
          <w:sz w:val="20"/>
          <w:szCs w:val="20"/>
        </w:rPr>
        <w:t>can lead to different MAPE</w:t>
      </w:r>
      <w:r w:rsidR="000E178A">
        <w:rPr>
          <w:rFonts w:ascii="Arial" w:hAnsi="Arial" w:cs="Arial"/>
          <w:sz w:val="20"/>
          <w:szCs w:val="20"/>
        </w:rPr>
        <w:t>s</w:t>
      </w:r>
      <w:r>
        <w:rPr>
          <w:rFonts w:ascii="Arial" w:hAnsi="Arial" w:cs="Arial"/>
          <w:sz w:val="20"/>
          <w:szCs w:val="20"/>
        </w:rPr>
        <w:t xml:space="preserve">. Therefore, it might be </w:t>
      </w:r>
      <w:r w:rsidR="0013265C">
        <w:rPr>
          <w:rFonts w:ascii="Arial" w:hAnsi="Arial" w:cs="Arial"/>
          <w:sz w:val="20"/>
          <w:szCs w:val="20"/>
        </w:rPr>
        <w:t>interesting to find other model</w:t>
      </w:r>
      <w:r w:rsidR="000E178A">
        <w:rPr>
          <w:rFonts w:ascii="Arial" w:hAnsi="Arial" w:cs="Arial"/>
          <w:sz w:val="20"/>
          <w:szCs w:val="20"/>
        </w:rPr>
        <w:t>s</w:t>
      </w:r>
      <w:r>
        <w:rPr>
          <w:rFonts w:ascii="Arial" w:hAnsi="Arial" w:cs="Arial"/>
          <w:sz w:val="20"/>
          <w:szCs w:val="20"/>
        </w:rPr>
        <w:t xml:space="preserve"> to predict trend pattern</w:t>
      </w:r>
      <w:r w:rsidR="00C73496">
        <w:rPr>
          <w:rFonts w:ascii="Arial" w:hAnsi="Arial" w:cs="Arial"/>
          <w:sz w:val="20"/>
          <w:szCs w:val="20"/>
        </w:rPr>
        <w:t xml:space="preserve"> that </w:t>
      </w:r>
      <w:r w:rsidR="000E178A">
        <w:rPr>
          <w:rFonts w:ascii="Arial" w:hAnsi="Arial" w:cs="Arial"/>
          <w:sz w:val="20"/>
          <w:szCs w:val="20"/>
        </w:rPr>
        <w:t>are</w:t>
      </w:r>
      <w:r w:rsidR="00C73496">
        <w:rPr>
          <w:rFonts w:ascii="Arial" w:hAnsi="Arial" w:cs="Arial"/>
          <w:sz w:val="20"/>
          <w:szCs w:val="20"/>
        </w:rPr>
        <w:t xml:space="preserve"> </w:t>
      </w:r>
      <w:r w:rsidR="00CC5EE9">
        <w:rPr>
          <w:rFonts w:ascii="Arial" w:hAnsi="Arial" w:cs="Arial"/>
          <w:sz w:val="20"/>
          <w:szCs w:val="20"/>
        </w:rPr>
        <w:t xml:space="preserve">more </w:t>
      </w:r>
      <w:r w:rsidR="00C73496">
        <w:rPr>
          <w:rFonts w:ascii="Arial" w:hAnsi="Arial" w:cs="Arial"/>
          <w:sz w:val="20"/>
          <w:szCs w:val="20"/>
        </w:rPr>
        <w:t xml:space="preserve">suitable to be combined with </w:t>
      </w:r>
      <w:r w:rsidR="000E178A">
        <w:rPr>
          <w:rFonts w:ascii="Arial" w:hAnsi="Arial" w:cs="Arial"/>
          <w:sz w:val="20"/>
          <w:szCs w:val="20"/>
        </w:rPr>
        <w:t xml:space="preserve">the </w:t>
      </w:r>
      <w:r w:rsidR="00C73496">
        <w:rPr>
          <w:rFonts w:ascii="Arial" w:hAnsi="Arial" w:cs="Arial"/>
          <w:sz w:val="20"/>
          <w:szCs w:val="20"/>
        </w:rPr>
        <w:t>decomposition model</w:t>
      </w:r>
      <w:r>
        <w:rPr>
          <w:rFonts w:ascii="Arial" w:hAnsi="Arial" w:cs="Arial"/>
          <w:sz w:val="20"/>
          <w:szCs w:val="20"/>
        </w:rPr>
        <w:t xml:space="preserve"> </w:t>
      </w:r>
      <w:r w:rsidR="00C73496">
        <w:rPr>
          <w:rFonts w:ascii="Arial" w:hAnsi="Arial" w:cs="Arial"/>
          <w:sz w:val="20"/>
          <w:szCs w:val="20"/>
        </w:rPr>
        <w:t xml:space="preserve">and </w:t>
      </w:r>
      <w:r>
        <w:rPr>
          <w:rFonts w:ascii="Arial" w:hAnsi="Arial" w:cs="Arial"/>
          <w:sz w:val="20"/>
          <w:szCs w:val="20"/>
        </w:rPr>
        <w:t>can be used for longer</w:t>
      </w:r>
      <w:r w:rsidR="00C73496">
        <w:rPr>
          <w:rFonts w:ascii="Arial" w:hAnsi="Arial" w:cs="Arial"/>
          <w:sz w:val="20"/>
          <w:szCs w:val="20"/>
        </w:rPr>
        <w:t xml:space="preserve"> forecast period</w:t>
      </w:r>
      <w:r w:rsidR="000E178A">
        <w:rPr>
          <w:rFonts w:ascii="Arial" w:hAnsi="Arial" w:cs="Arial"/>
          <w:sz w:val="20"/>
          <w:szCs w:val="20"/>
        </w:rPr>
        <w:t>s</w:t>
      </w:r>
      <w:r w:rsidR="00C73496">
        <w:rPr>
          <w:rFonts w:ascii="Arial" w:hAnsi="Arial" w:cs="Arial"/>
          <w:sz w:val="20"/>
          <w:szCs w:val="20"/>
        </w:rPr>
        <w:t>.</w:t>
      </w:r>
    </w:p>
    <w:p w:rsidR="00171B08" w:rsidRDefault="00171B08" w:rsidP="00171B08">
      <w:pPr>
        <w:spacing w:after="0" w:line="240" w:lineRule="auto"/>
        <w:ind w:left="0" w:hanging="2"/>
        <w:jc w:val="both"/>
        <w:rPr>
          <w:rFonts w:ascii="Arial" w:hAnsi="Arial" w:cs="Arial"/>
          <w:sz w:val="20"/>
          <w:szCs w:val="20"/>
        </w:rPr>
      </w:pPr>
      <w:r w:rsidRPr="00171B08">
        <w:rPr>
          <w:rFonts w:ascii="Arial" w:hAnsi="Arial" w:cs="Arial"/>
          <w:sz w:val="20"/>
          <w:szCs w:val="20"/>
        </w:rPr>
        <w:t>It is worth noting that no forecasting model works well for all other cases, without exception</w:t>
      </w:r>
      <w:r w:rsidR="0074640E">
        <w:rPr>
          <w:rFonts w:ascii="Arial" w:hAnsi="Arial" w:cs="Arial"/>
          <w:sz w:val="20"/>
          <w:szCs w:val="20"/>
        </w:rPr>
        <w:t xml:space="preserve">. </w:t>
      </w:r>
      <w:r w:rsidRPr="00171B08">
        <w:rPr>
          <w:rFonts w:ascii="Arial" w:hAnsi="Arial" w:cs="Arial"/>
          <w:sz w:val="20"/>
          <w:szCs w:val="20"/>
        </w:rPr>
        <w:t>Because the suitable forecast model depends on the c</w:t>
      </w:r>
      <w:r w:rsidR="000F2B04">
        <w:rPr>
          <w:rFonts w:ascii="Arial" w:hAnsi="Arial" w:cs="Arial"/>
          <w:sz w:val="20"/>
          <w:szCs w:val="20"/>
        </w:rPr>
        <w:t>haracteristics of the data. Therefor</w:t>
      </w:r>
      <w:r w:rsidR="00FB247F">
        <w:rPr>
          <w:rFonts w:ascii="Arial" w:hAnsi="Arial" w:cs="Arial"/>
          <w:sz w:val="20"/>
          <w:szCs w:val="20"/>
        </w:rPr>
        <w:t>e</w:t>
      </w:r>
      <w:r w:rsidRPr="00171B08">
        <w:rPr>
          <w:rFonts w:ascii="Arial" w:hAnsi="Arial" w:cs="Arial"/>
          <w:sz w:val="20"/>
          <w:szCs w:val="20"/>
        </w:rPr>
        <w:t xml:space="preserve">, other retail stores might need a different </w:t>
      </w:r>
      <w:r w:rsidR="0074640E">
        <w:rPr>
          <w:rFonts w:ascii="Arial" w:hAnsi="Arial" w:cs="Arial"/>
          <w:sz w:val="20"/>
          <w:szCs w:val="20"/>
        </w:rPr>
        <w:t>approach to forecast their</w:t>
      </w:r>
      <w:r w:rsidRPr="00171B08">
        <w:rPr>
          <w:rFonts w:ascii="Arial" w:hAnsi="Arial" w:cs="Arial"/>
          <w:sz w:val="20"/>
          <w:szCs w:val="20"/>
        </w:rPr>
        <w:t xml:space="preserve"> </w:t>
      </w:r>
      <w:r w:rsidR="0074640E">
        <w:rPr>
          <w:rFonts w:ascii="Arial" w:hAnsi="Arial" w:cs="Arial"/>
          <w:sz w:val="20"/>
          <w:szCs w:val="20"/>
        </w:rPr>
        <w:t xml:space="preserve">sugar </w:t>
      </w:r>
      <w:r w:rsidRPr="00171B08">
        <w:rPr>
          <w:rFonts w:ascii="Arial" w:hAnsi="Arial" w:cs="Arial"/>
          <w:sz w:val="20"/>
          <w:szCs w:val="20"/>
        </w:rPr>
        <w:t>demand.</w:t>
      </w:r>
    </w:p>
    <w:p w:rsidR="009A6400" w:rsidRPr="00171B08" w:rsidRDefault="009A6400" w:rsidP="0034422C">
      <w:pPr>
        <w:spacing w:after="0" w:line="240" w:lineRule="auto"/>
        <w:ind w:leftChars="0" w:left="0" w:firstLineChars="0" w:firstLine="0"/>
        <w:jc w:val="both"/>
        <w:rPr>
          <w:rFonts w:ascii="Arial" w:hAnsi="Arial" w:cs="Arial"/>
          <w:sz w:val="20"/>
          <w:szCs w:val="20"/>
        </w:rPr>
      </w:pPr>
    </w:p>
    <w:p w:rsidR="00BC7E6E" w:rsidRDefault="007266B7" w:rsidP="00C34AC2">
      <w:pPr>
        <w:spacing w:after="0" w:line="240" w:lineRule="auto"/>
        <w:ind w:left="0" w:hanging="2"/>
        <w:jc w:val="both"/>
        <w:rPr>
          <w:rFonts w:ascii="Arial" w:eastAsia="Arial" w:hAnsi="Arial" w:cs="Arial"/>
          <w:b/>
          <w:color w:val="1F4E79"/>
          <w:sz w:val="20"/>
          <w:szCs w:val="20"/>
        </w:rPr>
      </w:pPr>
      <w:r>
        <w:rPr>
          <w:rFonts w:ascii="Arial" w:eastAsia="Arial" w:hAnsi="Arial" w:cs="Arial"/>
          <w:b/>
          <w:color w:val="1F4E79"/>
          <w:sz w:val="20"/>
          <w:szCs w:val="20"/>
        </w:rPr>
        <w:t>REFERENCES</w:t>
      </w:r>
    </w:p>
    <w:p w:rsidR="00097B73" w:rsidRPr="00097B73" w:rsidRDefault="009A6400" w:rsidP="00097B73">
      <w:pPr>
        <w:widowControl w:val="0"/>
        <w:autoSpaceDE w:val="0"/>
        <w:autoSpaceDN w:val="0"/>
        <w:adjustRightInd w:val="0"/>
        <w:spacing w:after="0" w:line="240" w:lineRule="auto"/>
        <w:ind w:left="0" w:hanging="2"/>
        <w:jc w:val="both"/>
        <w:rPr>
          <w:rFonts w:ascii="Arial" w:hAnsi="Arial" w:cs="Arial"/>
          <w:noProof/>
          <w:sz w:val="20"/>
          <w:szCs w:val="24"/>
        </w:rPr>
      </w:pPr>
      <w:r>
        <w:rPr>
          <w:rFonts w:ascii="Arial" w:eastAsia="Arial" w:hAnsi="Arial" w:cs="Arial"/>
          <w:b/>
          <w:color w:val="1F4E79"/>
          <w:sz w:val="20"/>
          <w:szCs w:val="20"/>
        </w:rPr>
        <w:fldChar w:fldCharType="begin" w:fldLock="1"/>
      </w:r>
      <w:r>
        <w:rPr>
          <w:rFonts w:ascii="Arial" w:eastAsia="Arial" w:hAnsi="Arial" w:cs="Arial"/>
          <w:b/>
          <w:color w:val="1F4E79"/>
          <w:sz w:val="20"/>
          <w:szCs w:val="20"/>
        </w:rPr>
        <w:instrText xml:space="preserve">ADDIN Mendeley Bibliography CSL_BIBLIOGRAPHY </w:instrText>
      </w:r>
      <w:r>
        <w:rPr>
          <w:rFonts w:ascii="Arial" w:eastAsia="Arial" w:hAnsi="Arial" w:cs="Arial"/>
          <w:b/>
          <w:color w:val="1F4E79"/>
          <w:sz w:val="20"/>
          <w:szCs w:val="20"/>
        </w:rPr>
        <w:fldChar w:fldCharType="separate"/>
      </w:r>
      <w:r w:rsidR="00097B73" w:rsidRPr="00097B73">
        <w:rPr>
          <w:rFonts w:ascii="Arial" w:hAnsi="Arial" w:cs="Arial"/>
          <w:noProof/>
          <w:sz w:val="20"/>
          <w:szCs w:val="24"/>
        </w:rPr>
        <w:t>[1]</w:t>
      </w:r>
      <w:r w:rsidR="00097B73" w:rsidRPr="00097B73">
        <w:rPr>
          <w:rFonts w:ascii="Arial" w:hAnsi="Arial" w:cs="Arial"/>
          <w:noProof/>
          <w:sz w:val="20"/>
          <w:szCs w:val="24"/>
        </w:rPr>
        <w:tab/>
        <w:t xml:space="preserve">F. Badorf and K. Hoberg, “The impact of daily weather on retail sales: An empirical study in brick-and-mortar stores,” </w:t>
      </w:r>
      <w:r w:rsidR="00097B73" w:rsidRPr="00097B73">
        <w:rPr>
          <w:rFonts w:ascii="Arial" w:hAnsi="Arial" w:cs="Arial"/>
          <w:i/>
          <w:iCs/>
          <w:noProof/>
          <w:sz w:val="20"/>
          <w:szCs w:val="24"/>
        </w:rPr>
        <w:t>J. Retail. Consum. Serv.</w:t>
      </w:r>
      <w:r w:rsidR="00097B73" w:rsidRPr="00097B73">
        <w:rPr>
          <w:rFonts w:ascii="Arial" w:hAnsi="Arial" w:cs="Arial"/>
          <w:noProof/>
          <w:sz w:val="20"/>
          <w:szCs w:val="24"/>
        </w:rPr>
        <w:t>, vol. 52, no. March 2019, p. 101921, 2020, doi: 10.1016/j.jretconser.2019.101921.</w:t>
      </w:r>
    </w:p>
    <w:p w:rsidR="00097B73" w:rsidRPr="00097B73" w:rsidRDefault="00097B73" w:rsidP="00097B73">
      <w:pPr>
        <w:widowControl w:val="0"/>
        <w:autoSpaceDE w:val="0"/>
        <w:autoSpaceDN w:val="0"/>
        <w:adjustRightInd w:val="0"/>
        <w:spacing w:after="0" w:line="240" w:lineRule="auto"/>
        <w:ind w:left="0" w:hanging="2"/>
        <w:jc w:val="both"/>
        <w:rPr>
          <w:rFonts w:ascii="Arial" w:hAnsi="Arial" w:cs="Arial"/>
          <w:noProof/>
          <w:sz w:val="20"/>
          <w:szCs w:val="24"/>
        </w:rPr>
      </w:pPr>
      <w:r w:rsidRPr="00097B73">
        <w:rPr>
          <w:rFonts w:ascii="Arial" w:hAnsi="Arial" w:cs="Arial"/>
          <w:noProof/>
          <w:sz w:val="20"/>
          <w:szCs w:val="24"/>
        </w:rPr>
        <w:t>[2]</w:t>
      </w:r>
      <w:r w:rsidRPr="00097B73">
        <w:rPr>
          <w:rFonts w:ascii="Arial" w:hAnsi="Arial" w:cs="Arial"/>
          <w:noProof/>
          <w:sz w:val="20"/>
          <w:szCs w:val="24"/>
        </w:rPr>
        <w:tab/>
        <w:t xml:space="preserve">W. M. de Almeida and C. P. da Veiga, “Does demand forecasting matter to retailing?,” </w:t>
      </w:r>
      <w:r w:rsidRPr="00097B73">
        <w:rPr>
          <w:rFonts w:ascii="Arial" w:hAnsi="Arial" w:cs="Arial"/>
          <w:i/>
          <w:iCs/>
          <w:noProof/>
          <w:sz w:val="20"/>
          <w:szCs w:val="24"/>
        </w:rPr>
        <w:t>J. Mark. Anal.</w:t>
      </w:r>
      <w:r w:rsidRPr="00097B73">
        <w:rPr>
          <w:rFonts w:ascii="Arial" w:hAnsi="Arial" w:cs="Arial"/>
          <w:noProof/>
          <w:sz w:val="20"/>
          <w:szCs w:val="24"/>
        </w:rPr>
        <w:t>, vol. 11, no. 2, pp. 219–232, 2023, doi: 10.1057/s41270-022-00162-x.</w:t>
      </w:r>
    </w:p>
    <w:p w:rsidR="00097B73" w:rsidRPr="00097B73" w:rsidRDefault="00097B73" w:rsidP="00097B73">
      <w:pPr>
        <w:widowControl w:val="0"/>
        <w:autoSpaceDE w:val="0"/>
        <w:autoSpaceDN w:val="0"/>
        <w:adjustRightInd w:val="0"/>
        <w:spacing w:after="0" w:line="240" w:lineRule="auto"/>
        <w:ind w:left="0" w:hanging="2"/>
        <w:jc w:val="both"/>
        <w:rPr>
          <w:rFonts w:ascii="Arial" w:hAnsi="Arial" w:cs="Arial"/>
          <w:noProof/>
          <w:sz w:val="20"/>
          <w:szCs w:val="24"/>
        </w:rPr>
      </w:pPr>
      <w:r w:rsidRPr="00097B73">
        <w:rPr>
          <w:rFonts w:ascii="Arial" w:hAnsi="Arial" w:cs="Arial"/>
          <w:noProof/>
          <w:sz w:val="20"/>
          <w:szCs w:val="24"/>
        </w:rPr>
        <w:t>[3]</w:t>
      </w:r>
      <w:r w:rsidRPr="00097B73">
        <w:rPr>
          <w:rFonts w:ascii="Arial" w:hAnsi="Arial" w:cs="Arial"/>
          <w:noProof/>
          <w:sz w:val="20"/>
          <w:szCs w:val="24"/>
        </w:rPr>
        <w:tab/>
        <w:t xml:space="preserve">S. Ma and R. Fildes, “Retail sales forecasting with meta-learning,” </w:t>
      </w:r>
      <w:r w:rsidRPr="00097B73">
        <w:rPr>
          <w:rFonts w:ascii="Arial" w:hAnsi="Arial" w:cs="Arial"/>
          <w:i/>
          <w:iCs/>
          <w:noProof/>
          <w:sz w:val="20"/>
          <w:szCs w:val="24"/>
        </w:rPr>
        <w:t>Eur. J. Oper. Res.</w:t>
      </w:r>
      <w:r w:rsidRPr="00097B73">
        <w:rPr>
          <w:rFonts w:ascii="Arial" w:hAnsi="Arial" w:cs="Arial"/>
          <w:noProof/>
          <w:sz w:val="20"/>
          <w:szCs w:val="24"/>
        </w:rPr>
        <w:t>, vol. 288, no. 1, pp. 111–128, 2021, doi: 10.1016/j.ejor.2020.05.038.</w:t>
      </w:r>
    </w:p>
    <w:p w:rsidR="00097B73" w:rsidRPr="00097B73" w:rsidRDefault="00097B73" w:rsidP="00097B73">
      <w:pPr>
        <w:widowControl w:val="0"/>
        <w:autoSpaceDE w:val="0"/>
        <w:autoSpaceDN w:val="0"/>
        <w:adjustRightInd w:val="0"/>
        <w:spacing w:after="0" w:line="240" w:lineRule="auto"/>
        <w:ind w:left="0" w:hanging="2"/>
        <w:jc w:val="both"/>
        <w:rPr>
          <w:rFonts w:ascii="Arial" w:hAnsi="Arial" w:cs="Arial"/>
          <w:noProof/>
          <w:sz w:val="20"/>
          <w:szCs w:val="24"/>
        </w:rPr>
      </w:pPr>
      <w:r w:rsidRPr="00097B73">
        <w:rPr>
          <w:rFonts w:ascii="Arial" w:hAnsi="Arial" w:cs="Arial"/>
          <w:noProof/>
          <w:sz w:val="20"/>
          <w:szCs w:val="24"/>
        </w:rPr>
        <w:t>[4]</w:t>
      </w:r>
      <w:r w:rsidRPr="00097B73">
        <w:rPr>
          <w:rFonts w:ascii="Arial" w:hAnsi="Arial" w:cs="Arial"/>
          <w:noProof/>
          <w:sz w:val="20"/>
          <w:szCs w:val="24"/>
        </w:rPr>
        <w:tab/>
        <w:t xml:space="preserve">C. P. da Veiga, C. R. P. da Veiga, W. Puchalski, L. dos S. Coelho, and U. Tortato, “Demand forecasting based on natural computing approaches applied to the foodstuff retail segment,” </w:t>
      </w:r>
      <w:r w:rsidRPr="00097B73">
        <w:rPr>
          <w:rFonts w:ascii="Arial" w:hAnsi="Arial" w:cs="Arial"/>
          <w:i/>
          <w:iCs/>
          <w:noProof/>
          <w:sz w:val="20"/>
          <w:szCs w:val="24"/>
        </w:rPr>
        <w:t>J. Retail. Consum. Serv.</w:t>
      </w:r>
      <w:r w:rsidRPr="00097B73">
        <w:rPr>
          <w:rFonts w:ascii="Arial" w:hAnsi="Arial" w:cs="Arial"/>
          <w:noProof/>
          <w:sz w:val="20"/>
          <w:szCs w:val="24"/>
        </w:rPr>
        <w:t>, vol. 31, pp. 174–181, 2016, doi: 10.1016/j.jretconser.2016.03.008.</w:t>
      </w:r>
    </w:p>
    <w:p w:rsidR="00097B73" w:rsidRPr="00097B73" w:rsidRDefault="00097B73" w:rsidP="00097B73">
      <w:pPr>
        <w:widowControl w:val="0"/>
        <w:autoSpaceDE w:val="0"/>
        <w:autoSpaceDN w:val="0"/>
        <w:adjustRightInd w:val="0"/>
        <w:spacing w:after="0" w:line="240" w:lineRule="auto"/>
        <w:ind w:left="0" w:hanging="2"/>
        <w:jc w:val="both"/>
        <w:rPr>
          <w:rFonts w:ascii="Arial" w:hAnsi="Arial" w:cs="Arial"/>
          <w:noProof/>
          <w:sz w:val="20"/>
          <w:szCs w:val="24"/>
        </w:rPr>
      </w:pPr>
      <w:r w:rsidRPr="00097B73">
        <w:rPr>
          <w:rFonts w:ascii="Arial" w:hAnsi="Arial" w:cs="Arial"/>
          <w:noProof/>
          <w:sz w:val="20"/>
          <w:szCs w:val="24"/>
        </w:rPr>
        <w:t>[5]</w:t>
      </w:r>
      <w:r w:rsidRPr="00097B73">
        <w:rPr>
          <w:rFonts w:ascii="Arial" w:hAnsi="Arial" w:cs="Arial"/>
          <w:noProof/>
          <w:sz w:val="20"/>
          <w:szCs w:val="24"/>
        </w:rPr>
        <w:tab/>
        <w:t xml:space="preserve">A. Kumar, R. Shankar, and N. R. Aljohani, “A big data driven framework for demand-driven forecasting with effects of marketing-mix variables,” </w:t>
      </w:r>
      <w:r w:rsidRPr="00097B73">
        <w:rPr>
          <w:rFonts w:ascii="Arial" w:hAnsi="Arial" w:cs="Arial"/>
          <w:i/>
          <w:iCs/>
          <w:noProof/>
          <w:sz w:val="20"/>
          <w:szCs w:val="24"/>
        </w:rPr>
        <w:t>Ind. Mark. Manag.</w:t>
      </w:r>
      <w:r w:rsidRPr="00097B73">
        <w:rPr>
          <w:rFonts w:ascii="Arial" w:hAnsi="Arial" w:cs="Arial"/>
          <w:noProof/>
          <w:sz w:val="20"/>
          <w:szCs w:val="24"/>
        </w:rPr>
        <w:t>, vol. 90, no. November 2018, pp. 493–507, 2020, doi: 10.1016/j.indmarman.2019.05.003.</w:t>
      </w:r>
    </w:p>
    <w:p w:rsidR="00097B73" w:rsidRPr="00097B73" w:rsidRDefault="00097B73" w:rsidP="00097B73">
      <w:pPr>
        <w:widowControl w:val="0"/>
        <w:autoSpaceDE w:val="0"/>
        <w:autoSpaceDN w:val="0"/>
        <w:adjustRightInd w:val="0"/>
        <w:spacing w:after="0" w:line="240" w:lineRule="auto"/>
        <w:ind w:left="0" w:hanging="2"/>
        <w:jc w:val="both"/>
        <w:rPr>
          <w:rFonts w:ascii="Arial" w:hAnsi="Arial" w:cs="Arial"/>
          <w:noProof/>
          <w:sz w:val="20"/>
          <w:szCs w:val="24"/>
        </w:rPr>
      </w:pPr>
      <w:r w:rsidRPr="00097B73">
        <w:rPr>
          <w:rFonts w:ascii="Arial" w:hAnsi="Arial" w:cs="Arial"/>
          <w:noProof/>
          <w:sz w:val="20"/>
          <w:szCs w:val="24"/>
        </w:rPr>
        <w:t>[6]</w:t>
      </w:r>
      <w:r w:rsidRPr="00097B73">
        <w:rPr>
          <w:rFonts w:ascii="Arial" w:hAnsi="Arial" w:cs="Arial"/>
          <w:noProof/>
          <w:sz w:val="20"/>
          <w:szCs w:val="24"/>
        </w:rPr>
        <w:tab/>
        <w:t xml:space="preserve">R. J. Hyndman and G. Athanasopoulos, </w:t>
      </w:r>
      <w:r w:rsidRPr="00097B73">
        <w:rPr>
          <w:rFonts w:ascii="Arial" w:hAnsi="Arial" w:cs="Arial"/>
          <w:i/>
          <w:iCs/>
          <w:noProof/>
          <w:sz w:val="20"/>
          <w:szCs w:val="24"/>
        </w:rPr>
        <w:t>Forecasting : Principles and Practice</w:t>
      </w:r>
      <w:r w:rsidRPr="00097B73">
        <w:rPr>
          <w:rFonts w:ascii="Arial" w:hAnsi="Arial" w:cs="Arial"/>
          <w:noProof/>
          <w:sz w:val="20"/>
          <w:szCs w:val="24"/>
        </w:rPr>
        <w:t>, 3th ed. Melbourne, Australia, 2021.</w:t>
      </w:r>
    </w:p>
    <w:p w:rsidR="00097B73" w:rsidRPr="00097B73" w:rsidRDefault="00097B73" w:rsidP="00097B73">
      <w:pPr>
        <w:widowControl w:val="0"/>
        <w:autoSpaceDE w:val="0"/>
        <w:autoSpaceDN w:val="0"/>
        <w:adjustRightInd w:val="0"/>
        <w:spacing w:after="0" w:line="240" w:lineRule="auto"/>
        <w:ind w:left="0" w:hanging="2"/>
        <w:jc w:val="both"/>
        <w:rPr>
          <w:rFonts w:ascii="Arial" w:hAnsi="Arial" w:cs="Arial"/>
          <w:noProof/>
          <w:sz w:val="20"/>
          <w:szCs w:val="24"/>
        </w:rPr>
      </w:pPr>
      <w:r w:rsidRPr="00097B73">
        <w:rPr>
          <w:rFonts w:ascii="Arial" w:hAnsi="Arial" w:cs="Arial"/>
          <w:noProof/>
          <w:sz w:val="20"/>
          <w:szCs w:val="24"/>
        </w:rPr>
        <w:t>[7]</w:t>
      </w:r>
      <w:r w:rsidRPr="00097B73">
        <w:rPr>
          <w:rFonts w:ascii="Arial" w:hAnsi="Arial" w:cs="Arial"/>
          <w:noProof/>
          <w:sz w:val="20"/>
          <w:szCs w:val="24"/>
        </w:rPr>
        <w:tab/>
        <w:t xml:space="preserve">M. R. Hasan, M. A. Kabir, R. A. Shuvro, and P. Das, “A Comparative Study on Forecasting of Retail Sales,” </w:t>
      </w:r>
      <w:r w:rsidRPr="00097B73">
        <w:rPr>
          <w:rFonts w:ascii="Arial" w:hAnsi="Arial" w:cs="Arial"/>
          <w:i/>
          <w:iCs/>
          <w:noProof/>
          <w:sz w:val="20"/>
          <w:szCs w:val="24"/>
        </w:rPr>
        <w:t>arXiv</w:t>
      </w:r>
      <w:r w:rsidRPr="00097B73">
        <w:rPr>
          <w:rFonts w:ascii="Arial" w:hAnsi="Arial" w:cs="Arial"/>
          <w:noProof/>
          <w:sz w:val="20"/>
          <w:szCs w:val="24"/>
        </w:rPr>
        <w:t>, pp. 1–14, 2022, [Online]. Available: http://arxiv.org/abs/2203.06848.</w:t>
      </w:r>
    </w:p>
    <w:p w:rsidR="00097B73" w:rsidRPr="00097B73" w:rsidRDefault="00097B73" w:rsidP="00097B73">
      <w:pPr>
        <w:widowControl w:val="0"/>
        <w:autoSpaceDE w:val="0"/>
        <w:autoSpaceDN w:val="0"/>
        <w:adjustRightInd w:val="0"/>
        <w:spacing w:after="0" w:line="240" w:lineRule="auto"/>
        <w:ind w:left="0" w:hanging="2"/>
        <w:jc w:val="both"/>
        <w:rPr>
          <w:rFonts w:ascii="Arial" w:hAnsi="Arial" w:cs="Arial"/>
          <w:noProof/>
          <w:sz w:val="20"/>
          <w:szCs w:val="24"/>
        </w:rPr>
      </w:pPr>
      <w:r w:rsidRPr="00097B73">
        <w:rPr>
          <w:rFonts w:ascii="Arial" w:hAnsi="Arial" w:cs="Arial"/>
          <w:noProof/>
          <w:sz w:val="20"/>
          <w:szCs w:val="24"/>
        </w:rPr>
        <w:t>[8]</w:t>
      </w:r>
      <w:r w:rsidRPr="00097B73">
        <w:rPr>
          <w:rFonts w:ascii="Arial" w:hAnsi="Arial" w:cs="Arial"/>
          <w:noProof/>
          <w:sz w:val="20"/>
          <w:szCs w:val="24"/>
        </w:rPr>
        <w:tab/>
        <w:t xml:space="preserve">C. Guarnaccia, J. Quartieri, and C. Tepedino, “Deterministic decomposition and seasonal ARIMA time series models applied to airport noise forecasting,” </w:t>
      </w:r>
      <w:r w:rsidRPr="00097B73">
        <w:rPr>
          <w:rFonts w:ascii="Arial" w:hAnsi="Arial" w:cs="Arial"/>
          <w:i/>
          <w:iCs/>
          <w:noProof/>
          <w:sz w:val="20"/>
          <w:szCs w:val="24"/>
        </w:rPr>
        <w:t>AIP Conf. Proc.</w:t>
      </w:r>
      <w:r w:rsidRPr="00097B73">
        <w:rPr>
          <w:rFonts w:ascii="Arial" w:hAnsi="Arial" w:cs="Arial"/>
          <w:noProof/>
          <w:sz w:val="20"/>
          <w:szCs w:val="24"/>
        </w:rPr>
        <w:t>, vol. 1836, 2017, doi: 10.1063/1.4982019.</w:t>
      </w:r>
    </w:p>
    <w:p w:rsidR="00097B73" w:rsidRPr="00097B73" w:rsidRDefault="00097B73" w:rsidP="00097B73">
      <w:pPr>
        <w:widowControl w:val="0"/>
        <w:autoSpaceDE w:val="0"/>
        <w:autoSpaceDN w:val="0"/>
        <w:adjustRightInd w:val="0"/>
        <w:spacing w:after="0" w:line="240" w:lineRule="auto"/>
        <w:ind w:left="0" w:hanging="2"/>
        <w:jc w:val="both"/>
        <w:rPr>
          <w:rFonts w:ascii="Arial" w:hAnsi="Arial" w:cs="Arial"/>
          <w:noProof/>
          <w:sz w:val="20"/>
          <w:szCs w:val="24"/>
        </w:rPr>
      </w:pPr>
      <w:r w:rsidRPr="00097B73">
        <w:rPr>
          <w:rFonts w:ascii="Arial" w:hAnsi="Arial" w:cs="Arial"/>
          <w:noProof/>
          <w:sz w:val="20"/>
          <w:szCs w:val="24"/>
        </w:rPr>
        <w:lastRenderedPageBreak/>
        <w:t>[9]</w:t>
      </w:r>
      <w:r w:rsidRPr="00097B73">
        <w:rPr>
          <w:rFonts w:ascii="Arial" w:hAnsi="Arial" w:cs="Arial"/>
          <w:noProof/>
          <w:sz w:val="20"/>
          <w:szCs w:val="24"/>
        </w:rPr>
        <w:tab/>
        <w:t xml:space="preserve">B. O. Emmanuel, D. Enegesele, and C. O. Arimie, “Additive Decomposition with Arima Model Forecasts When the Trend Component Is Quadratic,” </w:t>
      </w:r>
      <w:r w:rsidRPr="00097B73">
        <w:rPr>
          <w:rFonts w:ascii="Arial" w:hAnsi="Arial" w:cs="Arial"/>
          <w:i/>
          <w:iCs/>
          <w:noProof/>
          <w:sz w:val="20"/>
          <w:szCs w:val="24"/>
        </w:rPr>
        <w:t>OALib</w:t>
      </w:r>
      <w:r w:rsidRPr="00097B73">
        <w:rPr>
          <w:rFonts w:ascii="Arial" w:hAnsi="Arial" w:cs="Arial"/>
          <w:noProof/>
          <w:sz w:val="20"/>
          <w:szCs w:val="24"/>
        </w:rPr>
        <w:t>, vol. 07, no. 07, pp. 1–20, 2020, doi: 10.4236/oalib.1106435.</w:t>
      </w:r>
    </w:p>
    <w:p w:rsidR="00097B73" w:rsidRPr="00097B73" w:rsidRDefault="00097B73" w:rsidP="00097B73">
      <w:pPr>
        <w:widowControl w:val="0"/>
        <w:autoSpaceDE w:val="0"/>
        <w:autoSpaceDN w:val="0"/>
        <w:adjustRightInd w:val="0"/>
        <w:spacing w:after="0" w:line="240" w:lineRule="auto"/>
        <w:ind w:left="0" w:hanging="2"/>
        <w:jc w:val="both"/>
        <w:rPr>
          <w:rFonts w:ascii="Arial" w:hAnsi="Arial" w:cs="Arial"/>
          <w:noProof/>
          <w:sz w:val="20"/>
          <w:szCs w:val="24"/>
        </w:rPr>
      </w:pPr>
      <w:r w:rsidRPr="00097B73">
        <w:rPr>
          <w:rFonts w:ascii="Arial" w:hAnsi="Arial" w:cs="Arial"/>
          <w:noProof/>
          <w:sz w:val="20"/>
          <w:szCs w:val="24"/>
        </w:rPr>
        <w:t>[10]</w:t>
      </w:r>
      <w:r w:rsidRPr="00097B73">
        <w:rPr>
          <w:rFonts w:ascii="Arial" w:hAnsi="Arial" w:cs="Arial"/>
          <w:noProof/>
          <w:sz w:val="20"/>
          <w:szCs w:val="24"/>
        </w:rPr>
        <w:tab/>
        <w:t xml:space="preserve">W. Muhaimin and D. Sari, “Factors Affecting the Demand and Import of Indonesian Sugar,” </w:t>
      </w:r>
      <w:r w:rsidRPr="00097B73">
        <w:rPr>
          <w:rFonts w:ascii="Arial" w:hAnsi="Arial" w:cs="Arial"/>
          <w:i/>
          <w:iCs/>
          <w:noProof/>
          <w:sz w:val="20"/>
          <w:szCs w:val="24"/>
        </w:rPr>
        <w:t>J. Glob. Econ.</w:t>
      </w:r>
      <w:r w:rsidRPr="00097B73">
        <w:rPr>
          <w:rFonts w:ascii="Arial" w:hAnsi="Arial" w:cs="Arial"/>
          <w:noProof/>
          <w:sz w:val="20"/>
          <w:szCs w:val="24"/>
        </w:rPr>
        <w:t>, vol. 7, no. 2, pp. 1–3, 2019, [Online]. Available: https://ssrn.com/abstract=3458678.</w:t>
      </w:r>
    </w:p>
    <w:p w:rsidR="00097B73" w:rsidRPr="00097B73" w:rsidRDefault="00097B73" w:rsidP="00097B73">
      <w:pPr>
        <w:widowControl w:val="0"/>
        <w:autoSpaceDE w:val="0"/>
        <w:autoSpaceDN w:val="0"/>
        <w:adjustRightInd w:val="0"/>
        <w:spacing w:after="0" w:line="240" w:lineRule="auto"/>
        <w:ind w:left="0" w:hanging="2"/>
        <w:jc w:val="both"/>
        <w:rPr>
          <w:rFonts w:ascii="Arial" w:hAnsi="Arial" w:cs="Arial"/>
          <w:noProof/>
          <w:sz w:val="20"/>
          <w:szCs w:val="24"/>
        </w:rPr>
      </w:pPr>
      <w:r w:rsidRPr="00097B73">
        <w:rPr>
          <w:rFonts w:ascii="Arial" w:hAnsi="Arial" w:cs="Arial"/>
          <w:noProof/>
          <w:sz w:val="20"/>
          <w:szCs w:val="24"/>
        </w:rPr>
        <w:t>[11]</w:t>
      </w:r>
      <w:r w:rsidRPr="00097B73">
        <w:rPr>
          <w:rFonts w:ascii="Arial" w:hAnsi="Arial" w:cs="Arial"/>
          <w:noProof/>
          <w:sz w:val="20"/>
          <w:szCs w:val="24"/>
        </w:rPr>
        <w:tab/>
        <w:t xml:space="preserve">W. P. Inayaturrohmah, I. Istiqomah, and R. S. Gunawan, “Determinants of Indonesian Sugar Import,” </w:t>
      </w:r>
      <w:r w:rsidRPr="00097B73">
        <w:rPr>
          <w:rFonts w:ascii="Arial" w:hAnsi="Arial" w:cs="Arial"/>
          <w:i/>
          <w:iCs/>
          <w:noProof/>
          <w:sz w:val="20"/>
          <w:szCs w:val="24"/>
        </w:rPr>
        <w:t>Signifikan J. Ilmu Ekon.</w:t>
      </w:r>
      <w:r w:rsidRPr="00097B73">
        <w:rPr>
          <w:rFonts w:ascii="Arial" w:hAnsi="Arial" w:cs="Arial"/>
          <w:noProof/>
          <w:sz w:val="20"/>
          <w:szCs w:val="24"/>
        </w:rPr>
        <w:t>, vol. 12, no. 2, pp. 275–286, 2023, doi: 10.15408/sjie.v12i2.28044.</w:t>
      </w:r>
    </w:p>
    <w:p w:rsidR="00097B73" w:rsidRPr="00097B73" w:rsidRDefault="00097B73" w:rsidP="00097B73">
      <w:pPr>
        <w:widowControl w:val="0"/>
        <w:autoSpaceDE w:val="0"/>
        <w:autoSpaceDN w:val="0"/>
        <w:adjustRightInd w:val="0"/>
        <w:spacing w:after="0" w:line="240" w:lineRule="auto"/>
        <w:ind w:left="0" w:hanging="2"/>
        <w:jc w:val="both"/>
        <w:rPr>
          <w:rFonts w:ascii="Arial" w:hAnsi="Arial" w:cs="Arial"/>
          <w:noProof/>
          <w:sz w:val="20"/>
          <w:szCs w:val="24"/>
        </w:rPr>
      </w:pPr>
      <w:r w:rsidRPr="00097B73">
        <w:rPr>
          <w:rFonts w:ascii="Arial" w:hAnsi="Arial" w:cs="Arial"/>
          <w:noProof/>
          <w:sz w:val="20"/>
          <w:szCs w:val="24"/>
        </w:rPr>
        <w:t>[12]</w:t>
      </w:r>
      <w:r w:rsidRPr="00097B73">
        <w:rPr>
          <w:rFonts w:ascii="Arial" w:hAnsi="Arial" w:cs="Arial"/>
          <w:noProof/>
          <w:sz w:val="20"/>
          <w:szCs w:val="24"/>
        </w:rPr>
        <w:tab/>
        <w:t>F. A. S. United States Department of Agriculture, “Sugar : World Markets and Trade Guatemala Sugar Exports are Down While Domestic Demand Continues to Grow Guatemala is a Top 5 Exporter,” 2024. [Online]. Available: https://apps.fas.usda.gov/psdonline/circulars/sugar.pdf.</w:t>
      </w:r>
    </w:p>
    <w:p w:rsidR="00097B73" w:rsidRPr="00097B73" w:rsidRDefault="00097B73" w:rsidP="00097B73">
      <w:pPr>
        <w:widowControl w:val="0"/>
        <w:autoSpaceDE w:val="0"/>
        <w:autoSpaceDN w:val="0"/>
        <w:adjustRightInd w:val="0"/>
        <w:spacing w:after="0" w:line="240" w:lineRule="auto"/>
        <w:ind w:left="0" w:hanging="2"/>
        <w:jc w:val="both"/>
        <w:rPr>
          <w:rFonts w:ascii="Arial" w:hAnsi="Arial" w:cs="Arial"/>
          <w:noProof/>
          <w:sz w:val="20"/>
          <w:szCs w:val="24"/>
        </w:rPr>
      </w:pPr>
      <w:r w:rsidRPr="00097B73">
        <w:rPr>
          <w:rFonts w:ascii="Arial" w:hAnsi="Arial" w:cs="Arial"/>
          <w:noProof/>
          <w:sz w:val="20"/>
          <w:szCs w:val="24"/>
        </w:rPr>
        <w:t>[13]</w:t>
      </w:r>
      <w:r w:rsidRPr="00097B73">
        <w:rPr>
          <w:rFonts w:ascii="Arial" w:hAnsi="Arial" w:cs="Arial"/>
          <w:noProof/>
          <w:sz w:val="20"/>
          <w:szCs w:val="24"/>
        </w:rPr>
        <w:tab/>
        <w:t>J. Widodo, “(1) Undang-Undang,” Jakarta, Indonesia, 2020. [Online]. Available: https://peraturan.bpk.go.id/Details/136174/perpres-no-59-tahun-2020.</w:t>
      </w:r>
    </w:p>
    <w:p w:rsidR="00097B73" w:rsidRPr="00097B73" w:rsidRDefault="00097B73" w:rsidP="00097B73">
      <w:pPr>
        <w:widowControl w:val="0"/>
        <w:autoSpaceDE w:val="0"/>
        <w:autoSpaceDN w:val="0"/>
        <w:adjustRightInd w:val="0"/>
        <w:spacing w:after="0" w:line="240" w:lineRule="auto"/>
        <w:ind w:left="0" w:hanging="2"/>
        <w:jc w:val="both"/>
        <w:rPr>
          <w:rFonts w:ascii="Arial" w:hAnsi="Arial" w:cs="Arial"/>
          <w:noProof/>
          <w:sz w:val="20"/>
          <w:szCs w:val="24"/>
        </w:rPr>
      </w:pPr>
      <w:r w:rsidRPr="00097B73">
        <w:rPr>
          <w:rFonts w:ascii="Arial" w:hAnsi="Arial" w:cs="Arial"/>
          <w:noProof/>
          <w:sz w:val="20"/>
          <w:szCs w:val="24"/>
        </w:rPr>
        <w:t>[14]</w:t>
      </w:r>
      <w:r w:rsidRPr="00097B73">
        <w:rPr>
          <w:rFonts w:ascii="Arial" w:hAnsi="Arial" w:cs="Arial"/>
          <w:noProof/>
          <w:sz w:val="20"/>
          <w:szCs w:val="24"/>
        </w:rPr>
        <w:tab/>
        <w:t>B. P. Statistik, “Subjek Tabel Terkait Rata - Rata Konsumsi Perkapita Seminggu Menurut Kelompok Bahan Makanan Lainnya Per Kabupaten / Kota Rata - Rata Konsumsi Perkapita Seminggu Di Daerah Pedesaan Menurut Komoditi Makanan Dan Golongan Pengeluaran Per Kapita Seminggu Rata,” 2023. [Online]. Available: https://www.bps.go.id/id/statistics-table/1/OTUwIzE=/rata-rata-konsumsi-per-kapita-seminggu-beberapa-macam-bahan-makanan-penting--2007-2023.html.</w:t>
      </w:r>
    </w:p>
    <w:p w:rsidR="00097B73" w:rsidRPr="00097B73" w:rsidRDefault="00097B73" w:rsidP="00097B73">
      <w:pPr>
        <w:widowControl w:val="0"/>
        <w:autoSpaceDE w:val="0"/>
        <w:autoSpaceDN w:val="0"/>
        <w:adjustRightInd w:val="0"/>
        <w:spacing w:after="0" w:line="240" w:lineRule="auto"/>
        <w:ind w:left="0" w:hanging="2"/>
        <w:jc w:val="both"/>
        <w:rPr>
          <w:rFonts w:ascii="Arial" w:hAnsi="Arial" w:cs="Arial"/>
          <w:noProof/>
          <w:sz w:val="20"/>
          <w:szCs w:val="24"/>
        </w:rPr>
      </w:pPr>
      <w:r w:rsidRPr="00097B73">
        <w:rPr>
          <w:rFonts w:ascii="Arial" w:hAnsi="Arial" w:cs="Arial"/>
          <w:noProof/>
          <w:sz w:val="20"/>
          <w:szCs w:val="24"/>
        </w:rPr>
        <w:t>[15]</w:t>
      </w:r>
      <w:r w:rsidRPr="00097B73">
        <w:rPr>
          <w:rFonts w:ascii="Arial" w:hAnsi="Arial" w:cs="Arial"/>
          <w:noProof/>
          <w:sz w:val="20"/>
          <w:szCs w:val="24"/>
        </w:rPr>
        <w:tab/>
        <w:t xml:space="preserve">P. Mishra </w:t>
      </w:r>
      <w:r w:rsidRPr="00097B73">
        <w:rPr>
          <w:rFonts w:ascii="Arial" w:hAnsi="Arial" w:cs="Arial"/>
          <w:i/>
          <w:iCs/>
          <w:noProof/>
          <w:sz w:val="20"/>
          <w:szCs w:val="24"/>
        </w:rPr>
        <w:t>et al.</w:t>
      </w:r>
      <w:r w:rsidRPr="00097B73">
        <w:rPr>
          <w:rFonts w:ascii="Arial" w:hAnsi="Arial" w:cs="Arial"/>
          <w:noProof/>
          <w:sz w:val="20"/>
          <w:szCs w:val="24"/>
        </w:rPr>
        <w:t xml:space="preserve">, “Modeling and Forecasting of Sugarcane Production in India,” </w:t>
      </w:r>
      <w:r w:rsidRPr="00097B73">
        <w:rPr>
          <w:rFonts w:ascii="Arial" w:hAnsi="Arial" w:cs="Arial"/>
          <w:i/>
          <w:iCs/>
          <w:noProof/>
          <w:sz w:val="20"/>
          <w:szCs w:val="24"/>
        </w:rPr>
        <w:t>Sugar Tech</w:t>
      </w:r>
      <w:r w:rsidRPr="00097B73">
        <w:rPr>
          <w:rFonts w:ascii="Arial" w:hAnsi="Arial" w:cs="Arial"/>
          <w:noProof/>
          <w:sz w:val="20"/>
          <w:szCs w:val="24"/>
        </w:rPr>
        <w:t>, vol. 23, no. 6, pp. 1317–1324, 2021, doi: 10.1007/s12355-021-01004-3.</w:t>
      </w:r>
    </w:p>
    <w:p w:rsidR="00097B73" w:rsidRPr="00097B73" w:rsidRDefault="00097B73" w:rsidP="00097B73">
      <w:pPr>
        <w:widowControl w:val="0"/>
        <w:autoSpaceDE w:val="0"/>
        <w:autoSpaceDN w:val="0"/>
        <w:adjustRightInd w:val="0"/>
        <w:spacing w:after="0" w:line="240" w:lineRule="auto"/>
        <w:ind w:left="0" w:hanging="2"/>
        <w:jc w:val="both"/>
        <w:rPr>
          <w:rFonts w:ascii="Arial" w:hAnsi="Arial" w:cs="Arial"/>
          <w:noProof/>
          <w:sz w:val="20"/>
          <w:szCs w:val="24"/>
        </w:rPr>
      </w:pPr>
      <w:r w:rsidRPr="00097B73">
        <w:rPr>
          <w:rFonts w:ascii="Arial" w:hAnsi="Arial" w:cs="Arial"/>
          <w:noProof/>
          <w:sz w:val="20"/>
          <w:szCs w:val="24"/>
        </w:rPr>
        <w:t>[16]</w:t>
      </w:r>
      <w:r w:rsidRPr="00097B73">
        <w:rPr>
          <w:rFonts w:ascii="Arial" w:hAnsi="Arial" w:cs="Arial"/>
          <w:noProof/>
          <w:sz w:val="20"/>
          <w:szCs w:val="24"/>
        </w:rPr>
        <w:tab/>
        <w:t xml:space="preserve">S. Tyagi, S. Chandra, and G. Tyagi, “Statistical modelling and forecasting annual sugarcane production in India: Using various time series models,” </w:t>
      </w:r>
      <w:r w:rsidRPr="00097B73">
        <w:rPr>
          <w:rFonts w:ascii="Arial" w:hAnsi="Arial" w:cs="Arial"/>
          <w:i/>
          <w:iCs/>
          <w:noProof/>
          <w:sz w:val="20"/>
          <w:szCs w:val="24"/>
        </w:rPr>
        <w:t>Ann. Appl. Biol.</w:t>
      </w:r>
      <w:r w:rsidRPr="00097B73">
        <w:rPr>
          <w:rFonts w:ascii="Arial" w:hAnsi="Arial" w:cs="Arial"/>
          <w:noProof/>
          <w:sz w:val="20"/>
          <w:szCs w:val="24"/>
        </w:rPr>
        <w:t>, vol. 182, no. 3, pp. 371–380, 2023, doi: 10.1111/aab.12825.</w:t>
      </w:r>
    </w:p>
    <w:p w:rsidR="00097B73" w:rsidRPr="00097B73" w:rsidRDefault="00097B73" w:rsidP="00097B73">
      <w:pPr>
        <w:widowControl w:val="0"/>
        <w:autoSpaceDE w:val="0"/>
        <w:autoSpaceDN w:val="0"/>
        <w:adjustRightInd w:val="0"/>
        <w:spacing w:after="0" w:line="240" w:lineRule="auto"/>
        <w:ind w:left="0" w:hanging="2"/>
        <w:jc w:val="both"/>
        <w:rPr>
          <w:rFonts w:ascii="Arial" w:hAnsi="Arial" w:cs="Arial"/>
          <w:noProof/>
          <w:sz w:val="20"/>
          <w:szCs w:val="24"/>
        </w:rPr>
      </w:pPr>
      <w:r w:rsidRPr="00097B73">
        <w:rPr>
          <w:rFonts w:ascii="Arial" w:hAnsi="Arial" w:cs="Arial"/>
          <w:noProof/>
          <w:sz w:val="20"/>
          <w:szCs w:val="24"/>
        </w:rPr>
        <w:t>[17]</w:t>
      </w:r>
      <w:r w:rsidRPr="00097B73">
        <w:rPr>
          <w:rFonts w:ascii="Arial" w:hAnsi="Arial" w:cs="Arial"/>
          <w:noProof/>
          <w:sz w:val="20"/>
          <w:szCs w:val="24"/>
        </w:rPr>
        <w:tab/>
        <w:t xml:space="preserve">E. M. Amrouk and T. Heckelei, “Forecasting International Sugar Prices: A Bayesian Model Average Analysis,” </w:t>
      </w:r>
      <w:r w:rsidRPr="00097B73">
        <w:rPr>
          <w:rFonts w:ascii="Arial" w:hAnsi="Arial" w:cs="Arial"/>
          <w:i/>
          <w:iCs/>
          <w:noProof/>
          <w:sz w:val="20"/>
          <w:szCs w:val="24"/>
        </w:rPr>
        <w:t>Sugar Tech</w:t>
      </w:r>
      <w:r w:rsidRPr="00097B73">
        <w:rPr>
          <w:rFonts w:ascii="Arial" w:hAnsi="Arial" w:cs="Arial"/>
          <w:noProof/>
          <w:sz w:val="20"/>
          <w:szCs w:val="24"/>
        </w:rPr>
        <w:t>, vol. 22, no. 4, pp. 552–562, 2020, doi: 10.1007/s12355-020-00815-0.</w:t>
      </w:r>
    </w:p>
    <w:p w:rsidR="00097B73" w:rsidRPr="00097B73" w:rsidRDefault="00097B73" w:rsidP="00097B73">
      <w:pPr>
        <w:widowControl w:val="0"/>
        <w:autoSpaceDE w:val="0"/>
        <w:autoSpaceDN w:val="0"/>
        <w:adjustRightInd w:val="0"/>
        <w:spacing w:after="0" w:line="240" w:lineRule="auto"/>
        <w:ind w:left="0" w:hanging="2"/>
        <w:jc w:val="both"/>
        <w:rPr>
          <w:rFonts w:ascii="Arial" w:hAnsi="Arial" w:cs="Arial"/>
          <w:noProof/>
          <w:sz w:val="20"/>
          <w:szCs w:val="24"/>
        </w:rPr>
      </w:pPr>
      <w:r w:rsidRPr="00097B73">
        <w:rPr>
          <w:rFonts w:ascii="Arial" w:hAnsi="Arial" w:cs="Arial"/>
          <w:noProof/>
          <w:sz w:val="20"/>
          <w:szCs w:val="24"/>
        </w:rPr>
        <w:t>[18]</w:t>
      </w:r>
      <w:r w:rsidRPr="00097B73">
        <w:rPr>
          <w:rFonts w:ascii="Arial" w:hAnsi="Arial" w:cs="Arial"/>
          <w:noProof/>
          <w:sz w:val="20"/>
          <w:szCs w:val="24"/>
        </w:rPr>
        <w:tab/>
        <w:t xml:space="preserve">J. Zhang, Y. Meng, J. Wei, J. Chen, and J. Qin, “A Novel Hybrid Deep Learning Model for Sugar Price Forecasting Based on Time Series Decomposition,” </w:t>
      </w:r>
      <w:r w:rsidRPr="00097B73">
        <w:rPr>
          <w:rFonts w:ascii="Arial" w:hAnsi="Arial" w:cs="Arial"/>
          <w:i/>
          <w:iCs/>
          <w:noProof/>
          <w:sz w:val="20"/>
          <w:szCs w:val="24"/>
        </w:rPr>
        <w:t>Math. Probl. Eng.</w:t>
      </w:r>
      <w:r w:rsidRPr="00097B73">
        <w:rPr>
          <w:rFonts w:ascii="Arial" w:hAnsi="Arial" w:cs="Arial"/>
          <w:noProof/>
          <w:sz w:val="20"/>
          <w:szCs w:val="24"/>
        </w:rPr>
        <w:t>, vol. 2021, 2021, doi: 10.1155/2021/6507688.</w:t>
      </w:r>
    </w:p>
    <w:p w:rsidR="00097B73" w:rsidRPr="00097B73" w:rsidRDefault="00097B73" w:rsidP="00097B73">
      <w:pPr>
        <w:widowControl w:val="0"/>
        <w:autoSpaceDE w:val="0"/>
        <w:autoSpaceDN w:val="0"/>
        <w:adjustRightInd w:val="0"/>
        <w:spacing w:after="0" w:line="240" w:lineRule="auto"/>
        <w:ind w:left="0" w:hanging="2"/>
        <w:jc w:val="both"/>
        <w:rPr>
          <w:rFonts w:ascii="Arial" w:hAnsi="Arial" w:cs="Arial"/>
          <w:noProof/>
          <w:sz w:val="20"/>
          <w:szCs w:val="24"/>
        </w:rPr>
      </w:pPr>
      <w:r w:rsidRPr="00097B73">
        <w:rPr>
          <w:rFonts w:ascii="Arial" w:hAnsi="Arial" w:cs="Arial"/>
          <w:noProof/>
          <w:sz w:val="20"/>
          <w:szCs w:val="24"/>
        </w:rPr>
        <w:t>[19]</w:t>
      </w:r>
      <w:r w:rsidRPr="00097B73">
        <w:rPr>
          <w:rFonts w:ascii="Arial" w:hAnsi="Arial" w:cs="Arial"/>
          <w:noProof/>
          <w:sz w:val="20"/>
          <w:szCs w:val="24"/>
        </w:rPr>
        <w:tab/>
        <w:t xml:space="preserve">A. Kantasaard, A. Bekrar, A. Aitelcadi, </w:t>
      </w:r>
      <w:r w:rsidRPr="00097B73">
        <w:rPr>
          <w:rFonts w:ascii="Arial" w:hAnsi="Arial" w:cs="Arial"/>
          <w:noProof/>
          <w:sz w:val="20"/>
          <w:szCs w:val="24"/>
        </w:rPr>
        <w:t xml:space="preserve">and Y. Saliez, “Artificial intelligence for forecasting in supply chain management: A case study o White Sugar consumption rate in Thailand,” </w:t>
      </w:r>
      <w:r w:rsidRPr="00097B73">
        <w:rPr>
          <w:rFonts w:ascii="Arial" w:hAnsi="Arial" w:cs="Arial"/>
          <w:i/>
          <w:iCs/>
          <w:noProof/>
          <w:sz w:val="20"/>
          <w:szCs w:val="24"/>
        </w:rPr>
        <w:t>IFAC-PapersOnLine</w:t>
      </w:r>
      <w:r w:rsidRPr="00097B73">
        <w:rPr>
          <w:rFonts w:ascii="Arial" w:hAnsi="Arial" w:cs="Arial"/>
          <w:noProof/>
          <w:sz w:val="20"/>
          <w:szCs w:val="24"/>
        </w:rPr>
        <w:t>, vol. 52, no. 13, pp. 725–730, 2019, doi: 10.1016/j.ifacol.2019.11.201.</w:t>
      </w:r>
    </w:p>
    <w:p w:rsidR="00097B73" w:rsidRPr="00097B73" w:rsidRDefault="00097B73" w:rsidP="00097B73">
      <w:pPr>
        <w:widowControl w:val="0"/>
        <w:autoSpaceDE w:val="0"/>
        <w:autoSpaceDN w:val="0"/>
        <w:adjustRightInd w:val="0"/>
        <w:spacing w:after="0" w:line="240" w:lineRule="auto"/>
        <w:ind w:left="0" w:hanging="2"/>
        <w:jc w:val="both"/>
        <w:rPr>
          <w:rFonts w:ascii="Arial" w:hAnsi="Arial" w:cs="Arial"/>
          <w:noProof/>
          <w:sz w:val="20"/>
          <w:szCs w:val="24"/>
        </w:rPr>
      </w:pPr>
      <w:r w:rsidRPr="00097B73">
        <w:rPr>
          <w:rFonts w:ascii="Arial" w:hAnsi="Arial" w:cs="Arial"/>
          <w:noProof/>
          <w:sz w:val="20"/>
          <w:szCs w:val="24"/>
        </w:rPr>
        <w:t>[20]</w:t>
      </w:r>
      <w:r w:rsidRPr="00097B73">
        <w:rPr>
          <w:rFonts w:ascii="Arial" w:hAnsi="Arial" w:cs="Arial"/>
          <w:noProof/>
          <w:sz w:val="20"/>
          <w:szCs w:val="24"/>
        </w:rPr>
        <w:tab/>
        <w:t xml:space="preserve">S. Wardah, N. Nurhasanah, and W. Sudarwati, “Integration models of demand forecasting and inventory control for coconut sugar using the ARIMA and EOQ modification methods,” </w:t>
      </w:r>
      <w:r w:rsidRPr="00097B73">
        <w:rPr>
          <w:rFonts w:ascii="Arial" w:hAnsi="Arial" w:cs="Arial"/>
          <w:i/>
          <w:iCs/>
          <w:noProof/>
          <w:sz w:val="20"/>
          <w:szCs w:val="24"/>
        </w:rPr>
        <w:t>J. Sist. dan Manaj. Ind.</w:t>
      </w:r>
      <w:r w:rsidRPr="00097B73">
        <w:rPr>
          <w:rFonts w:ascii="Arial" w:hAnsi="Arial" w:cs="Arial"/>
          <w:noProof/>
          <w:sz w:val="20"/>
          <w:szCs w:val="24"/>
        </w:rPr>
        <w:t>, vol. 7, no. 2, pp. 127–138, 2023, doi: 10.30656/jsmi.v7i2.6500.</w:t>
      </w:r>
    </w:p>
    <w:p w:rsidR="00097B73" w:rsidRPr="00097B73" w:rsidRDefault="00097B73" w:rsidP="00097B73">
      <w:pPr>
        <w:widowControl w:val="0"/>
        <w:autoSpaceDE w:val="0"/>
        <w:autoSpaceDN w:val="0"/>
        <w:adjustRightInd w:val="0"/>
        <w:spacing w:after="0" w:line="240" w:lineRule="auto"/>
        <w:ind w:left="0" w:hanging="2"/>
        <w:jc w:val="both"/>
        <w:rPr>
          <w:rFonts w:ascii="Arial" w:hAnsi="Arial" w:cs="Arial"/>
          <w:noProof/>
          <w:sz w:val="20"/>
          <w:szCs w:val="24"/>
        </w:rPr>
      </w:pPr>
      <w:r w:rsidRPr="00097B73">
        <w:rPr>
          <w:rFonts w:ascii="Arial" w:hAnsi="Arial" w:cs="Arial"/>
          <w:noProof/>
          <w:sz w:val="20"/>
          <w:szCs w:val="24"/>
        </w:rPr>
        <w:t>[21]</w:t>
      </w:r>
      <w:r w:rsidRPr="00097B73">
        <w:rPr>
          <w:rFonts w:ascii="Arial" w:hAnsi="Arial" w:cs="Arial"/>
          <w:noProof/>
          <w:sz w:val="20"/>
          <w:szCs w:val="24"/>
        </w:rPr>
        <w:tab/>
        <w:t xml:space="preserve">A. W. A. Wibowo and F. Maimunah, “Sugar Demand Forecasting in Pt Xyz With Winqsb Software,” </w:t>
      </w:r>
      <w:r w:rsidRPr="00097B73">
        <w:rPr>
          <w:rFonts w:ascii="Arial" w:hAnsi="Arial" w:cs="Arial"/>
          <w:i/>
          <w:iCs/>
          <w:noProof/>
          <w:sz w:val="20"/>
          <w:szCs w:val="24"/>
        </w:rPr>
        <w:t>BAREKENG J. Ilmu Mat. dan Terap.</w:t>
      </w:r>
      <w:r w:rsidRPr="00097B73">
        <w:rPr>
          <w:rFonts w:ascii="Arial" w:hAnsi="Arial" w:cs="Arial"/>
          <w:noProof/>
          <w:sz w:val="20"/>
          <w:szCs w:val="24"/>
        </w:rPr>
        <w:t>, vol. 17, no. 3, pp. 1631–1640, 2023, doi: 10.30598/barekengvol17iss3pp1631-1640.</w:t>
      </w:r>
    </w:p>
    <w:p w:rsidR="00097B73" w:rsidRPr="00097B73" w:rsidRDefault="00097B73" w:rsidP="00097B73">
      <w:pPr>
        <w:widowControl w:val="0"/>
        <w:autoSpaceDE w:val="0"/>
        <w:autoSpaceDN w:val="0"/>
        <w:adjustRightInd w:val="0"/>
        <w:spacing w:after="0" w:line="240" w:lineRule="auto"/>
        <w:ind w:left="0" w:hanging="2"/>
        <w:jc w:val="both"/>
        <w:rPr>
          <w:rFonts w:ascii="Arial" w:hAnsi="Arial" w:cs="Arial"/>
          <w:noProof/>
          <w:sz w:val="20"/>
          <w:szCs w:val="24"/>
        </w:rPr>
      </w:pPr>
      <w:r w:rsidRPr="00097B73">
        <w:rPr>
          <w:rFonts w:ascii="Arial" w:hAnsi="Arial" w:cs="Arial"/>
          <w:noProof/>
          <w:sz w:val="20"/>
          <w:szCs w:val="24"/>
        </w:rPr>
        <w:t>[22]</w:t>
      </w:r>
      <w:r w:rsidRPr="00097B73">
        <w:rPr>
          <w:rFonts w:ascii="Arial" w:hAnsi="Arial" w:cs="Arial"/>
          <w:noProof/>
          <w:sz w:val="20"/>
          <w:szCs w:val="24"/>
        </w:rPr>
        <w:tab/>
        <w:t xml:space="preserve">B. R. I. Rosari, R. Sarno, M. S. Filsafan, and A. T. Haryono, “Indonesia White Sugar Supply and Demand Forecast Using Machine Learning,” </w:t>
      </w:r>
      <w:r w:rsidRPr="00097B73">
        <w:rPr>
          <w:rFonts w:ascii="Arial" w:hAnsi="Arial" w:cs="Arial"/>
          <w:i/>
          <w:iCs/>
          <w:noProof/>
          <w:sz w:val="20"/>
          <w:szCs w:val="24"/>
        </w:rPr>
        <w:t>2023 1st Int. Conf. Adv. Eng. Technol. ICONNIC 2023 - Proceeding</w:t>
      </w:r>
      <w:r w:rsidRPr="00097B73">
        <w:rPr>
          <w:rFonts w:ascii="Arial" w:hAnsi="Arial" w:cs="Arial"/>
          <w:noProof/>
          <w:sz w:val="20"/>
          <w:szCs w:val="24"/>
        </w:rPr>
        <w:t>, pp. 18–23, 2023, doi: 10.1109/ICONNIC59854.2023.10467262.</w:t>
      </w:r>
    </w:p>
    <w:p w:rsidR="00097B73" w:rsidRPr="00097B73" w:rsidRDefault="00097B73" w:rsidP="00097B73">
      <w:pPr>
        <w:widowControl w:val="0"/>
        <w:autoSpaceDE w:val="0"/>
        <w:autoSpaceDN w:val="0"/>
        <w:adjustRightInd w:val="0"/>
        <w:spacing w:after="0" w:line="240" w:lineRule="auto"/>
        <w:ind w:left="0" w:hanging="2"/>
        <w:jc w:val="both"/>
        <w:rPr>
          <w:rFonts w:ascii="Arial" w:hAnsi="Arial" w:cs="Arial"/>
          <w:noProof/>
          <w:sz w:val="20"/>
          <w:szCs w:val="24"/>
        </w:rPr>
      </w:pPr>
      <w:r w:rsidRPr="00097B73">
        <w:rPr>
          <w:rFonts w:ascii="Arial" w:hAnsi="Arial" w:cs="Arial"/>
          <w:noProof/>
          <w:sz w:val="20"/>
          <w:szCs w:val="24"/>
        </w:rPr>
        <w:t>[23]</w:t>
      </w:r>
      <w:r w:rsidRPr="00097B73">
        <w:rPr>
          <w:rFonts w:ascii="Arial" w:hAnsi="Arial" w:cs="Arial"/>
          <w:noProof/>
          <w:sz w:val="20"/>
          <w:szCs w:val="24"/>
        </w:rPr>
        <w:tab/>
        <w:t xml:space="preserve">G. Perone, “Using the SARIMA Model to Forecast the Fourth Global Wave of Cumulative Deaths from COVID-19: Evidence from 12 Hard-Hit Big Countries,” </w:t>
      </w:r>
      <w:r w:rsidRPr="00097B73">
        <w:rPr>
          <w:rFonts w:ascii="Arial" w:hAnsi="Arial" w:cs="Arial"/>
          <w:i/>
          <w:iCs/>
          <w:noProof/>
          <w:sz w:val="20"/>
          <w:szCs w:val="24"/>
        </w:rPr>
        <w:t>Econometrics</w:t>
      </w:r>
      <w:r w:rsidRPr="00097B73">
        <w:rPr>
          <w:rFonts w:ascii="Arial" w:hAnsi="Arial" w:cs="Arial"/>
          <w:noProof/>
          <w:sz w:val="20"/>
          <w:szCs w:val="24"/>
        </w:rPr>
        <w:t>, vol. 10, no. 2, 2022, doi: 10.3390/econometrics10020018.</w:t>
      </w:r>
    </w:p>
    <w:p w:rsidR="00097B73" w:rsidRPr="00097B73" w:rsidRDefault="00097B73" w:rsidP="00097B73">
      <w:pPr>
        <w:widowControl w:val="0"/>
        <w:autoSpaceDE w:val="0"/>
        <w:autoSpaceDN w:val="0"/>
        <w:adjustRightInd w:val="0"/>
        <w:spacing w:after="0" w:line="240" w:lineRule="auto"/>
        <w:ind w:left="0" w:hanging="2"/>
        <w:jc w:val="both"/>
        <w:rPr>
          <w:rFonts w:ascii="Arial" w:hAnsi="Arial" w:cs="Arial"/>
          <w:noProof/>
          <w:sz w:val="20"/>
          <w:szCs w:val="24"/>
        </w:rPr>
      </w:pPr>
      <w:r w:rsidRPr="00097B73">
        <w:rPr>
          <w:rFonts w:ascii="Arial" w:hAnsi="Arial" w:cs="Arial"/>
          <w:noProof/>
          <w:sz w:val="20"/>
          <w:szCs w:val="24"/>
        </w:rPr>
        <w:t>[24]</w:t>
      </w:r>
      <w:r w:rsidRPr="00097B73">
        <w:rPr>
          <w:rFonts w:ascii="Arial" w:hAnsi="Arial" w:cs="Arial"/>
          <w:noProof/>
          <w:sz w:val="20"/>
          <w:szCs w:val="24"/>
        </w:rPr>
        <w:tab/>
        <w:t xml:space="preserve">G. E. P. Box, G. M. Jenkins, G. C. Reinsel, and G. M. Ljung, </w:t>
      </w:r>
      <w:r w:rsidRPr="00097B73">
        <w:rPr>
          <w:rFonts w:ascii="Arial" w:hAnsi="Arial" w:cs="Arial"/>
          <w:i/>
          <w:iCs/>
          <w:noProof/>
          <w:sz w:val="20"/>
          <w:szCs w:val="24"/>
        </w:rPr>
        <w:t>Time Series Analysis: Forecasting and Control</w:t>
      </w:r>
      <w:r w:rsidRPr="00097B73">
        <w:rPr>
          <w:rFonts w:ascii="Arial" w:hAnsi="Arial" w:cs="Arial"/>
          <w:noProof/>
          <w:sz w:val="20"/>
          <w:szCs w:val="24"/>
        </w:rPr>
        <w:t>, 5th ed., vol. 11. Hoboken, New Jersey: John Wiley &amp; Sons, Inc., 2016.</w:t>
      </w:r>
    </w:p>
    <w:p w:rsidR="00097B73" w:rsidRPr="00097B73" w:rsidRDefault="00097B73" w:rsidP="00097B73">
      <w:pPr>
        <w:widowControl w:val="0"/>
        <w:autoSpaceDE w:val="0"/>
        <w:autoSpaceDN w:val="0"/>
        <w:adjustRightInd w:val="0"/>
        <w:spacing w:after="0" w:line="240" w:lineRule="auto"/>
        <w:ind w:left="0" w:hanging="2"/>
        <w:jc w:val="both"/>
        <w:rPr>
          <w:rFonts w:ascii="Arial" w:hAnsi="Arial" w:cs="Arial"/>
          <w:noProof/>
          <w:sz w:val="20"/>
          <w:szCs w:val="24"/>
        </w:rPr>
      </w:pPr>
      <w:r w:rsidRPr="00097B73">
        <w:rPr>
          <w:rFonts w:ascii="Arial" w:hAnsi="Arial" w:cs="Arial"/>
          <w:noProof/>
          <w:sz w:val="20"/>
          <w:szCs w:val="24"/>
        </w:rPr>
        <w:t>[25]</w:t>
      </w:r>
      <w:r w:rsidRPr="00097B73">
        <w:rPr>
          <w:rFonts w:ascii="Arial" w:hAnsi="Arial" w:cs="Arial"/>
          <w:noProof/>
          <w:sz w:val="20"/>
          <w:szCs w:val="24"/>
        </w:rPr>
        <w:tab/>
        <w:t xml:space="preserve">U. M. Sirisha, M. C. Belavagi, and G. Attigeri, “Profit Prediction Using ARIMA, SARIMA and LSTM Models in Time Series Forecasting: A Comparison,” </w:t>
      </w:r>
      <w:r w:rsidRPr="00097B73">
        <w:rPr>
          <w:rFonts w:ascii="Arial" w:hAnsi="Arial" w:cs="Arial"/>
          <w:i/>
          <w:iCs/>
          <w:noProof/>
          <w:sz w:val="20"/>
          <w:szCs w:val="24"/>
        </w:rPr>
        <w:t>IEEE Access</w:t>
      </w:r>
      <w:r w:rsidRPr="00097B73">
        <w:rPr>
          <w:rFonts w:ascii="Arial" w:hAnsi="Arial" w:cs="Arial"/>
          <w:noProof/>
          <w:sz w:val="20"/>
          <w:szCs w:val="24"/>
        </w:rPr>
        <w:t>, vol. 10, no. October, pp. 124715–124727, 2022, doi: 10.1109/ACCESS.2022.3224938.</w:t>
      </w:r>
    </w:p>
    <w:p w:rsidR="00097B73" w:rsidRPr="00097B73" w:rsidRDefault="00097B73" w:rsidP="00097B73">
      <w:pPr>
        <w:widowControl w:val="0"/>
        <w:autoSpaceDE w:val="0"/>
        <w:autoSpaceDN w:val="0"/>
        <w:adjustRightInd w:val="0"/>
        <w:spacing w:after="0" w:line="240" w:lineRule="auto"/>
        <w:ind w:left="0" w:hanging="2"/>
        <w:jc w:val="both"/>
        <w:rPr>
          <w:rFonts w:ascii="Arial" w:hAnsi="Arial" w:cs="Arial"/>
          <w:noProof/>
          <w:sz w:val="20"/>
          <w:szCs w:val="24"/>
        </w:rPr>
      </w:pPr>
      <w:r w:rsidRPr="00097B73">
        <w:rPr>
          <w:rFonts w:ascii="Arial" w:hAnsi="Arial" w:cs="Arial"/>
          <w:noProof/>
          <w:sz w:val="20"/>
          <w:szCs w:val="24"/>
        </w:rPr>
        <w:t>[26]</w:t>
      </w:r>
      <w:r w:rsidRPr="00097B73">
        <w:rPr>
          <w:rFonts w:ascii="Arial" w:hAnsi="Arial" w:cs="Arial"/>
          <w:noProof/>
          <w:sz w:val="20"/>
          <w:szCs w:val="24"/>
        </w:rPr>
        <w:tab/>
        <w:t xml:space="preserve">C. C. Nwokike and E. W. Okereke, “Comparison of the Performance of the SANN, SARIMA and ARIMA Models for Forecasting Quarterly GDP of Nigeria,” </w:t>
      </w:r>
      <w:r w:rsidRPr="00097B73">
        <w:rPr>
          <w:rFonts w:ascii="Arial" w:hAnsi="Arial" w:cs="Arial"/>
          <w:i/>
          <w:iCs/>
          <w:noProof/>
          <w:sz w:val="20"/>
          <w:szCs w:val="24"/>
        </w:rPr>
        <w:t>Asian Res. J. Math.</w:t>
      </w:r>
      <w:r w:rsidRPr="00097B73">
        <w:rPr>
          <w:rFonts w:ascii="Arial" w:hAnsi="Arial" w:cs="Arial"/>
          <w:noProof/>
          <w:sz w:val="20"/>
          <w:szCs w:val="24"/>
        </w:rPr>
        <w:t>, vol. 17, no. 3, pp. 1–20, 2021, doi: 10.9734/arjom/2021/v17i330280.</w:t>
      </w:r>
    </w:p>
    <w:p w:rsidR="00097B73" w:rsidRPr="00097B73" w:rsidRDefault="00097B73" w:rsidP="00097B73">
      <w:pPr>
        <w:widowControl w:val="0"/>
        <w:autoSpaceDE w:val="0"/>
        <w:autoSpaceDN w:val="0"/>
        <w:adjustRightInd w:val="0"/>
        <w:spacing w:after="0" w:line="240" w:lineRule="auto"/>
        <w:ind w:left="0" w:hanging="2"/>
        <w:jc w:val="both"/>
        <w:rPr>
          <w:rFonts w:ascii="Arial" w:hAnsi="Arial" w:cs="Arial"/>
          <w:noProof/>
          <w:sz w:val="20"/>
          <w:szCs w:val="24"/>
        </w:rPr>
      </w:pPr>
      <w:r w:rsidRPr="00097B73">
        <w:rPr>
          <w:rFonts w:ascii="Arial" w:hAnsi="Arial" w:cs="Arial"/>
          <w:noProof/>
          <w:sz w:val="20"/>
          <w:szCs w:val="24"/>
        </w:rPr>
        <w:t>[27]</w:t>
      </w:r>
      <w:r w:rsidRPr="00097B73">
        <w:rPr>
          <w:rFonts w:ascii="Arial" w:hAnsi="Arial" w:cs="Arial"/>
          <w:noProof/>
          <w:sz w:val="20"/>
          <w:szCs w:val="24"/>
        </w:rPr>
        <w:tab/>
        <w:t xml:space="preserve">W. Hu, S. Tong, K. Mengersen, and D. Connell, “Weather Variability and the Incidence of Cryptosporidiosis: Comparison of Time Series Poisson Regression and SARIMA Models,” </w:t>
      </w:r>
      <w:r w:rsidRPr="00097B73">
        <w:rPr>
          <w:rFonts w:ascii="Arial" w:hAnsi="Arial" w:cs="Arial"/>
          <w:i/>
          <w:iCs/>
          <w:noProof/>
          <w:sz w:val="20"/>
          <w:szCs w:val="24"/>
        </w:rPr>
        <w:t>Ann. Epidemiol.</w:t>
      </w:r>
      <w:r w:rsidRPr="00097B73">
        <w:rPr>
          <w:rFonts w:ascii="Arial" w:hAnsi="Arial" w:cs="Arial"/>
          <w:noProof/>
          <w:sz w:val="20"/>
          <w:szCs w:val="24"/>
        </w:rPr>
        <w:t>, vol. 17, no. 9, pp. 679–688, 2007, doi: 10.1016/j.annepidem.2007.03.020.</w:t>
      </w:r>
    </w:p>
    <w:p w:rsidR="00097B73" w:rsidRPr="00097B73" w:rsidRDefault="00097B73" w:rsidP="00097B73">
      <w:pPr>
        <w:widowControl w:val="0"/>
        <w:autoSpaceDE w:val="0"/>
        <w:autoSpaceDN w:val="0"/>
        <w:adjustRightInd w:val="0"/>
        <w:spacing w:after="0" w:line="240" w:lineRule="auto"/>
        <w:ind w:left="0" w:hanging="2"/>
        <w:jc w:val="both"/>
        <w:rPr>
          <w:rFonts w:ascii="Arial" w:hAnsi="Arial" w:cs="Arial"/>
          <w:noProof/>
          <w:sz w:val="20"/>
          <w:szCs w:val="24"/>
        </w:rPr>
      </w:pPr>
      <w:r w:rsidRPr="00097B73">
        <w:rPr>
          <w:rFonts w:ascii="Arial" w:hAnsi="Arial" w:cs="Arial"/>
          <w:noProof/>
          <w:sz w:val="20"/>
          <w:szCs w:val="24"/>
        </w:rPr>
        <w:t>[28]</w:t>
      </w:r>
      <w:r w:rsidRPr="00097B73">
        <w:rPr>
          <w:rFonts w:ascii="Arial" w:hAnsi="Arial" w:cs="Arial"/>
          <w:noProof/>
          <w:sz w:val="20"/>
          <w:szCs w:val="24"/>
        </w:rPr>
        <w:tab/>
        <w:t xml:space="preserve">D. Febrian, S. I. Al Idrus, and D. A. J. Nainggolan, “The Comparison of Double Moving Average and Double Exponential Smoothing Methods in Forecasting the Number of Foreign Tourists Coming to North Sumatera,” </w:t>
      </w:r>
      <w:r w:rsidRPr="00097B73">
        <w:rPr>
          <w:rFonts w:ascii="Arial" w:hAnsi="Arial" w:cs="Arial"/>
          <w:i/>
          <w:iCs/>
          <w:noProof/>
          <w:sz w:val="20"/>
          <w:szCs w:val="24"/>
        </w:rPr>
        <w:t>J. Phys. Conf. Ser.</w:t>
      </w:r>
      <w:r w:rsidRPr="00097B73">
        <w:rPr>
          <w:rFonts w:ascii="Arial" w:hAnsi="Arial" w:cs="Arial"/>
          <w:noProof/>
          <w:sz w:val="20"/>
          <w:szCs w:val="24"/>
        </w:rPr>
        <w:t>, vol. 1462, no. 1, pp. 0–10, 2020, doi: 10.1088/1742-6596/1462/1/012046.</w:t>
      </w:r>
    </w:p>
    <w:p w:rsidR="00097B73" w:rsidRPr="00097B73" w:rsidRDefault="00097B73" w:rsidP="00097B73">
      <w:pPr>
        <w:widowControl w:val="0"/>
        <w:autoSpaceDE w:val="0"/>
        <w:autoSpaceDN w:val="0"/>
        <w:adjustRightInd w:val="0"/>
        <w:spacing w:after="0" w:line="240" w:lineRule="auto"/>
        <w:ind w:left="0" w:hanging="2"/>
        <w:jc w:val="both"/>
        <w:rPr>
          <w:rFonts w:ascii="Arial" w:hAnsi="Arial" w:cs="Arial"/>
          <w:noProof/>
          <w:sz w:val="20"/>
          <w:szCs w:val="24"/>
        </w:rPr>
      </w:pPr>
      <w:r w:rsidRPr="00097B73">
        <w:rPr>
          <w:rFonts w:ascii="Arial" w:hAnsi="Arial" w:cs="Arial"/>
          <w:noProof/>
          <w:sz w:val="20"/>
          <w:szCs w:val="24"/>
        </w:rPr>
        <w:lastRenderedPageBreak/>
        <w:t>[29]</w:t>
      </w:r>
      <w:r w:rsidRPr="00097B73">
        <w:rPr>
          <w:rFonts w:ascii="Arial" w:hAnsi="Arial" w:cs="Arial"/>
          <w:noProof/>
          <w:sz w:val="20"/>
          <w:szCs w:val="24"/>
        </w:rPr>
        <w:tab/>
        <w:t xml:space="preserve">D. M. Khairina, R. Khairunnisa, H. R. Hatta, and S. Maharani, “Comparison of the trend moment and double moving average methods for forecasting the number of dengue hemorrhagic fever patients,” </w:t>
      </w:r>
      <w:r w:rsidRPr="00097B73">
        <w:rPr>
          <w:rFonts w:ascii="Arial" w:hAnsi="Arial" w:cs="Arial"/>
          <w:i/>
          <w:iCs/>
          <w:noProof/>
          <w:sz w:val="20"/>
          <w:szCs w:val="24"/>
        </w:rPr>
        <w:t>Bull. Electr. Eng. Informatics</w:t>
      </w:r>
      <w:r w:rsidRPr="00097B73">
        <w:rPr>
          <w:rFonts w:ascii="Arial" w:hAnsi="Arial" w:cs="Arial"/>
          <w:noProof/>
          <w:sz w:val="20"/>
          <w:szCs w:val="24"/>
        </w:rPr>
        <w:t>, vol. 10, no. 2, pp. 978–987, 2021, doi: 10.11591/eei.v10i2.2711.</w:t>
      </w:r>
    </w:p>
    <w:p w:rsidR="00097B73" w:rsidRPr="00097B73" w:rsidRDefault="00097B73" w:rsidP="00097B73">
      <w:pPr>
        <w:widowControl w:val="0"/>
        <w:autoSpaceDE w:val="0"/>
        <w:autoSpaceDN w:val="0"/>
        <w:adjustRightInd w:val="0"/>
        <w:spacing w:after="0" w:line="240" w:lineRule="auto"/>
        <w:ind w:left="0" w:hanging="2"/>
        <w:jc w:val="both"/>
        <w:rPr>
          <w:rFonts w:ascii="Arial" w:hAnsi="Arial" w:cs="Arial"/>
          <w:noProof/>
          <w:sz w:val="20"/>
          <w:szCs w:val="24"/>
        </w:rPr>
      </w:pPr>
      <w:r w:rsidRPr="00097B73">
        <w:rPr>
          <w:rFonts w:ascii="Arial" w:hAnsi="Arial" w:cs="Arial"/>
          <w:noProof/>
          <w:sz w:val="20"/>
          <w:szCs w:val="24"/>
        </w:rPr>
        <w:t>[30]</w:t>
      </w:r>
      <w:r w:rsidRPr="00097B73">
        <w:rPr>
          <w:rFonts w:ascii="Arial" w:hAnsi="Arial" w:cs="Arial"/>
          <w:noProof/>
          <w:sz w:val="20"/>
          <w:szCs w:val="24"/>
        </w:rPr>
        <w:tab/>
        <w:t xml:space="preserve">O. Shechtman, “The Coefficient of Variation as an Index of Measurement Reliability,” in </w:t>
      </w:r>
      <w:r w:rsidRPr="00097B73">
        <w:rPr>
          <w:rFonts w:ascii="Arial" w:hAnsi="Arial" w:cs="Arial"/>
          <w:i/>
          <w:iCs/>
          <w:noProof/>
          <w:sz w:val="20"/>
          <w:szCs w:val="24"/>
        </w:rPr>
        <w:t>Methods of Clinical Epidemiology</w:t>
      </w:r>
      <w:r w:rsidRPr="00097B73">
        <w:rPr>
          <w:rFonts w:ascii="Arial" w:hAnsi="Arial" w:cs="Arial"/>
          <w:noProof/>
          <w:sz w:val="20"/>
          <w:szCs w:val="24"/>
        </w:rPr>
        <w:t>, no. Springer Series on Epidemiology and Public Health, S. A. R. Doi and G. M. Williams, Eds. Verlag Berlin Heidelberg: Springer, 2013, pp. 39–49.</w:t>
      </w:r>
    </w:p>
    <w:p w:rsidR="00097B73" w:rsidRPr="00097B73" w:rsidRDefault="00097B73" w:rsidP="00097B73">
      <w:pPr>
        <w:widowControl w:val="0"/>
        <w:autoSpaceDE w:val="0"/>
        <w:autoSpaceDN w:val="0"/>
        <w:adjustRightInd w:val="0"/>
        <w:spacing w:after="0" w:line="240" w:lineRule="auto"/>
        <w:ind w:left="0" w:hanging="2"/>
        <w:jc w:val="both"/>
        <w:rPr>
          <w:rFonts w:ascii="Arial" w:hAnsi="Arial" w:cs="Arial"/>
          <w:noProof/>
          <w:sz w:val="20"/>
          <w:szCs w:val="24"/>
        </w:rPr>
      </w:pPr>
      <w:r w:rsidRPr="00097B73">
        <w:rPr>
          <w:rFonts w:ascii="Arial" w:hAnsi="Arial" w:cs="Arial"/>
          <w:noProof/>
          <w:sz w:val="20"/>
          <w:szCs w:val="24"/>
        </w:rPr>
        <w:t>[31]</w:t>
      </w:r>
      <w:r w:rsidRPr="00097B73">
        <w:rPr>
          <w:rFonts w:ascii="Arial" w:hAnsi="Arial" w:cs="Arial"/>
          <w:noProof/>
          <w:sz w:val="20"/>
          <w:szCs w:val="24"/>
        </w:rPr>
        <w:tab/>
        <w:t xml:space="preserve">H. Musbah, M. El-Hawary, and H. Aly, “Identifying seasonality in time series by applying fast fourier transform,” </w:t>
      </w:r>
      <w:r w:rsidRPr="00097B73">
        <w:rPr>
          <w:rFonts w:ascii="Arial" w:hAnsi="Arial" w:cs="Arial"/>
          <w:i/>
          <w:iCs/>
          <w:noProof/>
          <w:sz w:val="20"/>
          <w:szCs w:val="24"/>
        </w:rPr>
        <w:t xml:space="preserve">2019 IEEE Electr. Power </w:t>
      </w:r>
      <w:r w:rsidRPr="00097B73">
        <w:rPr>
          <w:rFonts w:ascii="Arial" w:hAnsi="Arial" w:cs="Arial"/>
          <w:i/>
          <w:iCs/>
          <w:noProof/>
          <w:sz w:val="20"/>
          <w:szCs w:val="24"/>
        </w:rPr>
        <w:t>Energy Conf. EPEC 2019</w:t>
      </w:r>
      <w:r w:rsidRPr="00097B73">
        <w:rPr>
          <w:rFonts w:ascii="Arial" w:hAnsi="Arial" w:cs="Arial"/>
          <w:noProof/>
          <w:sz w:val="20"/>
          <w:szCs w:val="24"/>
        </w:rPr>
        <w:t>, vol. 3, pp. 3–6, 2019, doi: 10.1109/EPEC47565.2019.9074776.</w:t>
      </w:r>
    </w:p>
    <w:p w:rsidR="00097B73" w:rsidRPr="00097B73" w:rsidRDefault="00097B73" w:rsidP="00097B73">
      <w:pPr>
        <w:widowControl w:val="0"/>
        <w:autoSpaceDE w:val="0"/>
        <w:autoSpaceDN w:val="0"/>
        <w:adjustRightInd w:val="0"/>
        <w:spacing w:after="0" w:line="240" w:lineRule="auto"/>
        <w:ind w:left="0" w:hanging="2"/>
        <w:jc w:val="both"/>
        <w:rPr>
          <w:rFonts w:ascii="Arial" w:hAnsi="Arial" w:cs="Arial"/>
          <w:noProof/>
          <w:sz w:val="20"/>
          <w:szCs w:val="24"/>
        </w:rPr>
      </w:pPr>
      <w:r w:rsidRPr="00097B73">
        <w:rPr>
          <w:rFonts w:ascii="Arial" w:hAnsi="Arial" w:cs="Arial"/>
          <w:noProof/>
          <w:sz w:val="20"/>
          <w:szCs w:val="24"/>
        </w:rPr>
        <w:t>[32]</w:t>
      </w:r>
      <w:r w:rsidRPr="00097B73">
        <w:rPr>
          <w:rFonts w:ascii="Arial" w:hAnsi="Arial" w:cs="Arial"/>
          <w:noProof/>
          <w:sz w:val="20"/>
          <w:szCs w:val="24"/>
        </w:rPr>
        <w:tab/>
        <w:t xml:space="preserve">P. Xu, “Analysis and Prediction of Total Retail Sales of Consumer Goods Based on Multiple Regression and SARIMA Model,” </w:t>
      </w:r>
      <w:r w:rsidRPr="00097B73">
        <w:rPr>
          <w:rFonts w:ascii="Arial" w:hAnsi="Arial" w:cs="Arial"/>
          <w:i/>
          <w:iCs/>
          <w:noProof/>
          <w:sz w:val="20"/>
          <w:szCs w:val="24"/>
        </w:rPr>
        <w:t>2020 Int. Conf. Big Data Appl. Econ. Manag.</w:t>
      </w:r>
      <w:r w:rsidRPr="00097B73">
        <w:rPr>
          <w:rFonts w:ascii="Arial" w:hAnsi="Arial" w:cs="Arial"/>
          <w:noProof/>
          <w:sz w:val="20"/>
          <w:szCs w:val="24"/>
        </w:rPr>
        <w:t>, no. Icbdem, pp. 136–149, 2020, doi: 10.25236/icbdem.2020.021.</w:t>
      </w:r>
    </w:p>
    <w:p w:rsidR="00097B73" w:rsidRPr="00097B73" w:rsidRDefault="00097B73" w:rsidP="00097B73">
      <w:pPr>
        <w:widowControl w:val="0"/>
        <w:autoSpaceDE w:val="0"/>
        <w:autoSpaceDN w:val="0"/>
        <w:adjustRightInd w:val="0"/>
        <w:spacing w:after="0" w:line="240" w:lineRule="auto"/>
        <w:ind w:left="0" w:hanging="2"/>
        <w:jc w:val="both"/>
        <w:rPr>
          <w:rFonts w:ascii="Arial" w:hAnsi="Arial" w:cs="Arial"/>
          <w:noProof/>
          <w:sz w:val="20"/>
        </w:rPr>
      </w:pPr>
      <w:r w:rsidRPr="00097B73">
        <w:rPr>
          <w:rFonts w:ascii="Arial" w:hAnsi="Arial" w:cs="Arial"/>
          <w:noProof/>
          <w:sz w:val="20"/>
          <w:szCs w:val="24"/>
        </w:rPr>
        <w:t>[33]</w:t>
      </w:r>
      <w:r w:rsidRPr="00097B73">
        <w:rPr>
          <w:rFonts w:ascii="Arial" w:hAnsi="Arial" w:cs="Arial"/>
          <w:noProof/>
          <w:sz w:val="20"/>
          <w:szCs w:val="24"/>
        </w:rPr>
        <w:tab/>
        <w:t xml:space="preserve">T. Falatouri, F. Darbanian, P. Brandtner, and C. Udokwu, “Predictive Analytics for Demand Forecasting - A Comparison of SARIMA and LSTM in Retail SCM,” </w:t>
      </w:r>
      <w:r w:rsidRPr="00097B73">
        <w:rPr>
          <w:rFonts w:ascii="Arial" w:hAnsi="Arial" w:cs="Arial"/>
          <w:i/>
          <w:iCs/>
          <w:noProof/>
          <w:sz w:val="20"/>
          <w:szCs w:val="24"/>
        </w:rPr>
        <w:t>Procedia Comput. Sci.</w:t>
      </w:r>
      <w:r w:rsidRPr="00097B73">
        <w:rPr>
          <w:rFonts w:ascii="Arial" w:hAnsi="Arial" w:cs="Arial"/>
          <w:noProof/>
          <w:sz w:val="20"/>
          <w:szCs w:val="24"/>
        </w:rPr>
        <w:t>, vol. 200, no. 2019, pp. 993–1003, 2022, doi: 10.1016/j.procs.2022.01.298.</w:t>
      </w:r>
    </w:p>
    <w:p w:rsidR="00E443F1" w:rsidRDefault="009A6400" w:rsidP="00097B73">
      <w:pPr>
        <w:spacing w:after="0" w:line="240" w:lineRule="auto"/>
        <w:ind w:leftChars="0" w:left="0" w:firstLineChars="0" w:firstLine="0"/>
        <w:jc w:val="both"/>
        <w:rPr>
          <w:rFonts w:ascii="Arial" w:eastAsia="Arial" w:hAnsi="Arial" w:cs="Arial"/>
          <w:b/>
          <w:color w:val="1F4E79"/>
          <w:sz w:val="20"/>
          <w:szCs w:val="20"/>
        </w:rPr>
      </w:pPr>
      <w:r>
        <w:rPr>
          <w:rFonts w:ascii="Arial" w:eastAsia="Arial" w:hAnsi="Arial" w:cs="Arial"/>
          <w:b/>
          <w:color w:val="1F4E79"/>
          <w:sz w:val="20"/>
          <w:szCs w:val="20"/>
        </w:rPr>
        <w:fldChar w:fldCharType="end"/>
      </w:r>
    </w:p>
    <w:p w:rsidR="00E443F1" w:rsidRDefault="00E443F1">
      <w:pPr>
        <w:suppressAutoHyphens w:val="0"/>
        <w:ind w:leftChars="0" w:left="0" w:firstLineChars="0" w:firstLine="0"/>
        <w:textDirection w:val="lrTb"/>
        <w:textAlignment w:val="auto"/>
        <w:outlineLvl w:val="9"/>
        <w:rPr>
          <w:rFonts w:ascii="Arial" w:eastAsia="Arial" w:hAnsi="Arial" w:cs="Arial"/>
          <w:b/>
          <w:color w:val="1F4E79"/>
          <w:sz w:val="20"/>
          <w:szCs w:val="20"/>
        </w:rPr>
      </w:pPr>
      <w:r>
        <w:rPr>
          <w:rFonts w:ascii="Arial" w:eastAsia="Arial" w:hAnsi="Arial" w:cs="Arial"/>
          <w:b/>
          <w:color w:val="1F4E79"/>
          <w:sz w:val="20"/>
          <w:szCs w:val="20"/>
        </w:rPr>
        <w:br w:type="page"/>
      </w:r>
    </w:p>
    <w:p w:rsidR="00BC7E6E" w:rsidRDefault="00BC7E6E">
      <w:pPr>
        <w:pBdr>
          <w:top w:val="nil"/>
          <w:left w:val="nil"/>
          <w:bottom w:val="nil"/>
          <w:right w:val="nil"/>
          <w:between w:val="nil"/>
        </w:pBdr>
        <w:shd w:val="clear" w:color="auto" w:fill="FFFFFF"/>
        <w:spacing w:after="0" w:line="240" w:lineRule="auto"/>
        <w:ind w:left="0" w:hanging="2"/>
        <w:jc w:val="both"/>
        <w:rPr>
          <w:rFonts w:ascii="Arial" w:eastAsia="Arial" w:hAnsi="Arial" w:cs="Arial"/>
          <w:color w:val="000000"/>
          <w:sz w:val="20"/>
          <w:szCs w:val="20"/>
        </w:rPr>
        <w:sectPr w:rsidR="00BC7E6E" w:rsidSect="00E64A47">
          <w:type w:val="continuous"/>
          <w:pgSz w:w="11907" w:h="16840"/>
          <w:pgMar w:top="1701" w:right="1134" w:bottom="1701" w:left="1701" w:header="680" w:footer="680" w:gutter="0"/>
          <w:cols w:num="2" w:space="284"/>
          <w:titlePg/>
        </w:sectPr>
      </w:pPr>
      <w:bookmarkStart w:id="1" w:name="_GoBack"/>
      <w:bookmarkEnd w:id="1"/>
    </w:p>
    <w:p w:rsidR="00BC7E6E" w:rsidRDefault="00BC7E6E" w:rsidP="001D670F">
      <w:pPr>
        <w:pBdr>
          <w:top w:val="nil"/>
          <w:left w:val="nil"/>
          <w:bottom w:val="nil"/>
          <w:right w:val="nil"/>
          <w:between w:val="nil"/>
        </w:pBdr>
        <w:shd w:val="clear" w:color="auto" w:fill="FFFFFF"/>
        <w:spacing w:after="0" w:line="240" w:lineRule="auto"/>
        <w:ind w:left="0" w:hanging="2"/>
        <w:jc w:val="both"/>
        <w:rPr>
          <w:rFonts w:ascii="Arial" w:eastAsia="Arial" w:hAnsi="Arial" w:cs="Arial"/>
          <w:color w:val="000000"/>
          <w:sz w:val="20"/>
          <w:szCs w:val="20"/>
        </w:rPr>
      </w:pPr>
    </w:p>
    <w:sectPr w:rsidR="00BC7E6E">
      <w:type w:val="continuous"/>
      <w:pgSz w:w="11907" w:h="16840"/>
      <w:pgMar w:top="1701" w:right="1134" w:bottom="1701" w:left="1701" w:header="680" w:footer="680" w:gutter="0"/>
      <w:cols w:num="2" w:space="720" w:equalWidth="0">
        <w:col w:w="4394" w:space="284"/>
        <w:col w:w="4394"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002E" w:rsidRDefault="00D0002E">
      <w:pPr>
        <w:spacing w:after="0" w:line="240" w:lineRule="auto"/>
        <w:ind w:left="0" w:hanging="2"/>
      </w:pPr>
      <w:r>
        <w:separator/>
      </w:r>
    </w:p>
  </w:endnote>
  <w:endnote w:type="continuationSeparator" w:id="0">
    <w:p w:rsidR="00D0002E" w:rsidRDefault="00D0002E">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501C" w:rsidRDefault="00C1501C">
    <w:pPr>
      <w:widowControl w:val="0"/>
      <w:pBdr>
        <w:top w:val="nil"/>
        <w:left w:val="nil"/>
        <w:bottom w:val="nil"/>
        <w:right w:val="nil"/>
        <w:between w:val="nil"/>
      </w:pBdr>
      <w:spacing w:after="0"/>
      <w:ind w:left="0" w:hanging="2"/>
      <w:rPr>
        <w:color w:val="000000"/>
      </w:rPr>
    </w:pPr>
  </w:p>
  <w:tbl>
    <w:tblPr>
      <w:tblStyle w:val="a8"/>
      <w:tblW w:w="9180" w:type="dxa"/>
      <w:tblInd w:w="-108" w:type="dxa"/>
      <w:tblBorders>
        <w:top w:val="single" w:sz="4" w:space="0" w:color="000000"/>
        <w:left w:val="nil"/>
        <w:bottom w:val="nil"/>
        <w:right w:val="nil"/>
        <w:insideH w:val="nil"/>
        <w:insideV w:val="nil"/>
      </w:tblBorders>
      <w:tblLayout w:type="fixed"/>
      <w:tblLook w:val="0000" w:firstRow="0" w:lastRow="0" w:firstColumn="0" w:lastColumn="0" w:noHBand="0" w:noVBand="0"/>
    </w:tblPr>
    <w:tblGrid>
      <w:gridCol w:w="1242"/>
      <w:gridCol w:w="7938"/>
    </w:tblGrid>
    <w:tr w:rsidR="00C1501C">
      <w:tc>
        <w:tcPr>
          <w:tcW w:w="1242" w:type="dxa"/>
        </w:tcPr>
        <w:p w:rsidR="00C1501C" w:rsidRDefault="00C1501C">
          <w:pPr>
            <w:pBdr>
              <w:top w:val="nil"/>
              <w:left w:val="nil"/>
              <w:bottom w:val="nil"/>
              <w:right w:val="nil"/>
              <w:between w:val="nil"/>
            </w:pBdr>
            <w:spacing w:before="120" w:after="0" w:line="240" w:lineRule="auto"/>
            <w:ind w:left="0" w:hanging="2"/>
            <w:rPr>
              <w:rFonts w:ascii="Arial" w:eastAsia="Arial" w:hAnsi="Arial" w:cs="Arial"/>
              <w:color w:val="000000"/>
              <w:sz w:val="20"/>
              <w:szCs w:val="20"/>
            </w:rPr>
          </w:pP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sidR="00E229F8">
            <w:rPr>
              <w:rFonts w:ascii="Arial" w:eastAsia="Arial" w:hAnsi="Arial" w:cs="Arial"/>
              <w:noProof/>
              <w:color w:val="000000"/>
              <w:sz w:val="20"/>
              <w:szCs w:val="20"/>
            </w:rPr>
            <w:t>2</w:t>
          </w:r>
          <w:r>
            <w:rPr>
              <w:rFonts w:ascii="Arial" w:eastAsia="Arial" w:hAnsi="Arial" w:cs="Arial"/>
              <w:color w:val="000000"/>
              <w:sz w:val="20"/>
              <w:szCs w:val="20"/>
            </w:rPr>
            <w:fldChar w:fldCharType="end"/>
          </w:r>
        </w:p>
      </w:tc>
      <w:tc>
        <w:tcPr>
          <w:tcW w:w="7938" w:type="dxa"/>
        </w:tcPr>
        <w:p w:rsidR="00C1501C" w:rsidRDefault="00C1501C">
          <w:pPr>
            <w:pBdr>
              <w:top w:val="nil"/>
              <w:left w:val="nil"/>
              <w:bottom w:val="nil"/>
              <w:right w:val="nil"/>
              <w:between w:val="nil"/>
            </w:pBdr>
            <w:spacing w:before="120" w:after="0" w:line="240" w:lineRule="auto"/>
            <w:ind w:left="0" w:hanging="2"/>
            <w:jc w:val="right"/>
            <w:rPr>
              <w:rFonts w:ascii="Arial" w:eastAsia="Arial" w:hAnsi="Arial" w:cs="Arial"/>
              <w:color w:val="000000"/>
              <w:sz w:val="20"/>
              <w:szCs w:val="20"/>
            </w:rPr>
          </w:pPr>
          <w:r>
            <w:rPr>
              <w:rFonts w:ascii="Arial" w:eastAsia="Arial" w:hAnsi="Arial" w:cs="Arial"/>
              <w:color w:val="000000"/>
              <w:sz w:val="20"/>
              <w:szCs w:val="20"/>
            </w:rPr>
            <w:t xml:space="preserve">A. </w:t>
          </w:r>
          <w:proofErr w:type="spellStart"/>
          <w:r>
            <w:rPr>
              <w:rFonts w:ascii="Arial" w:eastAsia="Arial" w:hAnsi="Arial" w:cs="Arial"/>
              <w:color w:val="000000"/>
              <w:sz w:val="20"/>
              <w:szCs w:val="20"/>
            </w:rPr>
            <w:t>Adriansyah</w:t>
          </w:r>
          <w:proofErr w:type="spellEnd"/>
          <w:r>
            <w:rPr>
              <w:rFonts w:ascii="Arial" w:eastAsia="Arial" w:hAnsi="Arial" w:cs="Arial"/>
              <w:color w:val="000000"/>
              <w:sz w:val="20"/>
              <w:szCs w:val="20"/>
            </w:rPr>
            <w:t xml:space="preserve"> et al., Author Template for SINERGI</w:t>
          </w:r>
        </w:p>
      </w:tc>
    </w:tr>
  </w:tbl>
  <w:p w:rsidR="00C1501C" w:rsidRDefault="00C1501C">
    <w:pPr>
      <w:pBdr>
        <w:top w:val="nil"/>
        <w:left w:val="nil"/>
        <w:bottom w:val="nil"/>
        <w:right w:val="nil"/>
        <w:between w:val="nil"/>
      </w:pBdr>
      <w:spacing w:after="0" w:line="240" w:lineRule="auto"/>
      <w:ind w:left="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501C" w:rsidRDefault="00C1501C">
    <w:pPr>
      <w:widowControl w:val="0"/>
      <w:pBdr>
        <w:top w:val="nil"/>
        <w:left w:val="nil"/>
        <w:bottom w:val="nil"/>
        <w:right w:val="nil"/>
        <w:between w:val="nil"/>
      </w:pBdr>
      <w:spacing w:after="0"/>
      <w:ind w:left="0" w:hanging="2"/>
      <w:rPr>
        <w:color w:val="000000"/>
      </w:rPr>
    </w:pPr>
  </w:p>
  <w:tbl>
    <w:tblPr>
      <w:tblStyle w:val="a7"/>
      <w:tblW w:w="9180" w:type="dxa"/>
      <w:tblInd w:w="-108" w:type="dxa"/>
      <w:tblBorders>
        <w:top w:val="single" w:sz="4" w:space="0" w:color="000000"/>
        <w:left w:val="nil"/>
        <w:bottom w:val="nil"/>
        <w:right w:val="nil"/>
        <w:insideH w:val="nil"/>
        <w:insideV w:val="nil"/>
      </w:tblBorders>
      <w:tblLayout w:type="fixed"/>
      <w:tblLook w:val="0000" w:firstRow="0" w:lastRow="0" w:firstColumn="0" w:lastColumn="0" w:noHBand="0" w:noVBand="0"/>
    </w:tblPr>
    <w:tblGrid>
      <w:gridCol w:w="8453"/>
      <w:gridCol w:w="727"/>
    </w:tblGrid>
    <w:tr w:rsidR="00C1501C">
      <w:tc>
        <w:tcPr>
          <w:tcW w:w="8453" w:type="dxa"/>
        </w:tcPr>
        <w:p w:rsidR="00C1501C" w:rsidRDefault="00C1501C">
          <w:pPr>
            <w:pBdr>
              <w:top w:val="nil"/>
              <w:left w:val="nil"/>
              <w:bottom w:val="nil"/>
              <w:right w:val="nil"/>
              <w:between w:val="nil"/>
            </w:pBdr>
            <w:spacing w:before="120" w:after="0" w:line="240" w:lineRule="auto"/>
            <w:ind w:left="0" w:hanging="2"/>
            <w:rPr>
              <w:rFonts w:ascii="Arial" w:eastAsia="Arial" w:hAnsi="Arial" w:cs="Arial"/>
              <w:color w:val="000000"/>
              <w:sz w:val="20"/>
              <w:szCs w:val="20"/>
            </w:rPr>
          </w:pPr>
          <w:r>
            <w:rPr>
              <w:rFonts w:ascii="Arial" w:eastAsia="Arial" w:hAnsi="Arial" w:cs="Arial"/>
              <w:color w:val="000000"/>
              <w:sz w:val="20"/>
              <w:szCs w:val="20"/>
            </w:rPr>
            <w:t xml:space="preserve">A. </w:t>
          </w:r>
          <w:proofErr w:type="spellStart"/>
          <w:r>
            <w:rPr>
              <w:rFonts w:ascii="Arial" w:eastAsia="Arial" w:hAnsi="Arial" w:cs="Arial"/>
              <w:color w:val="000000"/>
              <w:sz w:val="20"/>
              <w:szCs w:val="20"/>
            </w:rPr>
            <w:t>Adriansyah</w:t>
          </w:r>
          <w:proofErr w:type="spellEnd"/>
          <w:r>
            <w:rPr>
              <w:rFonts w:ascii="Arial" w:eastAsia="Arial" w:hAnsi="Arial" w:cs="Arial"/>
              <w:color w:val="000000"/>
              <w:sz w:val="20"/>
              <w:szCs w:val="20"/>
            </w:rPr>
            <w:t xml:space="preserve"> et al., Author Template for SINERGI</w:t>
          </w:r>
        </w:p>
      </w:tc>
      <w:tc>
        <w:tcPr>
          <w:tcW w:w="727" w:type="dxa"/>
        </w:tcPr>
        <w:p w:rsidR="00C1501C" w:rsidRDefault="00C1501C">
          <w:pPr>
            <w:pBdr>
              <w:top w:val="nil"/>
              <w:left w:val="nil"/>
              <w:bottom w:val="nil"/>
              <w:right w:val="nil"/>
              <w:between w:val="nil"/>
            </w:pBdr>
            <w:spacing w:before="120" w:after="0" w:line="240" w:lineRule="auto"/>
            <w:ind w:left="0" w:hanging="2"/>
            <w:jc w:val="right"/>
            <w:rPr>
              <w:rFonts w:ascii="Arial" w:eastAsia="Arial" w:hAnsi="Arial" w:cs="Arial"/>
              <w:color w:val="000000"/>
              <w:sz w:val="20"/>
              <w:szCs w:val="20"/>
            </w:rPr>
          </w:pP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sidR="00E229F8">
            <w:rPr>
              <w:rFonts w:ascii="Arial" w:eastAsia="Arial" w:hAnsi="Arial" w:cs="Arial"/>
              <w:noProof/>
              <w:color w:val="000000"/>
              <w:sz w:val="20"/>
              <w:szCs w:val="20"/>
            </w:rPr>
            <w:t>3</w:t>
          </w:r>
          <w:r>
            <w:rPr>
              <w:rFonts w:ascii="Arial" w:eastAsia="Arial" w:hAnsi="Arial" w:cs="Arial"/>
              <w:color w:val="000000"/>
              <w:sz w:val="20"/>
              <w:szCs w:val="20"/>
            </w:rPr>
            <w:fldChar w:fldCharType="end"/>
          </w:r>
        </w:p>
      </w:tc>
    </w:tr>
  </w:tbl>
  <w:p w:rsidR="00C1501C" w:rsidRDefault="00C1501C">
    <w:pPr>
      <w:pBdr>
        <w:top w:val="nil"/>
        <w:left w:val="nil"/>
        <w:bottom w:val="nil"/>
        <w:right w:val="nil"/>
        <w:between w:val="nil"/>
      </w:pBdr>
      <w:spacing w:after="0" w:line="240" w:lineRule="auto"/>
      <w:ind w:left="0" w:hanging="2"/>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501C" w:rsidRDefault="00C1501C">
    <w:pPr>
      <w:widowControl w:val="0"/>
      <w:pBdr>
        <w:top w:val="nil"/>
        <w:left w:val="nil"/>
        <w:bottom w:val="nil"/>
        <w:right w:val="nil"/>
        <w:between w:val="nil"/>
      </w:pBdr>
      <w:spacing w:after="0"/>
      <w:ind w:left="0" w:hanging="2"/>
    </w:pPr>
  </w:p>
  <w:tbl>
    <w:tblPr>
      <w:tblStyle w:val="a6"/>
      <w:tblW w:w="9180" w:type="dxa"/>
      <w:tblInd w:w="-108" w:type="dxa"/>
      <w:tblBorders>
        <w:top w:val="single" w:sz="4" w:space="0" w:color="000000"/>
        <w:left w:val="nil"/>
        <w:bottom w:val="nil"/>
        <w:right w:val="nil"/>
        <w:insideH w:val="nil"/>
        <w:insideV w:val="nil"/>
      </w:tblBorders>
      <w:tblLayout w:type="fixed"/>
      <w:tblLook w:val="0000" w:firstRow="0" w:lastRow="0" w:firstColumn="0" w:lastColumn="0" w:noHBand="0" w:noVBand="0"/>
    </w:tblPr>
    <w:tblGrid>
      <w:gridCol w:w="8453"/>
      <w:gridCol w:w="727"/>
    </w:tblGrid>
    <w:tr w:rsidR="00C1501C">
      <w:tc>
        <w:tcPr>
          <w:tcW w:w="8453" w:type="dxa"/>
        </w:tcPr>
        <w:p w:rsidR="00C1501C" w:rsidRDefault="00C1501C">
          <w:pPr>
            <w:pBdr>
              <w:top w:val="nil"/>
              <w:left w:val="nil"/>
              <w:bottom w:val="nil"/>
              <w:right w:val="nil"/>
              <w:between w:val="nil"/>
            </w:pBdr>
            <w:spacing w:before="120" w:after="0" w:line="240" w:lineRule="auto"/>
            <w:ind w:left="0" w:hanging="2"/>
            <w:rPr>
              <w:rFonts w:ascii="Arial" w:eastAsia="Arial" w:hAnsi="Arial" w:cs="Arial"/>
              <w:color w:val="000000"/>
              <w:sz w:val="20"/>
              <w:szCs w:val="20"/>
            </w:rPr>
          </w:pPr>
          <w:r>
            <w:rPr>
              <w:rFonts w:ascii="Arial" w:eastAsia="Arial" w:hAnsi="Arial" w:cs="Arial"/>
              <w:color w:val="000000"/>
              <w:sz w:val="20"/>
              <w:szCs w:val="20"/>
            </w:rPr>
            <w:t xml:space="preserve">A. </w:t>
          </w:r>
          <w:proofErr w:type="spellStart"/>
          <w:r>
            <w:rPr>
              <w:rFonts w:ascii="Arial" w:eastAsia="Arial" w:hAnsi="Arial" w:cs="Arial"/>
              <w:color w:val="000000"/>
              <w:sz w:val="20"/>
              <w:szCs w:val="20"/>
            </w:rPr>
            <w:t>Adriansyah</w:t>
          </w:r>
          <w:proofErr w:type="spellEnd"/>
          <w:r>
            <w:rPr>
              <w:rFonts w:ascii="Arial" w:eastAsia="Arial" w:hAnsi="Arial" w:cs="Arial"/>
              <w:color w:val="000000"/>
              <w:sz w:val="20"/>
              <w:szCs w:val="20"/>
            </w:rPr>
            <w:t xml:space="preserve"> et al., Author Template for SINERGI </w:t>
          </w:r>
        </w:p>
      </w:tc>
      <w:tc>
        <w:tcPr>
          <w:tcW w:w="727" w:type="dxa"/>
        </w:tcPr>
        <w:p w:rsidR="00C1501C" w:rsidRDefault="00C1501C">
          <w:pPr>
            <w:pBdr>
              <w:top w:val="nil"/>
              <w:left w:val="nil"/>
              <w:bottom w:val="nil"/>
              <w:right w:val="nil"/>
              <w:between w:val="nil"/>
            </w:pBdr>
            <w:spacing w:before="120" w:after="0" w:line="240" w:lineRule="auto"/>
            <w:ind w:left="0" w:hanging="2"/>
            <w:jc w:val="right"/>
            <w:rPr>
              <w:rFonts w:ascii="Arial" w:eastAsia="Arial" w:hAnsi="Arial" w:cs="Arial"/>
              <w:color w:val="000000"/>
              <w:sz w:val="20"/>
              <w:szCs w:val="20"/>
            </w:rPr>
          </w:pP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sidR="00E229F8">
            <w:rPr>
              <w:rFonts w:ascii="Arial" w:eastAsia="Arial" w:hAnsi="Arial" w:cs="Arial"/>
              <w:noProof/>
              <w:color w:val="000000"/>
              <w:sz w:val="20"/>
              <w:szCs w:val="20"/>
            </w:rPr>
            <w:t>1</w:t>
          </w:r>
          <w:r>
            <w:rPr>
              <w:rFonts w:ascii="Arial" w:eastAsia="Arial" w:hAnsi="Arial" w:cs="Arial"/>
              <w:color w:val="000000"/>
              <w:sz w:val="20"/>
              <w:szCs w:val="20"/>
            </w:rPr>
            <w:fldChar w:fldCharType="end"/>
          </w:r>
        </w:p>
      </w:tc>
    </w:tr>
  </w:tbl>
  <w:p w:rsidR="00C1501C" w:rsidRDefault="00C1501C">
    <w:pPr>
      <w:pBdr>
        <w:top w:val="nil"/>
        <w:left w:val="nil"/>
        <w:bottom w:val="nil"/>
        <w:right w:val="nil"/>
        <w:between w:val="nil"/>
      </w:pBdr>
      <w:spacing w:after="0" w:line="240" w:lineRule="auto"/>
      <w:ind w:left="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002E" w:rsidRDefault="00D0002E">
      <w:pPr>
        <w:spacing w:after="0" w:line="240" w:lineRule="auto"/>
        <w:ind w:left="0" w:hanging="2"/>
      </w:pPr>
      <w:r>
        <w:separator/>
      </w:r>
    </w:p>
  </w:footnote>
  <w:footnote w:type="continuationSeparator" w:id="0">
    <w:p w:rsidR="00D0002E" w:rsidRDefault="00D0002E">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501C" w:rsidRDefault="00C1501C">
    <w:pPr>
      <w:widowControl w:val="0"/>
      <w:pBdr>
        <w:top w:val="nil"/>
        <w:left w:val="nil"/>
        <w:bottom w:val="nil"/>
        <w:right w:val="nil"/>
        <w:between w:val="nil"/>
      </w:pBdr>
      <w:spacing w:after="0"/>
      <w:ind w:left="0" w:hanging="2"/>
      <w:rPr>
        <w:rFonts w:ascii="Arial" w:eastAsia="Arial" w:hAnsi="Arial" w:cs="Arial"/>
        <w:color w:val="000000"/>
        <w:sz w:val="20"/>
        <w:szCs w:val="20"/>
      </w:rPr>
    </w:pPr>
  </w:p>
  <w:tbl>
    <w:tblPr>
      <w:tblStyle w:val="a3"/>
      <w:tblW w:w="9288" w:type="dxa"/>
      <w:tblInd w:w="-108" w:type="dxa"/>
      <w:tblBorders>
        <w:top w:val="nil"/>
        <w:left w:val="nil"/>
        <w:bottom w:val="single" w:sz="4" w:space="0" w:color="000000"/>
        <w:right w:val="nil"/>
        <w:insideH w:val="nil"/>
        <w:insideV w:val="nil"/>
      </w:tblBorders>
      <w:tblLayout w:type="fixed"/>
      <w:tblLook w:val="0000" w:firstRow="0" w:lastRow="0" w:firstColumn="0" w:lastColumn="0" w:noHBand="0" w:noVBand="0"/>
    </w:tblPr>
    <w:tblGrid>
      <w:gridCol w:w="9288"/>
    </w:tblGrid>
    <w:tr w:rsidR="00C1501C">
      <w:tc>
        <w:tcPr>
          <w:tcW w:w="9288" w:type="dxa"/>
        </w:tcPr>
        <w:p w:rsidR="00C1501C" w:rsidRDefault="00C1501C">
          <w:pPr>
            <w:pBdr>
              <w:top w:val="nil"/>
              <w:left w:val="nil"/>
              <w:bottom w:val="nil"/>
              <w:right w:val="nil"/>
              <w:between w:val="nil"/>
            </w:pBdr>
            <w:tabs>
              <w:tab w:val="left" w:pos="5556"/>
            </w:tabs>
            <w:spacing w:after="120" w:line="240" w:lineRule="auto"/>
            <w:ind w:left="0" w:hanging="2"/>
            <w:rPr>
              <w:rFonts w:ascii="Arial" w:eastAsia="Arial" w:hAnsi="Arial" w:cs="Arial"/>
              <w:color w:val="000000"/>
              <w:sz w:val="20"/>
              <w:szCs w:val="20"/>
            </w:rPr>
          </w:pPr>
          <w:r>
            <w:rPr>
              <w:rFonts w:ascii="Arial" w:eastAsia="Arial" w:hAnsi="Arial" w:cs="Arial"/>
              <w:b/>
              <w:color w:val="000000"/>
              <w:sz w:val="20"/>
              <w:szCs w:val="20"/>
            </w:rPr>
            <w:t>SINERGI</w:t>
          </w:r>
          <w:r>
            <w:rPr>
              <w:rFonts w:ascii="Arial" w:eastAsia="Arial" w:hAnsi="Arial" w:cs="Arial"/>
              <w:color w:val="000000"/>
              <w:sz w:val="20"/>
              <w:szCs w:val="20"/>
            </w:rPr>
            <w:t xml:space="preserve"> Vol. xx, No. x, </w:t>
          </w:r>
          <w:proofErr w:type="spellStart"/>
          <w:r>
            <w:rPr>
              <w:rFonts w:ascii="Arial" w:eastAsia="Arial" w:hAnsi="Arial" w:cs="Arial"/>
              <w:color w:val="000000"/>
              <w:sz w:val="20"/>
              <w:szCs w:val="20"/>
            </w:rPr>
            <w:t>xxxxxx</w:t>
          </w:r>
          <w:proofErr w:type="spellEnd"/>
          <w:r>
            <w:rPr>
              <w:rFonts w:ascii="Arial" w:eastAsia="Arial" w:hAnsi="Arial" w:cs="Arial"/>
              <w:color w:val="000000"/>
              <w:sz w:val="20"/>
              <w:szCs w:val="20"/>
            </w:rPr>
            <w:t xml:space="preserve"> 20xx: xxx-xxx</w:t>
          </w:r>
        </w:p>
      </w:tc>
    </w:tr>
  </w:tbl>
  <w:p w:rsidR="00C1501C" w:rsidRDefault="00C1501C">
    <w:pPr>
      <w:pBdr>
        <w:top w:val="nil"/>
        <w:left w:val="nil"/>
        <w:bottom w:val="nil"/>
        <w:right w:val="nil"/>
        <w:between w:val="nil"/>
      </w:pBdr>
      <w:spacing w:after="120" w:line="240" w:lineRule="auto"/>
      <w:ind w:left="0" w:hanging="2"/>
      <w:rPr>
        <w:rFonts w:ascii="Arial" w:eastAsia="Arial" w:hAnsi="Arial" w:cs="Arial"/>
        <w:color w:val="000000"/>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501C" w:rsidRDefault="00C1501C">
    <w:pPr>
      <w:widowControl w:val="0"/>
      <w:pBdr>
        <w:top w:val="nil"/>
        <w:left w:val="nil"/>
        <w:bottom w:val="nil"/>
        <w:right w:val="nil"/>
        <w:between w:val="nil"/>
      </w:pBdr>
      <w:spacing w:after="0"/>
      <w:ind w:left="0" w:hanging="2"/>
      <w:rPr>
        <w:color w:val="000000"/>
      </w:rPr>
    </w:pPr>
  </w:p>
  <w:tbl>
    <w:tblPr>
      <w:tblStyle w:val="a5"/>
      <w:tblW w:w="9288" w:type="dxa"/>
      <w:tblInd w:w="-108" w:type="dxa"/>
      <w:tblBorders>
        <w:top w:val="nil"/>
        <w:left w:val="nil"/>
        <w:bottom w:val="single" w:sz="4" w:space="0" w:color="000000"/>
        <w:right w:val="nil"/>
        <w:insideH w:val="nil"/>
        <w:insideV w:val="nil"/>
      </w:tblBorders>
      <w:tblLayout w:type="fixed"/>
      <w:tblLook w:val="0000" w:firstRow="0" w:lastRow="0" w:firstColumn="0" w:lastColumn="0" w:noHBand="0" w:noVBand="0"/>
    </w:tblPr>
    <w:tblGrid>
      <w:gridCol w:w="9288"/>
    </w:tblGrid>
    <w:tr w:rsidR="00C1501C">
      <w:tc>
        <w:tcPr>
          <w:tcW w:w="9288" w:type="dxa"/>
        </w:tcPr>
        <w:p w:rsidR="00C1501C" w:rsidRDefault="00C1501C">
          <w:pPr>
            <w:pBdr>
              <w:top w:val="nil"/>
              <w:left w:val="nil"/>
              <w:bottom w:val="nil"/>
              <w:right w:val="nil"/>
              <w:between w:val="nil"/>
            </w:pBdr>
            <w:spacing w:after="120" w:line="240" w:lineRule="auto"/>
            <w:ind w:left="0" w:hanging="2"/>
            <w:jc w:val="right"/>
            <w:rPr>
              <w:rFonts w:ascii="Arial" w:eastAsia="Arial" w:hAnsi="Arial" w:cs="Arial"/>
              <w:color w:val="000000"/>
              <w:sz w:val="20"/>
              <w:szCs w:val="20"/>
            </w:rPr>
          </w:pPr>
          <w:r>
            <w:rPr>
              <w:rFonts w:ascii="Arial" w:eastAsia="Arial" w:hAnsi="Arial" w:cs="Arial"/>
              <w:color w:val="000000"/>
              <w:sz w:val="20"/>
              <w:szCs w:val="20"/>
            </w:rPr>
            <w:t>p-ISSN: 1410-2331  e-ISSN: 2460-1217</w:t>
          </w:r>
        </w:p>
      </w:tc>
    </w:tr>
  </w:tbl>
  <w:p w:rsidR="00C1501C" w:rsidRDefault="00C1501C">
    <w:pPr>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501C" w:rsidRDefault="00C1501C">
    <w:pPr>
      <w:widowControl w:val="0"/>
      <w:pBdr>
        <w:top w:val="nil"/>
        <w:left w:val="nil"/>
        <w:bottom w:val="nil"/>
        <w:right w:val="nil"/>
        <w:between w:val="nil"/>
      </w:pBdr>
      <w:spacing w:after="0"/>
      <w:ind w:left="0" w:hanging="2"/>
      <w:rPr>
        <w:rFonts w:ascii="Arial" w:eastAsia="Arial" w:hAnsi="Arial" w:cs="Arial"/>
        <w:color w:val="000000"/>
        <w:sz w:val="20"/>
        <w:szCs w:val="20"/>
      </w:rPr>
    </w:pPr>
  </w:p>
  <w:tbl>
    <w:tblPr>
      <w:tblStyle w:val="a4"/>
      <w:tblW w:w="9185" w:type="dxa"/>
      <w:tblInd w:w="-10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000" w:firstRow="0" w:lastRow="0" w:firstColumn="0" w:lastColumn="0" w:noHBand="0" w:noVBand="0"/>
    </w:tblPr>
    <w:tblGrid>
      <w:gridCol w:w="1701"/>
      <w:gridCol w:w="5783"/>
      <w:gridCol w:w="1701"/>
    </w:tblGrid>
    <w:tr w:rsidR="00C1501C">
      <w:tc>
        <w:tcPr>
          <w:tcW w:w="1701" w:type="dxa"/>
        </w:tcPr>
        <w:p w:rsidR="00C1501C" w:rsidRDefault="00C1501C">
          <w:pPr>
            <w:pBdr>
              <w:top w:val="nil"/>
              <w:left w:val="nil"/>
              <w:bottom w:val="nil"/>
              <w:right w:val="nil"/>
              <w:between w:val="nil"/>
            </w:pBdr>
            <w:tabs>
              <w:tab w:val="left" w:pos="5556"/>
            </w:tabs>
            <w:spacing w:after="0" w:line="240" w:lineRule="auto"/>
            <w:ind w:left="0" w:hanging="2"/>
            <w:rPr>
              <w:rFonts w:ascii="Arial" w:eastAsia="Arial" w:hAnsi="Arial" w:cs="Arial"/>
              <w:color w:val="000000"/>
              <w:sz w:val="20"/>
              <w:szCs w:val="20"/>
            </w:rPr>
          </w:pPr>
          <w:r>
            <w:rPr>
              <w:noProof/>
              <w:color w:val="000000"/>
              <w:lang w:val="en-ID" w:eastAsia="en-ID"/>
            </w:rPr>
            <w:drawing>
              <wp:inline distT="0" distB="0" distL="114300" distR="114300">
                <wp:extent cx="889635" cy="812800"/>
                <wp:effectExtent l="0" t="0" r="0" b="0"/>
                <wp:docPr id="1036"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
                        <a:srcRect/>
                        <a:stretch>
                          <a:fillRect/>
                        </a:stretch>
                      </pic:blipFill>
                      <pic:spPr>
                        <a:xfrm>
                          <a:off x="0" y="0"/>
                          <a:ext cx="889635" cy="812800"/>
                        </a:xfrm>
                        <a:prstGeom prst="rect">
                          <a:avLst/>
                        </a:prstGeom>
                        <a:ln/>
                      </pic:spPr>
                    </pic:pic>
                  </a:graphicData>
                </a:graphic>
              </wp:inline>
            </w:drawing>
          </w:r>
        </w:p>
      </w:tc>
      <w:tc>
        <w:tcPr>
          <w:tcW w:w="5783" w:type="dxa"/>
          <w:vAlign w:val="center"/>
        </w:tcPr>
        <w:p w:rsidR="00C1501C" w:rsidRDefault="00C1501C">
          <w:pPr>
            <w:pBdr>
              <w:top w:val="nil"/>
              <w:left w:val="nil"/>
              <w:bottom w:val="nil"/>
              <w:right w:val="nil"/>
              <w:between w:val="nil"/>
            </w:pBdr>
            <w:tabs>
              <w:tab w:val="left" w:pos="5556"/>
            </w:tabs>
            <w:spacing w:after="0" w:line="240" w:lineRule="auto"/>
            <w:ind w:left="0" w:hanging="2"/>
            <w:jc w:val="center"/>
            <w:rPr>
              <w:rFonts w:ascii="Arial" w:eastAsia="Arial" w:hAnsi="Arial" w:cs="Arial"/>
              <w:color w:val="000000"/>
              <w:sz w:val="24"/>
              <w:szCs w:val="24"/>
            </w:rPr>
          </w:pPr>
          <w:r>
            <w:rPr>
              <w:rFonts w:ascii="Arial" w:eastAsia="Arial" w:hAnsi="Arial" w:cs="Arial"/>
              <w:b/>
              <w:color w:val="000000"/>
              <w:sz w:val="24"/>
              <w:szCs w:val="24"/>
            </w:rPr>
            <w:t>SINERGI</w:t>
          </w:r>
          <w:r>
            <w:rPr>
              <w:rFonts w:ascii="Arial" w:eastAsia="Arial" w:hAnsi="Arial" w:cs="Arial"/>
              <w:color w:val="000000"/>
              <w:sz w:val="24"/>
              <w:szCs w:val="24"/>
            </w:rPr>
            <w:t xml:space="preserve"> Vol. xx, No. x, February 20xx: xxx-xxx http://publikasi.mercubuana.ac.id/index.php/sinergi http://doi.org/10.22441/sinergi.xxxx.x.xxx</w:t>
          </w:r>
        </w:p>
      </w:tc>
      <w:tc>
        <w:tcPr>
          <w:tcW w:w="1701" w:type="dxa"/>
          <w:vAlign w:val="center"/>
        </w:tcPr>
        <w:p w:rsidR="00C1501C" w:rsidRDefault="00C1501C">
          <w:pPr>
            <w:pBdr>
              <w:top w:val="nil"/>
              <w:left w:val="nil"/>
              <w:bottom w:val="nil"/>
              <w:right w:val="nil"/>
              <w:between w:val="nil"/>
            </w:pBdr>
            <w:tabs>
              <w:tab w:val="left" w:pos="4680"/>
            </w:tabs>
            <w:spacing w:after="0" w:line="240" w:lineRule="auto"/>
            <w:ind w:left="0" w:hanging="2"/>
            <w:jc w:val="center"/>
            <w:rPr>
              <w:color w:val="000000"/>
            </w:rPr>
          </w:pPr>
          <w:r>
            <w:rPr>
              <w:noProof/>
              <w:color w:val="000000"/>
              <w:lang w:val="en-ID" w:eastAsia="en-ID"/>
            </w:rPr>
            <w:drawing>
              <wp:inline distT="0" distB="0" distL="114300" distR="114300">
                <wp:extent cx="627380" cy="784225"/>
                <wp:effectExtent l="0" t="0" r="0" b="0"/>
                <wp:docPr id="1037"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2"/>
                        <a:srcRect/>
                        <a:stretch>
                          <a:fillRect/>
                        </a:stretch>
                      </pic:blipFill>
                      <pic:spPr>
                        <a:xfrm>
                          <a:off x="0" y="0"/>
                          <a:ext cx="627380" cy="784225"/>
                        </a:xfrm>
                        <a:prstGeom prst="rect">
                          <a:avLst/>
                        </a:prstGeom>
                        <a:ln/>
                      </pic:spPr>
                    </pic:pic>
                  </a:graphicData>
                </a:graphic>
              </wp:inline>
            </w:drawing>
          </w:r>
        </w:p>
      </w:tc>
    </w:tr>
  </w:tbl>
  <w:p w:rsidR="00C1501C" w:rsidRDefault="00C1501C">
    <w:pPr>
      <w:pBdr>
        <w:top w:val="nil"/>
        <w:left w:val="nil"/>
        <w:bottom w:val="nil"/>
        <w:right w:val="nil"/>
        <w:between w:val="nil"/>
      </w:pBdr>
      <w:spacing w:after="0" w:line="240" w:lineRule="auto"/>
      <w:ind w:left="0" w:hanging="2"/>
      <w:rPr>
        <w:color w:val="000000"/>
      </w:rPr>
    </w:pPr>
  </w:p>
  <w:p w:rsidR="00C1501C" w:rsidRDefault="00C1501C">
    <w:pPr>
      <w:pBdr>
        <w:top w:val="nil"/>
        <w:left w:val="nil"/>
        <w:bottom w:val="nil"/>
        <w:right w:val="nil"/>
        <w:between w:val="nil"/>
      </w:pBdr>
      <w:spacing w:after="0" w:line="240" w:lineRule="auto"/>
      <w:ind w:left="0" w:hanging="2"/>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8D51BC"/>
    <w:multiLevelType w:val="multilevel"/>
    <w:tmpl w:val="DA1AD4AE"/>
    <w:lvl w:ilvl="0">
      <w:start w:val="1"/>
      <w:numFmt w:val="decimal"/>
      <w:pStyle w:val="DaftarReferensi"/>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45F76128"/>
    <w:multiLevelType w:val="hybridMultilevel"/>
    <w:tmpl w:val="CF929DCE"/>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79E650BC"/>
    <w:multiLevelType w:val="multilevel"/>
    <w:tmpl w:val="28161F1E"/>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7I0sDA0N7C0MDCwMDBX0lEKTi0uzszPAymwrAUAJXx/gSwAAAA="/>
  </w:docVars>
  <w:rsids>
    <w:rsidRoot w:val="00BC7E6E"/>
    <w:rsid w:val="000069E5"/>
    <w:rsid w:val="00011F35"/>
    <w:rsid w:val="00016D66"/>
    <w:rsid w:val="00020C2A"/>
    <w:rsid w:val="00022FA0"/>
    <w:rsid w:val="0002410C"/>
    <w:rsid w:val="00026252"/>
    <w:rsid w:val="00030521"/>
    <w:rsid w:val="00031E28"/>
    <w:rsid w:val="00035F42"/>
    <w:rsid w:val="00041F2D"/>
    <w:rsid w:val="0004562D"/>
    <w:rsid w:val="00052807"/>
    <w:rsid w:val="000645B9"/>
    <w:rsid w:val="000679DF"/>
    <w:rsid w:val="000710CE"/>
    <w:rsid w:val="000722D2"/>
    <w:rsid w:val="000750CE"/>
    <w:rsid w:val="00084789"/>
    <w:rsid w:val="00090430"/>
    <w:rsid w:val="00090FA7"/>
    <w:rsid w:val="000960B5"/>
    <w:rsid w:val="00097B73"/>
    <w:rsid w:val="000A22A3"/>
    <w:rsid w:val="000B6399"/>
    <w:rsid w:val="000B6CD7"/>
    <w:rsid w:val="000B7C45"/>
    <w:rsid w:val="000C412C"/>
    <w:rsid w:val="000C5B7D"/>
    <w:rsid w:val="000D229E"/>
    <w:rsid w:val="000D58AB"/>
    <w:rsid w:val="000E178A"/>
    <w:rsid w:val="000E1C10"/>
    <w:rsid w:val="000E3486"/>
    <w:rsid w:val="000E4029"/>
    <w:rsid w:val="000E5E28"/>
    <w:rsid w:val="000F03EB"/>
    <w:rsid w:val="000F2B04"/>
    <w:rsid w:val="000F3252"/>
    <w:rsid w:val="000F71D7"/>
    <w:rsid w:val="0011228D"/>
    <w:rsid w:val="001253FD"/>
    <w:rsid w:val="001310C6"/>
    <w:rsid w:val="0013265C"/>
    <w:rsid w:val="00134A00"/>
    <w:rsid w:val="0013562D"/>
    <w:rsid w:val="0013586A"/>
    <w:rsid w:val="00140803"/>
    <w:rsid w:val="001427A4"/>
    <w:rsid w:val="00144527"/>
    <w:rsid w:val="00146083"/>
    <w:rsid w:val="00147EBB"/>
    <w:rsid w:val="00150D1E"/>
    <w:rsid w:val="001655D2"/>
    <w:rsid w:val="0017032A"/>
    <w:rsid w:val="00170F49"/>
    <w:rsid w:val="00171B08"/>
    <w:rsid w:val="001759FC"/>
    <w:rsid w:val="00182450"/>
    <w:rsid w:val="0018258C"/>
    <w:rsid w:val="00182E0E"/>
    <w:rsid w:val="00185213"/>
    <w:rsid w:val="0019005E"/>
    <w:rsid w:val="00191D68"/>
    <w:rsid w:val="001952E8"/>
    <w:rsid w:val="00195B44"/>
    <w:rsid w:val="001A1019"/>
    <w:rsid w:val="001A11B0"/>
    <w:rsid w:val="001A3CF6"/>
    <w:rsid w:val="001A4DDA"/>
    <w:rsid w:val="001A510B"/>
    <w:rsid w:val="001A6388"/>
    <w:rsid w:val="001B76EB"/>
    <w:rsid w:val="001C02A3"/>
    <w:rsid w:val="001C29FB"/>
    <w:rsid w:val="001C5B03"/>
    <w:rsid w:val="001D2E8C"/>
    <w:rsid w:val="001D34F0"/>
    <w:rsid w:val="001D39B6"/>
    <w:rsid w:val="001D5530"/>
    <w:rsid w:val="001D670F"/>
    <w:rsid w:val="001E39CA"/>
    <w:rsid w:val="001F37CC"/>
    <w:rsid w:val="002000CA"/>
    <w:rsid w:val="00204D2A"/>
    <w:rsid w:val="00205175"/>
    <w:rsid w:val="00205562"/>
    <w:rsid w:val="002076FA"/>
    <w:rsid w:val="002115EE"/>
    <w:rsid w:val="00211955"/>
    <w:rsid w:val="002155FE"/>
    <w:rsid w:val="002262A9"/>
    <w:rsid w:val="002262EF"/>
    <w:rsid w:val="00231587"/>
    <w:rsid w:val="00236555"/>
    <w:rsid w:val="0024410E"/>
    <w:rsid w:val="00245E70"/>
    <w:rsid w:val="00246F29"/>
    <w:rsid w:val="00255666"/>
    <w:rsid w:val="002606F5"/>
    <w:rsid w:val="00271341"/>
    <w:rsid w:val="0027387D"/>
    <w:rsid w:val="0027516B"/>
    <w:rsid w:val="002754D8"/>
    <w:rsid w:val="00277C80"/>
    <w:rsid w:val="002818DA"/>
    <w:rsid w:val="00286EE8"/>
    <w:rsid w:val="00290DE6"/>
    <w:rsid w:val="00291B9F"/>
    <w:rsid w:val="002935CE"/>
    <w:rsid w:val="00296E95"/>
    <w:rsid w:val="002A38BC"/>
    <w:rsid w:val="002A5D82"/>
    <w:rsid w:val="002B0A35"/>
    <w:rsid w:val="002B78B2"/>
    <w:rsid w:val="002D2035"/>
    <w:rsid w:val="002F0F77"/>
    <w:rsid w:val="002F11C2"/>
    <w:rsid w:val="002F3F43"/>
    <w:rsid w:val="002F4900"/>
    <w:rsid w:val="002F6F35"/>
    <w:rsid w:val="002F7579"/>
    <w:rsid w:val="00304006"/>
    <w:rsid w:val="00306FF3"/>
    <w:rsid w:val="00310638"/>
    <w:rsid w:val="00316DFE"/>
    <w:rsid w:val="00325B98"/>
    <w:rsid w:val="00333B58"/>
    <w:rsid w:val="003341C9"/>
    <w:rsid w:val="00337017"/>
    <w:rsid w:val="0034422C"/>
    <w:rsid w:val="00346C55"/>
    <w:rsid w:val="00355362"/>
    <w:rsid w:val="00356912"/>
    <w:rsid w:val="00372FD6"/>
    <w:rsid w:val="003814AB"/>
    <w:rsid w:val="0038150E"/>
    <w:rsid w:val="003832D2"/>
    <w:rsid w:val="003858FA"/>
    <w:rsid w:val="003867F6"/>
    <w:rsid w:val="00386DFA"/>
    <w:rsid w:val="003A0A50"/>
    <w:rsid w:val="003A1B83"/>
    <w:rsid w:val="003A3263"/>
    <w:rsid w:val="003A59D0"/>
    <w:rsid w:val="003A6FB8"/>
    <w:rsid w:val="003A6FEE"/>
    <w:rsid w:val="003A779D"/>
    <w:rsid w:val="003B1E80"/>
    <w:rsid w:val="003B20B2"/>
    <w:rsid w:val="003B2207"/>
    <w:rsid w:val="003B61FE"/>
    <w:rsid w:val="003B7326"/>
    <w:rsid w:val="003C57A9"/>
    <w:rsid w:val="003D5089"/>
    <w:rsid w:val="003E1451"/>
    <w:rsid w:val="003E1DE5"/>
    <w:rsid w:val="003E7689"/>
    <w:rsid w:val="003E78E0"/>
    <w:rsid w:val="003F171F"/>
    <w:rsid w:val="003F1722"/>
    <w:rsid w:val="003F2655"/>
    <w:rsid w:val="00400658"/>
    <w:rsid w:val="00401E2D"/>
    <w:rsid w:val="004048C6"/>
    <w:rsid w:val="00404A3D"/>
    <w:rsid w:val="004107F5"/>
    <w:rsid w:val="0041400C"/>
    <w:rsid w:val="004177C8"/>
    <w:rsid w:val="00417CB1"/>
    <w:rsid w:val="00420CAE"/>
    <w:rsid w:val="00423D6E"/>
    <w:rsid w:val="004437D9"/>
    <w:rsid w:val="00443A6E"/>
    <w:rsid w:val="00444C75"/>
    <w:rsid w:val="00446235"/>
    <w:rsid w:val="00455AC7"/>
    <w:rsid w:val="00460CEE"/>
    <w:rsid w:val="00463ED6"/>
    <w:rsid w:val="00472090"/>
    <w:rsid w:val="0047657E"/>
    <w:rsid w:val="00476A1F"/>
    <w:rsid w:val="00482070"/>
    <w:rsid w:val="004829DB"/>
    <w:rsid w:val="00483745"/>
    <w:rsid w:val="004841A1"/>
    <w:rsid w:val="00486ECE"/>
    <w:rsid w:val="00486F38"/>
    <w:rsid w:val="004912A6"/>
    <w:rsid w:val="004917BB"/>
    <w:rsid w:val="00497F40"/>
    <w:rsid w:val="004A4647"/>
    <w:rsid w:val="004A568D"/>
    <w:rsid w:val="004A6EE5"/>
    <w:rsid w:val="004B12C3"/>
    <w:rsid w:val="004B43D5"/>
    <w:rsid w:val="004B693E"/>
    <w:rsid w:val="004B6C35"/>
    <w:rsid w:val="004C004F"/>
    <w:rsid w:val="004C16E7"/>
    <w:rsid w:val="004C6FA7"/>
    <w:rsid w:val="004D171A"/>
    <w:rsid w:val="004D426F"/>
    <w:rsid w:val="004D63D1"/>
    <w:rsid w:val="004E4A46"/>
    <w:rsid w:val="004E6C06"/>
    <w:rsid w:val="004F29EB"/>
    <w:rsid w:val="004F47F5"/>
    <w:rsid w:val="004F5BA9"/>
    <w:rsid w:val="004F5F7C"/>
    <w:rsid w:val="004F752F"/>
    <w:rsid w:val="004F79A3"/>
    <w:rsid w:val="005030B3"/>
    <w:rsid w:val="00504B7B"/>
    <w:rsid w:val="00505CA1"/>
    <w:rsid w:val="00507767"/>
    <w:rsid w:val="00511D4F"/>
    <w:rsid w:val="0051652A"/>
    <w:rsid w:val="005174B3"/>
    <w:rsid w:val="00517AA4"/>
    <w:rsid w:val="00520CE2"/>
    <w:rsid w:val="0053096B"/>
    <w:rsid w:val="00533329"/>
    <w:rsid w:val="00536648"/>
    <w:rsid w:val="0053734B"/>
    <w:rsid w:val="00540717"/>
    <w:rsid w:val="005414FD"/>
    <w:rsid w:val="00542B0E"/>
    <w:rsid w:val="00542C02"/>
    <w:rsid w:val="00546E20"/>
    <w:rsid w:val="00546F9D"/>
    <w:rsid w:val="005478AE"/>
    <w:rsid w:val="00560E44"/>
    <w:rsid w:val="00561258"/>
    <w:rsid w:val="00561973"/>
    <w:rsid w:val="00562984"/>
    <w:rsid w:val="0057016D"/>
    <w:rsid w:val="00572332"/>
    <w:rsid w:val="00572988"/>
    <w:rsid w:val="00576A63"/>
    <w:rsid w:val="00576FCD"/>
    <w:rsid w:val="005778D1"/>
    <w:rsid w:val="00584211"/>
    <w:rsid w:val="00585AF4"/>
    <w:rsid w:val="00585FF8"/>
    <w:rsid w:val="00586ADB"/>
    <w:rsid w:val="00592F4F"/>
    <w:rsid w:val="00595B7C"/>
    <w:rsid w:val="005966E9"/>
    <w:rsid w:val="005A62CA"/>
    <w:rsid w:val="005B1B73"/>
    <w:rsid w:val="005B3CC0"/>
    <w:rsid w:val="005B7946"/>
    <w:rsid w:val="005D7DFF"/>
    <w:rsid w:val="005E12C2"/>
    <w:rsid w:val="005E5158"/>
    <w:rsid w:val="005E574F"/>
    <w:rsid w:val="005E6354"/>
    <w:rsid w:val="005E645B"/>
    <w:rsid w:val="005E6B0C"/>
    <w:rsid w:val="005F2818"/>
    <w:rsid w:val="005F40CB"/>
    <w:rsid w:val="005F4F79"/>
    <w:rsid w:val="00600BF7"/>
    <w:rsid w:val="00601773"/>
    <w:rsid w:val="0060190A"/>
    <w:rsid w:val="00605B0A"/>
    <w:rsid w:val="0061167A"/>
    <w:rsid w:val="00613018"/>
    <w:rsid w:val="0061424D"/>
    <w:rsid w:val="00617661"/>
    <w:rsid w:val="00620C69"/>
    <w:rsid w:val="0062148F"/>
    <w:rsid w:val="00622F19"/>
    <w:rsid w:val="0063171B"/>
    <w:rsid w:val="00634580"/>
    <w:rsid w:val="00640501"/>
    <w:rsid w:val="00642574"/>
    <w:rsid w:val="00650C22"/>
    <w:rsid w:val="0065143D"/>
    <w:rsid w:val="00652DBE"/>
    <w:rsid w:val="00653C0A"/>
    <w:rsid w:val="006637D3"/>
    <w:rsid w:val="00664B9D"/>
    <w:rsid w:val="00665F58"/>
    <w:rsid w:val="006663CE"/>
    <w:rsid w:val="006709A0"/>
    <w:rsid w:val="00672B92"/>
    <w:rsid w:val="006742C4"/>
    <w:rsid w:val="006814A4"/>
    <w:rsid w:val="00685861"/>
    <w:rsid w:val="006865B0"/>
    <w:rsid w:val="00686F9C"/>
    <w:rsid w:val="00687C08"/>
    <w:rsid w:val="00690F33"/>
    <w:rsid w:val="00692318"/>
    <w:rsid w:val="006932A5"/>
    <w:rsid w:val="00694AFF"/>
    <w:rsid w:val="00695B2D"/>
    <w:rsid w:val="006A12E0"/>
    <w:rsid w:val="006A3532"/>
    <w:rsid w:val="006C0BF0"/>
    <w:rsid w:val="006D582D"/>
    <w:rsid w:val="006E003E"/>
    <w:rsid w:val="006E2B19"/>
    <w:rsid w:val="006E2D5C"/>
    <w:rsid w:val="006E66D7"/>
    <w:rsid w:val="006F38F1"/>
    <w:rsid w:val="00703960"/>
    <w:rsid w:val="00704E90"/>
    <w:rsid w:val="0070630A"/>
    <w:rsid w:val="00706998"/>
    <w:rsid w:val="0071316D"/>
    <w:rsid w:val="007174B8"/>
    <w:rsid w:val="00722FB9"/>
    <w:rsid w:val="007266B7"/>
    <w:rsid w:val="007329CC"/>
    <w:rsid w:val="0073603F"/>
    <w:rsid w:val="00736711"/>
    <w:rsid w:val="00736988"/>
    <w:rsid w:val="0074640E"/>
    <w:rsid w:val="0075337E"/>
    <w:rsid w:val="007554B5"/>
    <w:rsid w:val="00763746"/>
    <w:rsid w:val="0076491B"/>
    <w:rsid w:val="007650A7"/>
    <w:rsid w:val="00772E5C"/>
    <w:rsid w:val="00775B49"/>
    <w:rsid w:val="00775DAB"/>
    <w:rsid w:val="00776EB0"/>
    <w:rsid w:val="00777DBA"/>
    <w:rsid w:val="0078233C"/>
    <w:rsid w:val="007833CF"/>
    <w:rsid w:val="007867EB"/>
    <w:rsid w:val="00787FE1"/>
    <w:rsid w:val="0079473B"/>
    <w:rsid w:val="007A0EB1"/>
    <w:rsid w:val="007A1B45"/>
    <w:rsid w:val="007A5840"/>
    <w:rsid w:val="007A68E6"/>
    <w:rsid w:val="007B0EBD"/>
    <w:rsid w:val="007B546C"/>
    <w:rsid w:val="007C1235"/>
    <w:rsid w:val="007D1408"/>
    <w:rsid w:val="007D3337"/>
    <w:rsid w:val="007D3E57"/>
    <w:rsid w:val="007D5769"/>
    <w:rsid w:val="007E550B"/>
    <w:rsid w:val="007E567C"/>
    <w:rsid w:val="007F6347"/>
    <w:rsid w:val="007F7220"/>
    <w:rsid w:val="00800D55"/>
    <w:rsid w:val="00803A99"/>
    <w:rsid w:val="0080425B"/>
    <w:rsid w:val="008052A9"/>
    <w:rsid w:val="00805C2C"/>
    <w:rsid w:val="00810B88"/>
    <w:rsid w:val="00812B27"/>
    <w:rsid w:val="00812D89"/>
    <w:rsid w:val="00812E34"/>
    <w:rsid w:val="00814063"/>
    <w:rsid w:val="00815C5D"/>
    <w:rsid w:val="00821BC8"/>
    <w:rsid w:val="00830B4B"/>
    <w:rsid w:val="008410E4"/>
    <w:rsid w:val="0084211C"/>
    <w:rsid w:val="00844CDE"/>
    <w:rsid w:val="00847F1D"/>
    <w:rsid w:val="00861B3E"/>
    <w:rsid w:val="00863D87"/>
    <w:rsid w:val="00871D77"/>
    <w:rsid w:val="00874E66"/>
    <w:rsid w:val="0088468B"/>
    <w:rsid w:val="00896731"/>
    <w:rsid w:val="008A02BF"/>
    <w:rsid w:val="008B4F9B"/>
    <w:rsid w:val="008B6838"/>
    <w:rsid w:val="008B7EE4"/>
    <w:rsid w:val="008C1560"/>
    <w:rsid w:val="008C2463"/>
    <w:rsid w:val="008C3EB5"/>
    <w:rsid w:val="008E10FB"/>
    <w:rsid w:val="008E1C00"/>
    <w:rsid w:val="008E29FE"/>
    <w:rsid w:val="008E4687"/>
    <w:rsid w:val="008E48D9"/>
    <w:rsid w:val="008E4FB5"/>
    <w:rsid w:val="008E6464"/>
    <w:rsid w:val="008E702E"/>
    <w:rsid w:val="008F15CD"/>
    <w:rsid w:val="008F495C"/>
    <w:rsid w:val="008F4B07"/>
    <w:rsid w:val="008F4ECA"/>
    <w:rsid w:val="008F5BF8"/>
    <w:rsid w:val="008F6997"/>
    <w:rsid w:val="008F6A59"/>
    <w:rsid w:val="008F7599"/>
    <w:rsid w:val="009007AA"/>
    <w:rsid w:val="009067E3"/>
    <w:rsid w:val="00907688"/>
    <w:rsid w:val="00911266"/>
    <w:rsid w:val="00914107"/>
    <w:rsid w:val="00916410"/>
    <w:rsid w:val="009206DB"/>
    <w:rsid w:val="009260CE"/>
    <w:rsid w:val="009274C2"/>
    <w:rsid w:val="00933F81"/>
    <w:rsid w:val="00935C62"/>
    <w:rsid w:val="00935F27"/>
    <w:rsid w:val="00936143"/>
    <w:rsid w:val="009418DA"/>
    <w:rsid w:val="00941DDD"/>
    <w:rsid w:val="009532CF"/>
    <w:rsid w:val="009553FA"/>
    <w:rsid w:val="00963753"/>
    <w:rsid w:val="009638F4"/>
    <w:rsid w:val="0096479D"/>
    <w:rsid w:val="00965D7D"/>
    <w:rsid w:val="0096624B"/>
    <w:rsid w:val="00973C1D"/>
    <w:rsid w:val="00976D3A"/>
    <w:rsid w:val="00983644"/>
    <w:rsid w:val="00992945"/>
    <w:rsid w:val="009932D7"/>
    <w:rsid w:val="009960A1"/>
    <w:rsid w:val="009A0485"/>
    <w:rsid w:val="009A149E"/>
    <w:rsid w:val="009A34F9"/>
    <w:rsid w:val="009A39C7"/>
    <w:rsid w:val="009A6400"/>
    <w:rsid w:val="009A7690"/>
    <w:rsid w:val="009B5AAF"/>
    <w:rsid w:val="009C4454"/>
    <w:rsid w:val="009C5B47"/>
    <w:rsid w:val="009C7E97"/>
    <w:rsid w:val="009D2B92"/>
    <w:rsid w:val="009D6BB6"/>
    <w:rsid w:val="009E439B"/>
    <w:rsid w:val="009E5645"/>
    <w:rsid w:val="009F5F59"/>
    <w:rsid w:val="00A007B6"/>
    <w:rsid w:val="00A0656B"/>
    <w:rsid w:val="00A11090"/>
    <w:rsid w:val="00A15DB9"/>
    <w:rsid w:val="00A233DC"/>
    <w:rsid w:val="00A324C5"/>
    <w:rsid w:val="00A32CF7"/>
    <w:rsid w:val="00A35DF4"/>
    <w:rsid w:val="00A376D0"/>
    <w:rsid w:val="00A40804"/>
    <w:rsid w:val="00A52526"/>
    <w:rsid w:val="00A52C04"/>
    <w:rsid w:val="00A546CA"/>
    <w:rsid w:val="00A57179"/>
    <w:rsid w:val="00A601E9"/>
    <w:rsid w:val="00A62A3C"/>
    <w:rsid w:val="00A654FA"/>
    <w:rsid w:val="00A659B0"/>
    <w:rsid w:val="00A660E7"/>
    <w:rsid w:val="00A669CA"/>
    <w:rsid w:val="00A72C77"/>
    <w:rsid w:val="00A75F00"/>
    <w:rsid w:val="00A82227"/>
    <w:rsid w:val="00A8441B"/>
    <w:rsid w:val="00A85AAE"/>
    <w:rsid w:val="00A92DC0"/>
    <w:rsid w:val="00A94F0D"/>
    <w:rsid w:val="00AA5E59"/>
    <w:rsid w:val="00AB1866"/>
    <w:rsid w:val="00AB3565"/>
    <w:rsid w:val="00AB6837"/>
    <w:rsid w:val="00AC002F"/>
    <w:rsid w:val="00AC03D4"/>
    <w:rsid w:val="00AC391B"/>
    <w:rsid w:val="00AC3E7D"/>
    <w:rsid w:val="00AD6EF0"/>
    <w:rsid w:val="00AD7F7C"/>
    <w:rsid w:val="00AE0ABE"/>
    <w:rsid w:val="00AE1334"/>
    <w:rsid w:val="00AE26FA"/>
    <w:rsid w:val="00AE3372"/>
    <w:rsid w:val="00AE4F29"/>
    <w:rsid w:val="00AE504B"/>
    <w:rsid w:val="00AE738F"/>
    <w:rsid w:val="00AF27DA"/>
    <w:rsid w:val="00AF4BB5"/>
    <w:rsid w:val="00AF59D7"/>
    <w:rsid w:val="00AF7287"/>
    <w:rsid w:val="00AF7D25"/>
    <w:rsid w:val="00B02F8F"/>
    <w:rsid w:val="00B04151"/>
    <w:rsid w:val="00B11177"/>
    <w:rsid w:val="00B11309"/>
    <w:rsid w:val="00B13E06"/>
    <w:rsid w:val="00B20E79"/>
    <w:rsid w:val="00B20F68"/>
    <w:rsid w:val="00B21573"/>
    <w:rsid w:val="00B2716F"/>
    <w:rsid w:val="00B30528"/>
    <w:rsid w:val="00B3125B"/>
    <w:rsid w:val="00B32BA3"/>
    <w:rsid w:val="00B35F0C"/>
    <w:rsid w:val="00B45CB2"/>
    <w:rsid w:val="00B51C46"/>
    <w:rsid w:val="00B538C3"/>
    <w:rsid w:val="00B55A82"/>
    <w:rsid w:val="00B56D6E"/>
    <w:rsid w:val="00B62FFA"/>
    <w:rsid w:val="00B7288A"/>
    <w:rsid w:val="00B7571D"/>
    <w:rsid w:val="00B7701E"/>
    <w:rsid w:val="00B771DA"/>
    <w:rsid w:val="00B80D90"/>
    <w:rsid w:val="00B84106"/>
    <w:rsid w:val="00B85BD3"/>
    <w:rsid w:val="00B869E3"/>
    <w:rsid w:val="00B90195"/>
    <w:rsid w:val="00B939A3"/>
    <w:rsid w:val="00BA050A"/>
    <w:rsid w:val="00BA0F23"/>
    <w:rsid w:val="00BA51BF"/>
    <w:rsid w:val="00BA6677"/>
    <w:rsid w:val="00BA6745"/>
    <w:rsid w:val="00BA68F1"/>
    <w:rsid w:val="00BB192E"/>
    <w:rsid w:val="00BB208F"/>
    <w:rsid w:val="00BB369C"/>
    <w:rsid w:val="00BC0E4D"/>
    <w:rsid w:val="00BC1A42"/>
    <w:rsid w:val="00BC25B8"/>
    <w:rsid w:val="00BC48EA"/>
    <w:rsid w:val="00BC4C5C"/>
    <w:rsid w:val="00BC7E6E"/>
    <w:rsid w:val="00BD00E5"/>
    <w:rsid w:val="00BD038C"/>
    <w:rsid w:val="00BD0EAA"/>
    <w:rsid w:val="00BD1DF1"/>
    <w:rsid w:val="00BD45C7"/>
    <w:rsid w:val="00BD737A"/>
    <w:rsid w:val="00BE32A0"/>
    <w:rsid w:val="00BE412F"/>
    <w:rsid w:val="00BF4D7E"/>
    <w:rsid w:val="00BF6C65"/>
    <w:rsid w:val="00C006CB"/>
    <w:rsid w:val="00C0411B"/>
    <w:rsid w:val="00C06A05"/>
    <w:rsid w:val="00C10CFD"/>
    <w:rsid w:val="00C1339B"/>
    <w:rsid w:val="00C1501C"/>
    <w:rsid w:val="00C21EC3"/>
    <w:rsid w:val="00C24906"/>
    <w:rsid w:val="00C24C56"/>
    <w:rsid w:val="00C24F74"/>
    <w:rsid w:val="00C30CCB"/>
    <w:rsid w:val="00C320E7"/>
    <w:rsid w:val="00C324F1"/>
    <w:rsid w:val="00C34AC2"/>
    <w:rsid w:val="00C35E25"/>
    <w:rsid w:val="00C378C2"/>
    <w:rsid w:val="00C441BD"/>
    <w:rsid w:val="00C44F34"/>
    <w:rsid w:val="00C46019"/>
    <w:rsid w:val="00C50071"/>
    <w:rsid w:val="00C5166F"/>
    <w:rsid w:val="00C53B95"/>
    <w:rsid w:val="00C544A8"/>
    <w:rsid w:val="00C61E9B"/>
    <w:rsid w:val="00C64A49"/>
    <w:rsid w:val="00C73496"/>
    <w:rsid w:val="00C7540D"/>
    <w:rsid w:val="00C76E22"/>
    <w:rsid w:val="00C77A24"/>
    <w:rsid w:val="00C87B4A"/>
    <w:rsid w:val="00C9129F"/>
    <w:rsid w:val="00C91470"/>
    <w:rsid w:val="00C92E4A"/>
    <w:rsid w:val="00C973FB"/>
    <w:rsid w:val="00CA2130"/>
    <w:rsid w:val="00CA2445"/>
    <w:rsid w:val="00CA453F"/>
    <w:rsid w:val="00CA7EF1"/>
    <w:rsid w:val="00CB3DDA"/>
    <w:rsid w:val="00CB6123"/>
    <w:rsid w:val="00CC07CE"/>
    <w:rsid w:val="00CC427D"/>
    <w:rsid w:val="00CC5EE9"/>
    <w:rsid w:val="00CC6E3A"/>
    <w:rsid w:val="00CC7B8E"/>
    <w:rsid w:val="00CD0FD0"/>
    <w:rsid w:val="00CF2703"/>
    <w:rsid w:val="00CF3B3B"/>
    <w:rsid w:val="00CF54AC"/>
    <w:rsid w:val="00D0002E"/>
    <w:rsid w:val="00D029C8"/>
    <w:rsid w:val="00D02FAC"/>
    <w:rsid w:val="00D04053"/>
    <w:rsid w:val="00D11933"/>
    <w:rsid w:val="00D15141"/>
    <w:rsid w:val="00D239BC"/>
    <w:rsid w:val="00D32CC1"/>
    <w:rsid w:val="00D35920"/>
    <w:rsid w:val="00D37447"/>
    <w:rsid w:val="00D41BEC"/>
    <w:rsid w:val="00D41F86"/>
    <w:rsid w:val="00D42462"/>
    <w:rsid w:val="00D453A5"/>
    <w:rsid w:val="00D4640B"/>
    <w:rsid w:val="00D51A0C"/>
    <w:rsid w:val="00D61242"/>
    <w:rsid w:val="00D73609"/>
    <w:rsid w:val="00D77A27"/>
    <w:rsid w:val="00D822A9"/>
    <w:rsid w:val="00D91DC3"/>
    <w:rsid w:val="00D92D14"/>
    <w:rsid w:val="00D95E90"/>
    <w:rsid w:val="00D96894"/>
    <w:rsid w:val="00DA1405"/>
    <w:rsid w:val="00DA18C4"/>
    <w:rsid w:val="00DA1DE1"/>
    <w:rsid w:val="00DA23BE"/>
    <w:rsid w:val="00DA5430"/>
    <w:rsid w:val="00DB1E46"/>
    <w:rsid w:val="00DD1FAF"/>
    <w:rsid w:val="00DD2665"/>
    <w:rsid w:val="00DD40E5"/>
    <w:rsid w:val="00DD478D"/>
    <w:rsid w:val="00DD6F83"/>
    <w:rsid w:val="00DD7B7A"/>
    <w:rsid w:val="00DE4F70"/>
    <w:rsid w:val="00DE544B"/>
    <w:rsid w:val="00DF15C1"/>
    <w:rsid w:val="00DF3AB8"/>
    <w:rsid w:val="00DF5D0E"/>
    <w:rsid w:val="00DF6DC6"/>
    <w:rsid w:val="00DF6E0E"/>
    <w:rsid w:val="00E01CB2"/>
    <w:rsid w:val="00E03B59"/>
    <w:rsid w:val="00E03FBA"/>
    <w:rsid w:val="00E11AB1"/>
    <w:rsid w:val="00E1334C"/>
    <w:rsid w:val="00E211CA"/>
    <w:rsid w:val="00E22120"/>
    <w:rsid w:val="00E229F8"/>
    <w:rsid w:val="00E271F8"/>
    <w:rsid w:val="00E33580"/>
    <w:rsid w:val="00E3428E"/>
    <w:rsid w:val="00E36382"/>
    <w:rsid w:val="00E36C75"/>
    <w:rsid w:val="00E36E96"/>
    <w:rsid w:val="00E36EB5"/>
    <w:rsid w:val="00E43A11"/>
    <w:rsid w:val="00E443F1"/>
    <w:rsid w:val="00E55F14"/>
    <w:rsid w:val="00E60F27"/>
    <w:rsid w:val="00E642B9"/>
    <w:rsid w:val="00E64A47"/>
    <w:rsid w:val="00E67F27"/>
    <w:rsid w:val="00E74366"/>
    <w:rsid w:val="00E80378"/>
    <w:rsid w:val="00E857E9"/>
    <w:rsid w:val="00E972BB"/>
    <w:rsid w:val="00EA3C65"/>
    <w:rsid w:val="00EA427F"/>
    <w:rsid w:val="00EA5191"/>
    <w:rsid w:val="00EA7383"/>
    <w:rsid w:val="00EB1329"/>
    <w:rsid w:val="00EC53E0"/>
    <w:rsid w:val="00ED34D8"/>
    <w:rsid w:val="00ED43E3"/>
    <w:rsid w:val="00EE0732"/>
    <w:rsid w:val="00EE4BC5"/>
    <w:rsid w:val="00EF0E7B"/>
    <w:rsid w:val="00EF1C79"/>
    <w:rsid w:val="00EF2E53"/>
    <w:rsid w:val="00F0350C"/>
    <w:rsid w:val="00F1271B"/>
    <w:rsid w:val="00F16A03"/>
    <w:rsid w:val="00F23E2A"/>
    <w:rsid w:val="00F2513D"/>
    <w:rsid w:val="00F335BA"/>
    <w:rsid w:val="00F33AE9"/>
    <w:rsid w:val="00F36092"/>
    <w:rsid w:val="00F407F0"/>
    <w:rsid w:val="00F41779"/>
    <w:rsid w:val="00F53AB5"/>
    <w:rsid w:val="00F5663B"/>
    <w:rsid w:val="00F63435"/>
    <w:rsid w:val="00F63967"/>
    <w:rsid w:val="00F733EA"/>
    <w:rsid w:val="00F82AA0"/>
    <w:rsid w:val="00F83815"/>
    <w:rsid w:val="00F8561F"/>
    <w:rsid w:val="00F92E4B"/>
    <w:rsid w:val="00F937D0"/>
    <w:rsid w:val="00F961A8"/>
    <w:rsid w:val="00F97D0E"/>
    <w:rsid w:val="00F97EC5"/>
    <w:rsid w:val="00FA4654"/>
    <w:rsid w:val="00FA5ECD"/>
    <w:rsid w:val="00FB247F"/>
    <w:rsid w:val="00FC3113"/>
    <w:rsid w:val="00FC6E56"/>
    <w:rsid w:val="00FD0A10"/>
    <w:rsid w:val="00FD289A"/>
    <w:rsid w:val="00FD55D5"/>
    <w:rsid w:val="00FF1BAE"/>
    <w:rsid w:val="00FF1C84"/>
    <w:rsid w:val="00FF2B4C"/>
    <w:rsid w:val="00FF2D0F"/>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704142"/>
  <w15:docId w15:val="{6B803CD1-53D0-45D5-AAE9-C8CDE5BE0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ID"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ind w:leftChars="-1" w:left="-1" w:hangingChars="1" w:hanging="1"/>
      <w:textDirection w:val="btLr"/>
      <w:textAlignment w:val="top"/>
      <w:outlineLvl w:val="0"/>
    </w:pPr>
    <w:rPr>
      <w:position w:val="-1"/>
      <w:lang w:eastAsia="en-US"/>
    </w:rPr>
  </w:style>
  <w:style w:type="paragraph" w:styleId="Heading1">
    <w:name w:val="heading 1"/>
    <w:basedOn w:val="Normal"/>
    <w:next w:val="Normal"/>
    <w:pPr>
      <w:keepNext/>
      <w:keepLines/>
      <w:spacing w:before="480" w:after="12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pPr>
      <w:spacing w:after="0" w:line="240" w:lineRule="auto"/>
      <w:jc w:val="center"/>
    </w:pPr>
    <w:rPr>
      <w:rFonts w:ascii="Times New Roman" w:eastAsia="Times New Roman" w:hAnsi="Times New Roman"/>
      <w:b/>
      <w:bCs/>
      <w:sz w:val="28"/>
      <w:szCs w:val="24"/>
      <w:lang w:val="id-ID"/>
    </w:rPr>
  </w:style>
  <w:style w:type="paragraph" w:styleId="ListParagraph">
    <w:name w:val="List Paragraph"/>
    <w:basedOn w:val="Normal"/>
    <w:uiPriority w:val="34"/>
    <w:qFormat/>
    <w:pPr>
      <w:ind w:left="720"/>
      <w:contextualSpacing/>
    </w:pPr>
  </w:style>
  <w:style w:type="paragraph" w:styleId="BalloonText">
    <w:name w:val="Balloon Text"/>
    <w:basedOn w:val="Normal"/>
    <w:qFormat/>
    <w:pPr>
      <w:spacing w:after="0" w:line="240" w:lineRule="auto"/>
    </w:pPr>
    <w:rPr>
      <w:rFonts w:ascii="Tahoma" w:eastAsia="Times New Roman" w:hAnsi="Tahoma" w:cs="Tahoma"/>
      <w:sz w:val="16"/>
      <w:szCs w:val="16"/>
    </w:rPr>
  </w:style>
  <w:style w:type="character" w:customStyle="1" w:styleId="BalloonTextChar">
    <w:name w:val="Balloon Text Char"/>
    <w:rPr>
      <w:rFonts w:ascii="Tahoma" w:eastAsia="Times New Roman" w:hAnsi="Tahoma" w:cs="Tahoma"/>
      <w:w w:val="100"/>
      <w:position w:val="-1"/>
      <w:sz w:val="16"/>
      <w:szCs w:val="16"/>
      <w:effect w:val="none"/>
      <w:vertAlign w:val="baseline"/>
      <w:cs w:val="0"/>
      <w:em w:val="none"/>
    </w:rPr>
  </w:style>
  <w:style w:type="paragraph" w:customStyle="1" w:styleId="ratatengah">
    <w:name w:val="rata tengah"/>
    <w:basedOn w:val="Normal"/>
    <w:pPr>
      <w:keepNext/>
      <w:spacing w:after="0" w:line="240" w:lineRule="auto"/>
      <w:jc w:val="center"/>
    </w:pPr>
    <w:rPr>
      <w:rFonts w:ascii="Times New Roman" w:eastAsia="Times New Roman" w:hAnsi="Times New Roman" w:cs="Times New Roman"/>
      <w:sz w:val="20"/>
      <w:szCs w:val="24"/>
      <w:lang w:val="id-ID"/>
    </w:rPr>
  </w:style>
  <w:style w:type="paragraph" w:styleId="Caption">
    <w:name w:val="caption"/>
    <w:basedOn w:val="Normal"/>
    <w:next w:val="Normal"/>
    <w:pPr>
      <w:spacing w:before="120" w:after="120" w:line="240" w:lineRule="auto"/>
      <w:jc w:val="both"/>
    </w:pPr>
    <w:rPr>
      <w:rFonts w:ascii="Times New Roman" w:eastAsia="Times New Roman" w:hAnsi="Times New Roman" w:cs="Times New Roman"/>
      <w:bCs/>
      <w:sz w:val="20"/>
      <w:szCs w:val="20"/>
      <w:lang w:val="id-ID"/>
    </w:rPr>
  </w:style>
  <w:style w:type="paragraph" w:customStyle="1" w:styleId="TableTitle">
    <w:name w:val="Table Title"/>
    <w:basedOn w:val="Normal"/>
    <w:pPr>
      <w:autoSpaceDE w:val="0"/>
      <w:autoSpaceDN w:val="0"/>
      <w:spacing w:after="0" w:line="240" w:lineRule="auto"/>
      <w:jc w:val="center"/>
    </w:pPr>
    <w:rPr>
      <w:rFonts w:ascii="Times New Roman" w:eastAsia="Times New Roman" w:hAnsi="Times New Roman" w:cs="Times New Roman"/>
      <w:smallCaps/>
      <w:sz w:val="16"/>
      <w:szCs w:val="16"/>
    </w:rPr>
  </w:style>
  <w:style w:type="paragraph" w:customStyle="1" w:styleId="DaftarReferensi">
    <w:name w:val="Daftar Referensi"/>
    <w:basedOn w:val="Normal"/>
    <w:pPr>
      <w:numPr>
        <w:numId w:val="2"/>
      </w:numPr>
      <w:autoSpaceDE w:val="0"/>
      <w:autoSpaceDN w:val="0"/>
      <w:adjustRightInd w:val="0"/>
      <w:spacing w:after="0" w:line="240" w:lineRule="auto"/>
      <w:ind w:left="-1" w:hanging="1"/>
      <w:jc w:val="both"/>
    </w:pPr>
    <w:rPr>
      <w:rFonts w:ascii="Times New Roman" w:eastAsia="Times New Roman" w:hAnsi="Times New Roman" w:cs="Times New Roman"/>
      <w:sz w:val="20"/>
      <w:szCs w:val="24"/>
    </w:rPr>
  </w:style>
  <w:style w:type="paragraph" w:styleId="Header">
    <w:name w:val="header"/>
    <w:basedOn w:val="Normal"/>
    <w:qFormat/>
    <w:pPr>
      <w:spacing w:after="0" w:line="240" w:lineRule="auto"/>
    </w:pPr>
  </w:style>
  <w:style w:type="character" w:customStyle="1" w:styleId="HeaderChar">
    <w:name w:val="Header Char"/>
    <w:rPr>
      <w:w w:val="100"/>
      <w:position w:val="-1"/>
      <w:effect w:val="none"/>
      <w:vertAlign w:val="baseline"/>
      <w:cs w:val="0"/>
      <w:em w:val="none"/>
    </w:rPr>
  </w:style>
  <w:style w:type="paragraph" w:styleId="Footer">
    <w:name w:val="footer"/>
    <w:basedOn w:val="Normal"/>
    <w:qFormat/>
    <w:pPr>
      <w:spacing w:after="0" w:line="240" w:lineRule="auto"/>
    </w:pPr>
  </w:style>
  <w:style w:type="character" w:customStyle="1" w:styleId="FooterChar">
    <w:name w:val="Footer Char"/>
    <w:rPr>
      <w:w w:val="100"/>
      <w:position w:val="-1"/>
      <w:effect w:val="none"/>
      <w:vertAlign w:val="baseline"/>
      <w:cs w:val="0"/>
      <w:em w:val="none"/>
    </w:rPr>
  </w:style>
  <w:style w:type="character" w:styleId="Hyperlink">
    <w:name w:val="Hyperlink"/>
    <w:qFormat/>
    <w:rPr>
      <w:color w:val="0000FF"/>
      <w:w w:val="100"/>
      <w:position w:val="-1"/>
      <w:u w:val="single"/>
      <w:effect w:val="none"/>
      <w:vertAlign w:val="baseline"/>
      <w:cs w:val="0"/>
      <w:em w:val="none"/>
    </w:rPr>
  </w:style>
  <w:style w:type="paragraph" w:styleId="HTMLPreformatted">
    <w:name w:val="HTML Preformatted"/>
    <w:basedOn w:val="Normal"/>
    <w:pPr>
      <w:spacing w:after="0" w:line="240" w:lineRule="auto"/>
    </w:pPr>
    <w:rPr>
      <w:rFonts w:ascii="Courier New" w:eastAsia="Times New Roman" w:hAnsi="Courier New" w:cs="Courier New"/>
      <w:sz w:val="20"/>
      <w:szCs w:val="20"/>
    </w:rPr>
  </w:style>
  <w:style w:type="character" w:customStyle="1" w:styleId="HTMLPreformattedChar">
    <w:name w:val="HTML Preformatted Char"/>
    <w:rPr>
      <w:rFonts w:ascii="Courier New" w:eastAsia="Times New Roman" w:hAnsi="Courier New" w:cs="Courier New"/>
      <w:w w:val="100"/>
      <w:position w:val="-1"/>
      <w:sz w:val="20"/>
      <w:szCs w:val="20"/>
      <w:effect w:val="none"/>
      <w:vertAlign w:val="baseline"/>
      <w:cs w:val="0"/>
      <w:em w:val="none"/>
    </w:rPr>
  </w:style>
  <w:style w:type="table" w:styleId="TableGrid">
    <w:name w:val="Table Grid"/>
    <w:basedOn w:val="TableNormal"/>
    <w:pPr>
      <w:suppressAutoHyphens/>
      <w:spacing w:after="0" w:line="240" w:lineRule="auto"/>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Char">
    <w:name w:val="Title Char"/>
    <w:rPr>
      <w:rFonts w:ascii="Times New Roman" w:eastAsia="Times New Roman" w:hAnsi="Times New Roman"/>
      <w:b/>
      <w:bCs/>
      <w:w w:val="100"/>
      <w:position w:val="-1"/>
      <w:sz w:val="28"/>
      <w:szCs w:val="24"/>
      <w:effect w:val="none"/>
      <w:vertAlign w:val="baseline"/>
      <w:cs w:val="0"/>
      <w:em w:val="none"/>
      <w:lang w:val="id-ID"/>
    </w:rPr>
  </w:style>
  <w:style w:type="character" w:customStyle="1" w:styleId="apple-style-span">
    <w:name w:val="apple-style-span"/>
    <w:rPr>
      <w:w w:val="100"/>
      <w:position w:val="-1"/>
      <w:effect w:val="none"/>
      <w:vertAlign w:val="baseline"/>
      <w:cs w:val="0"/>
      <w:em w:val="none"/>
    </w:rPr>
  </w:style>
  <w:style w:type="paragraph" w:customStyle="1" w:styleId="ICVETBodyText">
    <w:name w:val="ICVET_BodyText"/>
    <w:basedOn w:val="Normal"/>
    <w:pPr>
      <w:spacing w:after="0" w:line="240" w:lineRule="auto"/>
      <w:ind w:firstLine="426"/>
      <w:jc w:val="both"/>
    </w:pPr>
    <w:rPr>
      <w:rFonts w:ascii="Times New Roman" w:eastAsia="Times New Roman" w:hAnsi="Times New Roman"/>
      <w:sz w:val="20"/>
      <w:szCs w:val="20"/>
    </w:rPr>
  </w:style>
  <w:style w:type="character" w:customStyle="1" w:styleId="ICVETBodyTextChar">
    <w:name w:val="ICVET_BodyText Char"/>
    <w:rPr>
      <w:rFonts w:ascii="Times New Roman" w:eastAsia="Times New Roman" w:hAnsi="Times New Roman"/>
      <w:w w:val="100"/>
      <w:position w:val="-1"/>
      <w:effect w:val="none"/>
      <w:vertAlign w:val="baseline"/>
      <w:cs w:val="0"/>
      <w:em w:val="none"/>
    </w:rPr>
  </w:style>
  <w:style w:type="character" w:styleId="Strong">
    <w:name w:val="Strong"/>
    <w:rPr>
      <w:b/>
      <w:bCs/>
      <w:w w:val="100"/>
      <w:position w:val="-1"/>
      <w:effect w:val="none"/>
      <w:vertAlign w:val="baseline"/>
      <w:cs w:val="0"/>
      <w:em w:val="none"/>
    </w:rPr>
  </w:style>
  <w:style w:type="character" w:styleId="Emphasis">
    <w:name w:val="Emphasis"/>
    <w:rPr>
      <w:i/>
      <w:iCs/>
      <w:w w:val="100"/>
      <w:position w:val="-1"/>
      <w:effect w:val="none"/>
      <w:vertAlign w:val="baseline"/>
      <w:cs w:val="0"/>
      <w:em w:val="none"/>
    </w:rPr>
  </w:style>
  <w:style w:type="character" w:customStyle="1" w:styleId="apple-converted-space">
    <w:name w:val="apple-converted-space"/>
    <w:rPr>
      <w:w w:val="100"/>
      <w:position w:val="-1"/>
      <w:effect w:val="none"/>
      <w:vertAlign w:val="baseline"/>
      <w:cs w:val="0"/>
      <w:em w:val="none"/>
    </w:rPr>
  </w:style>
  <w:style w:type="paragraph" w:styleId="NoSpacing">
    <w:name w:val="No Spacing"/>
    <w:pPr>
      <w:suppressAutoHyphens/>
      <w:spacing w:line="1" w:lineRule="atLeast"/>
      <w:ind w:leftChars="-1" w:left="-1" w:hangingChars="1" w:hanging="1"/>
      <w:textDirection w:val="btLr"/>
      <w:textAlignment w:val="top"/>
      <w:outlineLvl w:val="0"/>
    </w:pPr>
    <w:rPr>
      <w:position w:val="-1"/>
      <w:lang w:eastAsia="en-US"/>
    </w:rPr>
  </w:style>
  <w:style w:type="paragraph" w:styleId="NormalWeb">
    <w:name w:val="Normal (Web)"/>
    <w:basedOn w:val="Normal"/>
    <w:qFormat/>
    <w:pPr>
      <w:spacing w:before="100" w:beforeAutospacing="1" w:after="100" w:afterAutospacing="1" w:line="240" w:lineRule="auto"/>
    </w:pPr>
    <w:rPr>
      <w:rFonts w:ascii="Times New Roman" w:eastAsia="Times New Roman" w:hAnsi="Times New Roman"/>
      <w:sz w:val="24"/>
      <w:szCs w:val="24"/>
    </w:rPr>
  </w:style>
  <w:style w:type="paragraph" w:customStyle="1" w:styleId="EndNoteBibliographyTitle">
    <w:name w:val="EndNote Bibliography Title"/>
    <w:basedOn w:val="Normal"/>
    <w:pPr>
      <w:spacing w:after="0"/>
      <w:jc w:val="center"/>
    </w:pPr>
    <w:rPr>
      <w:noProof/>
    </w:rPr>
  </w:style>
  <w:style w:type="character" w:customStyle="1" w:styleId="EndNoteBibliographyTitleChar">
    <w:name w:val="EndNote Bibliography Title Char"/>
    <w:rPr>
      <w:noProof/>
      <w:w w:val="100"/>
      <w:position w:val="-1"/>
      <w:sz w:val="22"/>
      <w:szCs w:val="22"/>
      <w:effect w:val="none"/>
      <w:vertAlign w:val="baseline"/>
      <w:cs w:val="0"/>
      <w:em w:val="none"/>
    </w:rPr>
  </w:style>
  <w:style w:type="character" w:customStyle="1" w:styleId="UnresolvedMention">
    <w:name w:val="Unresolved Mention"/>
    <w:qFormat/>
    <w:rPr>
      <w:color w:val="605E5C"/>
      <w:w w:val="100"/>
      <w:position w:val="-1"/>
      <w:effect w:val="none"/>
      <w:shd w:val="clear" w:color="auto" w:fill="E1DFDD"/>
      <w:vertAlign w:val="baseline"/>
      <w:cs w:val="0"/>
      <w:em w:val="none"/>
    </w:rPr>
  </w:style>
  <w:style w:type="character" w:customStyle="1" w:styleId="ListParagraphChar">
    <w:name w:val="List Paragraph Char"/>
    <w:rPr>
      <w:w w:val="100"/>
      <w:position w:val="-1"/>
      <w:sz w:val="22"/>
      <w:szCs w:val="22"/>
      <w:effect w:val="none"/>
      <w:vertAlign w:val="baseline"/>
      <w:cs w:val="0"/>
      <w:em w:val="non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character" w:styleId="PlaceholderText">
    <w:name w:val="Placeholder Text"/>
    <w:basedOn w:val="DefaultParagraphFont"/>
    <w:uiPriority w:val="99"/>
    <w:semiHidden/>
    <w:rsid w:val="007867E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0016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image" Target="media/image12.png"/><Relationship Id="rId3" Type="http://schemas.openxmlformats.org/officeDocument/2006/relationships/numbering" Target="numbering.xml"/><Relationship Id="rId21" Type="http://schemas.openxmlformats.org/officeDocument/2006/relationships/image" Target="media/image7.png"/><Relationship Id="rId7" Type="http://schemas.openxmlformats.org/officeDocument/2006/relationships/footnotes" Target="footnotes.xml"/><Relationship Id="rId12" Type="http://schemas.openxmlformats.org/officeDocument/2006/relationships/hyperlink" Target="mailto:titi.sari@uin-suka.ac.id" TargetMode="External"/><Relationship Id="rId17" Type="http://schemas.openxmlformats.org/officeDocument/2006/relationships/header" Target="header3.xml"/><Relationship Id="rId25" Type="http://schemas.openxmlformats.org/officeDocument/2006/relationships/image" Target="media/image11.png"/><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image" Target="media/image6.png"/><Relationship Id="rId29" Type="http://schemas.openxmlformats.org/officeDocument/2006/relationships/image" Target="media/image15.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image" Target="media/image10.png"/><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1.xml"/><Relationship Id="rId23" Type="http://schemas.openxmlformats.org/officeDocument/2006/relationships/image" Target="media/image9.png"/><Relationship Id="rId28" Type="http://schemas.openxmlformats.org/officeDocument/2006/relationships/image" Target="media/image14.png"/><Relationship Id="rId10" Type="http://schemas.openxmlformats.org/officeDocument/2006/relationships/hyperlink" Target="http://creativecommons.org/licenses/by-sa/4.0/" TargetMode="External"/><Relationship Id="rId19" Type="http://schemas.openxmlformats.org/officeDocument/2006/relationships/image" Target="media/image5.png"/><Relationship Id="rId31" Type="http://schemas.openxmlformats.org/officeDocument/2006/relationships/image" Target="media/image17.png"/><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header" Target="header2.xml"/><Relationship Id="rId22" Type="http://schemas.openxmlformats.org/officeDocument/2006/relationships/image" Target="media/image8.png"/><Relationship Id="rId27" Type="http://schemas.openxmlformats.org/officeDocument/2006/relationships/image" Target="media/image13.png"/><Relationship Id="rId30" Type="http://schemas.openxmlformats.org/officeDocument/2006/relationships/image" Target="media/image16.png"/><Relationship Id="rId8" Type="http://schemas.openxmlformats.org/officeDocument/2006/relationships/endnotes" Target="endnotes.xml"/></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Wowr7ZhU4BKQENgEh7Q5TnIzXaw==">CgMxLjAyCGguZ2pkZ3hzOAByITFqaTgybEIwOE4wVHFyaFNRTFlDckZFQTl6WE9CWU03Wg==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610B52F-8133-43BB-9D85-F3B14DF074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27684</Words>
  <Characters>157799</Characters>
  <Application>Microsoft Office Word</Application>
  <DocSecurity>0</DocSecurity>
  <Lines>1314</Lines>
  <Paragraphs>370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kelas</dc:creator>
  <cp:lastModifiedBy>Reviewer</cp:lastModifiedBy>
  <cp:revision>2</cp:revision>
  <cp:lastPrinted>2024-06-18T04:44:00Z</cp:lastPrinted>
  <dcterms:created xsi:type="dcterms:W3CDTF">2024-08-10T07:11:00Z</dcterms:created>
  <dcterms:modified xsi:type="dcterms:W3CDTF">2024-08-10T07:11:00Z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6bbf0d93-c446-3305-ab34-e130e3018166</vt:lpwstr>
  </property>
  <property fmtid="{D5CDD505-2E9C-101B-9397-08002B2CF9AE}" pid="4" name="Mendeley Citation Style_1">
    <vt:lpwstr>http://www.zotero.org/styles/ieee</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