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E6E" w:rsidRDefault="00E36C75">
      <w:pPr>
        <w:widowControl w:val="0"/>
        <w:pBdr>
          <w:top w:val="nil"/>
          <w:left w:val="nil"/>
          <w:bottom w:val="nil"/>
          <w:right w:val="nil"/>
          <w:between w:val="nil"/>
        </w:pBdr>
        <w:spacing w:after="0"/>
        <w:ind w:left="0" w:hanging="2"/>
      </w:pPr>
      <w:r>
        <w:pict w14:anchorId="065F5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
            <v:path o:extrusionok="t"/>
            <o:lock v:ext="edit" selection="t"/>
          </v:shape>
        </w:pict>
      </w:r>
    </w:p>
    <w:p w:rsidR="00BC7E6E" w:rsidRDefault="00BC7E6E">
      <w:pPr>
        <w:widowControl w:val="0"/>
        <w:pBdr>
          <w:top w:val="nil"/>
          <w:left w:val="nil"/>
          <w:bottom w:val="nil"/>
          <w:right w:val="nil"/>
          <w:between w:val="nil"/>
        </w:pBdr>
        <w:spacing w:after="0"/>
        <w:ind w:left="0" w:hanging="2"/>
        <w:rPr>
          <w:rFonts w:ascii="Arial" w:eastAsia="Arial" w:hAnsi="Arial" w:cs="Arial"/>
          <w:color w:val="000000"/>
        </w:rPr>
      </w:pPr>
    </w:p>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BC7E6E">
        <w:tc>
          <w:tcPr>
            <w:tcW w:w="8504" w:type="dxa"/>
          </w:tcPr>
          <w:p w:rsidR="009E5645" w:rsidRDefault="009E5645">
            <w:pPr>
              <w:pStyle w:val="Title"/>
              <w:ind w:left="1" w:hanging="3"/>
              <w:jc w:val="left"/>
              <w:rPr>
                <w:rFonts w:ascii="Arial" w:eastAsia="Arial" w:hAnsi="Arial" w:cs="Arial"/>
                <w:lang w:val="en-ID"/>
              </w:rPr>
            </w:pPr>
            <w:r>
              <w:rPr>
                <w:rFonts w:ascii="Arial" w:eastAsia="Arial" w:hAnsi="Arial" w:cs="Arial"/>
                <w:lang w:val="en-ID"/>
              </w:rPr>
              <w:t>Forecast of Sugar Demand in Retail Using SARIMA and Decomposition Models</w:t>
            </w:r>
          </w:p>
          <w:p w:rsidR="00BC7E6E" w:rsidRDefault="009E5645" w:rsidP="009E5645">
            <w:pPr>
              <w:pStyle w:val="Title"/>
              <w:ind w:left="1" w:hanging="3"/>
              <w:jc w:val="left"/>
              <w:rPr>
                <w:rFonts w:ascii="Arial" w:eastAsia="Arial" w:hAnsi="Arial" w:cs="Arial"/>
              </w:rPr>
            </w:pPr>
            <w:r>
              <w:rPr>
                <w:rFonts w:ascii="Arial" w:eastAsia="Arial" w:hAnsi="Arial" w:cs="Arial"/>
                <w:lang w:val="en-ID"/>
              </w:rPr>
              <w:t>Study Case: A Retail Store in Indonesia</w:t>
            </w:r>
          </w:p>
        </w:tc>
        <w:tc>
          <w:tcPr>
            <w:tcW w:w="784" w:type="dxa"/>
            <w:vAlign w:val="center"/>
          </w:tcPr>
          <w:p w:rsidR="00BC7E6E" w:rsidRDefault="007266B7">
            <w:pPr>
              <w:pStyle w:val="Title"/>
              <w:ind w:left="1" w:hanging="3"/>
              <w:rPr>
                <w:rFonts w:ascii="Arial" w:eastAsia="Arial" w:hAnsi="Arial" w:cs="Arial"/>
              </w:rPr>
            </w:pPr>
            <w:r>
              <w:rPr>
                <w:rFonts w:ascii="Arial" w:eastAsia="Arial" w:hAnsi="Arial" w:cs="Arial"/>
                <w:noProof/>
                <w:lang w:val="en-ID" w:eastAsia="en-ID"/>
              </w:rPr>
              <w:drawing>
                <wp:inline distT="0" distB="0" distL="114300" distR="114300">
                  <wp:extent cx="360045" cy="360045"/>
                  <wp:effectExtent l="0" t="0" r="0" b="0"/>
                  <wp:docPr id="10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tbl>
    <w:p w:rsidR="00BC7E6E" w:rsidRDefault="00BC7E6E">
      <w:pPr>
        <w:pStyle w:val="Title"/>
        <w:ind w:left="1" w:hanging="3"/>
        <w:rPr>
          <w:rFonts w:ascii="Arial" w:eastAsia="Arial" w:hAnsi="Arial" w:cs="Arial"/>
        </w:rPr>
      </w:pPr>
    </w:p>
    <w:p w:rsidR="00BC7E6E" w:rsidRDefault="00BA0F23">
      <w:pPr>
        <w:widowControl w:val="0"/>
        <w:spacing w:after="0" w:line="240" w:lineRule="auto"/>
        <w:ind w:left="0" w:hanging="2"/>
        <w:rPr>
          <w:rFonts w:ascii="Arial" w:eastAsia="Arial" w:hAnsi="Arial" w:cs="Arial"/>
          <w:sz w:val="20"/>
          <w:szCs w:val="20"/>
        </w:rPr>
      </w:pPr>
      <w:r>
        <w:rPr>
          <w:rFonts w:ascii="Arial" w:eastAsia="Arial" w:hAnsi="Arial" w:cs="Arial"/>
          <w:b/>
          <w:sz w:val="20"/>
          <w:szCs w:val="20"/>
        </w:rPr>
        <w:t>Titi Sari</w:t>
      </w:r>
      <w:r w:rsidR="007266B7">
        <w:rPr>
          <w:rFonts w:ascii="Arial" w:eastAsia="Arial" w:hAnsi="Arial" w:cs="Arial"/>
          <w:b/>
          <w:sz w:val="20"/>
          <w:szCs w:val="20"/>
          <w:vertAlign w:val="superscript"/>
        </w:rPr>
        <w:t>1*</w:t>
      </w:r>
    </w:p>
    <w:p w:rsidR="001A6388" w:rsidRDefault="007266B7" w:rsidP="001A6388">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1</w:t>
      </w:r>
      <w:r w:rsidR="001A6388">
        <w:rPr>
          <w:rFonts w:ascii="Arial" w:eastAsia="Arial" w:hAnsi="Arial" w:cs="Arial"/>
          <w:sz w:val="16"/>
          <w:szCs w:val="16"/>
        </w:rPr>
        <w:t xml:space="preserve">Industrial Engineering Study Program, </w:t>
      </w:r>
      <w:proofErr w:type="spellStart"/>
      <w:r w:rsidR="001A6388">
        <w:rPr>
          <w:rFonts w:ascii="Arial" w:eastAsia="Arial" w:hAnsi="Arial" w:cs="Arial"/>
          <w:sz w:val="16"/>
          <w:szCs w:val="16"/>
        </w:rPr>
        <w:t>Universitas</w:t>
      </w:r>
      <w:proofErr w:type="spellEnd"/>
      <w:r w:rsidR="001A6388">
        <w:rPr>
          <w:rFonts w:ascii="Arial" w:eastAsia="Arial" w:hAnsi="Arial" w:cs="Arial"/>
          <w:sz w:val="16"/>
          <w:szCs w:val="16"/>
        </w:rPr>
        <w:t xml:space="preserve"> Islam </w:t>
      </w:r>
      <w:proofErr w:type="spellStart"/>
      <w:r w:rsidR="001A6388">
        <w:rPr>
          <w:rFonts w:ascii="Arial" w:eastAsia="Arial" w:hAnsi="Arial" w:cs="Arial"/>
          <w:sz w:val="16"/>
          <w:szCs w:val="16"/>
        </w:rPr>
        <w:t>Negeri</w:t>
      </w:r>
      <w:proofErr w:type="spellEnd"/>
      <w:r w:rsidR="001A6388">
        <w:rPr>
          <w:rFonts w:ascii="Arial" w:eastAsia="Arial" w:hAnsi="Arial" w:cs="Arial"/>
          <w:sz w:val="16"/>
          <w:szCs w:val="16"/>
        </w:rPr>
        <w:t xml:space="preserve"> </w:t>
      </w:r>
      <w:proofErr w:type="spellStart"/>
      <w:r w:rsidR="001A6388">
        <w:rPr>
          <w:rFonts w:ascii="Arial" w:eastAsia="Arial" w:hAnsi="Arial" w:cs="Arial"/>
          <w:sz w:val="16"/>
          <w:szCs w:val="16"/>
        </w:rPr>
        <w:t>Sunan</w:t>
      </w:r>
      <w:proofErr w:type="spellEnd"/>
      <w:r w:rsidR="001A6388">
        <w:rPr>
          <w:rFonts w:ascii="Arial" w:eastAsia="Arial" w:hAnsi="Arial" w:cs="Arial"/>
          <w:sz w:val="16"/>
          <w:szCs w:val="16"/>
        </w:rPr>
        <w:t xml:space="preserve"> </w:t>
      </w:r>
      <w:proofErr w:type="spellStart"/>
      <w:r w:rsidR="001A6388">
        <w:rPr>
          <w:rFonts w:ascii="Arial" w:eastAsia="Arial" w:hAnsi="Arial" w:cs="Arial"/>
          <w:sz w:val="16"/>
          <w:szCs w:val="16"/>
        </w:rPr>
        <w:t>Kalijaga</w:t>
      </w:r>
      <w:proofErr w:type="spellEnd"/>
      <w:r w:rsidR="001A6388">
        <w:rPr>
          <w:rFonts w:ascii="Arial" w:eastAsia="Arial" w:hAnsi="Arial" w:cs="Arial"/>
          <w:sz w:val="16"/>
          <w:szCs w:val="16"/>
        </w:rPr>
        <w:t>, Indonesia</w:t>
      </w:r>
    </w:p>
    <w:p w:rsidR="00BC7E6E" w:rsidRDefault="00BC7E6E">
      <w:pPr>
        <w:widowControl w:val="0"/>
        <w:tabs>
          <w:tab w:val="left" w:pos="9020"/>
        </w:tabs>
        <w:spacing w:after="0" w:line="240" w:lineRule="auto"/>
        <w:ind w:left="0" w:hanging="2"/>
        <w:rPr>
          <w:rFonts w:ascii="Arial" w:eastAsia="Arial" w:hAnsi="Arial" w:cs="Arial"/>
          <w:sz w:val="16"/>
          <w:szCs w:val="16"/>
        </w:rPr>
      </w:pPr>
    </w:p>
    <w:p w:rsidR="00BC7E6E" w:rsidRDefault="00BC7E6E">
      <w:pPr>
        <w:widowControl w:val="0"/>
        <w:tabs>
          <w:tab w:val="left" w:pos="9020"/>
        </w:tabs>
        <w:spacing w:after="0" w:line="240" w:lineRule="auto"/>
        <w:ind w:left="0" w:hanging="2"/>
        <w:rPr>
          <w:rFonts w:ascii="Arial" w:eastAsia="Arial" w:hAnsi="Arial" w:cs="Arial"/>
          <w:sz w:val="20"/>
          <w:szCs w:val="20"/>
        </w:rPr>
      </w:pPr>
      <w:bookmarkStart w:id="0" w:name="_heading=h.gjdgxs" w:colFirst="0" w:colLast="0"/>
      <w:bookmarkEnd w:id="0"/>
    </w:p>
    <w:tbl>
      <w:tblPr>
        <w:tblStyle w:val="a0"/>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BC7E6E">
        <w:tc>
          <w:tcPr>
            <w:tcW w:w="6236" w:type="dxa"/>
            <w:shd w:val="clear" w:color="auto" w:fill="9CC2E5"/>
          </w:tcPr>
          <w:p w:rsidR="00BC7E6E" w:rsidRDefault="007266B7">
            <w:pPr>
              <w:shd w:val="clear" w:color="auto" w:fill="9CC2E5"/>
              <w:spacing w:before="120" w:after="0" w:line="240" w:lineRule="auto"/>
              <w:ind w:left="0" w:hanging="2"/>
              <w:jc w:val="both"/>
              <w:rPr>
                <w:rFonts w:ascii="Arial" w:eastAsia="Arial" w:hAnsi="Arial" w:cs="Arial"/>
                <w:sz w:val="20"/>
                <w:szCs w:val="20"/>
              </w:rPr>
            </w:pPr>
            <w:r>
              <w:rPr>
                <w:rFonts w:ascii="Arial" w:eastAsia="Arial" w:hAnsi="Arial" w:cs="Arial"/>
                <w:b/>
                <w:i/>
                <w:sz w:val="20"/>
                <w:szCs w:val="20"/>
              </w:rPr>
              <w:t xml:space="preserve">Abstract </w:t>
            </w:r>
          </w:p>
          <w:p w:rsidR="00306FF3" w:rsidRPr="00306FF3" w:rsidRDefault="00306FF3" w:rsidP="00306FF3">
            <w:pPr>
              <w:spacing w:after="0" w:line="240" w:lineRule="auto"/>
              <w:ind w:left="0" w:hanging="2"/>
              <w:jc w:val="both"/>
              <w:rPr>
                <w:rFonts w:ascii="Arial" w:hAnsi="Arial" w:cs="Arial"/>
                <w:i/>
                <w:sz w:val="20"/>
                <w:szCs w:val="20"/>
              </w:rPr>
            </w:pPr>
            <w:r w:rsidRPr="00306FF3">
              <w:rPr>
                <w:rFonts w:ascii="Arial" w:hAnsi="Arial" w:cs="Arial"/>
                <w:i/>
                <w:sz w:val="20"/>
                <w:szCs w:val="20"/>
              </w:rPr>
              <w:t>Sugar is one of the staple foods in Indonesia and its importance has been widely known worldwide. Many studies have been conducted related to sugar; however, most of them focus on the higher le</w:t>
            </w:r>
            <w:r w:rsidR="00EA7383">
              <w:rPr>
                <w:rFonts w:ascii="Arial" w:hAnsi="Arial" w:cs="Arial"/>
                <w:i/>
                <w:sz w:val="20"/>
                <w:szCs w:val="20"/>
              </w:rPr>
              <w:t>vel supply chain</w:t>
            </w:r>
            <w:r w:rsidRPr="00306FF3">
              <w:rPr>
                <w:rFonts w:ascii="Arial" w:hAnsi="Arial" w:cs="Arial"/>
                <w:i/>
                <w:sz w:val="20"/>
                <w:szCs w:val="20"/>
              </w:rPr>
              <w:t>, such as manufacturer and national level. Furthermore, only a small number of studies discuss sugar in Indonesia. This paper tries to fill the research gap by discussing sugar at the retail level by focusing on the time series forecast for sugar demand in a retail store in Indonesia. This study also aims to understand the pattern of sugar demand for retail in Indonesia, see how volatile the sugar de</w:t>
            </w:r>
            <w:r w:rsidR="00296E95">
              <w:rPr>
                <w:rFonts w:ascii="Arial" w:hAnsi="Arial" w:cs="Arial"/>
                <w:i/>
                <w:sz w:val="20"/>
                <w:szCs w:val="20"/>
              </w:rPr>
              <w:t xml:space="preserve">mand pattern is for retail, </w:t>
            </w:r>
            <w:proofErr w:type="gramStart"/>
            <w:r w:rsidR="00296E95" w:rsidRPr="00306FF3">
              <w:rPr>
                <w:rFonts w:ascii="Arial" w:hAnsi="Arial" w:cs="Arial"/>
                <w:i/>
                <w:sz w:val="20"/>
                <w:szCs w:val="20"/>
              </w:rPr>
              <w:t>understand</w:t>
            </w:r>
            <w:proofErr w:type="gramEnd"/>
            <w:r w:rsidR="00296E95">
              <w:rPr>
                <w:rFonts w:ascii="Arial" w:hAnsi="Arial" w:cs="Arial"/>
                <w:i/>
                <w:sz w:val="20"/>
                <w:szCs w:val="20"/>
              </w:rPr>
              <w:t xml:space="preserve"> the challenge of predicting it, and the most suitable forecast model to estimate it. </w:t>
            </w:r>
            <w:proofErr w:type="gramStart"/>
            <w:r w:rsidRPr="00306FF3">
              <w:rPr>
                <w:rFonts w:ascii="Arial" w:hAnsi="Arial" w:cs="Arial"/>
                <w:i/>
                <w:sz w:val="20"/>
                <w:szCs w:val="20"/>
              </w:rPr>
              <w:t>SARIMA</w:t>
            </w:r>
            <w:r w:rsidR="008B7EE4">
              <w:rPr>
                <w:rFonts w:ascii="Arial" w:hAnsi="Arial" w:cs="Arial"/>
                <w:i/>
                <w:sz w:val="20"/>
                <w:szCs w:val="20"/>
              </w:rPr>
              <w:t>(</w:t>
            </w:r>
            <w:proofErr w:type="gramEnd"/>
            <w:r w:rsidR="008B7EE4">
              <w:rPr>
                <w:rFonts w:ascii="Arial" w:hAnsi="Arial" w:cs="Arial"/>
                <w:i/>
                <w:sz w:val="20"/>
                <w:szCs w:val="20"/>
              </w:rPr>
              <w:t>0,0,0)(0,1,1)8</w:t>
            </w:r>
            <w:r w:rsidRPr="00306FF3">
              <w:rPr>
                <w:rFonts w:ascii="Arial" w:hAnsi="Arial" w:cs="Arial"/>
                <w:i/>
                <w:sz w:val="20"/>
                <w:szCs w:val="20"/>
              </w:rPr>
              <w:t xml:space="preserve"> and multiplicative decomposition with double moving average models are used to predict sugar sales. Despite the high volatility of data, which is almost twice as high as the acceptable volatility standard, both models can be classified as good forecast models by having</w:t>
            </w:r>
            <w:r w:rsidR="00871D77">
              <w:rPr>
                <w:rFonts w:ascii="Arial" w:hAnsi="Arial" w:cs="Arial"/>
                <w:i/>
                <w:sz w:val="20"/>
                <w:szCs w:val="20"/>
              </w:rPr>
              <w:t xml:space="preserve"> MAPEs of </w:t>
            </w:r>
            <w:r w:rsidRPr="00306FF3">
              <w:rPr>
                <w:rFonts w:ascii="Arial" w:hAnsi="Arial" w:cs="Arial"/>
                <w:i/>
                <w:sz w:val="20"/>
                <w:szCs w:val="20"/>
              </w:rPr>
              <w:t>15.22% and 13.64%</w:t>
            </w:r>
            <w:r w:rsidR="00871D77">
              <w:rPr>
                <w:rFonts w:ascii="Arial" w:hAnsi="Arial" w:cs="Arial"/>
                <w:i/>
                <w:sz w:val="20"/>
                <w:szCs w:val="20"/>
              </w:rPr>
              <w:t>.</w:t>
            </w:r>
            <w:r w:rsidRPr="00306FF3">
              <w:rPr>
                <w:rFonts w:ascii="Arial" w:hAnsi="Arial" w:cs="Arial"/>
                <w:i/>
                <w:sz w:val="20"/>
                <w:szCs w:val="20"/>
              </w:rPr>
              <w:t xml:space="preserve"> After comparing the forecast pattern, it is shown that both models have a similar pattern but have a different slope due to the nature of how the models treat the data.</w:t>
            </w:r>
          </w:p>
          <w:p w:rsidR="00BC7E6E" w:rsidRDefault="00BC7E6E">
            <w:pPr>
              <w:spacing w:after="0" w:line="240" w:lineRule="auto"/>
              <w:ind w:left="0" w:hanging="2"/>
              <w:jc w:val="both"/>
              <w:rPr>
                <w:rFonts w:ascii="Arial" w:eastAsia="Arial" w:hAnsi="Arial" w:cs="Arial"/>
                <w:sz w:val="20"/>
                <w:szCs w:val="20"/>
              </w:rPr>
            </w:pPr>
          </w:p>
          <w:p w:rsidR="00BC7E6E" w:rsidRDefault="007266B7">
            <w:pPr>
              <w:spacing w:after="0" w:line="240" w:lineRule="auto"/>
              <w:ind w:left="0" w:hanging="2"/>
              <w:jc w:val="right"/>
              <w:rPr>
                <w:rFonts w:ascii="Arial" w:eastAsia="Arial" w:hAnsi="Arial" w:cs="Arial"/>
                <w:sz w:val="20"/>
                <w:szCs w:val="20"/>
              </w:rPr>
            </w:pPr>
            <w:r>
              <w:rPr>
                <w:rFonts w:ascii="Arial" w:eastAsia="Arial" w:hAnsi="Arial" w:cs="Arial"/>
                <w:i/>
                <w:sz w:val="20"/>
                <w:szCs w:val="20"/>
              </w:rPr>
              <w:t xml:space="preserve">This is an open access article under the </w:t>
            </w:r>
            <w:hyperlink r:id="rId10">
              <w:r>
                <w:rPr>
                  <w:rFonts w:ascii="Arial" w:eastAsia="Arial" w:hAnsi="Arial" w:cs="Arial"/>
                  <w:i/>
                  <w:color w:val="0000FF"/>
                  <w:sz w:val="20"/>
                  <w:szCs w:val="20"/>
                  <w:u w:val="single"/>
                </w:rPr>
                <w:t>CC BY-SA</w:t>
              </w:r>
            </w:hyperlink>
            <w:r>
              <w:rPr>
                <w:rFonts w:ascii="Arial" w:eastAsia="Arial" w:hAnsi="Arial" w:cs="Arial"/>
                <w:i/>
                <w:sz w:val="20"/>
                <w:szCs w:val="20"/>
              </w:rPr>
              <w:t xml:space="preserve"> license</w:t>
            </w:r>
          </w:p>
          <w:p w:rsidR="00BC7E6E" w:rsidRDefault="007266B7">
            <w:pPr>
              <w:spacing w:before="60" w:after="60" w:line="240" w:lineRule="auto"/>
              <w:ind w:left="0" w:hanging="2"/>
              <w:jc w:val="right"/>
              <w:rPr>
                <w:rFonts w:ascii="Arial" w:eastAsia="Arial" w:hAnsi="Arial" w:cs="Arial"/>
                <w:sz w:val="20"/>
                <w:szCs w:val="20"/>
              </w:rPr>
            </w:pPr>
            <w:r>
              <w:rPr>
                <w:rFonts w:ascii="Arial" w:eastAsia="Arial" w:hAnsi="Arial" w:cs="Arial"/>
                <w:i/>
                <w:noProof/>
                <w:sz w:val="20"/>
                <w:szCs w:val="20"/>
                <w:lang w:val="en-ID" w:eastAsia="en-ID"/>
              </w:rPr>
              <w:drawing>
                <wp:inline distT="0" distB="0" distL="114300" distR="114300">
                  <wp:extent cx="915670" cy="321310"/>
                  <wp:effectExtent l="0" t="0" r="0" b="0"/>
                  <wp:docPr id="10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rsidR="00BC7E6E" w:rsidRDefault="007266B7">
            <w:pPr>
              <w:widowControl w:val="0"/>
              <w:spacing w:before="120" w:after="0" w:line="240" w:lineRule="auto"/>
              <w:ind w:left="0" w:hanging="2"/>
              <w:rPr>
                <w:rFonts w:ascii="Arial" w:eastAsia="Arial" w:hAnsi="Arial" w:cs="Arial"/>
                <w:sz w:val="18"/>
                <w:szCs w:val="18"/>
              </w:rPr>
            </w:pPr>
            <w:r>
              <w:rPr>
                <w:rFonts w:ascii="Arial" w:eastAsia="Arial" w:hAnsi="Arial" w:cs="Arial"/>
                <w:b/>
                <w:i/>
                <w:sz w:val="18"/>
                <w:szCs w:val="18"/>
              </w:rPr>
              <w:t xml:space="preserve">Keywords: </w:t>
            </w:r>
          </w:p>
          <w:p w:rsidR="00BC7E6E" w:rsidRDefault="0084211C">
            <w:pPr>
              <w:widowControl w:val="0"/>
              <w:spacing w:after="0" w:line="240" w:lineRule="auto"/>
              <w:ind w:left="0" w:hanging="2"/>
              <w:rPr>
                <w:rFonts w:ascii="Arial" w:eastAsia="Arial" w:hAnsi="Arial" w:cs="Arial"/>
                <w:sz w:val="18"/>
                <w:szCs w:val="18"/>
              </w:rPr>
            </w:pPr>
            <w:r>
              <w:rPr>
                <w:rFonts w:ascii="Arial" w:eastAsia="Arial" w:hAnsi="Arial" w:cs="Arial"/>
                <w:i/>
                <w:sz w:val="18"/>
                <w:szCs w:val="18"/>
              </w:rPr>
              <w:t>Forecast</w:t>
            </w:r>
            <w:r w:rsidR="007266B7">
              <w:rPr>
                <w:rFonts w:ascii="Arial" w:eastAsia="Arial" w:hAnsi="Arial" w:cs="Arial"/>
                <w:i/>
                <w:sz w:val="18"/>
                <w:szCs w:val="18"/>
              </w:rPr>
              <w:t xml:space="preserve">; </w:t>
            </w:r>
          </w:p>
          <w:p w:rsidR="00BC7E6E" w:rsidRDefault="0084211C">
            <w:pPr>
              <w:widowControl w:val="0"/>
              <w:spacing w:after="0" w:line="240" w:lineRule="auto"/>
              <w:ind w:left="0" w:hanging="2"/>
              <w:rPr>
                <w:rFonts w:ascii="Arial" w:eastAsia="Arial" w:hAnsi="Arial" w:cs="Arial"/>
                <w:sz w:val="18"/>
                <w:szCs w:val="18"/>
              </w:rPr>
            </w:pPr>
            <w:r>
              <w:rPr>
                <w:rFonts w:ascii="Arial" w:eastAsia="Arial" w:hAnsi="Arial" w:cs="Arial"/>
                <w:i/>
                <w:sz w:val="18"/>
                <w:szCs w:val="18"/>
              </w:rPr>
              <w:t>SARIMA</w:t>
            </w:r>
            <w:r w:rsidR="007266B7">
              <w:rPr>
                <w:rFonts w:ascii="Arial" w:eastAsia="Arial" w:hAnsi="Arial" w:cs="Arial"/>
                <w:i/>
                <w:sz w:val="18"/>
                <w:szCs w:val="18"/>
              </w:rPr>
              <w:t xml:space="preserve">; </w:t>
            </w:r>
            <w:r>
              <w:rPr>
                <w:rFonts w:ascii="Arial" w:eastAsia="Arial" w:hAnsi="Arial" w:cs="Arial"/>
                <w:i/>
                <w:sz w:val="18"/>
                <w:szCs w:val="18"/>
              </w:rPr>
              <w:t>Decomposi</w:t>
            </w:r>
            <w:r w:rsidR="00AE0ABE">
              <w:rPr>
                <w:rFonts w:ascii="Arial" w:eastAsia="Arial" w:hAnsi="Arial" w:cs="Arial"/>
                <w:i/>
                <w:sz w:val="18"/>
                <w:szCs w:val="18"/>
              </w:rPr>
              <w:t>tion</w:t>
            </w:r>
            <w:r w:rsidR="007266B7">
              <w:rPr>
                <w:rFonts w:ascii="Arial" w:eastAsia="Arial" w:hAnsi="Arial" w:cs="Arial"/>
                <w:i/>
                <w:sz w:val="18"/>
                <w:szCs w:val="18"/>
              </w:rPr>
              <w:t xml:space="preserve"> </w:t>
            </w:r>
          </w:p>
          <w:p w:rsidR="00BC7E6E" w:rsidRDefault="00AE0ABE">
            <w:pPr>
              <w:widowControl w:val="0"/>
              <w:spacing w:after="0" w:line="240" w:lineRule="auto"/>
              <w:ind w:left="0" w:hanging="2"/>
              <w:rPr>
                <w:rFonts w:ascii="Arial" w:eastAsia="Arial" w:hAnsi="Arial" w:cs="Arial"/>
                <w:sz w:val="18"/>
                <w:szCs w:val="18"/>
              </w:rPr>
            </w:pPr>
            <w:r>
              <w:rPr>
                <w:rFonts w:ascii="Arial" w:eastAsia="Arial" w:hAnsi="Arial" w:cs="Arial"/>
                <w:i/>
                <w:sz w:val="18"/>
                <w:szCs w:val="18"/>
              </w:rPr>
              <w:t>Retail</w:t>
            </w:r>
            <w:r w:rsidR="007266B7">
              <w:rPr>
                <w:rFonts w:ascii="Arial" w:eastAsia="Arial" w:hAnsi="Arial" w:cs="Arial"/>
                <w:i/>
                <w:sz w:val="18"/>
                <w:szCs w:val="18"/>
              </w:rPr>
              <w:t>;</w:t>
            </w:r>
            <w:r>
              <w:rPr>
                <w:rFonts w:ascii="Arial" w:eastAsia="Arial" w:hAnsi="Arial" w:cs="Arial"/>
                <w:i/>
                <w:sz w:val="18"/>
                <w:szCs w:val="18"/>
              </w:rPr>
              <w:t xml:space="preserve"> Sugar</w:t>
            </w:r>
          </w:p>
          <w:p w:rsidR="00BC7E6E" w:rsidRDefault="00BC7E6E">
            <w:pPr>
              <w:widowControl w:val="0"/>
              <w:tabs>
                <w:tab w:val="left" w:pos="9020"/>
              </w:tabs>
              <w:spacing w:after="0" w:line="240" w:lineRule="auto"/>
              <w:ind w:left="0" w:hanging="2"/>
              <w:rPr>
                <w:rFonts w:ascii="Arial" w:eastAsia="Arial" w:hAnsi="Arial" w:cs="Arial"/>
                <w:sz w:val="18"/>
                <w:szCs w:val="18"/>
              </w:rPr>
            </w:pPr>
          </w:p>
          <w:p w:rsidR="00BC7E6E" w:rsidRDefault="007266B7">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Article History:</w:t>
            </w:r>
          </w:p>
          <w:p w:rsidR="00BC7E6E" w:rsidRDefault="00AE0AB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Received: </w:t>
            </w:r>
          </w:p>
          <w:p w:rsidR="00BC7E6E" w:rsidRDefault="00AE0AB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Revised: </w:t>
            </w:r>
          </w:p>
          <w:p w:rsidR="00BC7E6E" w:rsidRDefault="00AE0AB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Accepted: </w:t>
            </w:r>
          </w:p>
          <w:p w:rsidR="00BC7E6E" w:rsidRDefault="00AE0AB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Published: </w:t>
            </w:r>
          </w:p>
          <w:p w:rsidR="00BC7E6E" w:rsidRDefault="00BC7E6E">
            <w:pPr>
              <w:widowControl w:val="0"/>
              <w:tabs>
                <w:tab w:val="left" w:pos="9020"/>
              </w:tabs>
              <w:spacing w:after="0" w:line="240" w:lineRule="auto"/>
              <w:ind w:left="0" w:hanging="2"/>
              <w:rPr>
                <w:rFonts w:ascii="Arial" w:eastAsia="Arial" w:hAnsi="Arial" w:cs="Arial"/>
                <w:sz w:val="18"/>
                <w:szCs w:val="18"/>
              </w:rPr>
            </w:pPr>
          </w:p>
          <w:p w:rsidR="00BC7E6E" w:rsidRDefault="007266B7">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Corresponding Author:</w:t>
            </w:r>
          </w:p>
          <w:p w:rsidR="00AE0ABE" w:rsidRDefault="00AE0ABE">
            <w:pPr>
              <w:widowControl w:val="0"/>
              <w:tabs>
                <w:tab w:val="left" w:pos="9020"/>
              </w:tabs>
              <w:spacing w:after="0" w:line="240" w:lineRule="auto"/>
              <w:ind w:left="0" w:hanging="2"/>
              <w:rPr>
                <w:rFonts w:ascii="Arial" w:eastAsia="Arial" w:hAnsi="Arial" w:cs="Arial"/>
                <w:i/>
                <w:sz w:val="18"/>
                <w:szCs w:val="18"/>
              </w:rPr>
            </w:pPr>
            <w:r>
              <w:rPr>
                <w:rFonts w:ascii="Arial" w:eastAsia="Arial" w:hAnsi="Arial" w:cs="Arial"/>
                <w:i/>
                <w:sz w:val="18"/>
                <w:szCs w:val="18"/>
              </w:rPr>
              <w:t>Titi Sari</w:t>
            </w:r>
          </w:p>
          <w:p w:rsidR="00AE0ABE" w:rsidRDefault="00AE0ABE">
            <w:pPr>
              <w:widowControl w:val="0"/>
              <w:tabs>
                <w:tab w:val="left" w:pos="9020"/>
              </w:tabs>
              <w:spacing w:after="0" w:line="240" w:lineRule="auto"/>
              <w:ind w:left="0" w:hanging="2"/>
              <w:rPr>
                <w:rFonts w:ascii="Arial" w:eastAsia="Arial" w:hAnsi="Arial" w:cs="Arial"/>
                <w:i/>
                <w:sz w:val="18"/>
                <w:szCs w:val="18"/>
              </w:rPr>
            </w:pPr>
            <w:r>
              <w:rPr>
                <w:rFonts w:ascii="Arial" w:eastAsia="Arial" w:hAnsi="Arial" w:cs="Arial"/>
                <w:i/>
                <w:sz w:val="18"/>
                <w:szCs w:val="18"/>
              </w:rPr>
              <w:t xml:space="preserve">Industrial Engineering </w:t>
            </w:r>
          </w:p>
          <w:p w:rsidR="00AE0ABE" w:rsidRDefault="00AE0ABE" w:rsidP="00AE0ABE">
            <w:pPr>
              <w:widowControl w:val="0"/>
              <w:tabs>
                <w:tab w:val="left" w:pos="9020"/>
              </w:tabs>
              <w:spacing w:after="0" w:line="240" w:lineRule="auto"/>
              <w:ind w:left="0" w:hanging="2"/>
              <w:rPr>
                <w:rFonts w:ascii="Arial" w:eastAsia="Arial" w:hAnsi="Arial" w:cs="Arial"/>
                <w:i/>
                <w:sz w:val="18"/>
                <w:szCs w:val="18"/>
              </w:rPr>
            </w:pPr>
            <w:r>
              <w:rPr>
                <w:rFonts w:ascii="Arial" w:eastAsia="Arial" w:hAnsi="Arial" w:cs="Arial"/>
                <w:i/>
                <w:sz w:val="18"/>
                <w:szCs w:val="18"/>
              </w:rPr>
              <w:t>Study Program,</w:t>
            </w:r>
          </w:p>
          <w:p w:rsidR="001A6388" w:rsidRDefault="001A6388" w:rsidP="00AE0ABE">
            <w:pPr>
              <w:widowControl w:val="0"/>
              <w:tabs>
                <w:tab w:val="left" w:pos="9020"/>
              </w:tabs>
              <w:spacing w:after="0" w:line="240" w:lineRule="auto"/>
              <w:ind w:left="0" w:hanging="2"/>
              <w:rPr>
                <w:rFonts w:ascii="Arial" w:eastAsia="Arial" w:hAnsi="Arial" w:cs="Arial"/>
                <w:i/>
                <w:color w:val="76923C" w:themeColor="accent3" w:themeShade="BF"/>
                <w:sz w:val="18"/>
                <w:szCs w:val="18"/>
              </w:rPr>
            </w:pPr>
            <w:proofErr w:type="spellStart"/>
            <w:r w:rsidRPr="00310638">
              <w:rPr>
                <w:rFonts w:ascii="Arial" w:eastAsia="Arial" w:hAnsi="Arial" w:cs="Arial"/>
                <w:i/>
                <w:sz w:val="18"/>
                <w:szCs w:val="18"/>
              </w:rPr>
              <w:t>Universitas</w:t>
            </w:r>
            <w:proofErr w:type="spellEnd"/>
            <w:r w:rsidRPr="00310638">
              <w:rPr>
                <w:rFonts w:ascii="Arial" w:eastAsia="Arial" w:hAnsi="Arial" w:cs="Arial"/>
                <w:i/>
                <w:sz w:val="18"/>
                <w:szCs w:val="18"/>
              </w:rPr>
              <w:t xml:space="preserve"> Islam </w:t>
            </w:r>
            <w:proofErr w:type="spellStart"/>
            <w:r w:rsidRPr="00310638">
              <w:rPr>
                <w:rFonts w:ascii="Arial" w:eastAsia="Arial" w:hAnsi="Arial" w:cs="Arial"/>
                <w:i/>
                <w:sz w:val="18"/>
                <w:szCs w:val="18"/>
              </w:rPr>
              <w:t>Negeri</w:t>
            </w:r>
            <w:proofErr w:type="spellEnd"/>
            <w:r w:rsidRPr="00310638">
              <w:rPr>
                <w:rFonts w:ascii="Arial" w:eastAsia="Arial" w:hAnsi="Arial" w:cs="Arial"/>
                <w:i/>
                <w:sz w:val="18"/>
                <w:szCs w:val="18"/>
              </w:rPr>
              <w:t xml:space="preserve"> </w:t>
            </w:r>
            <w:proofErr w:type="spellStart"/>
            <w:r w:rsidRPr="00310638">
              <w:rPr>
                <w:rFonts w:ascii="Arial" w:eastAsia="Arial" w:hAnsi="Arial" w:cs="Arial"/>
                <w:i/>
                <w:sz w:val="18"/>
                <w:szCs w:val="18"/>
              </w:rPr>
              <w:t>Sunan</w:t>
            </w:r>
            <w:proofErr w:type="spellEnd"/>
            <w:r w:rsidRPr="00310638">
              <w:rPr>
                <w:rFonts w:ascii="Arial" w:eastAsia="Arial" w:hAnsi="Arial" w:cs="Arial"/>
                <w:i/>
                <w:sz w:val="18"/>
                <w:szCs w:val="18"/>
              </w:rPr>
              <w:t xml:space="preserve"> </w:t>
            </w:r>
            <w:proofErr w:type="spellStart"/>
            <w:r w:rsidRPr="00310638">
              <w:rPr>
                <w:rFonts w:ascii="Arial" w:eastAsia="Arial" w:hAnsi="Arial" w:cs="Arial"/>
                <w:i/>
                <w:sz w:val="18"/>
                <w:szCs w:val="18"/>
              </w:rPr>
              <w:t>Kalijaga</w:t>
            </w:r>
            <w:proofErr w:type="spellEnd"/>
            <w:r w:rsidR="00F63435">
              <w:rPr>
                <w:rFonts w:ascii="Arial" w:eastAsia="Arial" w:hAnsi="Arial" w:cs="Arial"/>
                <w:i/>
                <w:sz w:val="18"/>
                <w:szCs w:val="18"/>
              </w:rPr>
              <w:t xml:space="preserve"> (Islamic State of University)</w:t>
            </w:r>
            <w:r w:rsidRPr="00310638">
              <w:rPr>
                <w:rFonts w:ascii="Arial" w:eastAsia="Arial" w:hAnsi="Arial" w:cs="Arial"/>
                <w:i/>
                <w:sz w:val="18"/>
                <w:szCs w:val="18"/>
              </w:rPr>
              <w:t>, Indonesia</w:t>
            </w:r>
          </w:p>
          <w:p w:rsidR="00BC7E6E" w:rsidRDefault="007266B7">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Email: </w:t>
            </w:r>
            <w:hyperlink r:id="rId12" w:history="1">
              <w:r w:rsidR="009E5645" w:rsidRPr="005E0028">
                <w:rPr>
                  <w:rStyle w:val="Hyperlink"/>
                  <w:rFonts w:ascii="Arial" w:eastAsia="Arial" w:hAnsi="Arial" w:cs="Arial"/>
                  <w:i/>
                  <w:sz w:val="18"/>
                  <w:szCs w:val="18"/>
                </w:rPr>
                <w:t>titi.sari@uin-suka.ac.id</w:t>
              </w:r>
            </w:hyperlink>
            <w:r>
              <w:rPr>
                <w:rFonts w:ascii="Arial" w:eastAsia="Arial" w:hAnsi="Arial" w:cs="Arial"/>
                <w:i/>
                <w:color w:val="000000"/>
                <w:sz w:val="18"/>
                <w:szCs w:val="18"/>
              </w:rPr>
              <w:t xml:space="preserve"> </w:t>
            </w:r>
          </w:p>
          <w:p w:rsidR="00BC7E6E" w:rsidRDefault="00BC7E6E">
            <w:pPr>
              <w:widowControl w:val="0"/>
              <w:tabs>
                <w:tab w:val="left" w:pos="9020"/>
              </w:tabs>
              <w:spacing w:after="0" w:line="240" w:lineRule="auto"/>
              <w:ind w:left="0" w:hanging="2"/>
              <w:rPr>
                <w:rFonts w:ascii="Arial" w:eastAsia="Arial" w:hAnsi="Arial" w:cs="Arial"/>
                <w:sz w:val="18"/>
                <w:szCs w:val="18"/>
              </w:rPr>
            </w:pPr>
          </w:p>
        </w:tc>
      </w:tr>
    </w:tbl>
    <w:p w:rsidR="00BC7E6E" w:rsidRDefault="00BC7E6E">
      <w:pPr>
        <w:widowControl w:val="0"/>
        <w:tabs>
          <w:tab w:val="left" w:pos="9020"/>
        </w:tabs>
        <w:spacing w:after="0" w:line="240" w:lineRule="auto"/>
        <w:ind w:left="0" w:hanging="2"/>
        <w:jc w:val="center"/>
        <w:rPr>
          <w:rFonts w:ascii="Arial" w:eastAsia="Arial" w:hAnsi="Arial" w:cs="Arial"/>
          <w:sz w:val="20"/>
          <w:szCs w:val="20"/>
        </w:rPr>
        <w:sectPr w:rsidR="00BC7E6E">
          <w:headerReference w:type="even" r:id="rId13"/>
          <w:headerReference w:type="default" r:id="rId14"/>
          <w:footerReference w:type="even" r:id="rId15"/>
          <w:footerReference w:type="default" r:id="rId16"/>
          <w:headerReference w:type="first" r:id="rId17"/>
          <w:footerReference w:type="first" r:id="rId18"/>
          <w:pgSz w:w="11907" w:h="16840"/>
          <w:pgMar w:top="1701" w:right="1134" w:bottom="1701" w:left="1701" w:header="680" w:footer="680" w:gutter="0"/>
          <w:pgNumType w:start="1"/>
          <w:cols w:space="720"/>
          <w:titlePg/>
        </w:sectPr>
      </w:pPr>
    </w:p>
    <w:p w:rsidR="00BC7E6E" w:rsidRDefault="007266B7">
      <w:pPr>
        <w:widowControl w:val="0"/>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INTRODUCTION (R: 31, G: 78, B: 121)</w:t>
      </w:r>
    </w:p>
    <w:p w:rsidR="007A1B45" w:rsidRDefault="00D73609" w:rsidP="008052A9">
      <w:pPr>
        <w:spacing w:after="0" w:line="240" w:lineRule="auto"/>
        <w:ind w:left="0" w:hanging="2"/>
        <w:jc w:val="both"/>
        <w:rPr>
          <w:rFonts w:ascii="Arial" w:hAnsi="Arial" w:cs="Arial"/>
          <w:sz w:val="20"/>
          <w:szCs w:val="20"/>
        </w:rPr>
      </w:pPr>
      <w:r w:rsidRPr="00812B27">
        <w:rPr>
          <w:rFonts w:ascii="Arial" w:hAnsi="Arial" w:cs="Arial"/>
          <w:sz w:val="20"/>
          <w:szCs w:val="20"/>
        </w:rPr>
        <w:t>Sugar is one of the important foods in the world since every country consumes sugar, including Indonesia. Indonesia</w:t>
      </w:r>
      <w:r w:rsidR="00FD55D5">
        <w:rPr>
          <w:rFonts w:ascii="Arial" w:hAnsi="Arial" w:cs="Arial"/>
          <w:sz w:val="20"/>
          <w:szCs w:val="20"/>
        </w:rPr>
        <w:t>'s</w:t>
      </w:r>
      <w:r w:rsidRPr="00812B27">
        <w:rPr>
          <w:rFonts w:ascii="Arial" w:hAnsi="Arial" w:cs="Arial"/>
          <w:sz w:val="20"/>
          <w:szCs w:val="20"/>
        </w:rPr>
        <w:t xml:space="preserve"> sugar consumption value is fluctuating; however it keeps increasing and to meet this demand, Indonesia has been importing sugar since 1967</w:t>
      </w:r>
      <w:r w:rsidR="00812B27" w:rsidRPr="00812B27">
        <w:rPr>
          <w:rFonts w:ascii="Arial" w:hAnsi="Arial" w:cs="Arial"/>
          <w:sz w:val="20"/>
          <w:szCs w:val="20"/>
        </w:rPr>
        <w:t xml:space="preserve"> </w:t>
      </w:r>
      <w:r w:rsidR="00812B27" w:rsidRPr="00812B27">
        <w:rPr>
          <w:rFonts w:ascii="Arial" w:hAnsi="Arial" w:cs="Arial"/>
          <w:sz w:val="20"/>
          <w:szCs w:val="20"/>
        </w:rPr>
        <w:fldChar w:fldCharType="begin" w:fldLock="1"/>
      </w:r>
      <w:r w:rsidR="008F4B07">
        <w:rPr>
          <w:rFonts w:ascii="Arial" w:hAnsi="Arial" w:cs="Arial"/>
          <w:sz w:val="20"/>
          <w:szCs w:val="20"/>
        </w:rPr>
        <w:instrText>ADDIN CSL_CITATION {"citationItems":[{"id":"ITEM-1","itemData":{"ISSN":"2375-4389","abstract":"Sugar is one of the most important staple foods after rice Indonesia. Currently, sugar production cannot fulfill the demand for sugar in the country, so the government absorbs the lack of sugar by import. The purpose of this research is to analyze factors which influence the sugar demand and import in the country. This research is used econometrics model through the simultaneous system of functions with time series data of 1982-2013. Estimated model was conducted by Two-Stage Least Squares method. The research result is, Indonesian sugar demand (Dg) is influenced by sugar price (Pg), income level (ini) and sugar demand in the previous year (Dg1). Import of Indonesian sugar (Mg) is influenced by the difference between demand and production of Indonesian sugar (Dg-Qg), time, and sugar imports in the previous year.","author":[{"dropping-particle":"","family":"Muhaimin","given":"Wahib","non-dropping-particle":"","parse-names":false,"suffix":""},{"dropping-particle":"","family":"Sari","given":"Dyana","non-dropping-particle":"","parse-names":false,"suffix":""}],"container-title":"Journal of Global Economics","id":"ITEM-1","issue":"2","issued":{"date-parts":[["2019"]]},"page":"1-3","title":"Factors Affecting the Demand and Import of Indonesian Sugar","type":"article-journal","volume":"7"},"uris":["http://www.mendeley.com/documents/?uuid=370f2b9f-5a19-4d90-8a80-47b3a68d5da9"]},{"id":"ITEM-2","itemData":{"DOI":"10.15408/sjie.v12i2.28044","ISSN":"2087-2046","abstract":"Indonesian sugar imports have increased due to a steady increase in sugar consumption, while domestic sugar output has increased but has not kept pace with consumption. This study aims to examine the impact of sugar consumption, income per capita, sugarcane harvested area, and sugarcane productivity on sugar imports in Indonesia. The data in this study include time series data from 1995 to 2021 that were analyzed using multiple regression. Sugar consumption and income per capita have a statistically significant positive effect on sugar import, whereas sugarcane harvested area and sugarcane productivity significantly negatively affect sugar import. Several policy options for reducing sugar imports are recommended, including reducing sugar consumption through education and healthy lifestyle programs, extending sugarcane-harvested areas, and rejuvenating and building new sugar mill.JEL Classification: F14, C22How to Cite:Inayaturrohmah, W. P., Istiqomah &amp; Gunawan, R.S. (2023). Determinant of Sugar Import. Signifikan: Jurnal Ilmu Ekonomi, 12(2), 275-286. https://doi.org/10.15408/sjie.v12i2.28044. ","author":[{"dropping-particle":"","family":"Inayaturrohmah","given":"Winni Putri","non-dropping-particle":"","parse-names":false,"suffix":""},{"dropping-particle":"","family":"Istiqomah","given":"Istiqomah","non-dropping-particle":"","parse-names":false,"suffix":""},{"dropping-particle":"","family":"Gunawan","given":"Ratna Setyawati","non-dropping-particle":"","parse-names":false,"suffix":""}],"container-title":"Signifikan: Jurnal Ilmu Ekonomi","id":"ITEM-2","issue":"2","issued":{"date-parts":[["2023"]]},"page":"275-286","title":"Determinants of Indonesian Sugar Import","type":"article-journal","volume":"12"},"uris":["http://www.mendeley.com/documents/?uuid=17295ad8-afcd-47a2-91f5-8aaf0a2c26eb"]}],"mendeley":{"formattedCitation":"[1], [2]","plainTextFormattedCitation":"[1], [2]","previouslyFormattedCitation":"[1], [2]"},"properties":{"noteIndex":0},"schema":"https://github.com/citation-style-language/schema/raw/master/csl-citation.json"}</w:instrText>
      </w:r>
      <w:r w:rsidR="00812B27" w:rsidRPr="00812B27">
        <w:rPr>
          <w:rFonts w:ascii="Arial" w:hAnsi="Arial" w:cs="Arial"/>
          <w:sz w:val="20"/>
          <w:szCs w:val="20"/>
        </w:rPr>
        <w:fldChar w:fldCharType="separate"/>
      </w:r>
      <w:r w:rsidR="008F4B07" w:rsidRPr="008F4B07">
        <w:rPr>
          <w:rFonts w:ascii="Arial" w:hAnsi="Arial" w:cs="Arial"/>
          <w:noProof/>
          <w:sz w:val="20"/>
          <w:szCs w:val="20"/>
        </w:rPr>
        <w:t>[1], [2]</w:t>
      </w:r>
      <w:r w:rsidR="00812B27" w:rsidRPr="00812B27">
        <w:rPr>
          <w:rFonts w:ascii="Arial" w:hAnsi="Arial" w:cs="Arial"/>
          <w:sz w:val="20"/>
          <w:szCs w:val="20"/>
        </w:rPr>
        <w:fldChar w:fldCharType="end"/>
      </w:r>
      <w:r w:rsidR="00812B27" w:rsidRPr="00812B27">
        <w:rPr>
          <w:rFonts w:ascii="Arial" w:hAnsi="Arial" w:cs="Arial"/>
          <w:sz w:val="20"/>
          <w:szCs w:val="20"/>
        </w:rPr>
        <w:t xml:space="preserve">. This high consumption makes Indonesia </w:t>
      </w:r>
      <w:r w:rsidR="00FD55D5">
        <w:rPr>
          <w:rFonts w:ascii="Arial" w:hAnsi="Arial" w:cs="Arial"/>
          <w:sz w:val="20"/>
          <w:szCs w:val="20"/>
        </w:rPr>
        <w:t>the</w:t>
      </w:r>
      <w:r w:rsidR="00812B27" w:rsidRPr="00812B27">
        <w:rPr>
          <w:rFonts w:ascii="Arial" w:hAnsi="Arial" w:cs="Arial"/>
          <w:sz w:val="20"/>
          <w:szCs w:val="20"/>
        </w:rPr>
        <w:t xml:space="preserve"> sixth country that has the highest sugar consumpti</w:t>
      </w:r>
      <w:r w:rsidR="001C29FB">
        <w:rPr>
          <w:rFonts w:ascii="Arial" w:hAnsi="Arial" w:cs="Arial"/>
          <w:sz w:val="20"/>
          <w:szCs w:val="20"/>
        </w:rPr>
        <w:t>on</w:t>
      </w:r>
      <w:r w:rsidR="00812B27" w:rsidRPr="00812B27">
        <w:rPr>
          <w:rFonts w:ascii="Arial" w:hAnsi="Arial" w:cs="Arial"/>
          <w:sz w:val="20"/>
          <w:szCs w:val="20"/>
        </w:rPr>
        <w:t xml:space="preserve"> in the world </w:t>
      </w:r>
      <w:r w:rsidR="00812B27" w:rsidRPr="00812B27">
        <w:rPr>
          <w:rFonts w:ascii="Arial" w:hAnsi="Arial" w:cs="Arial"/>
          <w:sz w:val="20"/>
          <w:szCs w:val="20"/>
        </w:rPr>
        <w:fldChar w:fldCharType="begin" w:fldLock="1"/>
      </w:r>
      <w:r w:rsidR="008F4B07">
        <w:rPr>
          <w:rFonts w:ascii="Arial" w:hAnsi="Arial" w:cs="Arial"/>
          <w:sz w:val="20"/>
          <w:szCs w:val="20"/>
        </w:rPr>
        <w:instrText>ADDIN CSL_CITATION {"citationItems":[{"id":"ITEM-1","itemData":{"author":[{"dropping-particle":"","family":"United States Department of Agriculture","given":"Foreign Agricultural Service","non-dropping-particle":"","parse-names":false,"suffix":""}],"id":"ITEM-1","issue":"May","issued":{"date-parts":[["2024"]]},"title":"Sugar : World Markets and Trade Guatemala Sugar Exports are Down While Domestic Demand Continues to Grow Guatemala is a Top 5 Exporter","type":"report"},"uris":["http://www.mendeley.com/documents/?uuid=917a6bc1-812a-4baa-8ef6-0f527356006b"]}],"mendeley":{"formattedCitation":"[3]","plainTextFormattedCitation":"[3]","previouslyFormattedCitation":"[3]"},"properties":{"noteIndex":0},"schema":"https://github.com/citation-style-language/schema/raw/master/csl-citation.json"}</w:instrText>
      </w:r>
      <w:r w:rsidR="00812B27" w:rsidRPr="00812B27">
        <w:rPr>
          <w:rFonts w:ascii="Arial" w:hAnsi="Arial" w:cs="Arial"/>
          <w:sz w:val="20"/>
          <w:szCs w:val="20"/>
        </w:rPr>
        <w:fldChar w:fldCharType="separate"/>
      </w:r>
      <w:r w:rsidR="008F4B07" w:rsidRPr="008F4B07">
        <w:rPr>
          <w:rFonts w:ascii="Arial" w:hAnsi="Arial" w:cs="Arial"/>
          <w:noProof/>
          <w:sz w:val="20"/>
          <w:szCs w:val="20"/>
        </w:rPr>
        <w:t>[3]</w:t>
      </w:r>
      <w:r w:rsidR="00812B27" w:rsidRPr="00812B27">
        <w:rPr>
          <w:rFonts w:ascii="Arial" w:hAnsi="Arial" w:cs="Arial"/>
          <w:sz w:val="20"/>
          <w:szCs w:val="20"/>
        </w:rPr>
        <w:fldChar w:fldCharType="end"/>
      </w:r>
      <w:r w:rsidR="001C29FB">
        <w:rPr>
          <w:rFonts w:ascii="Arial" w:hAnsi="Arial" w:cs="Arial"/>
          <w:color w:val="FF0000"/>
          <w:sz w:val="20"/>
          <w:szCs w:val="20"/>
        </w:rPr>
        <w:t>.</w:t>
      </w:r>
    </w:p>
    <w:p w:rsidR="005414FD" w:rsidRDefault="005414FD" w:rsidP="008052A9">
      <w:pPr>
        <w:spacing w:after="0" w:line="240" w:lineRule="auto"/>
        <w:ind w:left="-2" w:firstLineChars="0" w:firstLine="0"/>
        <w:jc w:val="both"/>
        <w:rPr>
          <w:rFonts w:ascii="Arial" w:hAnsi="Arial" w:cs="Arial"/>
          <w:sz w:val="20"/>
          <w:szCs w:val="20"/>
        </w:rPr>
      </w:pPr>
      <w:r w:rsidRPr="005414FD">
        <w:rPr>
          <w:rFonts w:ascii="Arial" w:hAnsi="Arial" w:cs="Arial"/>
          <w:sz w:val="20"/>
          <w:szCs w:val="20"/>
        </w:rPr>
        <w:t>Indonesia</w:t>
      </w:r>
      <w:r w:rsidR="00FD55D5">
        <w:rPr>
          <w:rFonts w:ascii="Arial" w:hAnsi="Arial" w:cs="Arial"/>
          <w:sz w:val="20"/>
          <w:szCs w:val="20"/>
        </w:rPr>
        <w:t>n</w:t>
      </w:r>
      <w:r w:rsidRPr="005414FD">
        <w:rPr>
          <w:rFonts w:ascii="Arial" w:hAnsi="Arial" w:cs="Arial"/>
          <w:sz w:val="20"/>
          <w:szCs w:val="20"/>
        </w:rPr>
        <w:t xml:space="preserve"> government regards sugar as one of the staple foods and this decision is written down in </w:t>
      </w:r>
      <w:r w:rsidR="00FD55D5">
        <w:rPr>
          <w:rFonts w:ascii="Arial" w:hAnsi="Arial" w:cs="Arial"/>
          <w:sz w:val="20"/>
          <w:szCs w:val="20"/>
        </w:rPr>
        <w:t xml:space="preserve">the </w:t>
      </w:r>
      <w:r w:rsidRPr="005414FD">
        <w:rPr>
          <w:rFonts w:ascii="Arial" w:hAnsi="Arial" w:cs="Arial"/>
          <w:sz w:val="20"/>
          <w:szCs w:val="20"/>
        </w:rPr>
        <w:t>Presidential Degree of Republic Indonesia (</w:t>
      </w:r>
      <w:proofErr w:type="spellStart"/>
      <w:r w:rsidRPr="005414FD">
        <w:rPr>
          <w:rFonts w:ascii="Arial" w:hAnsi="Arial" w:cs="Arial"/>
          <w:sz w:val="20"/>
          <w:szCs w:val="20"/>
        </w:rPr>
        <w:t>Perpres</w:t>
      </w:r>
      <w:proofErr w:type="spellEnd"/>
      <w:r w:rsidRPr="005414FD">
        <w:rPr>
          <w:rFonts w:ascii="Arial" w:hAnsi="Arial" w:cs="Arial"/>
          <w:sz w:val="20"/>
          <w:szCs w:val="20"/>
        </w:rPr>
        <w:t xml:space="preserve"> </w:t>
      </w:r>
      <w:proofErr w:type="spellStart"/>
      <w:r w:rsidRPr="005414FD">
        <w:rPr>
          <w:rFonts w:ascii="Arial" w:hAnsi="Arial" w:cs="Arial"/>
          <w:sz w:val="20"/>
          <w:szCs w:val="20"/>
        </w:rPr>
        <w:t>Republik</w:t>
      </w:r>
      <w:proofErr w:type="spellEnd"/>
      <w:r w:rsidRPr="005414FD">
        <w:rPr>
          <w:rFonts w:ascii="Arial" w:hAnsi="Arial" w:cs="Arial"/>
          <w:sz w:val="20"/>
          <w:szCs w:val="20"/>
        </w:rPr>
        <w:t xml:space="preserve"> Indonesia) No</w:t>
      </w:r>
      <w:r w:rsidR="00C64A49">
        <w:rPr>
          <w:rFonts w:ascii="Arial" w:hAnsi="Arial" w:cs="Arial"/>
          <w:sz w:val="20"/>
          <w:szCs w:val="20"/>
        </w:rPr>
        <w:t>.</w:t>
      </w:r>
      <w:r w:rsidRPr="005414FD">
        <w:rPr>
          <w:rFonts w:ascii="Arial" w:hAnsi="Arial" w:cs="Arial"/>
          <w:sz w:val="20"/>
          <w:szCs w:val="20"/>
        </w:rPr>
        <w:t xml:space="preserve"> 59 Year 2020 about the govern</w:t>
      </w:r>
      <w:r w:rsidR="00542C02">
        <w:rPr>
          <w:rFonts w:ascii="Arial" w:hAnsi="Arial" w:cs="Arial"/>
          <w:sz w:val="20"/>
          <w:szCs w:val="20"/>
        </w:rPr>
        <w:t>ment arrangement and storage of staple g</w:t>
      </w:r>
      <w:r w:rsidRPr="005414FD">
        <w:rPr>
          <w:rFonts w:ascii="Arial" w:hAnsi="Arial" w:cs="Arial"/>
          <w:sz w:val="20"/>
          <w:szCs w:val="20"/>
        </w:rPr>
        <w:t xml:space="preserve">oods </w:t>
      </w:r>
      <w:r w:rsidRPr="005414FD">
        <w:rPr>
          <w:rFonts w:ascii="Arial" w:hAnsi="Arial" w:cs="Arial"/>
          <w:sz w:val="20"/>
          <w:szCs w:val="20"/>
        </w:rPr>
        <w:fldChar w:fldCharType="begin" w:fldLock="1"/>
      </w:r>
      <w:r w:rsidR="009A6400">
        <w:rPr>
          <w:rFonts w:ascii="Arial" w:hAnsi="Arial" w:cs="Arial"/>
          <w:sz w:val="20"/>
          <w:szCs w:val="20"/>
        </w:rPr>
        <w:instrText>ADDIN CSL_CITATION {"citationItems":[{"id":"ITEM-1","itemData":{"author":[{"dropping-particle":"","family":"Widodo","given":"Joko","non-dropping-particle":"","parse-names":false,"suffix":""}],"id":"ITEM-1","issued":{"date-parts":[["2020"]]},"publisher-place":"Jakarta, Indonesia","title":"(1) Undang-Undang","type":"report"},"uris":["http://www.mendeley.com/documents/?uuid=271a3381-013c-4fa5-8e4e-8a269146cd5b"]}],"mendeley":{"formattedCitation":"[4]","plainTextFormattedCitation":"[4]","previouslyFormattedCitation":"[4]"},"properties":{"noteIndex":0},"schema":"https://github.com/citation-style-language/schema/raw/master/csl-citation.json"}</w:instrText>
      </w:r>
      <w:r w:rsidRPr="005414FD">
        <w:rPr>
          <w:rFonts w:ascii="Arial" w:hAnsi="Arial" w:cs="Arial"/>
          <w:sz w:val="20"/>
          <w:szCs w:val="20"/>
        </w:rPr>
        <w:fldChar w:fldCharType="separate"/>
      </w:r>
      <w:r w:rsidR="009A6400" w:rsidRPr="009A6400">
        <w:rPr>
          <w:rFonts w:ascii="Arial" w:hAnsi="Arial" w:cs="Arial"/>
          <w:noProof/>
          <w:sz w:val="20"/>
          <w:szCs w:val="20"/>
        </w:rPr>
        <w:t>[4]</w:t>
      </w:r>
      <w:r w:rsidRPr="005414FD">
        <w:rPr>
          <w:rFonts w:ascii="Arial" w:hAnsi="Arial" w:cs="Arial"/>
          <w:sz w:val="20"/>
          <w:szCs w:val="20"/>
        </w:rPr>
        <w:fldChar w:fldCharType="end"/>
      </w:r>
      <w:r w:rsidRPr="005414FD">
        <w:rPr>
          <w:rFonts w:ascii="Arial" w:hAnsi="Arial" w:cs="Arial"/>
          <w:sz w:val="20"/>
          <w:szCs w:val="20"/>
        </w:rPr>
        <w:t xml:space="preserve">. This consideration is because a </w:t>
      </w:r>
      <w:r w:rsidRPr="005414FD">
        <w:rPr>
          <w:rFonts w:ascii="Arial" w:hAnsi="Arial" w:cs="Arial"/>
          <w:sz w:val="20"/>
          <w:szCs w:val="20"/>
        </w:rPr>
        <w:t>lot of household expenses are spent on sugar and its availability impacts national inflation.</w:t>
      </w:r>
    </w:p>
    <w:p w:rsidR="00664B9D" w:rsidRDefault="00664B9D" w:rsidP="008052A9">
      <w:pPr>
        <w:spacing w:after="0" w:line="240" w:lineRule="auto"/>
        <w:ind w:left="-2" w:firstLineChars="0" w:firstLine="0"/>
        <w:jc w:val="both"/>
        <w:rPr>
          <w:rFonts w:ascii="Arial" w:hAnsi="Arial" w:cs="Arial"/>
          <w:sz w:val="20"/>
          <w:szCs w:val="20"/>
        </w:rPr>
      </w:pPr>
      <w:r w:rsidRPr="00664B9D">
        <w:rPr>
          <w:rFonts w:ascii="Arial" w:hAnsi="Arial" w:cs="Arial"/>
          <w:sz w:val="20"/>
          <w:szCs w:val="20"/>
        </w:rPr>
        <w:t xml:space="preserve">Sugar consumption is divided into two groups, sugar consumption for industry and sugar consumption for households. The household can buy sugar directly from retail. Based on the Central Statistics Agency </w:t>
      </w:r>
      <w:r w:rsidRPr="00664B9D">
        <w:rPr>
          <w:rFonts w:ascii="Arial" w:hAnsi="Arial" w:cs="Arial"/>
          <w:sz w:val="20"/>
          <w:szCs w:val="20"/>
        </w:rPr>
        <w:fldChar w:fldCharType="begin" w:fldLock="1"/>
      </w:r>
      <w:r w:rsidR="009A6400">
        <w:rPr>
          <w:rFonts w:ascii="Arial" w:hAnsi="Arial" w:cs="Arial"/>
          <w:sz w:val="20"/>
          <w:szCs w:val="20"/>
        </w:rPr>
        <w:instrText>ADDIN CSL_CITATION {"citationItems":[{"id":"ITEM-1","itemData":{"author":[{"dropping-particle":"","family":"Statistik","given":"Badan Pusat","non-dropping-particle":"","parse-names":false,"suffix":""}],"id":"ITEM-1","issued":{"date-parts":[["2023"]]},"title":"Subjek Tabel Terkait Rata - Rata Konsumsi Perkapita Seminggu Menurut Kelompok Bahan Makanan Lainnya Per Kabupaten / Kota Rata - Rata Konsumsi Perkapita Seminggu Di Daerah Pedesaan Menurut Komoditi Makanan Dan Golongan Pengeluaran Per Kapita Seminggu Rata","type":"report"},"uris":["http://www.mendeley.com/documents/?uuid=5072bd58-5771-4d0c-882b-0743a3e52dcc"]}],"mendeley":{"formattedCitation":"[5]","plainTextFormattedCitation":"[5]","previouslyFormattedCitation":"[5]"},"properties":{"noteIndex":0},"schema":"https://github.com/citation-style-language/schema/raw/master/csl-citation.json"}</w:instrText>
      </w:r>
      <w:r w:rsidRPr="00664B9D">
        <w:rPr>
          <w:rFonts w:ascii="Arial" w:hAnsi="Arial" w:cs="Arial"/>
          <w:sz w:val="20"/>
          <w:szCs w:val="20"/>
        </w:rPr>
        <w:fldChar w:fldCharType="separate"/>
      </w:r>
      <w:r w:rsidR="009A6400" w:rsidRPr="009A6400">
        <w:rPr>
          <w:rFonts w:ascii="Arial" w:hAnsi="Arial" w:cs="Arial"/>
          <w:noProof/>
          <w:sz w:val="20"/>
          <w:szCs w:val="20"/>
        </w:rPr>
        <w:t>[5]</w:t>
      </w:r>
      <w:r w:rsidRPr="00664B9D">
        <w:rPr>
          <w:rFonts w:ascii="Arial" w:hAnsi="Arial" w:cs="Arial"/>
          <w:sz w:val="20"/>
          <w:szCs w:val="20"/>
        </w:rPr>
        <w:fldChar w:fldCharType="end"/>
      </w:r>
      <w:r w:rsidRPr="00664B9D">
        <w:rPr>
          <w:rFonts w:ascii="Arial" w:hAnsi="Arial" w:cs="Arial"/>
          <w:sz w:val="20"/>
          <w:szCs w:val="20"/>
        </w:rPr>
        <w:t>, Indonesian people consume around 31.5 grams of sugar per capita weekly for household consumption in 2023. It means that Indonesian people consume sugar daily and ther</w:t>
      </w:r>
      <w:r w:rsidR="00542C02">
        <w:rPr>
          <w:rFonts w:ascii="Arial" w:hAnsi="Arial" w:cs="Arial"/>
          <w:sz w:val="20"/>
          <w:szCs w:val="20"/>
        </w:rPr>
        <w:t xml:space="preserve">e is a certain </w:t>
      </w:r>
      <w:r w:rsidRPr="00664B9D">
        <w:rPr>
          <w:rFonts w:ascii="Arial" w:hAnsi="Arial" w:cs="Arial"/>
          <w:sz w:val="20"/>
          <w:szCs w:val="20"/>
        </w:rPr>
        <w:t xml:space="preserve">demand for sugar in the retail. Therefore, retail should provide sugar and maintain its stock efficiently so that it can achieve customer satisfaction due to the stock availability and avoid high inventory because of excessive </w:t>
      </w:r>
      <w:r w:rsidRPr="00664B9D">
        <w:rPr>
          <w:rFonts w:ascii="Arial" w:hAnsi="Arial" w:cs="Arial"/>
          <w:sz w:val="20"/>
          <w:szCs w:val="20"/>
        </w:rPr>
        <w:lastRenderedPageBreak/>
        <w:t>stock. To achieve this, retail should predict the sugar demand effectively</w:t>
      </w:r>
      <w:r>
        <w:rPr>
          <w:rFonts w:ascii="Arial" w:hAnsi="Arial" w:cs="Arial"/>
          <w:sz w:val="20"/>
          <w:szCs w:val="20"/>
        </w:rPr>
        <w:t>.</w:t>
      </w:r>
    </w:p>
    <w:p w:rsidR="008052A9" w:rsidRDefault="00983644" w:rsidP="005E12C2">
      <w:pPr>
        <w:spacing w:after="0" w:line="240" w:lineRule="auto"/>
        <w:ind w:left="0" w:hanging="2"/>
        <w:jc w:val="both"/>
        <w:rPr>
          <w:rFonts w:ascii="Arial" w:hAnsi="Arial" w:cs="Arial"/>
          <w:sz w:val="20"/>
          <w:szCs w:val="20"/>
        </w:rPr>
      </w:pPr>
      <w:r w:rsidRPr="00983644">
        <w:rPr>
          <w:rFonts w:ascii="Arial" w:hAnsi="Arial" w:cs="Arial"/>
          <w:sz w:val="20"/>
          <w:szCs w:val="20"/>
        </w:rPr>
        <w:t xml:space="preserve">Despite the importance of understanding the pattern and the prediction of sugar demand in retail, there are still limited studies discussing this topic; instead, several studies about a prediction of sugarcane production, sugar price, and sugar consumption have been done. </w:t>
      </w:r>
      <w:r w:rsidR="00542C02" w:rsidRPr="00542C02">
        <w:rPr>
          <w:rFonts w:ascii="Arial" w:hAnsi="Arial" w:cs="Arial"/>
          <w:sz w:val="20"/>
          <w:szCs w:val="20"/>
        </w:rPr>
        <w:t>Mishra et al.</w:t>
      </w:r>
      <w:r w:rsidR="00542C02">
        <w:rPr>
          <w:rFonts w:ascii="Arial" w:hAnsi="Arial" w:cs="Arial"/>
          <w:color w:val="C00000"/>
          <w:sz w:val="20"/>
          <w:szCs w:val="20"/>
        </w:rPr>
        <w:t xml:space="preserve"> </w:t>
      </w:r>
      <w:r w:rsidRPr="00983644">
        <w:rPr>
          <w:rFonts w:ascii="Arial" w:hAnsi="Arial" w:cs="Arial"/>
          <w:sz w:val="20"/>
          <w:szCs w:val="20"/>
        </w:rPr>
        <w:fldChar w:fldCharType="begin" w:fldLock="1"/>
      </w:r>
      <w:r w:rsidR="009A6400">
        <w:rPr>
          <w:rFonts w:ascii="Arial" w:hAnsi="Arial" w:cs="Arial"/>
          <w:sz w:val="20"/>
          <w:szCs w:val="20"/>
        </w:rPr>
        <w:instrText>ADDIN CSL_CITATION {"citationItems":[{"id":"ITEM-1","itemData":{"DOI":"10.1007/s12355-021-01004-3","ISSN":"09740740","abstract":"Sugarcane plays an essential role in the economy of the India. During 2018, 79.9% of total sugarcane production of India was used in the manufacture of white sugar, 11.29% was used for jaggery production, and 8.80% was used as seed and feed materials. 840.16 Mt sugarcane was exported in the year 2019. Prediction of production level is basic to effective decision-making for policymakers. The objective of this study is thus to find the suitable models of forecasting for sugarcane production. India and major sugarcane producing states, namely Andhra Pradesh, Karnataka, Maharashtra, Tamil Nadu and Uttar Pradesh were selected. Sugarcane production data from 1950 to 2015 were used for training and 2016 to 2018 was used to test the model. ARIMA method was used to model the production process. Order selection was done using AIC. RMSE, MAPE and Theils’ U statistic were used to test the accuracy of the models fitted to the data. ARCH process was found for Karnataka, Tamil Nadu and Uttar Pradesh. Autocorrelation was not present in all the data series analyzed. Forecast accuracy on MAPE criteria ranged from 0.046 to 0.197 percent.","author":[{"dropping-particle":"","family":"Mishra","given":"Pradeep","non-dropping-particle":"","parse-names":false,"suffix":""},{"dropping-particle":"","family":"Khatib","given":"A. M.G.","non-dropping-particle":"Al","parse-names":false,"suffix":""},{"dropping-particle":"","family":"Sardar","given":"Iqra","non-dropping-particle":"","parse-names":false,"suffix":""},{"dropping-particle":"","family":"Mohammed","given":"Jamal","non-dropping-particle":"","parse-names":false,"suffix":""},{"dropping-particle":"","family":"Karakaya","given":"Kadir","non-dropping-particle":"","parse-names":false,"suffix":""},{"dropping-particle":"","family":"Dash","given":"Abhiram","non-dropping-particle":"","parse-names":false,"suffix":""},{"dropping-particle":"","family":"Ray","given":"Monika","non-dropping-particle":"","parse-names":false,"suffix":""},{"dropping-particle":"","family":"Narsimhaiah","given":"Lakshmi","non-dropping-particle":"","parse-names":false,"suffix":""},{"dropping-particle":"","family":"Dubey","given":"Anurag","non-dropping-particle":"","parse-names":false,"suffix":""}],"container-title":"Sugar Tech","id":"ITEM-1","issue":"6","issued":{"date-parts":[["2021"]]},"page":"1317-1324","publisher":"Springer India","title":"Modeling and Forecasting of Sugarcane Production in India","type":"article-journal","volume":"23"},"uris":["http://www.mendeley.com/documents/?uuid=8ebdae13-121a-4bfe-b89c-56feba7c5246"]}],"mendeley":{"formattedCitation":"[6]","plainTextFormattedCitation":"[6]","previouslyFormattedCitation":"[6]"},"properties":{"noteIndex":0},"schema":"https://github.com/citation-style-language/schema/raw/master/csl-citation.json"}</w:instrText>
      </w:r>
      <w:r w:rsidRPr="00983644">
        <w:rPr>
          <w:rFonts w:ascii="Arial" w:hAnsi="Arial" w:cs="Arial"/>
          <w:sz w:val="20"/>
          <w:szCs w:val="20"/>
        </w:rPr>
        <w:fldChar w:fldCharType="separate"/>
      </w:r>
      <w:r w:rsidR="009A6400" w:rsidRPr="009A6400">
        <w:rPr>
          <w:rFonts w:ascii="Arial" w:hAnsi="Arial" w:cs="Arial"/>
          <w:noProof/>
          <w:sz w:val="20"/>
          <w:szCs w:val="20"/>
        </w:rPr>
        <w:t>[6]</w:t>
      </w:r>
      <w:r w:rsidRPr="00983644">
        <w:rPr>
          <w:rFonts w:ascii="Arial" w:hAnsi="Arial" w:cs="Arial"/>
          <w:sz w:val="20"/>
          <w:szCs w:val="20"/>
        </w:rPr>
        <w:fldChar w:fldCharType="end"/>
      </w:r>
      <w:r w:rsidRPr="00983644">
        <w:rPr>
          <w:rFonts w:ascii="Arial" w:hAnsi="Arial" w:cs="Arial"/>
          <w:sz w:val="20"/>
          <w:szCs w:val="20"/>
        </w:rPr>
        <w:t xml:space="preserve"> and </w:t>
      </w:r>
      <w:proofErr w:type="spellStart"/>
      <w:r w:rsidRPr="00542C02">
        <w:rPr>
          <w:rFonts w:ascii="Arial" w:hAnsi="Arial" w:cs="Arial"/>
          <w:sz w:val="20"/>
          <w:szCs w:val="20"/>
        </w:rPr>
        <w:t>Tyagi</w:t>
      </w:r>
      <w:proofErr w:type="spellEnd"/>
      <w:r w:rsidRPr="00542C02">
        <w:rPr>
          <w:rFonts w:ascii="Arial" w:hAnsi="Arial" w:cs="Arial"/>
          <w:sz w:val="20"/>
          <w:szCs w:val="20"/>
        </w:rPr>
        <w:t xml:space="preserve"> et al</w:t>
      </w:r>
      <w:r w:rsidR="00542C02" w:rsidRPr="00542C02">
        <w:rPr>
          <w:rFonts w:ascii="Arial" w:hAnsi="Arial" w:cs="Arial"/>
          <w:sz w:val="20"/>
          <w:szCs w:val="20"/>
        </w:rPr>
        <w:t>.</w:t>
      </w:r>
      <w:r w:rsidRPr="00542C02">
        <w:rPr>
          <w:rFonts w:ascii="Arial" w:hAnsi="Arial" w:cs="Arial"/>
          <w:sz w:val="20"/>
          <w:szCs w:val="20"/>
        </w:rPr>
        <w:t xml:space="preserve"> </w:t>
      </w:r>
      <w:r w:rsidRPr="00983644">
        <w:rPr>
          <w:rFonts w:ascii="Arial" w:hAnsi="Arial" w:cs="Arial"/>
          <w:sz w:val="20"/>
          <w:szCs w:val="20"/>
        </w:rPr>
        <w:fldChar w:fldCharType="begin" w:fldLock="1"/>
      </w:r>
      <w:r w:rsidR="009A6400">
        <w:rPr>
          <w:rFonts w:ascii="Arial" w:hAnsi="Arial" w:cs="Arial"/>
          <w:sz w:val="20"/>
          <w:szCs w:val="20"/>
        </w:rPr>
        <w:instrText>ADDIN CSL_CITATION {"citationItems":[{"id":"ITEM-1","itemData":{"DOI":"10.1111/aab.12825","ISSN":"17447348","abstract":"This paper proposes a comparison of various time series forecasting models to forecast annual data on sugarcane production over 63 years from 1960 to 2022. In this research, the Mean Forecast Model, the Naive Model, the Simple Exponential Smoothing Model, Holt's model, and the Autoregressive Integrated Moving Average time series models have all been used to make effective and accurate predictions for sugarcane. Different scale-dependent error forecasting techniques and residual analysis have been used to examine the forecasting accuracy of these time series models. SE of Residuals, Root Mean Squared Error (RMSE), Mean Absolute Error (MAE) and Akaike's Information Criterion (AIC) are used to analyse the forecast's accuracy. The best model has been selected based on the predictions with the lowest value, according to the three-performance metrics of RMSE, MAE, and AIC. The estimated sugarcane production shows an increasing trend for the next 10 years and is projected to be 37,763.38 million tonnes in the year 2032. Further, empirical results support the plan and execution of viable strategies to advance sugarcane production in India to fulfil the utilisation need of the increasing population and further improve food security.","author":[{"dropping-particle":"","family":"Tyagi","given":"Sanjay","non-dropping-particle":"","parse-names":false,"suffix":""},{"dropping-particle":"","family":"Chandra","given":"Shalini","non-dropping-particle":"","parse-names":false,"suffix":""},{"dropping-particle":"","family":"Tyagi","given":"Gargi","non-dropping-particle":"","parse-names":false,"suffix":""}],"container-title":"Annals of Applied Biology","id":"ITEM-1","issue":"3","issued":{"date-parts":[["2023"]]},"page":"371-380","title":"Statistical modelling and forecasting annual sugarcane production in India: Using various time series models","type":"article-journal","volume":"182"},"uris":["http://www.mendeley.com/documents/?uuid=8f4b89a6-d303-4136-8519-1fe57e7a8d6e"]}],"mendeley":{"formattedCitation":"[7]","plainTextFormattedCitation":"[7]","previouslyFormattedCitation":"[7]"},"properties":{"noteIndex":0},"schema":"https://github.com/citation-style-language/schema/raw/master/csl-citation.json"}</w:instrText>
      </w:r>
      <w:r w:rsidRPr="00983644">
        <w:rPr>
          <w:rFonts w:ascii="Arial" w:hAnsi="Arial" w:cs="Arial"/>
          <w:sz w:val="20"/>
          <w:szCs w:val="20"/>
        </w:rPr>
        <w:fldChar w:fldCharType="separate"/>
      </w:r>
      <w:r w:rsidR="009A6400" w:rsidRPr="009A6400">
        <w:rPr>
          <w:rFonts w:ascii="Arial" w:hAnsi="Arial" w:cs="Arial"/>
          <w:noProof/>
          <w:sz w:val="20"/>
          <w:szCs w:val="20"/>
        </w:rPr>
        <w:t>[7]</w:t>
      </w:r>
      <w:r w:rsidRPr="00983644">
        <w:rPr>
          <w:rFonts w:ascii="Arial" w:hAnsi="Arial" w:cs="Arial"/>
          <w:sz w:val="20"/>
          <w:szCs w:val="20"/>
        </w:rPr>
        <w:fldChar w:fldCharType="end"/>
      </w:r>
      <w:r w:rsidRPr="00983644">
        <w:rPr>
          <w:rFonts w:ascii="Arial" w:hAnsi="Arial" w:cs="Arial"/>
          <w:sz w:val="20"/>
          <w:szCs w:val="20"/>
        </w:rPr>
        <w:t xml:space="preserve"> discuss the prediction of sugarcane production in India. Both studies use ARIMA to forecast; however </w:t>
      </w:r>
      <w:proofErr w:type="spellStart"/>
      <w:r w:rsidRPr="00542C02">
        <w:rPr>
          <w:rFonts w:ascii="Arial" w:hAnsi="Arial" w:cs="Arial"/>
          <w:sz w:val="20"/>
          <w:szCs w:val="20"/>
        </w:rPr>
        <w:t>Tyagi</w:t>
      </w:r>
      <w:proofErr w:type="spellEnd"/>
      <w:r w:rsidRPr="00542C02">
        <w:rPr>
          <w:rFonts w:ascii="Arial" w:hAnsi="Arial" w:cs="Arial"/>
          <w:sz w:val="20"/>
          <w:szCs w:val="20"/>
        </w:rPr>
        <w:t xml:space="preserve"> </w:t>
      </w:r>
      <w:r w:rsidR="00542C02" w:rsidRPr="00542C02">
        <w:rPr>
          <w:rFonts w:ascii="Arial" w:hAnsi="Arial" w:cs="Arial"/>
          <w:sz w:val="20"/>
          <w:szCs w:val="20"/>
        </w:rPr>
        <w:t xml:space="preserve">et al. </w:t>
      </w:r>
      <w:r w:rsidRPr="00983644">
        <w:rPr>
          <w:rFonts w:ascii="Arial" w:hAnsi="Arial" w:cs="Arial"/>
          <w:sz w:val="20"/>
          <w:szCs w:val="20"/>
        </w:rPr>
        <w:fldChar w:fldCharType="begin" w:fldLock="1"/>
      </w:r>
      <w:r w:rsidR="009A6400">
        <w:rPr>
          <w:rFonts w:ascii="Arial" w:hAnsi="Arial" w:cs="Arial"/>
          <w:sz w:val="20"/>
          <w:szCs w:val="20"/>
        </w:rPr>
        <w:instrText>ADDIN CSL_CITATION {"citationItems":[{"id":"ITEM-1","itemData":{"DOI":"10.1111/aab.12825","ISSN":"17447348","abstract":"This paper proposes a comparison of various time series forecasting models to forecast annual data on sugarcane production over 63 years from 1960 to 2022. In this research, the Mean Forecast Model, the Naive Model, the Simple Exponential Smoothing Model, Holt's model, and the Autoregressive Integrated Moving Average time series models have all been used to make effective and accurate predictions for sugarcane. Different scale-dependent error forecasting techniques and residual analysis have been used to examine the forecasting accuracy of these time series models. SE of Residuals, Root Mean Squared Error (RMSE), Mean Absolute Error (MAE) and Akaike's Information Criterion (AIC) are used to analyse the forecast's accuracy. The best model has been selected based on the predictions with the lowest value, according to the three-performance metrics of RMSE, MAE, and AIC. The estimated sugarcane production shows an increasing trend for the next 10 years and is projected to be 37,763.38 million tonnes in the year 2032. Further, empirical results support the plan and execution of viable strategies to advance sugarcane production in India to fulfil the utilisation need of the increasing population and further improve food security.","author":[{"dropping-particle":"","family":"Tyagi","given":"Sanjay","non-dropping-particle":"","parse-names":false,"suffix":""},{"dropping-particle":"","family":"Chandra","given":"Shalini","non-dropping-particle":"","parse-names":false,"suffix":""},{"dropping-particle":"","family":"Tyagi","given":"Gargi","non-dropping-particle":"","parse-names":false,"suffix":""}],"container-title":"Annals of Applied Biology","id":"ITEM-1","issue":"3","issued":{"date-parts":[["2023"]]},"page":"371-380","title":"Statistical modelling and forecasting annual sugarcane production in India: Using various time series models","type":"article-journal","volume":"182"},"uris":["http://www.mendeley.com/documents/?uuid=8f4b89a6-d303-4136-8519-1fe57e7a8d6e"]}],"mendeley":{"formattedCitation":"[7]","plainTextFormattedCitation":"[7]","previouslyFormattedCitation":"[7]"},"properties":{"noteIndex":0},"schema":"https://github.com/citation-style-language/schema/raw/master/csl-citation.json"}</w:instrText>
      </w:r>
      <w:r w:rsidRPr="00983644">
        <w:rPr>
          <w:rFonts w:ascii="Arial" w:hAnsi="Arial" w:cs="Arial"/>
          <w:sz w:val="20"/>
          <w:szCs w:val="20"/>
        </w:rPr>
        <w:fldChar w:fldCharType="separate"/>
      </w:r>
      <w:r w:rsidR="009A6400" w:rsidRPr="009A6400">
        <w:rPr>
          <w:rFonts w:ascii="Arial" w:hAnsi="Arial" w:cs="Arial"/>
          <w:noProof/>
          <w:sz w:val="20"/>
          <w:szCs w:val="20"/>
        </w:rPr>
        <w:t>[7]</w:t>
      </w:r>
      <w:r w:rsidRPr="00983644">
        <w:rPr>
          <w:rFonts w:ascii="Arial" w:hAnsi="Arial" w:cs="Arial"/>
          <w:sz w:val="20"/>
          <w:szCs w:val="20"/>
        </w:rPr>
        <w:fldChar w:fldCharType="end"/>
      </w:r>
      <w:r w:rsidRPr="00983644">
        <w:rPr>
          <w:rFonts w:ascii="Arial" w:hAnsi="Arial" w:cs="Arial"/>
          <w:sz w:val="20"/>
          <w:szCs w:val="20"/>
        </w:rPr>
        <w:t xml:space="preserve"> also use other forecasting methods; those are th</w:t>
      </w:r>
      <w:r w:rsidR="00815C5D">
        <w:rPr>
          <w:rFonts w:ascii="Arial" w:hAnsi="Arial" w:cs="Arial"/>
          <w:sz w:val="20"/>
          <w:szCs w:val="20"/>
        </w:rPr>
        <w:t>e naive</w:t>
      </w:r>
      <w:r w:rsidRPr="00983644">
        <w:rPr>
          <w:rFonts w:ascii="Arial" w:hAnsi="Arial" w:cs="Arial"/>
          <w:sz w:val="20"/>
          <w:szCs w:val="20"/>
        </w:rPr>
        <w:t xml:space="preserve">, </w:t>
      </w:r>
      <w:r w:rsidR="00815C5D">
        <w:rPr>
          <w:rFonts w:ascii="Arial" w:hAnsi="Arial" w:cs="Arial"/>
          <w:sz w:val="20"/>
          <w:szCs w:val="20"/>
        </w:rPr>
        <w:t xml:space="preserve">holt’s and </w:t>
      </w:r>
      <w:r w:rsidRPr="00983644">
        <w:rPr>
          <w:rFonts w:ascii="Arial" w:hAnsi="Arial" w:cs="Arial"/>
          <w:sz w:val="20"/>
          <w:szCs w:val="20"/>
        </w:rPr>
        <w:t>simple exponential smoothing</w:t>
      </w:r>
      <w:r w:rsidR="00815C5D">
        <w:rPr>
          <w:rFonts w:ascii="Arial" w:hAnsi="Arial" w:cs="Arial"/>
          <w:sz w:val="20"/>
          <w:szCs w:val="20"/>
        </w:rPr>
        <w:t xml:space="preserve"> models</w:t>
      </w:r>
      <w:r w:rsidRPr="00983644">
        <w:rPr>
          <w:rFonts w:ascii="Arial" w:hAnsi="Arial" w:cs="Arial"/>
          <w:sz w:val="20"/>
          <w:szCs w:val="20"/>
        </w:rPr>
        <w:t>.</w:t>
      </w:r>
      <w:r w:rsidR="00542C02">
        <w:rPr>
          <w:rFonts w:ascii="Arial" w:hAnsi="Arial" w:cs="Arial"/>
          <w:sz w:val="20"/>
          <w:szCs w:val="20"/>
        </w:rPr>
        <w:t xml:space="preserve"> </w:t>
      </w:r>
      <w:r w:rsidR="00FD55D5">
        <w:rPr>
          <w:rFonts w:ascii="Arial" w:hAnsi="Arial" w:cs="Arial"/>
          <w:sz w:val="20"/>
          <w:szCs w:val="20"/>
        </w:rPr>
        <w:t>The r</w:t>
      </w:r>
      <w:r w:rsidR="00542C02">
        <w:rPr>
          <w:rFonts w:ascii="Arial" w:hAnsi="Arial" w:cs="Arial"/>
          <w:sz w:val="20"/>
          <w:szCs w:val="20"/>
        </w:rPr>
        <w:t xml:space="preserve">esult </w:t>
      </w:r>
      <w:r w:rsidRPr="00983644">
        <w:rPr>
          <w:rFonts w:ascii="Arial" w:hAnsi="Arial" w:cs="Arial"/>
          <w:sz w:val="20"/>
          <w:szCs w:val="20"/>
        </w:rPr>
        <w:t xml:space="preserve">describes that ARIMA performs the best among other methods. Different from those studies, </w:t>
      </w:r>
      <w:proofErr w:type="spellStart"/>
      <w:r w:rsidR="00542C02" w:rsidRPr="00542C02">
        <w:rPr>
          <w:rFonts w:ascii="Arial" w:hAnsi="Arial" w:cs="Arial"/>
          <w:sz w:val="20"/>
          <w:szCs w:val="20"/>
        </w:rPr>
        <w:t>Amrouk</w:t>
      </w:r>
      <w:proofErr w:type="spellEnd"/>
      <w:r w:rsidR="00542C02" w:rsidRPr="00542C02">
        <w:rPr>
          <w:rFonts w:ascii="Arial" w:hAnsi="Arial" w:cs="Arial"/>
          <w:sz w:val="20"/>
          <w:szCs w:val="20"/>
        </w:rPr>
        <w:t xml:space="preserve"> and </w:t>
      </w:r>
      <w:proofErr w:type="spellStart"/>
      <w:r w:rsidR="00542C02" w:rsidRPr="00542C02">
        <w:rPr>
          <w:rFonts w:ascii="Arial" w:hAnsi="Arial" w:cs="Arial"/>
          <w:sz w:val="20"/>
          <w:szCs w:val="20"/>
        </w:rPr>
        <w:t>Heckelei</w:t>
      </w:r>
      <w:proofErr w:type="spellEnd"/>
      <w:r w:rsidR="00542C02" w:rsidRPr="00542C02">
        <w:rPr>
          <w:rFonts w:ascii="Arial" w:hAnsi="Arial" w:cs="Arial"/>
          <w:sz w:val="20"/>
          <w:szCs w:val="20"/>
        </w:rPr>
        <w:t xml:space="preserve"> </w:t>
      </w:r>
      <w:r w:rsidRPr="00542C02">
        <w:rPr>
          <w:rFonts w:ascii="Arial" w:hAnsi="Arial" w:cs="Arial"/>
          <w:sz w:val="20"/>
          <w:szCs w:val="20"/>
        </w:rPr>
        <w:fldChar w:fldCharType="begin" w:fldLock="1"/>
      </w:r>
      <w:r w:rsidR="009A6400" w:rsidRPr="00542C02">
        <w:rPr>
          <w:rFonts w:ascii="Arial" w:hAnsi="Arial" w:cs="Arial"/>
          <w:sz w:val="20"/>
          <w:szCs w:val="20"/>
        </w:rPr>
        <w:instrText>ADDIN CSL_CITATION {"citationItems":[{"id":"ITEM-1","itemData":{"DOI":"10.1007/s12355-020-00815-0","ISSN":"09740740","abstract":"This paper examines the relative importance of key variables for the prediction of international sugar prices. Understanding movements in world sugar prices helps policy-makers and participants in the sugar value chain to formulate effective investment strategies and forecast the effects of market shocks more accurately. We combine a Bayesian model averaging (BMA) technique to address specification uncertainty with an out-of-sample analysis to evaluate price predictability. Results show that world sugar quotations are mostly influenced by their own dynamics, changes in international staple food prices, sugar production costs, and macroeconomic variables. The predictability of the BMA is found to be generally high, compared with a sample of benchmark time series approaches.","author":[{"dropping-particle":"","family":"Amrouk","given":"El Mamoun","non-dropping-particle":"","parse-names":false,"suffix":""},{"dropping-particle":"","family":"Heckelei","given":"Thomas","non-dropping-particle":"","parse-names":false,"suffix":""}],"container-title":"Sugar Tech","id":"ITEM-1","issue":"4","issued":{"date-parts":[["2020"]]},"page":"552-562","publisher":"Springer India","title":"Forecasting International Sugar Prices: A Bayesian Model Average Analysis","type":"article-journal","volume":"22"},"uris":["http://www.mendeley.com/documents/?uuid=0970c0a0-c2d1-40ea-b43c-e0e898088987"]}],"mendeley":{"formattedCitation":"[8]","plainTextFormattedCitation":"[8]","previouslyFormattedCitation":"[8]"},"properties":{"noteIndex":0},"schema":"https://github.com/citation-style-language/schema/raw/master/csl-citation.json"}</w:instrText>
      </w:r>
      <w:r w:rsidRPr="00542C02">
        <w:rPr>
          <w:rFonts w:ascii="Arial" w:hAnsi="Arial" w:cs="Arial"/>
          <w:sz w:val="20"/>
          <w:szCs w:val="20"/>
        </w:rPr>
        <w:fldChar w:fldCharType="separate"/>
      </w:r>
      <w:r w:rsidR="009A6400" w:rsidRPr="00542C02">
        <w:rPr>
          <w:rFonts w:ascii="Arial" w:hAnsi="Arial" w:cs="Arial"/>
          <w:noProof/>
          <w:sz w:val="20"/>
          <w:szCs w:val="20"/>
        </w:rPr>
        <w:t>[8]</w:t>
      </w:r>
      <w:r w:rsidRPr="00542C02">
        <w:rPr>
          <w:rFonts w:ascii="Arial" w:hAnsi="Arial" w:cs="Arial"/>
          <w:sz w:val="20"/>
          <w:szCs w:val="20"/>
        </w:rPr>
        <w:fldChar w:fldCharType="end"/>
      </w:r>
      <w:r w:rsidRPr="00542C02">
        <w:rPr>
          <w:rFonts w:ascii="Arial" w:hAnsi="Arial" w:cs="Arial"/>
          <w:sz w:val="20"/>
          <w:szCs w:val="20"/>
        </w:rPr>
        <w:t xml:space="preserve"> and Zhang et al</w:t>
      </w:r>
      <w:r w:rsidR="00542C02" w:rsidRPr="00542C02">
        <w:rPr>
          <w:rFonts w:ascii="Arial" w:hAnsi="Arial" w:cs="Arial"/>
          <w:sz w:val="20"/>
          <w:szCs w:val="20"/>
        </w:rPr>
        <w:t>.</w:t>
      </w:r>
      <w:r w:rsidRPr="00542C02">
        <w:rPr>
          <w:rFonts w:ascii="Arial" w:hAnsi="Arial" w:cs="Arial"/>
          <w:sz w:val="20"/>
          <w:szCs w:val="20"/>
        </w:rPr>
        <w:t xml:space="preserve"> </w:t>
      </w:r>
      <w:r w:rsidRPr="00983644">
        <w:rPr>
          <w:rFonts w:ascii="Arial" w:hAnsi="Arial" w:cs="Arial"/>
          <w:sz w:val="20"/>
          <w:szCs w:val="20"/>
        </w:rPr>
        <w:fldChar w:fldCharType="begin" w:fldLock="1"/>
      </w:r>
      <w:r w:rsidR="009A6400">
        <w:rPr>
          <w:rFonts w:ascii="Arial" w:hAnsi="Arial" w:cs="Arial"/>
          <w:sz w:val="20"/>
          <w:szCs w:val="20"/>
        </w:rPr>
        <w:instrText>ADDIN CSL_CITATION {"citationItems":[{"id":"ITEM-1","itemData":{"DOI":"10.1155/2021/6507688","ISSN":"15635147","abstract":"Sugar price forecasting has attracted extensive attention from policymakers due to its significant impact on people's daily lives and markets. In this paper, we present a novel hybrid deep learning model that utilizes the merit of a time series decomposition technology empirical mode decomposition (EMD) and a hyperparameter optimization algorithm Tree of Parzen Estimators (TPEs) for sugar price forecasting. The effectiveness of the proposed model was implemented in a case study with the price of London Sugar Futures. Two experiments are conducted to verify the superiority of the EMD and TPE. Moreover, the specific effects of EMD and TPE are analyzed by the DM test and improvement percentage. Finally, empirical results demonstrate that the proposed hybrid model outperforms other models.","author":[{"dropping-particle":"","family":"Zhang","given":"Jinlai","non-dropping-particle":"","parse-names":false,"suffix":""},{"dropping-particle":"","family":"Meng","given":"Yanmei","non-dropping-particle":"","parse-names":false,"suffix":""},{"dropping-particle":"","family":"Wei","given":"Jin","non-dropping-particle":"","parse-names":false,"suffix":""},{"dropping-particle":"","family":"Chen","given":"Jie","non-dropping-particle":"","parse-names":false,"suffix":""},{"dropping-particle":"","family":"Qin","given":"Johnny","non-dropping-particle":"","parse-names":false,"suffix":""}],"container-title":"Mathematical Problems in Engineering","id":"ITEM-1","issued":{"date-parts":[["2021"]]},"title":"A Novel Hybrid Deep Learning Model for Sugar Price Forecasting Based on Time Series Decomposition","type":"article-journal","volume":"2021"},"uris":["http://www.mendeley.com/documents/?uuid=2cdd6785-8256-4547-9740-ce1c6fe7aa6e"]}],"mendeley":{"formattedCitation":"[9]","plainTextFormattedCitation":"[9]","previouslyFormattedCitation":"[9]"},"properties":{"noteIndex":0},"schema":"https://github.com/citation-style-language/schema/raw/master/csl-citation.json"}</w:instrText>
      </w:r>
      <w:r w:rsidRPr="00983644">
        <w:rPr>
          <w:rFonts w:ascii="Arial" w:hAnsi="Arial" w:cs="Arial"/>
          <w:sz w:val="20"/>
          <w:szCs w:val="20"/>
        </w:rPr>
        <w:fldChar w:fldCharType="separate"/>
      </w:r>
      <w:r w:rsidR="009A6400" w:rsidRPr="009A6400">
        <w:rPr>
          <w:rFonts w:ascii="Arial" w:hAnsi="Arial" w:cs="Arial"/>
          <w:noProof/>
          <w:sz w:val="20"/>
          <w:szCs w:val="20"/>
        </w:rPr>
        <w:t>[9]</w:t>
      </w:r>
      <w:r w:rsidRPr="00983644">
        <w:rPr>
          <w:rFonts w:ascii="Arial" w:hAnsi="Arial" w:cs="Arial"/>
          <w:sz w:val="20"/>
          <w:szCs w:val="20"/>
        </w:rPr>
        <w:fldChar w:fldCharType="end"/>
      </w:r>
      <w:r w:rsidRPr="00983644">
        <w:rPr>
          <w:rFonts w:ascii="Arial" w:hAnsi="Arial" w:cs="Arial"/>
          <w:sz w:val="20"/>
          <w:szCs w:val="20"/>
        </w:rPr>
        <w:t xml:space="preserve"> estimate the sugar price in London and international sugar prices. Another research is done by </w:t>
      </w:r>
      <w:proofErr w:type="spellStart"/>
      <w:r w:rsidRPr="00542C02">
        <w:rPr>
          <w:rFonts w:ascii="Arial" w:hAnsi="Arial" w:cs="Arial"/>
          <w:sz w:val="20"/>
          <w:szCs w:val="20"/>
        </w:rPr>
        <w:t>Kantasa</w:t>
      </w:r>
      <w:r w:rsidR="00542C02" w:rsidRPr="00542C02">
        <w:rPr>
          <w:rFonts w:ascii="Arial" w:hAnsi="Arial" w:cs="Arial"/>
          <w:sz w:val="20"/>
          <w:szCs w:val="20"/>
        </w:rPr>
        <w:t>ard</w:t>
      </w:r>
      <w:proofErr w:type="spellEnd"/>
      <w:r w:rsidR="00542C02" w:rsidRPr="00542C02">
        <w:rPr>
          <w:rFonts w:ascii="Arial" w:hAnsi="Arial" w:cs="Arial"/>
          <w:sz w:val="20"/>
          <w:szCs w:val="20"/>
        </w:rPr>
        <w:t xml:space="preserve"> et al.</w:t>
      </w:r>
      <w:r w:rsidRPr="00542C02">
        <w:rPr>
          <w:rFonts w:ascii="Arial" w:hAnsi="Arial" w:cs="Arial"/>
          <w:sz w:val="20"/>
          <w:szCs w:val="20"/>
        </w:rPr>
        <w:t xml:space="preserve"> </w:t>
      </w:r>
      <w:r w:rsidRPr="00983644">
        <w:rPr>
          <w:rFonts w:ascii="Arial" w:hAnsi="Arial" w:cs="Arial"/>
          <w:sz w:val="20"/>
          <w:szCs w:val="20"/>
        </w:rPr>
        <w:fldChar w:fldCharType="begin" w:fldLock="1"/>
      </w:r>
      <w:r w:rsidR="009A6400">
        <w:rPr>
          <w:rFonts w:ascii="Arial" w:hAnsi="Arial" w:cs="Arial"/>
          <w:sz w:val="20"/>
          <w:szCs w:val="20"/>
        </w:rPr>
        <w:instrText>ADDIN CSL_CITATION {"citationItems":[{"id":"ITEM-1","itemData":{"DOI":"10.1016/j.ifacol.2019.11.201","ISSN":"24058963","abstract":"This paper proposes an appropriate model to forecast the trend of white sugar consumption rate in Thailand due to the fluctuation of consumption rate nowadays. This paper will focus on two main forecasting model types, which are the regression models and neural network models. Moreover, the perfonnance is evaluated by using Root Mean Square Error (RMSE) and Theil'U statistic value. After processing the experiments, the results demonstrate that Long Short-Term Memory (LSTM) recurrent neural network provides the best perfonnance for the forecasting, with the condition of combination between the existing consumption rate and other relevant factors like production supply, import rate, export rate, and inventory stock. Also timing the model's parameters is an important issue.","author":[{"dropping-particle":"","family":"Kantasaard","given":"Anirut","non-dropping-particle":"","parse-names":false,"suffix":""},{"dropping-particle":"","family":"Bekrar","given":"Abdelghani","non-dropping-particle":"","parse-names":false,"suffix":""},{"dropping-particle":"","family":"Aitelcadi","given":"Abdessamad","non-dropping-particle":"","parse-names":false,"suffix":""},{"dropping-particle":"","family":"Saliez","given":"Yves","non-dropping-particle":"","parse-names":false,"suffix":""}],"container-title":"IFAC-PapersOnLine","id":"ITEM-1","issue":"13","issued":{"date-parts":[["2019"]]},"page":"725-730","title":"Artificial intelligence for forecasting in supply chain management: A case study o White Sugar consumption rate in Thailand","type":"article-journal","volume":"52"},"uris":["http://www.mendeley.com/documents/?uuid=712baddf-9079-438b-8ece-ef2440148460"]}],"mendeley":{"formattedCitation":"[10]","plainTextFormattedCitation":"[10]","previouslyFormattedCitation":"[10]"},"properties":{"noteIndex":0},"schema":"https://github.com/citation-style-language/schema/raw/master/csl-citation.json"}</w:instrText>
      </w:r>
      <w:r w:rsidRPr="00983644">
        <w:rPr>
          <w:rFonts w:ascii="Arial" w:hAnsi="Arial" w:cs="Arial"/>
          <w:sz w:val="20"/>
          <w:szCs w:val="20"/>
        </w:rPr>
        <w:fldChar w:fldCharType="separate"/>
      </w:r>
      <w:r w:rsidR="009A6400" w:rsidRPr="009A6400">
        <w:rPr>
          <w:rFonts w:ascii="Arial" w:hAnsi="Arial" w:cs="Arial"/>
          <w:noProof/>
          <w:sz w:val="20"/>
          <w:szCs w:val="20"/>
        </w:rPr>
        <w:t>[10]</w:t>
      </w:r>
      <w:r w:rsidRPr="00983644">
        <w:rPr>
          <w:rFonts w:ascii="Arial" w:hAnsi="Arial" w:cs="Arial"/>
          <w:sz w:val="20"/>
          <w:szCs w:val="20"/>
        </w:rPr>
        <w:fldChar w:fldCharType="end"/>
      </w:r>
      <w:r w:rsidRPr="00983644">
        <w:rPr>
          <w:rFonts w:ascii="Arial" w:hAnsi="Arial" w:cs="Arial"/>
          <w:sz w:val="20"/>
          <w:szCs w:val="20"/>
        </w:rPr>
        <w:t xml:space="preserve"> who forecast about white sugar consumption rate in Thailand using regression and neural network methods.</w:t>
      </w:r>
    </w:p>
    <w:p w:rsidR="005E12C2" w:rsidRDefault="00542C02" w:rsidP="005E12C2">
      <w:pPr>
        <w:spacing w:after="0" w:line="240" w:lineRule="auto"/>
        <w:ind w:left="0" w:hanging="2"/>
        <w:jc w:val="both"/>
        <w:rPr>
          <w:rFonts w:ascii="Arial" w:eastAsia="Arial" w:hAnsi="Arial" w:cs="Arial"/>
          <w:sz w:val="20"/>
          <w:szCs w:val="20"/>
        </w:rPr>
      </w:pPr>
      <w:r>
        <w:rPr>
          <w:rFonts w:ascii="Arial" w:hAnsi="Arial" w:cs="Arial"/>
          <w:sz w:val="20"/>
          <w:szCs w:val="20"/>
        </w:rPr>
        <w:t>In addition</w:t>
      </w:r>
      <w:r w:rsidR="005E12C2" w:rsidRPr="005E12C2">
        <w:rPr>
          <w:rFonts w:ascii="Arial" w:hAnsi="Arial" w:cs="Arial"/>
          <w:sz w:val="20"/>
          <w:szCs w:val="20"/>
        </w:rPr>
        <w:t xml:space="preserve">, studies about sugar in Indonesia have also been done. </w:t>
      </w:r>
      <w:proofErr w:type="spellStart"/>
      <w:r w:rsidRPr="00542C02">
        <w:rPr>
          <w:rFonts w:ascii="Arial" w:hAnsi="Arial" w:cs="Arial"/>
          <w:sz w:val="20"/>
          <w:szCs w:val="20"/>
        </w:rPr>
        <w:t>Wardah</w:t>
      </w:r>
      <w:proofErr w:type="spellEnd"/>
      <w:r w:rsidRPr="00542C02">
        <w:rPr>
          <w:rFonts w:ascii="Arial" w:hAnsi="Arial" w:cs="Arial"/>
          <w:sz w:val="20"/>
          <w:szCs w:val="20"/>
        </w:rPr>
        <w:t xml:space="preserve"> et al. </w:t>
      </w:r>
      <w:r w:rsidR="005E12C2" w:rsidRPr="005E12C2">
        <w:rPr>
          <w:rFonts w:ascii="Arial" w:hAnsi="Arial" w:cs="Arial"/>
          <w:sz w:val="20"/>
          <w:szCs w:val="20"/>
        </w:rPr>
        <w:fldChar w:fldCharType="begin" w:fldLock="1"/>
      </w:r>
      <w:r w:rsidR="009A6400">
        <w:rPr>
          <w:rFonts w:ascii="Arial" w:hAnsi="Arial" w:cs="Arial"/>
          <w:sz w:val="20"/>
          <w:szCs w:val="20"/>
        </w:rPr>
        <w:instrText>ADDIN CSL_CITATION {"citationItems":[{"id":"ITEM-1","itemData":{"DOI":"10.30656/jsmi.v7i2.6500","ISSN":"2580-2887","abstract":"Inventory control is critical because the inability to overcome inventory problems causes unpreparedness to meet consumer demand. MSMEs Bekawan Agro Coconut Sugar, independently around 35% -70%, cannot meet consumers' demand for coconut sugar, so an inventory control model is needed. Inventory control models must integrate with demand forecasting as an inventory control input. This study aims to integrate the demand fore­casting model with the inventory control model. The method used for demand forecasting is ARIMA. The inventory control model uses a modi­fied EOQ hybrid method because coconut sugar products have a shelf life; they also use coconut sap as raw material, which must be processed to prevent fermentation. The research results show that demand forecasting for one year ahead is a total of 10,310.82 Kilograms with an economic lot size of 120 Kilograms and a reorder point when the inventory position is 30 Kilograms. Daily production of 30 kilograms requires 210 litres of coconut sap/per day. The amount of sap needed requires 105 coconut trees / per day. Arrival time of coconut sugar at the storage warehouse every five days. The resulting model can be a solution for sustainable MSMEs.","author":[{"dropping-particle":"","family":"Wardah","given":"Siti","non-dropping-particle":"","parse-names":false,"suffix":""},{"dropping-particle":"","family":"Nurhasanah","given":"Nunung","non-dropping-particle":"","parse-names":false,"suffix":""},{"dropping-particle":"","family":"Sudarwati","given":"Wiwik","non-dropping-particle":"","parse-names":false,"suffix":""}],"container-title":"Jurnal Sistem dan Manajemen Industri","id":"ITEM-1","issue":"2","issued":{"date-parts":[["2023"]]},"page":"127-138","title":"Integration models of demand forecasting and inventory control for coconut sugar using the ARIMA and EOQ modification methods","type":"article-journal","volume":"7"},"uris":["http://www.mendeley.com/documents/?uuid=505801a9-fdf3-492f-bdae-84a41f12275e"]}],"mendeley":{"formattedCitation":"[11]","plainTextFormattedCitation":"[11]","previouslyFormattedCitation":"[11]"},"properties":{"noteIndex":0},"schema":"https://github.com/citation-style-language/schema/raw/master/csl-citation.json"}</w:instrText>
      </w:r>
      <w:r w:rsidR="005E12C2" w:rsidRPr="005E12C2">
        <w:rPr>
          <w:rFonts w:ascii="Arial" w:hAnsi="Arial" w:cs="Arial"/>
          <w:sz w:val="20"/>
          <w:szCs w:val="20"/>
        </w:rPr>
        <w:fldChar w:fldCharType="separate"/>
      </w:r>
      <w:r w:rsidR="009A6400" w:rsidRPr="009A6400">
        <w:rPr>
          <w:rFonts w:ascii="Arial" w:hAnsi="Arial" w:cs="Arial"/>
          <w:noProof/>
          <w:sz w:val="20"/>
          <w:szCs w:val="20"/>
        </w:rPr>
        <w:t>[11]</w:t>
      </w:r>
      <w:r w:rsidR="005E12C2" w:rsidRPr="005E12C2">
        <w:rPr>
          <w:rFonts w:ascii="Arial" w:hAnsi="Arial" w:cs="Arial"/>
          <w:sz w:val="20"/>
          <w:szCs w:val="20"/>
        </w:rPr>
        <w:fldChar w:fldCharType="end"/>
      </w:r>
      <w:r w:rsidR="005E12C2" w:rsidRPr="005E12C2">
        <w:rPr>
          <w:rFonts w:ascii="Arial" w:hAnsi="Arial" w:cs="Arial"/>
          <w:sz w:val="20"/>
          <w:szCs w:val="20"/>
        </w:rPr>
        <w:t xml:space="preserve"> and </w:t>
      </w:r>
      <w:proofErr w:type="spellStart"/>
      <w:r w:rsidRPr="00542C02">
        <w:rPr>
          <w:rFonts w:ascii="Arial" w:hAnsi="Arial" w:cs="Arial"/>
          <w:sz w:val="20"/>
          <w:szCs w:val="20"/>
        </w:rPr>
        <w:t>Wibowo</w:t>
      </w:r>
      <w:proofErr w:type="spellEnd"/>
      <w:r w:rsidRPr="00542C02">
        <w:rPr>
          <w:rFonts w:ascii="Arial" w:hAnsi="Arial" w:cs="Arial"/>
          <w:sz w:val="20"/>
          <w:szCs w:val="20"/>
        </w:rPr>
        <w:t xml:space="preserve"> and </w:t>
      </w:r>
      <w:proofErr w:type="spellStart"/>
      <w:r w:rsidRPr="00542C02">
        <w:rPr>
          <w:rFonts w:ascii="Arial" w:hAnsi="Arial" w:cs="Arial"/>
          <w:sz w:val="20"/>
          <w:szCs w:val="20"/>
        </w:rPr>
        <w:t>Maimunah</w:t>
      </w:r>
      <w:proofErr w:type="spellEnd"/>
      <w:r>
        <w:rPr>
          <w:rFonts w:ascii="Arial" w:hAnsi="Arial" w:cs="Arial"/>
          <w:color w:val="C00000"/>
          <w:sz w:val="20"/>
          <w:szCs w:val="20"/>
        </w:rPr>
        <w:t xml:space="preserve"> </w:t>
      </w:r>
      <w:r w:rsidR="005E12C2" w:rsidRPr="005E12C2">
        <w:rPr>
          <w:rFonts w:ascii="Arial" w:hAnsi="Arial" w:cs="Arial"/>
          <w:sz w:val="20"/>
          <w:szCs w:val="20"/>
        </w:rPr>
        <w:fldChar w:fldCharType="begin" w:fldLock="1"/>
      </w:r>
      <w:r w:rsidR="009A6400">
        <w:rPr>
          <w:rFonts w:ascii="Arial" w:hAnsi="Arial" w:cs="Arial"/>
          <w:sz w:val="20"/>
          <w:szCs w:val="20"/>
        </w:rPr>
        <w:instrText>ADDIN CSL_CITATION {"citationItems":[{"id":"ITEM-1","itemData":{"DOI":"10.30598/barekengvol17iss3pp1631-1640","ISSN":"1978-7227","abstract":"PT XYZ is a manufacturing company engaged in the production of sugar and its by-products. Currently, the determination of the amount of production at PT XYZ has not been adjusted to meet customer demand, which may continue to decrease or increase for each period. If there is a condition that the amount of production is greater than demand, it will increase the cost of storage due to accumulation. Meanwhile, if the amount of production is smaller than demand, there will be an out-of-stock condition that can reduce consumer confidence. These problems can be solved by forecasting Tambora Sugar demand at PT XYZ to meet consumer demand using the forecasting method (forecasting) with the help of WinQsb software with input, namely sugar demand data from 2021 PT SMS. The request data will later be analyzed from the request using a scatter diagram. Furthermore, after the pattern is known, the appropriate forecasting method will be determined and inputted into the WinQsb software. Based on the calculation results, it is known that the demand pattern from last year tends to trend down so the chosen method is the Double Exponential Smoothing (DES), Single Exponential Smoothing (SES), and Linear Regression (LR) method, with the best method being Linear Regression which produces the smallest error. The output is in the form of a Master Production Schedule (MPS), namely in the 13th to 18th periods, respectively 2142; 1757; 1373; 989; 604; 220 sacks.","author":[{"dropping-particle":"","family":"Wibowo","given":"Astrid Wahyu Adventri","non-dropping-particle":"","parse-names":false,"suffix":""},{"dropping-particle":"","family":"Maimunah","given":"Fitri","non-dropping-particle":"","parse-names":false,"suffix":""}],"container-title":"BAREKENG: Jurnal Ilmu Matematika dan Terapan","id":"ITEM-1","issue":"3","issued":{"date-parts":[["2023"]]},"page":"1631-1640","title":"Sugar Demand Forecasting in Pt Xyz With Winqsb Software","type":"article-journal","volume":"17"},"uris":["http://www.mendeley.com/documents/?uuid=582b26a7-87ce-4ce6-bfaa-a2dbcbac3ffc"]}],"mendeley":{"formattedCitation":"[12]","plainTextFormattedCitation":"[12]","previouslyFormattedCitation":"[12]"},"properties":{"noteIndex":0},"schema":"https://github.com/citation-style-language/schema/raw/master/csl-citation.json"}</w:instrText>
      </w:r>
      <w:r w:rsidR="005E12C2" w:rsidRPr="005E12C2">
        <w:rPr>
          <w:rFonts w:ascii="Arial" w:hAnsi="Arial" w:cs="Arial"/>
          <w:sz w:val="20"/>
          <w:szCs w:val="20"/>
        </w:rPr>
        <w:fldChar w:fldCharType="separate"/>
      </w:r>
      <w:r w:rsidR="009A6400" w:rsidRPr="009A6400">
        <w:rPr>
          <w:rFonts w:ascii="Arial" w:hAnsi="Arial" w:cs="Arial"/>
          <w:noProof/>
          <w:sz w:val="20"/>
          <w:szCs w:val="20"/>
        </w:rPr>
        <w:t>[12]</w:t>
      </w:r>
      <w:r w:rsidR="005E12C2" w:rsidRPr="005E12C2">
        <w:rPr>
          <w:rFonts w:ascii="Arial" w:hAnsi="Arial" w:cs="Arial"/>
          <w:sz w:val="20"/>
          <w:szCs w:val="20"/>
        </w:rPr>
        <w:fldChar w:fldCharType="end"/>
      </w:r>
      <w:r w:rsidR="005E12C2" w:rsidRPr="005E12C2">
        <w:rPr>
          <w:rFonts w:ascii="Arial" w:hAnsi="Arial" w:cs="Arial"/>
          <w:sz w:val="20"/>
          <w:szCs w:val="20"/>
        </w:rPr>
        <w:t xml:space="preserve"> predict sugar demand for manufacturers. </w:t>
      </w:r>
      <w:proofErr w:type="spellStart"/>
      <w:r w:rsidR="00CA7EF1" w:rsidRPr="00CA7EF1">
        <w:rPr>
          <w:rFonts w:ascii="Arial" w:hAnsi="Arial" w:cs="Arial"/>
          <w:sz w:val="20"/>
          <w:szCs w:val="20"/>
        </w:rPr>
        <w:t>Wardah</w:t>
      </w:r>
      <w:proofErr w:type="spellEnd"/>
      <w:r w:rsidR="00CA7EF1" w:rsidRPr="00CA7EF1">
        <w:rPr>
          <w:rFonts w:ascii="Arial" w:hAnsi="Arial" w:cs="Arial"/>
          <w:sz w:val="20"/>
          <w:szCs w:val="20"/>
        </w:rPr>
        <w:t xml:space="preserve"> et al.</w:t>
      </w:r>
      <w:r w:rsidR="005E12C2" w:rsidRPr="00CA7EF1">
        <w:rPr>
          <w:rFonts w:ascii="Arial" w:hAnsi="Arial" w:cs="Arial"/>
          <w:sz w:val="20"/>
          <w:szCs w:val="20"/>
        </w:rPr>
        <w:t xml:space="preserve"> </w:t>
      </w:r>
      <w:r w:rsidR="005E12C2" w:rsidRPr="005E12C2">
        <w:rPr>
          <w:rFonts w:ascii="Arial" w:hAnsi="Arial" w:cs="Arial"/>
          <w:sz w:val="20"/>
          <w:szCs w:val="20"/>
        </w:rPr>
        <w:fldChar w:fldCharType="begin" w:fldLock="1"/>
      </w:r>
      <w:r w:rsidR="009A6400">
        <w:rPr>
          <w:rFonts w:ascii="Arial" w:hAnsi="Arial" w:cs="Arial"/>
          <w:sz w:val="20"/>
          <w:szCs w:val="20"/>
        </w:rPr>
        <w:instrText>ADDIN CSL_CITATION {"citationItems":[{"id":"ITEM-1","itemData":{"DOI":"10.30656/jsmi.v7i2.6500","ISSN":"2580-2887","abstract":"Inventory control is critical because the inability to overcome inventory problems causes unpreparedness to meet consumer demand. MSMEs Bekawan Agro Coconut Sugar, independently around 35% -70%, cannot meet consumers' demand for coconut sugar, so an inventory control model is needed. Inventory control models must integrate with demand forecasting as an inventory control input. This study aims to integrate the demand fore­casting model with the inventory control model. The method used for demand forecasting is ARIMA. The inventory control model uses a modi­fied EOQ hybrid method because coconut sugar products have a shelf life; they also use coconut sap as raw material, which must be processed to prevent fermentation. The research results show that demand forecasting for one year ahead is a total of 10,310.82 Kilograms with an economic lot size of 120 Kilograms and a reorder point when the inventory position is 30 Kilograms. Daily production of 30 kilograms requires 210 litres of coconut sap/per day. The amount of sap needed requires 105 coconut trees / per day. Arrival time of coconut sugar at the storage warehouse every five days. The resulting model can be a solution for sustainable MSMEs.","author":[{"dropping-particle":"","family":"Wardah","given":"Siti","non-dropping-particle":"","parse-names":false,"suffix":""},{"dropping-particle":"","family":"Nurhasanah","given":"Nunung","non-dropping-particle":"","parse-names":false,"suffix":""},{"dropping-particle":"","family":"Sudarwati","given":"Wiwik","non-dropping-particle":"","parse-names":false,"suffix":""}],"container-title":"Jurnal Sistem dan Manajemen Industri","id":"ITEM-1","issue":"2","issued":{"date-parts":[["2023"]]},"page":"127-138","title":"Integration models of demand forecasting and inventory control for coconut sugar using the ARIMA and EOQ modification methods","type":"article-journal","volume":"7"},"uris":["http://www.mendeley.com/documents/?uuid=505801a9-fdf3-492f-bdae-84a41f12275e"]}],"mendeley":{"formattedCitation":"[11]","plainTextFormattedCitation":"[11]","previouslyFormattedCitation":"[11]"},"properties":{"noteIndex":0},"schema":"https://github.com/citation-style-language/schema/raw/master/csl-citation.json"}</w:instrText>
      </w:r>
      <w:r w:rsidR="005E12C2" w:rsidRPr="005E12C2">
        <w:rPr>
          <w:rFonts w:ascii="Arial" w:hAnsi="Arial" w:cs="Arial"/>
          <w:sz w:val="20"/>
          <w:szCs w:val="20"/>
        </w:rPr>
        <w:fldChar w:fldCharType="separate"/>
      </w:r>
      <w:r w:rsidR="009A6400" w:rsidRPr="009A6400">
        <w:rPr>
          <w:rFonts w:ascii="Arial" w:hAnsi="Arial" w:cs="Arial"/>
          <w:noProof/>
          <w:sz w:val="20"/>
          <w:szCs w:val="20"/>
        </w:rPr>
        <w:t>[11]</w:t>
      </w:r>
      <w:r w:rsidR="005E12C2" w:rsidRPr="005E12C2">
        <w:rPr>
          <w:rFonts w:ascii="Arial" w:hAnsi="Arial" w:cs="Arial"/>
          <w:sz w:val="20"/>
          <w:szCs w:val="20"/>
        </w:rPr>
        <w:fldChar w:fldCharType="end"/>
      </w:r>
      <w:r w:rsidR="005E12C2" w:rsidRPr="005E12C2">
        <w:rPr>
          <w:rFonts w:ascii="Arial" w:hAnsi="Arial" w:cs="Arial"/>
          <w:sz w:val="20"/>
          <w:szCs w:val="20"/>
        </w:rPr>
        <w:t xml:space="preserve"> forecast coconut sugar demand using ARIMA and combine it with EOQ policy to help inventory management; while </w:t>
      </w:r>
      <w:proofErr w:type="spellStart"/>
      <w:r w:rsidR="00CA7EF1" w:rsidRPr="00CA7EF1">
        <w:rPr>
          <w:rFonts w:ascii="Arial" w:hAnsi="Arial" w:cs="Arial"/>
          <w:sz w:val="20"/>
          <w:szCs w:val="20"/>
        </w:rPr>
        <w:t>Wibowo</w:t>
      </w:r>
      <w:proofErr w:type="spellEnd"/>
      <w:r w:rsidR="00CA7EF1" w:rsidRPr="00CA7EF1">
        <w:rPr>
          <w:rFonts w:ascii="Arial" w:hAnsi="Arial" w:cs="Arial"/>
          <w:sz w:val="20"/>
          <w:szCs w:val="20"/>
        </w:rPr>
        <w:t xml:space="preserve"> and </w:t>
      </w:r>
      <w:proofErr w:type="spellStart"/>
      <w:r w:rsidR="00CA7EF1" w:rsidRPr="00CA7EF1">
        <w:rPr>
          <w:rFonts w:ascii="Arial" w:hAnsi="Arial" w:cs="Arial"/>
          <w:sz w:val="20"/>
          <w:szCs w:val="20"/>
        </w:rPr>
        <w:t>Maimunah</w:t>
      </w:r>
      <w:proofErr w:type="spellEnd"/>
      <w:r w:rsidR="00CA7EF1" w:rsidRPr="00CA7EF1">
        <w:rPr>
          <w:rFonts w:ascii="Arial" w:hAnsi="Arial" w:cs="Arial"/>
          <w:sz w:val="20"/>
          <w:szCs w:val="20"/>
        </w:rPr>
        <w:t xml:space="preserve"> </w:t>
      </w:r>
      <w:r w:rsidR="005E12C2" w:rsidRPr="005E12C2">
        <w:rPr>
          <w:rFonts w:ascii="Arial" w:hAnsi="Arial" w:cs="Arial"/>
          <w:sz w:val="20"/>
          <w:szCs w:val="20"/>
        </w:rPr>
        <w:fldChar w:fldCharType="begin" w:fldLock="1"/>
      </w:r>
      <w:r w:rsidR="009A6400">
        <w:rPr>
          <w:rFonts w:ascii="Arial" w:hAnsi="Arial" w:cs="Arial"/>
          <w:sz w:val="20"/>
          <w:szCs w:val="20"/>
        </w:rPr>
        <w:instrText>ADDIN CSL_CITATION {"citationItems":[{"id":"ITEM-1","itemData":{"DOI":"10.30598/barekengvol17iss3pp1631-1640","ISSN":"1978-7227","abstract":"PT XYZ is a manufacturing company engaged in the production of sugar and its by-products. Currently, the determination of the amount of production at PT XYZ has not been adjusted to meet customer demand, which may continue to decrease or increase for each period. If there is a condition that the amount of production is greater than demand, it will increase the cost of storage due to accumulation. Meanwhile, if the amount of production is smaller than demand, there will be an out-of-stock condition that can reduce consumer confidence. These problems can be solved by forecasting Tambora Sugar demand at PT XYZ to meet consumer demand using the forecasting method (forecasting) with the help of WinQsb software with input, namely sugar demand data from 2021 PT SMS. The request data will later be analyzed from the request using a scatter diagram. Furthermore, after the pattern is known, the appropriate forecasting method will be determined and inputted into the WinQsb software. Based on the calculation results, it is known that the demand pattern from last year tends to trend down so the chosen method is the Double Exponential Smoothing (DES), Single Exponential Smoothing (SES), and Linear Regression (LR) method, with the best method being Linear Regression which produces the smallest error. The output is in the form of a Master Production Schedule (MPS), namely in the 13th to 18th periods, respectively 2142; 1757; 1373; 989; 604; 220 sacks.","author":[{"dropping-particle":"","family":"Wibowo","given":"Astrid Wahyu Adventri","non-dropping-particle":"","parse-names":false,"suffix":""},{"dropping-particle":"","family":"Maimunah","given":"Fitri","non-dropping-particle":"","parse-names":false,"suffix":""}],"container-title":"BAREKENG: Jurnal Ilmu Matematika dan Terapan","id":"ITEM-1","issue":"3","issued":{"date-parts":[["2023"]]},"page":"1631-1640","title":"Sugar Demand Forecasting in Pt Xyz With Winqsb Software","type":"article-journal","volume":"17"},"uris":["http://www.mendeley.com/documents/?uuid=582b26a7-87ce-4ce6-bfaa-a2dbcbac3ffc"]}],"mendeley":{"formattedCitation":"[12]","plainTextFormattedCitation":"[12]","previouslyFormattedCitation":"[12]"},"properties":{"noteIndex":0},"schema":"https://github.com/citation-style-language/schema/raw/master/csl-citation.json"}</w:instrText>
      </w:r>
      <w:r w:rsidR="005E12C2" w:rsidRPr="005E12C2">
        <w:rPr>
          <w:rFonts w:ascii="Arial" w:hAnsi="Arial" w:cs="Arial"/>
          <w:sz w:val="20"/>
          <w:szCs w:val="20"/>
        </w:rPr>
        <w:fldChar w:fldCharType="separate"/>
      </w:r>
      <w:r w:rsidR="009A6400" w:rsidRPr="009A6400">
        <w:rPr>
          <w:rFonts w:ascii="Arial" w:hAnsi="Arial" w:cs="Arial"/>
          <w:noProof/>
          <w:sz w:val="20"/>
          <w:szCs w:val="20"/>
        </w:rPr>
        <w:t>[12]</w:t>
      </w:r>
      <w:r w:rsidR="005E12C2" w:rsidRPr="005E12C2">
        <w:rPr>
          <w:rFonts w:ascii="Arial" w:hAnsi="Arial" w:cs="Arial"/>
          <w:sz w:val="20"/>
          <w:szCs w:val="20"/>
        </w:rPr>
        <w:fldChar w:fldCharType="end"/>
      </w:r>
      <w:r w:rsidR="005E12C2" w:rsidRPr="005E12C2">
        <w:rPr>
          <w:rFonts w:ascii="Arial" w:hAnsi="Arial" w:cs="Arial"/>
          <w:sz w:val="20"/>
          <w:szCs w:val="20"/>
        </w:rPr>
        <w:t xml:space="preserve"> compare white sugar demand forecast of </w:t>
      </w:r>
      <w:r w:rsidR="00815C5D">
        <w:rPr>
          <w:rFonts w:ascii="Arial" w:hAnsi="Arial" w:cs="Arial"/>
          <w:sz w:val="20"/>
          <w:szCs w:val="20"/>
        </w:rPr>
        <w:t xml:space="preserve">linear regression, single and </w:t>
      </w:r>
      <w:r w:rsidR="005E12C2" w:rsidRPr="005E12C2">
        <w:rPr>
          <w:rFonts w:ascii="Arial" w:hAnsi="Arial" w:cs="Arial"/>
          <w:sz w:val="20"/>
          <w:szCs w:val="20"/>
        </w:rPr>
        <w:t>double exponential smoothing</w:t>
      </w:r>
      <w:r w:rsidR="00815C5D">
        <w:rPr>
          <w:rFonts w:ascii="Arial" w:hAnsi="Arial" w:cs="Arial"/>
          <w:sz w:val="20"/>
          <w:szCs w:val="20"/>
        </w:rPr>
        <w:t xml:space="preserve"> models</w:t>
      </w:r>
      <w:r w:rsidR="005E12C2" w:rsidRPr="005E12C2">
        <w:rPr>
          <w:rFonts w:ascii="Arial" w:hAnsi="Arial" w:cs="Arial"/>
          <w:sz w:val="20"/>
          <w:szCs w:val="20"/>
        </w:rPr>
        <w:t xml:space="preserve">. </w:t>
      </w:r>
      <w:proofErr w:type="spellStart"/>
      <w:r w:rsidR="005E12C2" w:rsidRPr="00CA7EF1">
        <w:rPr>
          <w:rFonts w:ascii="Arial" w:hAnsi="Arial" w:cs="Arial"/>
          <w:sz w:val="20"/>
          <w:szCs w:val="20"/>
        </w:rPr>
        <w:t>Rosari</w:t>
      </w:r>
      <w:proofErr w:type="spellEnd"/>
      <w:r w:rsidR="005E12C2" w:rsidRPr="00CA7EF1">
        <w:rPr>
          <w:rFonts w:ascii="Arial" w:hAnsi="Arial" w:cs="Arial"/>
          <w:sz w:val="20"/>
          <w:szCs w:val="20"/>
        </w:rPr>
        <w:t xml:space="preserve"> et al</w:t>
      </w:r>
      <w:r w:rsidR="00CA7EF1">
        <w:rPr>
          <w:rFonts w:ascii="Arial" w:hAnsi="Arial" w:cs="Arial"/>
          <w:sz w:val="20"/>
          <w:szCs w:val="20"/>
        </w:rPr>
        <w:t>.</w:t>
      </w:r>
      <w:r w:rsidR="005E12C2" w:rsidRPr="005E12C2">
        <w:rPr>
          <w:rFonts w:ascii="Arial" w:hAnsi="Arial" w:cs="Arial"/>
          <w:sz w:val="20"/>
          <w:szCs w:val="20"/>
        </w:rPr>
        <w:t xml:space="preserve"> </w:t>
      </w:r>
      <w:r w:rsidR="005E12C2" w:rsidRPr="005E12C2">
        <w:rPr>
          <w:rFonts w:ascii="Arial" w:hAnsi="Arial" w:cs="Arial"/>
          <w:sz w:val="20"/>
          <w:szCs w:val="20"/>
        </w:rPr>
        <w:fldChar w:fldCharType="begin" w:fldLock="1"/>
      </w:r>
      <w:r w:rsidR="009A6400">
        <w:rPr>
          <w:rFonts w:ascii="Arial" w:hAnsi="Arial" w:cs="Arial"/>
          <w:sz w:val="20"/>
          <w:szCs w:val="20"/>
        </w:rPr>
        <w:instrText>ADDIN CSL_CITATION {"citationItems":[{"id":"ITEM-1","itemData":{"DOI":"10.1109/ICONNIC59854.2023.10467262","ISBN":"9798350306484","abstract":"This paper aims to provide the best Machine Learning model to forecast Indonesia's white sugar supply and demand to provide potential supply chain efficiency and price stability. The high price of white sugar in Indonesia is due to low productivity, imports, and high demand. In midyear 2018, domestic sugar reached almost three times higher than the international market price, reflecting the commodity scarcity in the country. Previous research has been carried out to forecast sugar prices in Thailand using machine learning and consumption data in 4 years. The nonstationary data used in this research include 20 years of historical data in import and production as supply and demand data, research focused on this completeness and fulfilment of this data. Forecasting data using deep learning with LSTM is the best method model that produces the best performance compared with regressor models, which has not been done previously. The decrease in LSTM evaluation method compared to AdaboostRegressor was 37.33% for MSE and 14.12% for MAE. As a result, LSTM, as the best model, is confirmed by the most petite MAE and MSE values.","author":[{"dropping-particle":"","family":"Rosari","given":"Bernadetta Raras Indah","non-dropping-particle":"","parse-names":false,"suffix":""},{"dropping-particle":"","family":"Sarno","given":"Riyanarto","non-dropping-particle":"","parse-names":false,"suffix":""},{"dropping-particle":"","family":"Filsafan","given":"Mas Syahdan","non-dropping-particle":"","parse-names":false,"suffix":""},{"dropping-particle":"","family":"Haryono","given":"Agus Tri","non-dropping-particle":"","parse-names":false,"suffix":""}],"container-title":"2023 1st International Conference on Advanced Engineering and Technologies, ICONNIC 2023 - Proceeding","id":"ITEM-1","issued":{"date-parts":[["2023"]]},"page":"18-23","publisher":"IEEE","title":"Indonesia White Sugar Supply and Demand Forecast Using Machine Learning","type":"article-journal"},"uris":["http://www.mendeley.com/documents/?uuid=f0e74b8e-97a1-4b83-b480-621c5e6b0bda"]}],"mendeley":{"formattedCitation":"[13]","plainTextFormattedCitation":"[13]","previouslyFormattedCitation":"[13]"},"properties":{"noteIndex":0},"schema":"https://github.com/citation-style-language/schema/raw/master/csl-citation.json"}</w:instrText>
      </w:r>
      <w:r w:rsidR="005E12C2" w:rsidRPr="005E12C2">
        <w:rPr>
          <w:rFonts w:ascii="Arial" w:hAnsi="Arial" w:cs="Arial"/>
          <w:sz w:val="20"/>
          <w:szCs w:val="20"/>
        </w:rPr>
        <w:fldChar w:fldCharType="separate"/>
      </w:r>
      <w:r w:rsidR="009A6400" w:rsidRPr="009A6400">
        <w:rPr>
          <w:rFonts w:ascii="Arial" w:hAnsi="Arial" w:cs="Arial"/>
          <w:noProof/>
          <w:sz w:val="20"/>
          <w:szCs w:val="20"/>
        </w:rPr>
        <w:t>[13]</w:t>
      </w:r>
      <w:r w:rsidR="005E12C2" w:rsidRPr="005E12C2">
        <w:rPr>
          <w:rFonts w:ascii="Arial" w:hAnsi="Arial" w:cs="Arial"/>
          <w:sz w:val="20"/>
          <w:szCs w:val="20"/>
        </w:rPr>
        <w:fldChar w:fldCharType="end"/>
      </w:r>
      <w:r w:rsidR="005E12C2" w:rsidRPr="005E12C2">
        <w:rPr>
          <w:rFonts w:ascii="Arial" w:hAnsi="Arial" w:cs="Arial"/>
          <w:sz w:val="20"/>
          <w:szCs w:val="20"/>
        </w:rPr>
        <w:t xml:space="preserve"> forecast the demand for sugar in Indonesia</w:t>
      </w:r>
      <w:r w:rsidR="001655D2">
        <w:rPr>
          <w:rFonts w:ascii="Arial" w:hAnsi="Arial" w:cs="Arial"/>
          <w:sz w:val="20"/>
          <w:szCs w:val="20"/>
        </w:rPr>
        <w:t xml:space="preserve"> too; additionally</w:t>
      </w:r>
      <w:r w:rsidR="00FD55D5">
        <w:rPr>
          <w:rFonts w:ascii="Arial" w:hAnsi="Arial" w:cs="Arial"/>
          <w:sz w:val="20"/>
          <w:szCs w:val="20"/>
        </w:rPr>
        <w:t>,</w:t>
      </w:r>
      <w:r w:rsidR="005E12C2" w:rsidRPr="005E12C2">
        <w:rPr>
          <w:rFonts w:ascii="Arial" w:hAnsi="Arial" w:cs="Arial"/>
          <w:sz w:val="20"/>
          <w:szCs w:val="20"/>
        </w:rPr>
        <w:t xml:space="preserve"> th</w:t>
      </w:r>
      <w:r w:rsidR="001655D2">
        <w:rPr>
          <w:rFonts w:ascii="Arial" w:hAnsi="Arial" w:cs="Arial"/>
          <w:sz w:val="20"/>
          <w:szCs w:val="20"/>
        </w:rPr>
        <w:t>ey</w:t>
      </w:r>
      <w:r w:rsidR="005E12C2" w:rsidRPr="005E12C2">
        <w:rPr>
          <w:rFonts w:ascii="Arial" w:hAnsi="Arial" w:cs="Arial"/>
          <w:sz w:val="20"/>
          <w:szCs w:val="20"/>
        </w:rPr>
        <w:t xml:space="preserve"> </w:t>
      </w:r>
      <w:r w:rsidR="001655D2">
        <w:rPr>
          <w:rFonts w:ascii="Arial" w:hAnsi="Arial" w:cs="Arial"/>
          <w:sz w:val="20"/>
          <w:szCs w:val="20"/>
        </w:rPr>
        <w:t xml:space="preserve">include </w:t>
      </w:r>
      <w:r w:rsidR="00FD55D5">
        <w:rPr>
          <w:rFonts w:ascii="Arial" w:hAnsi="Arial" w:cs="Arial"/>
          <w:sz w:val="20"/>
          <w:szCs w:val="20"/>
        </w:rPr>
        <w:t xml:space="preserve">a </w:t>
      </w:r>
      <w:r w:rsidR="005E12C2" w:rsidRPr="005E12C2">
        <w:rPr>
          <w:rFonts w:ascii="Arial" w:hAnsi="Arial" w:cs="Arial"/>
          <w:sz w:val="20"/>
          <w:szCs w:val="20"/>
        </w:rPr>
        <w:t xml:space="preserve">sugar supply </w:t>
      </w:r>
      <w:r w:rsidR="001655D2">
        <w:rPr>
          <w:rFonts w:ascii="Arial" w:hAnsi="Arial" w:cs="Arial"/>
          <w:sz w:val="20"/>
          <w:szCs w:val="20"/>
        </w:rPr>
        <w:t xml:space="preserve">forecast </w:t>
      </w:r>
      <w:r w:rsidR="005E12C2" w:rsidRPr="005E12C2">
        <w:rPr>
          <w:rFonts w:ascii="Arial" w:hAnsi="Arial" w:cs="Arial"/>
          <w:sz w:val="20"/>
          <w:szCs w:val="20"/>
        </w:rPr>
        <w:t>to analyze the supply-demand balance.</w:t>
      </w:r>
      <w:r w:rsidR="00035F42">
        <w:rPr>
          <w:rFonts w:ascii="Arial" w:hAnsi="Arial" w:cs="Arial"/>
          <w:sz w:val="20"/>
          <w:szCs w:val="20"/>
        </w:rPr>
        <w:t xml:space="preserve"> </w:t>
      </w:r>
      <w:proofErr w:type="spellStart"/>
      <w:r w:rsidR="00035F42">
        <w:rPr>
          <w:rFonts w:ascii="Arial" w:hAnsi="Arial" w:cs="Arial"/>
          <w:sz w:val="20"/>
          <w:szCs w:val="20"/>
        </w:rPr>
        <w:t>Muhaimin</w:t>
      </w:r>
      <w:proofErr w:type="spellEnd"/>
      <w:r w:rsidR="00035F42">
        <w:rPr>
          <w:rFonts w:ascii="Arial" w:hAnsi="Arial" w:cs="Arial"/>
          <w:sz w:val="20"/>
          <w:szCs w:val="20"/>
        </w:rPr>
        <w:t xml:space="preserve"> and Sari </w:t>
      </w:r>
      <w:r w:rsidR="00035F42">
        <w:rPr>
          <w:rFonts w:ascii="Arial" w:hAnsi="Arial" w:cs="Arial"/>
          <w:sz w:val="20"/>
          <w:szCs w:val="20"/>
        </w:rPr>
        <w:fldChar w:fldCharType="begin" w:fldLock="1"/>
      </w:r>
      <w:r w:rsidR="00035F42">
        <w:rPr>
          <w:rFonts w:ascii="Arial" w:hAnsi="Arial" w:cs="Arial"/>
          <w:sz w:val="20"/>
          <w:szCs w:val="20"/>
        </w:rPr>
        <w:instrText>ADDIN CSL_CITATION {"citationItems":[{"id":"ITEM-1","itemData":{"ISSN":"2375-4389","abstract":"Sugar is one of the most important staple foods after rice Indonesia. Currently, sugar production cannot fulfill the demand for sugar in the country, so the government absorbs the lack of sugar by import. The purpose of this research is to analyze factors which influence the sugar demand and import in the country. This research is used econometrics model through the simultaneous system of functions with time series data of 1982-2013. Estimated model was conducted by Two-Stage Least Squares method. The research result is, Indonesian sugar demand (Dg) is influenced by sugar price (Pg), income level (ini) and sugar demand in the previous year (Dg1). Import of Indonesian sugar (Mg) is influenced by the difference between demand and production of Indonesian sugar (Dg-Qg), time, and sugar imports in the previous year.","author":[{"dropping-particle":"","family":"Muhaimin","given":"Wahib","non-dropping-particle":"","parse-names":false,"suffix":""},{"dropping-particle":"","family":"Sari","given":"Dyana","non-dropping-particle":"","parse-names":false,"suffix":""}],"container-title":"Journal of Global Economics","id":"ITEM-1","issue":"2","issued":{"date-parts":[["2019"]]},"page":"1-3","title":"Factors Affecting the Demand and Import of Indonesian Sugar","type":"article-journal","volume":"7"},"uris":["http://www.mendeley.com/documents/?uuid=370f2b9f-5a19-4d90-8a80-47b3a68d5da9"]}],"mendeley":{"formattedCitation":"[1]","plainTextFormattedCitation":"[1]","previouslyFormattedCitation":"[1]"},"properties":{"noteIndex":0},"schema":"https://github.com/citation-style-language/schema/raw/master/csl-citation.json"}</w:instrText>
      </w:r>
      <w:r w:rsidR="00035F42">
        <w:rPr>
          <w:rFonts w:ascii="Arial" w:hAnsi="Arial" w:cs="Arial"/>
          <w:sz w:val="20"/>
          <w:szCs w:val="20"/>
        </w:rPr>
        <w:fldChar w:fldCharType="separate"/>
      </w:r>
      <w:r w:rsidR="00035F42" w:rsidRPr="00035F42">
        <w:rPr>
          <w:rFonts w:ascii="Arial" w:hAnsi="Arial" w:cs="Arial"/>
          <w:noProof/>
          <w:sz w:val="20"/>
          <w:szCs w:val="20"/>
        </w:rPr>
        <w:t>[1]</w:t>
      </w:r>
      <w:r w:rsidR="00035F42">
        <w:rPr>
          <w:rFonts w:ascii="Arial" w:hAnsi="Arial" w:cs="Arial"/>
          <w:sz w:val="20"/>
          <w:szCs w:val="20"/>
        </w:rPr>
        <w:fldChar w:fldCharType="end"/>
      </w:r>
      <w:r w:rsidR="005E12C2" w:rsidRPr="005E12C2">
        <w:rPr>
          <w:rFonts w:ascii="Arial" w:hAnsi="Arial" w:cs="Arial"/>
          <w:sz w:val="20"/>
          <w:szCs w:val="20"/>
        </w:rPr>
        <w:t xml:space="preserve"> and </w:t>
      </w:r>
      <w:proofErr w:type="spellStart"/>
      <w:r w:rsidR="005E12C2" w:rsidRPr="005E12C2">
        <w:rPr>
          <w:rFonts w:ascii="Arial" w:hAnsi="Arial" w:cs="Arial"/>
          <w:sz w:val="20"/>
          <w:szCs w:val="20"/>
        </w:rPr>
        <w:t>Inayaturrohmah</w:t>
      </w:r>
      <w:proofErr w:type="spellEnd"/>
      <w:r w:rsidR="005E12C2" w:rsidRPr="005E12C2">
        <w:rPr>
          <w:rFonts w:ascii="Arial" w:hAnsi="Arial" w:cs="Arial"/>
          <w:sz w:val="20"/>
          <w:szCs w:val="20"/>
        </w:rPr>
        <w:t xml:space="preserve"> </w:t>
      </w:r>
      <w:r w:rsidR="00035F42">
        <w:rPr>
          <w:rFonts w:ascii="Arial" w:hAnsi="Arial" w:cs="Arial"/>
          <w:sz w:val="20"/>
          <w:szCs w:val="20"/>
        </w:rPr>
        <w:fldChar w:fldCharType="begin" w:fldLock="1"/>
      </w:r>
      <w:r w:rsidR="00703960">
        <w:rPr>
          <w:rFonts w:ascii="Arial" w:hAnsi="Arial" w:cs="Arial"/>
          <w:sz w:val="20"/>
          <w:szCs w:val="20"/>
        </w:rPr>
        <w:instrText>ADDIN CSL_CITATION {"citationItems":[{"id":"ITEM-1","itemData":{"DOI":"10.15408/sjie.v12i2.28044","ISSN":"2087-2046","abstract":"Indonesian sugar imports have increased due to a steady increase in sugar consumption, while domestic sugar output has increased but has not kept pace with consumption. This study aims to examine the impact of sugar consumption, income per capita, sugarcane harvested area, and sugarcane productivity on sugar imports in Indonesia. The data in this study include time series data from 1995 to 2021 that were analyzed using multiple regression. Sugar consumption and income per capita have a statistically significant positive effect on sugar import, whereas sugarcane harvested area and sugarcane productivity significantly negatively affect sugar import. Several policy options for reducing sugar imports are recommended, including reducing sugar consumption through education and healthy lifestyle programs, extending sugarcane-harvested areas, and rejuvenating and building new sugar mill.JEL Classification: F14, C22How to Cite:Inayaturrohmah, W. P., Istiqomah &amp; Gunawan, R.S. (2023). Determinant of Sugar Import. Signifikan: Jurnal Ilmu Ekonomi, 12(2), 275-286. https://doi.org/10.15408/sjie.v12i2.28044. ","author":[{"dropping-particle":"","family":"Inayaturrohmah","given":"Winni Putri","non-dropping-particle":"","parse-names":false,"suffix":""},{"dropping-particle":"","family":"Istiqomah","given":"Istiqomah","non-dropping-particle":"","parse-names":false,"suffix":""},{"dropping-particle":"","family":"Gunawan","given":"Ratna Setyawati","non-dropping-particle":"","parse-names":false,"suffix":""}],"container-title":"Signifikan: Jurnal Ilmu Ekonomi","id":"ITEM-1","issue":"2","issued":{"date-parts":[["2023"]]},"page":"275-286","title":"Determinants of Indonesian Sugar Import","type":"article-journal","volume":"12"},"uris":["http://www.mendeley.com/documents/?uuid=17295ad8-afcd-47a2-91f5-8aaf0a2c26eb"]}],"mendeley":{"formattedCitation":"[2]","plainTextFormattedCitation":"[2]","previouslyFormattedCitation":"[2]"},"properties":{"noteIndex":0},"schema":"https://github.com/citation-style-language/schema/raw/master/csl-citation.json"}</w:instrText>
      </w:r>
      <w:r w:rsidR="00035F42">
        <w:rPr>
          <w:rFonts w:ascii="Arial" w:hAnsi="Arial" w:cs="Arial"/>
          <w:sz w:val="20"/>
          <w:szCs w:val="20"/>
        </w:rPr>
        <w:fldChar w:fldCharType="separate"/>
      </w:r>
      <w:r w:rsidR="00035F42" w:rsidRPr="00035F42">
        <w:rPr>
          <w:rFonts w:ascii="Arial" w:hAnsi="Arial" w:cs="Arial"/>
          <w:noProof/>
          <w:sz w:val="20"/>
          <w:szCs w:val="20"/>
        </w:rPr>
        <w:t>[2]</w:t>
      </w:r>
      <w:r w:rsidR="00035F42">
        <w:rPr>
          <w:rFonts w:ascii="Arial" w:hAnsi="Arial" w:cs="Arial"/>
          <w:sz w:val="20"/>
          <w:szCs w:val="20"/>
        </w:rPr>
        <w:fldChar w:fldCharType="end"/>
      </w:r>
      <w:r w:rsidR="005E12C2" w:rsidRPr="005E12C2">
        <w:rPr>
          <w:rFonts w:ascii="Arial" w:hAnsi="Arial" w:cs="Arial"/>
          <w:sz w:val="20"/>
          <w:szCs w:val="20"/>
        </w:rPr>
        <w:t xml:space="preserve"> also analyze the factors affecting sugar import in Indonesia. In general, studies about sugar in Indonesia are limited; however other related studies have been done on sugar-sweetened beverages, such as the studies that have been done by </w:t>
      </w:r>
      <w:proofErr w:type="spellStart"/>
      <w:r w:rsidR="005966E9" w:rsidRPr="005966E9">
        <w:rPr>
          <w:rFonts w:ascii="Arial" w:hAnsi="Arial" w:cs="Arial"/>
          <w:sz w:val="20"/>
          <w:szCs w:val="20"/>
        </w:rPr>
        <w:t>Sanjaya</w:t>
      </w:r>
      <w:proofErr w:type="spellEnd"/>
      <w:r w:rsidR="005966E9" w:rsidRPr="005966E9">
        <w:rPr>
          <w:rFonts w:ascii="Arial" w:hAnsi="Arial" w:cs="Arial"/>
          <w:sz w:val="20"/>
          <w:szCs w:val="20"/>
        </w:rPr>
        <w:t xml:space="preserve"> and </w:t>
      </w:r>
      <w:proofErr w:type="spellStart"/>
      <w:r w:rsidR="005966E9" w:rsidRPr="005966E9">
        <w:rPr>
          <w:rFonts w:ascii="Arial" w:hAnsi="Arial" w:cs="Arial"/>
          <w:sz w:val="20"/>
          <w:szCs w:val="20"/>
        </w:rPr>
        <w:t>Sadono</w:t>
      </w:r>
      <w:proofErr w:type="spellEnd"/>
      <w:r w:rsidR="005E12C2" w:rsidRPr="005966E9">
        <w:rPr>
          <w:rFonts w:ascii="Arial" w:hAnsi="Arial" w:cs="Arial"/>
          <w:sz w:val="20"/>
          <w:szCs w:val="20"/>
        </w:rPr>
        <w:t xml:space="preserve"> </w:t>
      </w:r>
      <w:r w:rsidR="005E12C2" w:rsidRPr="005E12C2">
        <w:rPr>
          <w:rFonts w:ascii="Arial" w:hAnsi="Arial" w:cs="Arial"/>
          <w:sz w:val="20"/>
          <w:szCs w:val="20"/>
        </w:rPr>
        <w:fldChar w:fldCharType="begin" w:fldLock="1"/>
      </w:r>
      <w:r w:rsidR="009A6400">
        <w:rPr>
          <w:rFonts w:ascii="Arial" w:hAnsi="Arial" w:cs="Arial"/>
          <w:sz w:val="20"/>
          <w:szCs w:val="20"/>
        </w:rPr>
        <w:instrText>ADDIN CSL_CITATION {"citationItems":[{"id":"ITEM-1","itemData":{"ISSN":"24655120","abstract":"Indonesia is undergoing a nutrition transition toward processed foods and beverages, which means there should be a better understanding of the consumption patterns of sugar-sweetened beverages (SSBs) in the country. However, only a few studies have used nationally representative and longitudinal data to analyze such patterns. This study aims to fill the gap by analyzing the consumption patterns of SSBs using the last four waves of the Indonesian Family Life Survey. The results showed that the expenditure share for SSBs is comparatively small relative to other foods expenditure. In particular, the expenditure share in Java-Bali is higher than in provinces outside this region. The average age of household members, real household expenditure, household size, and household average years of schooling are correlated to SSB consumption. Therefore, policies that explicitly target factors influencing SSB-related spending are required to initiate changes in consumer preferences from SSBs to healthier foods and beverages.","author":[{"dropping-particle":"","family":"Sanjaya","given":"Muhammad Ryan","non-dropping-particle":"","parse-names":false,"suffix":""},{"dropping-particle":"","family":"Sadono","given":"Endiarjati Dewandaru","non-dropping-particle":"","parse-names":false,"suffix":""}],"container-title":"Southeast Asian Journal of Economics","id":"ITEM-1","issue":"2","issued":{"date-parts":[["2022"]]},"page":"181-208","title":"Consumption Patterns of Sugar-Sweetened Beverages in Indonesia","type":"article-journal","volume":"10"},"uris":["http://www.mendeley.com/documents/?uuid=0030f64b-6b4a-4204-87b2-2093c3cb1ac2"]}],"mendeley":{"formattedCitation":"[14]","plainTextFormattedCitation":"[14]","previouslyFormattedCitation":"[14]"},"properties":{"noteIndex":0},"schema":"https://github.com/citation-style-language/schema/raw/master/csl-citation.json"}</w:instrText>
      </w:r>
      <w:r w:rsidR="005E12C2" w:rsidRPr="005E12C2">
        <w:rPr>
          <w:rFonts w:ascii="Arial" w:hAnsi="Arial" w:cs="Arial"/>
          <w:sz w:val="20"/>
          <w:szCs w:val="20"/>
        </w:rPr>
        <w:fldChar w:fldCharType="separate"/>
      </w:r>
      <w:r w:rsidR="009A6400" w:rsidRPr="009A6400">
        <w:rPr>
          <w:rFonts w:ascii="Arial" w:hAnsi="Arial" w:cs="Arial"/>
          <w:noProof/>
          <w:sz w:val="20"/>
          <w:szCs w:val="20"/>
        </w:rPr>
        <w:t>[14]</w:t>
      </w:r>
      <w:r w:rsidR="005E12C2" w:rsidRPr="005E12C2">
        <w:rPr>
          <w:rFonts w:ascii="Arial" w:hAnsi="Arial" w:cs="Arial"/>
          <w:sz w:val="20"/>
          <w:szCs w:val="20"/>
        </w:rPr>
        <w:fldChar w:fldCharType="end"/>
      </w:r>
      <w:r w:rsidR="005E12C2" w:rsidRPr="005E12C2">
        <w:rPr>
          <w:rFonts w:ascii="Arial" w:hAnsi="Arial" w:cs="Arial"/>
          <w:sz w:val="20"/>
          <w:szCs w:val="20"/>
        </w:rPr>
        <w:t xml:space="preserve"> and </w:t>
      </w:r>
      <w:proofErr w:type="spellStart"/>
      <w:r w:rsidR="005966E9" w:rsidRPr="005966E9">
        <w:rPr>
          <w:rFonts w:ascii="Arial" w:hAnsi="Arial" w:cs="Arial"/>
          <w:sz w:val="20"/>
          <w:szCs w:val="20"/>
        </w:rPr>
        <w:t>Widarjono</w:t>
      </w:r>
      <w:proofErr w:type="spellEnd"/>
      <w:r w:rsidR="005966E9" w:rsidRPr="005966E9">
        <w:rPr>
          <w:rFonts w:ascii="Arial" w:hAnsi="Arial" w:cs="Arial"/>
          <w:sz w:val="20"/>
          <w:szCs w:val="20"/>
        </w:rPr>
        <w:t xml:space="preserve"> et al.</w:t>
      </w:r>
      <w:r w:rsidR="005E12C2" w:rsidRPr="005966E9">
        <w:rPr>
          <w:rFonts w:ascii="Arial" w:hAnsi="Arial" w:cs="Arial"/>
          <w:sz w:val="20"/>
          <w:szCs w:val="20"/>
        </w:rPr>
        <w:t xml:space="preserve"> </w:t>
      </w:r>
      <w:r w:rsidR="005E12C2" w:rsidRPr="005E12C2">
        <w:rPr>
          <w:rFonts w:ascii="Arial" w:hAnsi="Arial" w:cs="Arial"/>
          <w:sz w:val="20"/>
          <w:szCs w:val="20"/>
        </w:rPr>
        <w:fldChar w:fldCharType="begin" w:fldLock="1"/>
      </w:r>
      <w:r w:rsidR="009A6400">
        <w:rPr>
          <w:rFonts w:ascii="Arial" w:hAnsi="Arial" w:cs="Arial"/>
          <w:sz w:val="20"/>
          <w:szCs w:val="20"/>
        </w:rPr>
        <w:instrText>ADDIN CSL_CITATION {"citationItems":[{"id":"ITEM-1","itemData":{"DOI":"10.1371/journal.pone.0293913","ISBN":"1111111111","ISSN":"19326203","PMID":"38157352","abstract":"The global trend of diets high in sugar sweetened beverages (SSB) is associated with a high risk of obesity and non-communicable diseases (NCDs). To reduce SSB consumption on a population level, SSB taxes have become a popular policy solution. In Indonesia, although the prevalence of obesity has doubled in the past decade (11.7% in 2010 to 21.8% in 2018), SSB taxes have not yet been implemented. Utilizing the 2021 Indonesian household socioeconomic survey (SUSENAS), this study estimated price elasticities and projected the plausible effects of implementing an SSB tax on consumers’ demand for SSBs and the associated government revenue using the Quadratic Almost Ideal Demand System (QUAIDS) model. Five SSB groups were studied: 1) manufactured liquid milk; 2) sweetened condense milk; 3) instant coffee; 4) tea drinks and fizzy drinks with CO2; 5) fruit juices, “health” drinks, and energy drinks. The overall results showed that the non-milk SSB groups were price elastic. Probing deeper into the substitutions for SSB across categories, we found both substitutionary and complementary effects. Our analysis revealed that increasing SSB prices by 20% would reduce the demand for SSBs on average by 17.5% (14.3%-18.6% for each SSB group) and generate additional state revenue up to IDR 3,628.3 billion per year (approximately US$ 238.5 million or 0.2% of total tax revenue in 2022). Considering the health and economic impacts of high consumption of SSBs, this study provides empirical evidence that imposing taxes on SSBs could be an effective measure to reduce public consumption and to generate tax revenue for financing health programs that address obesity and NCDs in Indonesia.","author":[{"dropping-particle":"","family":"Widarjono","given":"Agus","non-dropping-particle":"","parse-names":false,"suffix":""},{"dropping-particle":"","family":"Afin","given":"Rifai","non-dropping-particle":"","parse-names":false,"suffix":""},{"dropping-particle":"","family":"Kusnadi","given":"Gita","non-dropping-particle":"","parse-names":false,"suffix":""},{"dropping-particle":"","family":"Zulfiqar Firdaus","given":"Muhammad","non-dropping-particle":"","parse-names":false,"suffix":""},{"dropping-particle":"","family":"Herlinda","given":"Olivia","non-dropping-particle":"","parse-names":false,"suffix":""}],"container-title":"PLoS ONE","id":"ITEM-1","issue":"12 December","issued":{"date-parts":[["2023"]]},"page":"1-11","title":"Taxing sugar sweetened beverages in Indonesia: Projections of demand change and fiscal revenue","type":"article-journal","volume":"18"},"uris":["http://www.mendeley.com/documents/?uuid=52e70fde-f8d6-4f74-ba08-93451ec09fca"]}],"mendeley":{"formattedCitation":"[15]","plainTextFormattedCitation":"[15]","previouslyFormattedCitation":"[15]"},"properties":{"noteIndex":0},"schema":"https://github.com/citation-style-language/schema/raw/master/csl-citation.json"}</w:instrText>
      </w:r>
      <w:r w:rsidR="005E12C2" w:rsidRPr="005E12C2">
        <w:rPr>
          <w:rFonts w:ascii="Arial" w:hAnsi="Arial" w:cs="Arial"/>
          <w:sz w:val="20"/>
          <w:szCs w:val="20"/>
        </w:rPr>
        <w:fldChar w:fldCharType="separate"/>
      </w:r>
      <w:r w:rsidR="009A6400" w:rsidRPr="009A6400">
        <w:rPr>
          <w:rFonts w:ascii="Arial" w:hAnsi="Arial" w:cs="Arial"/>
          <w:noProof/>
          <w:sz w:val="20"/>
          <w:szCs w:val="20"/>
        </w:rPr>
        <w:t>[15]</w:t>
      </w:r>
      <w:r w:rsidR="005E12C2" w:rsidRPr="005E12C2">
        <w:rPr>
          <w:rFonts w:ascii="Arial" w:hAnsi="Arial" w:cs="Arial"/>
          <w:sz w:val="20"/>
          <w:szCs w:val="20"/>
        </w:rPr>
        <w:fldChar w:fldCharType="end"/>
      </w:r>
      <w:r w:rsidR="005966E9">
        <w:rPr>
          <w:rFonts w:ascii="Arial" w:hAnsi="Arial" w:cs="Arial"/>
          <w:sz w:val="20"/>
          <w:szCs w:val="20"/>
        </w:rPr>
        <w:t>.</w:t>
      </w:r>
    </w:p>
    <w:p w:rsidR="00140803" w:rsidRDefault="007833CF" w:rsidP="00140803">
      <w:pPr>
        <w:spacing w:after="0" w:line="240" w:lineRule="auto"/>
        <w:ind w:left="0" w:hanging="2"/>
        <w:jc w:val="both"/>
        <w:rPr>
          <w:rFonts w:ascii="Arial" w:hAnsi="Arial" w:cs="Arial"/>
          <w:sz w:val="20"/>
          <w:szCs w:val="20"/>
        </w:rPr>
      </w:pPr>
      <w:r>
        <w:rPr>
          <w:rFonts w:ascii="Arial" w:hAnsi="Arial" w:cs="Arial"/>
          <w:sz w:val="20"/>
          <w:szCs w:val="20"/>
        </w:rPr>
        <w:t xml:space="preserve">This information </w:t>
      </w:r>
      <w:r w:rsidR="00140803" w:rsidRPr="00140803">
        <w:rPr>
          <w:rFonts w:ascii="Arial" w:hAnsi="Arial" w:cs="Arial"/>
          <w:sz w:val="20"/>
          <w:szCs w:val="20"/>
        </w:rPr>
        <w:t>show</w:t>
      </w:r>
      <w:r>
        <w:rPr>
          <w:rFonts w:ascii="Arial" w:hAnsi="Arial" w:cs="Arial"/>
          <w:sz w:val="20"/>
          <w:szCs w:val="20"/>
        </w:rPr>
        <w:t>s</w:t>
      </w:r>
      <w:r w:rsidR="00140803" w:rsidRPr="00140803">
        <w:rPr>
          <w:rFonts w:ascii="Arial" w:hAnsi="Arial" w:cs="Arial"/>
          <w:sz w:val="20"/>
          <w:szCs w:val="20"/>
        </w:rPr>
        <w:t xml:space="preserve"> that the study that focuses on </w:t>
      </w:r>
      <w:r w:rsidR="006663CE">
        <w:rPr>
          <w:rFonts w:ascii="Arial" w:hAnsi="Arial" w:cs="Arial"/>
          <w:sz w:val="20"/>
          <w:szCs w:val="20"/>
        </w:rPr>
        <w:t>sugar demand or sales</w:t>
      </w:r>
      <w:r w:rsidR="00140803" w:rsidRPr="00140803">
        <w:rPr>
          <w:rFonts w:ascii="Arial" w:hAnsi="Arial" w:cs="Arial"/>
          <w:sz w:val="20"/>
          <w:szCs w:val="20"/>
        </w:rPr>
        <w:t xml:space="preserve"> in retail has not been widely discussed. Most of the studies about sugar focus on a higher supply chain level or national level. Furthermore, the topic of forecasting for retail has been receiving a lot of attention for a long time due to the difficulty because of the high variability of demand </w:t>
      </w:r>
      <w:r w:rsidR="00140803" w:rsidRPr="00140803">
        <w:rPr>
          <w:rFonts w:ascii="Arial" w:hAnsi="Arial" w:cs="Arial"/>
          <w:sz w:val="20"/>
          <w:szCs w:val="20"/>
        </w:rPr>
        <w:fldChar w:fldCharType="begin" w:fldLock="1"/>
      </w:r>
      <w:r w:rsidR="009A6400">
        <w:rPr>
          <w:rFonts w:ascii="Arial" w:hAnsi="Arial" w:cs="Arial"/>
          <w:sz w:val="20"/>
          <w:szCs w:val="20"/>
        </w:rPr>
        <w:instrText>ADDIN CSL_CITATION {"citationItems":[{"id":"ITEM-1","itemData":{"DOI":"10.1016/j.jretconser.2019.101921","ISSN":"09696989","abstract":"In this study, we examine the influence of weather on daily sales in brick-and-mortar retailing using empirical data for 673 stores. We develop a random coefficient model that considers non-linear effects and seasonal differences using different weather parameters. In the ex-post analysis using historic weather data, we quantify the explanatory power of weather information on daily sales, identify store-specific effects and analyze the influence of specific sales themes. We find that the weather has generally a complex effect on daily sales while the magnitude and the direction of the weather effect depend on the store location and the sales theme. The effect on daily sales can be as high as 23.1% based on the store location and as high as 40.7% based on the sales theme. We also find that the impact of extreme bad and good weather occurrences can be misestimated by traditional models that do not consider non-linear effects. In the ex-ante analysis, we analyze if weather forecasts can be used to improve the daily sales forecast. We show that including weather forecast information improves sales forecast accuracy up to seven days ahead. However, the improvement of the forecast accuracy diminishes with a higher forecast horizon.","author":[{"dropping-particle":"","family":"Badorf","given":"Florian","non-dropping-particle":"","parse-names":false,"suffix":""},{"dropping-particle":"","family":"Hoberg","given":"Kai","non-dropping-particle":"","parse-names":false,"suffix":""}],"container-title":"Journal of Retailing and Consumer Services","id":"ITEM-1","issue":"March 2019","issued":{"date-parts":[["2020"]]},"page":"101921","publisher":"Elsevier Ltd","title":"The impact of daily weather on retail sales: An empirical study in brick-and-mortar stores","type":"article-journal","volume":"52"},"uris":["http://www.mendeley.com/documents/?uuid=8677c97d-a69f-4327-bd4f-f15ea9ebdb27"]}],"mendeley":{"formattedCitation":"[16]","plainTextFormattedCitation":"[16]","previouslyFormattedCitation":"[16]"},"properties":{"noteIndex":0},"schema":"https://github.com/citation-style-language/schema/raw/master/csl-citation.json"}</w:instrText>
      </w:r>
      <w:r w:rsidR="00140803" w:rsidRPr="00140803">
        <w:rPr>
          <w:rFonts w:ascii="Arial" w:hAnsi="Arial" w:cs="Arial"/>
          <w:sz w:val="20"/>
          <w:szCs w:val="20"/>
        </w:rPr>
        <w:fldChar w:fldCharType="separate"/>
      </w:r>
      <w:r w:rsidR="009A6400" w:rsidRPr="009A6400">
        <w:rPr>
          <w:rFonts w:ascii="Arial" w:hAnsi="Arial" w:cs="Arial"/>
          <w:noProof/>
          <w:sz w:val="20"/>
          <w:szCs w:val="20"/>
        </w:rPr>
        <w:t>[16]</w:t>
      </w:r>
      <w:r w:rsidR="00140803" w:rsidRPr="00140803">
        <w:rPr>
          <w:rFonts w:ascii="Arial" w:hAnsi="Arial" w:cs="Arial"/>
          <w:sz w:val="20"/>
          <w:szCs w:val="20"/>
        </w:rPr>
        <w:fldChar w:fldCharType="end"/>
      </w:r>
      <w:r w:rsidR="006663CE">
        <w:rPr>
          <w:rFonts w:ascii="Arial" w:hAnsi="Arial" w:cs="Arial"/>
          <w:sz w:val="20"/>
          <w:szCs w:val="20"/>
        </w:rPr>
        <w:t xml:space="preserve">, </w:t>
      </w:r>
      <w:r w:rsidR="00140803" w:rsidRPr="00140803">
        <w:rPr>
          <w:rFonts w:ascii="Arial" w:hAnsi="Arial" w:cs="Arial"/>
          <w:sz w:val="20"/>
          <w:szCs w:val="20"/>
        </w:rPr>
        <w:fldChar w:fldCharType="begin" w:fldLock="1"/>
      </w:r>
      <w:r w:rsidR="009A6400">
        <w:rPr>
          <w:rFonts w:ascii="Arial" w:hAnsi="Arial" w:cs="Arial"/>
          <w:sz w:val="20"/>
          <w:szCs w:val="20"/>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mendeley":{"formattedCitation":"[17]","plainTextFormattedCitation":"[17]","previouslyFormattedCitation":"[17]"},"properties":{"noteIndex":0},"schema":"https://github.com/citation-style-language/schema/raw/master/csl-citation.json"}</w:instrText>
      </w:r>
      <w:r w:rsidR="00140803" w:rsidRPr="00140803">
        <w:rPr>
          <w:rFonts w:ascii="Arial" w:hAnsi="Arial" w:cs="Arial"/>
          <w:sz w:val="20"/>
          <w:szCs w:val="20"/>
        </w:rPr>
        <w:fldChar w:fldCharType="separate"/>
      </w:r>
      <w:r w:rsidR="009A6400" w:rsidRPr="009A6400">
        <w:rPr>
          <w:rFonts w:ascii="Arial" w:hAnsi="Arial" w:cs="Arial"/>
          <w:noProof/>
          <w:sz w:val="20"/>
          <w:szCs w:val="20"/>
        </w:rPr>
        <w:t>[17]</w:t>
      </w:r>
      <w:r w:rsidR="00140803" w:rsidRPr="00140803">
        <w:rPr>
          <w:rFonts w:ascii="Arial" w:hAnsi="Arial" w:cs="Arial"/>
          <w:sz w:val="20"/>
          <w:szCs w:val="20"/>
        </w:rPr>
        <w:fldChar w:fldCharType="end"/>
      </w:r>
      <w:r w:rsidR="00140803" w:rsidRPr="00140803">
        <w:rPr>
          <w:rFonts w:ascii="Arial" w:hAnsi="Arial" w:cs="Arial"/>
          <w:sz w:val="20"/>
          <w:szCs w:val="20"/>
        </w:rPr>
        <w:t>. Considering this research gap and its importance, this study discusses the forecast of sugar demand for retail. This research takes a study case of a retail store in Yogyakarta Province, Indonesia. This study held the assumption that sugar sales represent the sugar demand</w:t>
      </w:r>
      <w:r w:rsidR="00140803">
        <w:rPr>
          <w:rFonts w:ascii="Arial" w:hAnsi="Arial" w:cs="Arial"/>
          <w:sz w:val="20"/>
          <w:szCs w:val="20"/>
        </w:rPr>
        <w:t>.</w:t>
      </w:r>
    </w:p>
    <w:p w:rsidR="00170F49" w:rsidRDefault="00170F49" w:rsidP="00170F49">
      <w:pPr>
        <w:spacing w:after="0" w:line="240" w:lineRule="auto"/>
        <w:ind w:left="0" w:hanging="2"/>
        <w:jc w:val="both"/>
        <w:rPr>
          <w:rFonts w:ascii="Arial" w:hAnsi="Arial" w:cs="Arial"/>
          <w:sz w:val="20"/>
          <w:szCs w:val="20"/>
        </w:rPr>
      </w:pPr>
      <w:r w:rsidRPr="00170F49">
        <w:rPr>
          <w:rFonts w:ascii="Arial" w:hAnsi="Arial" w:cs="Arial"/>
          <w:sz w:val="20"/>
          <w:szCs w:val="20"/>
        </w:rPr>
        <w:t xml:space="preserve">This study uses the ARIMA or SARIMA forecast model. SARIMA is the extension of the ARIMA </w:t>
      </w:r>
      <w:r w:rsidRPr="00170F49">
        <w:rPr>
          <w:rFonts w:ascii="Arial" w:hAnsi="Arial" w:cs="Arial"/>
          <w:sz w:val="20"/>
          <w:szCs w:val="20"/>
        </w:rPr>
        <w:t>model. B</w:t>
      </w:r>
      <w:r w:rsidR="006663CE">
        <w:rPr>
          <w:rFonts w:ascii="Arial" w:hAnsi="Arial" w:cs="Arial"/>
          <w:sz w:val="20"/>
          <w:szCs w:val="20"/>
        </w:rPr>
        <w:t>ased on several studies,</w:t>
      </w:r>
      <w:r w:rsidRPr="00170F49">
        <w:rPr>
          <w:rFonts w:ascii="Arial" w:hAnsi="Arial" w:cs="Arial"/>
          <w:sz w:val="20"/>
          <w:szCs w:val="20"/>
        </w:rPr>
        <w:t xml:space="preserve"> the ARIMA forecast model performs well in estimating sugar production and manufacturer sugar demand</w:t>
      </w:r>
      <w:r w:rsidR="006663CE">
        <w:rPr>
          <w:rFonts w:ascii="Arial" w:hAnsi="Arial" w:cs="Arial"/>
          <w:sz w:val="20"/>
          <w:szCs w:val="20"/>
        </w:rPr>
        <w:t xml:space="preserve"> </w:t>
      </w:r>
      <w:r w:rsidR="006663CE" w:rsidRPr="00170F49">
        <w:rPr>
          <w:rFonts w:ascii="Arial" w:hAnsi="Arial" w:cs="Arial"/>
          <w:sz w:val="20"/>
          <w:szCs w:val="20"/>
        </w:rPr>
        <w:fldChar w:fldCharType="begin" w:fldLock="1"/>
      </w:r>
      <w:r w:rsidR="006663CE">
        <w:rPr>
          <w:rFonts w:ascii="Arial" w:hAnsi="Arial" w:cs="Arial"/>
          <w:sz w:val="20"/>
          <w:szCs w:val="20"/>
        </w:rPr>
        <w:instrText>ADDIN CSL_CITATION {"citationItems":[{"id":"ITEM-1","itemData":{"DOI":"10.1007/s12355-021-01004-3","ISSN":"09740740","abstract":"Sugarcane plays an essential role in the economy of the India. During 2018, 79.9% of total sugarcane production of India was used in the manufacture of white sugar, 11.29% was used for jaggery production, and 8.80% was used as seed and feed materials. 840.16 Mt sugarcane was exported in the year 2019. Prediction of production level is basic to effective decision-making for policymakers. The objective of this study is thus to find the suitable models of forecasting for sugarcane production. India and major sugarcane producing states, namely Andhra Pradesh, Karnataka, Maharashtra, Tamil Nadu and Uttar Pradesh were selected. Sugarcane production data from 1950 to 2015 were used for training and 2016 to 2018 was used to test the model. ARIMA method was used to model the production process. Order selection was done using AIC. RMSE, MAPE and Theils’ U statistic were used to test the accuracy of the models fitted to the data. ARCH process was found for Karnataka, Tamil Nadu and Uttar Pradesh. Autocorrelation was not present in all the data series analyzed. Forecast accuracy on MAPE criteria ranged from 0.046 to 0.197 percent.","author":[{"dropping-particle":"","family":"Mishra","given":"Pradeep","non-dropping-particle":"","parse-names":false,"suffix":""},{"dropping-particle":"","family":"Khatib","given":"A. M.G.","non-dropping-particle":"Al","parse-names":false,"suffix":""},{"dropping-particle":"","family":"Sardar","given":"Iqra","non-dropping-particle":"","parse-names":false,"suffix":""},{"dropping-particle":"","family":"Mohammed","given":"Jamal","non-dropping-particle":"","parse-names":false,"suffix":""},{"dropping-particle":"","family":"Karakaya","given":"Kadir","non-dropping-particle":"","parse-names":false,"suffix":""},{"dropping-particle":"","family":"Dash","given":"Abhiram","non-dropping-particle":"","parse-names":false,"suffix":""},{"dropping-particle":"","family":"Ray","given":"Monika","non-dropping-particle":"","parse-names":false,"suffix":""},{"dropping-particle":"","family":"Narsimhaiah","given":"Lakshmi","non-dropping-particle":"","parse-names":false,"suffix":""},{"dropping-particle":"","family":"Dubey","given":"Anurag","non-dropping-particle":"","parse-names":false,"suffix":""}],"container-title":"Sugar Tech","id":"ITEM-1","issue":"6","issued":{"date-parts":[["2021"]]},"page":"1317-1324","publisher":"Springer India","title":"Modeling and Forecasting of Sugarcane Production in India","type":"article-journal","volume":"23"},"uris":["http://www.mendeley.com/documents/?uuid=8ebdae13-121a-4bfe-b89c-56feba7c5246"]}],"mendeley":{"formattedCitation":"[6]","plainTextFormattedCitation":"[6]","previouslyFormattedCitation":"[6]"},"properties":{"noteIndex":0},"schema":"https://github.com/citation-style-language/schema/raw/master/csl-citation.json"}</w:instrText>
      </w:r>
      <w:r w:rsidR="006663CE" w:rsidRPr="00170F49">
        <w:rPr>
          <w:rFonts w:ascii="Arial" w:hAnsi="Arial" w:cs="Arial"/>
          <w:sz w:val="20"/>
          <w:szCs w:val="20"/>
        </w:rPr>
        <w:fldChar w:fldCharType="separate"/>
      </w:r>
      <w:r w:rsidR="006663CE" w:rsidRPr="009A6400">
        <w:rPr>
          <w:rFonts w:ascii="Arial" w:hAnsi="Arial" w:cs="Arial"/>
          <w:noProof/>
          <w:sz w:val="20"/>
          <w:szCs w:val="20"/>
        </w:rPr>
        <w:t>[6]</w:t>
      </w:r>
      <w:r w:rsidR="006663CE" w:rsidRPr="00170F49">
        <w:rPr>
          <w:rFonts w:ascii="Arial" w:hAnsi="Arial" w:cs="Arial"/>
          <w:sz w:val="20"/>
          <w:szCs w:val="20"/>
        </w:rPr>
        <w:fldChar w:fldCharType="end"/>
      </w:r>
      <w:r w:rsidR="006663CE">
        <w:rPr>
          <w:rFonts w:ascii="Arial" w:hAnsi="Arial" w:cs="Arial"/>
          <w:sz w:val="20"/>
          <w:szCs w:val="20"/>
        </w:rPr>
        <w:t>,</w:t>
      </w:r>
      <w:r w:rsidR="006663CE" w:rsidRPr="00170F49">
        <w:rPr>
          <w:rFonts w:ascii="Arial" w:hAnsi="Arial" w:cs="Arial"/>
          <w:sz w:val="20"/>
          <w:szCs w:val="20"/>
        </w:rPr>
        <w:t xml:space="preserve"> </w:t>
      </w:r>
      <w:r w:rsidR="006663CE" w:rsidRPr="00170F49">
        <w:rPr>
          <w:rFonts w:ascii="Arial" w:hAnsi="Arial" w:cs="Arial"/>
          <w:sz w:val="20"/>
          <w:szCs w:val="20"/>
        </w:rPr>
        <w:fldChar w:fldCharType="begin" w:fldLock="1"/>
      </w:r>
      <w:r w:rsidR="006663CE">
        <w:rPr>
          <w:rFonts w:ascii="Arial" w:hAnsi="Arial" w:cs="Arial"/>
          <w:sz w:val="20"/>
          <w:szCs w:val="20"/>
        </w:rPr>
        <w:instrText>ADDIN CSL_CITATION {"citationItems":[{"id":"ITEM-1","itemData":{"DOI":"10.1111/aab.12825","ISSN":"17447348","abstract":"This paper proposes a comparison of various time series forecasting models to forecast annual data on sugarcane production over 63 years from 1960 to 2022. In this research, the Mean Forecast Model, the Naive Model, the Simple Exponential Smoothing Model, Holt's model, and the Autoregressive Integrated Moving Average time series models have all been used to make effective and accurate predictions for sugarcane. Different scale-dependent error forecasting techniques and residual analysis have been used to examine the forecasting accuracy of these time series models. SE of Residuals, Root Mean Squared Error (RMSE), Mean Absolute Error (MAE) and Akaike's Information Criterion (AIC) are used to analyse the forecast's accuracy. The best model has been selected based on the predictions with the lowest value, according to the three-performance metrics of RMSE, MAE, and AIC. The estimated sugarcane production shows an increasing trend for the next 10 years and is projected to be 37,763.38 million tonnes in the year 2032. Further, empirical results support the plan and execution of viable strategies to advance sugarcane production in India to fulfil the utilisation need of the increasing population and further improve food security.","author":[{"dropping-particle":"","family":"Tyagi","given":"Sanjay","non-dropping-particle":"","parse-names":false,"suffix":""},{"dropping-particle":"","family":"Chandra","given":"Shalini","non-dropping-particle":"","parse-names":false,"suffix":""},{"dropping-particle":"","family":"Tyagi","given":"Gargi","non-dropping-particle":"","parse-names":false,"suffix":""}],"container-title":"Annals of Applied Biology","id":"ITEM-1","issue":"3","issued":{"date-parts":[["2023"]]},"page":"371-380","title":"Statistical modelling and forecasting annual sugarcane production in India: Using various time series models","type":"article-journal","volume":"182"},"uris":["http://www.mendeley.com/documents/?uuid=8f4b89a6-d303-4136-8519-1fe57e7a8d6e"]}],"mendeley":{"formattedCitation":"[7]","plainTextFormattedCitation":"[7]","previouslyFormattedCitation":"[7]"},"properties":{"noteIndex":0},"schema":"https://github.com/citation-style-language/schema/raw/master/csl-citation.json"}</w:instrText>
      </w:r>
      <w:r w:rsidR="006663CE" w:rsidRPr="00170F49">
        <w:rPr>
          <w:rFonts w:ascii="Arial" w:hAnsi="Arial" w:cs="Arial"/>
          <w:sz w:val="20"/>
          <w:szCs w:val="20"/>
        </w:rPr>
        <w:fldChar w:fldCharType="separate"/>
      </w:r>
      <w:r w:rsidR="006663CE" w:rsidRPr="009A6400">
        <w:rPr>
          <w:rFonts w:ascii="Arial" w:hAnsi="Arial" w:cs="Arial"/>
          <w:noProof/>
          <w:sz w:val="20"/>
          <w:szCs w:val="20"/>
        </w:rPr>
        <w:t>[7]</w:t>
      </w:r>
      <w:r w:rsidR="006663CE" w:rsidRPr="00170F49">
        <w:rPr>
          <w:rFonts w:ascii="Arial" w:hAnsi="Arial" w:cs="Arial"/>
          <w:sz w:val="20"/>
          <w:szCs w:val="20"/>
        </w:rPr>
        <w:fldChar w:fldCharType="end"/>
      </w:r>
      <w:r w:rsidR="006663CE">
        <w:rPr>
          <w:rFonts w:ascii="Arial" w:hAnsi="Arial" w:cs="Arial"/>
          <w:sz w:val="20"/>
          <w:szCs w:val="20"/>
        </w:rPr>
        <w:t>,</w:t>
      </w:r>
      <w:r w:rsidR="006663CE" w:rsidRPr="00170F49">
        <w:rPr>
          <w:rFonts w:ascii="Arial" w:hAnsi="Arial" w:cs="Arial"/>
          <w:sz w:val="20"/>
          <w:szCs w:val="20"/>
        </w:rPr>
        <w:t xml:space="preserve"> </w:t>
      </w:r>
      <w:r w:rsidR="006663CE" w:rsidRPr="00170F49">
        <w:rPr>
          <w:rFonts w:ascii="Arial" w:hAnsi="Arial" w:cs="Arial"/>
          <w:sz w:val="20"/>
          <w:szCs w:val="20"/>
        </w:rPr>
        <w:fldChar w:fldCharType="begin" w:fldLock="1"/>
      </w:r>
      <w:r w:rsidR="006663CE">
        <w:rPr>
          <w:rFonts w:ascii="Arial" w:hAnsi="Arial" w:cs="Arial"/>
          <w:sz w:val="20"/>
          <w:szCs w:val="20"/>
        </w:rPr>
        <w:instrText>ADDIN CSL_CITATION {"citationItems":[{"id":"ITEM-1","itemData":{"DOI":"10.30598/barekengvol17iss3pp1631-1640","ISSN":"1978-7227","abstract":"PT XYZ is a manufacturing company engaged in the production of sugar and its by-products. Currently, the determination of the amount of production at PT XYZ has not been adjusted to meet customer demand, which may continue to decrease or increase for each period. If there is a condition that the amount of production is greater than demand, it will increase the cost of storage due to accumulation. Meanwhile, if the amount of production is smaller than demand, there will be an out-of-stock condition that can reduce consumer confidence. These problems can be solved by forecasting Tambora Sugar demand at PT XYZ to meet consumer demand using the forecasting method (forecasting) with the help of WinQsb software with input, namely sugar demand data from 2021 PT SMS. The request data will later be analyzed from the request using a scatter diagram. Furthermore, after the pattern is known, the appropriate forecasting method will be determined and inputted into the WinQsb software. Based on the calculation results, it is known that the demand pattern from last year tends to trend down so the chosen method is the Double Exponential Smoothing (DES), Single Exponential Smoothing (SES), and Linear Regression (LR) method, with the best method being Linear Regression which produces the smallest error. The output is in the form of a Master Production Schedule (MPS), namely in the 13th to 18th periods, respectively 2142; 1757; 1373; 989; 604; 220 sacks.","author":[{"dropping-particle":"","family":"Wibowo","given":"Astrid Wahyu Adventri","non-dropping-particle":"","parse-names":false,"suffix":""},{"dropping-particle":"","family":"Maimunah","given":"Fitri","non-dropping-particle":"","parse-names":false,"suffix":""}],"container-title":"BAREKENG: Jurnal Ilmu Matematika dan Terapan","id":"ITEM-1","issue":"3","issued":{"date-parts":[["2023"]]},"page":"1631-1640","title":"Sugar Demand Forecasting in Pt Xyz With Winqsb Software","type":"article-journal","volume":"17"},"uris":["http://www.mendeley.com/documents/?uuid=582b26a7-87ce-4ce6-bfaa-a2dbcbac3ffc"]}],"mendeley":{"formattedCitation":"[12]","plainTextFormattedCitation":"[12]","previouslyFormattedCitation":"[12]"},"properties":{"noteIndex":0},"schema":"https://github.com/citation-style-language/schema/raw/master/csl-citation.json"}</w:instrText>
      </w:r>
      <w:r w:rsidR="006663CE" w:rsidRPr="00170F49">
        <w:rPr>
          <w:rFonts w:ascii="Arial" w:hAnsi="Arial" w:cs="Arial"/>
          <w:sz w:val="20"/>
          <w:szCs w:val="20"/>
        </w:rPr>
        <w:fldChar w:fldCharType="separate"/>
      </w:r>
      <w:r w:rsidR="006663CE" w:rsidRPr="009A6400">
        <w:rPr>
          <w:rFonts w:ascii="Arial" w:hAnsi="Arial" w:cs="Arial"/>
          <w:noProof/>
          <w:sz w:val="20"/>
          <w:szCs w:val="20"/>
        </w:rPr>
        <w:t>[12]</w:t>
      </w:r>
      <w:r w:rsidR="006663CE" w:rsidRPr="00170F49">
        <w:rPr>
          <w:rFonts w:ascii="Arial" w:hAnsi="Arial" w:cs="Arial"/>
          <w:sz w:val="20"/>
          <w:szCs w:val="20"/>
        </w:rPr>
        <w:fldChar w:fldCharType="end"/>
      </w:r>
      <w:r w:rsidRPr="00170F49">
        <w:rPr>
          <w:rFonts w:ascii="Arial" w:hAnsi="Arial" w:cs="Arial"/>
          <w:sz w:val="20"/>
          <w:szCs w:val="20"/>
        </w:rPr>
        <w:t xml:space="preserve">. This might be because ARIMA can capture the volatility pattern of sugar data well. ARIMA also has been widely used in many forecasting cases because it can get a very low error forecast </w:t>
      </w:r>
      <w:r w:rsidRPr="00170F49">
        <w:rPr>
          <w:rFonts w:ascii="Arial" w:hAnsi="Arial" w:cs="Arial"/>
          <w:sz w:val="20"/>
          <w:szCs w:val="20"/>
        </w:rPr>
        <w:fldChar w:fldCharType="begin" w:fldLock="1"/>
      </w:r>
      <w:r w:rsidR="009A6400">
        <w:rPr>
          <w:rFonts w:ascii="Arial" w:hAnsi="Arial" w:cs="Arial"/>
          <w:sz w:val="20"/>
          <w:szCs w:val="20"/>
        </w:rPr>
        <w:instrText>ADDIN CSL_CITATION {"citationItems":[{"id":"ITEM-1","itemData":{"DOI":"10.17582/journal.pjar/2020/33.1.140.145","ISSN":"22278311","abstract":"Fisheries play a key role for national income and a source of food in Pakistan. Therefore, forecasting the production of fish is important for better production and for planning of fish export. Objective of this research is to propose suitable Autoregressive Integrated Moving Average (ARIMA) model for forecasting the production of fisheries, using Box-Jenkins’s (1976) methodology. Secondary data, “50 years of Pakistan: volume-iii (1947-1997)” published by Pakistan Bureau of Statistics (PBS) and World Development Indicators World Bank (2016) from the year 1947-2016 was used. After comparing all possible ARIMA model diagnostically, ARIMA (2, 1, 3) is the most parsimonious model with less forecast error. Forecast values for the fisheries production from 633.974 to 720.196 tons for the year 2017-2026 shows a significant increase in the fisheries production. The proposed ARIMA (2,1,3) model for forecasting is helpful for fish producers, researchers, business men, and planning their resources as well as decision making regarding the export and production of fisheries in Pakistan.","author":[{"dropping-particle":"","family":"Mehmood","given":"Qaisar","non-dropping-particle":"","parse-names":false,"suffix":""},{"dropping-particle":"","family":"Sial","given":"Maqbool Hussain","non-dropping-particle":"","parse-names":false,"suffix":""},{"dropping-particle":"","family":"Sharif","given":"Saira","non-dropping-particle":"","parse-names":false,"suffix":""},{"dropping-particle":"","family":"Hussain","given":"Abid","non-dropping-particle":"","parse-names":false,"suffix":""},{"dropping-particle":"","family":"Riaz","given":"Muhammad","non-dropping-particle":"","parse-names":false,"suffix":""},{"dropping-particle":"","family":"Shaheen","given":"Nargis","non-dropping-particle":"","parse-names":false,"suffix":""}],"container-title":"Pakistan Journal of Agricultural Research","id":"ITEM-1","issue":"1","issued":{"date-parts":[["2020"]]},"page":"140-145","title":"Forecasting the Fisheries Production in Pakistan for the Year 2017-2026, using Box-Jenkin’s Methodology","type":"article-journal","volume":"33"},"uris":["http://www.mendeley.com/documents/?uuid=59910f94-405d-4b1d-ae64-f6bda186087d"]}],"mendeley":{"formattedCitation":"[18]","plainTextFormattedCitation":"[18]","previouslyFormattedCitation":"[18]"},"properties":{"noteIndex":0},"schema":"https://github.com/citation-style-language/schema/raw/master/csl-citation.json"}</w:instrText>
      </w:r>
      <w:r w:rsidRPr="00170F49">
        <w:rPr>
          <w:rFonts w:ascii="Arial" w:hAnsi="Arial" w:cs="Arial"/>
          <w:sz w:val="20"/>
          <w:szCs w:val="20"/>
        </w:rPr>
        <w:fldChar w:fldCharType="separate"/>
      </w:r>
      <w:r w:rsidR="009A6400" w:rsidRPr="009A6400">
        <w:rPr>
          <w:rFonts w:ascii="Arial" w:hAnsi="Arial" w:cs="Arial"/>
          <w:noProof/>
          <w:sz w:val="20"/>
          <w:szCs w:val="20"/>
        </w:rPr>
        <w:t>[18]</w:t>
      </w:r>
      <w:r w:rsidRPr="00170F49">
        <w:rPr>
          <w:rFonts w:ascii="Arial" w:hAnsi="Arial" w:cs="Arial"/>
          <w:sz w:val="20"/>
          <w:szCs w:val="20"/>
        </w:rPr>
        <w:fldChar w:fldCharType="end"/>
      </w:r>
      <w:r w:rsidRPr="00170F49">
        <w:rPr>
          <w:rFonts w:ascii="Arial" w:hAnsi="Arial" w:cs="Arial"/>
          <w:sz w:val="20"/>
          <w:szCs w:val="20"/>
        </w:rPr>
        <w:t xml:space="preserve">. Furthermore, </w:t>
      </w:r>
      <w:r w:rsidR="00992945">
        <w:rPr>
          <w:rFonts w:ascii="Arial" w:hAnsi="Arial" w:cs="Arial"/>
          <w:sz w:val="20"/>
          <w:szCs w:val="20"/>
        </w:rPr>
        <w:t xml:space="preserve">both </w:t>
      </w:r>
      <w:r w:rsidRPr="00170F49">
        <w:rPr>
          <w:rFonts w:ascii="Arial" w:hAnsi="Arial" w:cs="Arial"/>
          <w:sz w:val="20"/>
          <w:szCs w:val="20"/>
        </w:rPr>
        <w:t>ARIMA and SARIMA</w:t>
      </w:r>
      <w:r w:rsidR="00992945">
        <w:rPr>
          <w:rFonts w:ascii="Arial" w:hAnsi="Arial" w:cs="Arial"/>
          <w:sz w:val="20"/>
          <w:szCs w:val="20"/>
        </w:rPr>
        <w:t xml:space="preserve">  prove</w:t>
      </w:r>
      <w:r w:rsidRPr="00170F49">
        <w:rPr>
          <w:rFonts w:ascii="Arial" w:hAnsi="Arial" w:cs="Arial"/>
          <w:sz w:val="20"/>
          <w:szCs w:val="20"/>
        </w:rPr>
        <w:t xml:space="preserve"> to forecast retail demand well </w:t>
      </w:r>
      <w:r w:rsidR="003858FA">
        <w:rPr>
          <w:rFonts w:ascii="Arial" w:hAnsi="Arial" w:cs="Arial"/>
          <w:sz w:val="20"/>
          <w:szCs w:val="20"/>
        </w:rPr>
        <w:t xml:space="preserve">even when </w:t>
      </w:r>
      <w:r w:rsidRPr="00170F49">
        <w:rPr>
          <w:rFonts w:ascii="Arial" w:hAnsi="Arial" w:cs="Arial"/>
          <w:sz w:val="20"/>
          <w:szCs w:val="20"/>
        </w:rPr>
        <w:t xml:space="preserve">compared to more recent forecast models </w:t>
      </w:r>
      <w:r w:rsidRPr="00170F49">
        <w:rPr>
          <w:rFonts w:ascii="Arial" w:hAnsi="Arial" w:cs="Arial"/>
          <w:sz w:val="20"/>
          <w:szCs w:val="20"/>
        </w:rPr>
        <w:fldChar w:fldCharType="begin" w:fldLock="1"/>
      </w:r>
      <w:r w:rsidR="009A6400">
        <w:rPr>
          <w:rFonts w:ascii="Arial" w:hAnsi="Arial" w:cs="Arial"/>
          <w:sz w:val="20"/>
          <w:szCs w:val="20"/>
        </w:rPr>
        <w:instrText>ADDIN CSL_CITATION {"citationItems":[{"id":"ITEM-1","itemData":{"abstract":"Predicting product sales of large retail companies is a challenging task considering volatile nature of trends, seasonalities, events as well as unknown factors such as market competitions, change in customer's preferences, or unforeseen events, e.g., COVID-19 outbreak. In this paper, we benchmark forecasting models on historical sales data from Walmart to predict their future sales. We provide a comprehensive theoretical overview and analysis of the state-of-the-art timeseries forecasting models. Then, we apply these models on the forecasting challenge dataset (M5 forecasting by Kaggle). Specifically, we use a traditional model, namely, ARIMA (Autoregressive Integrated Moving Average), and recently developed advanced models e.g., Prophet model developed by Facebook, light gradient boosting machine (LightGBM) model developed by Microsoft and benchmark their performances. Results suggest that ARIMA model outperforms the Facebook Prophet and LightGBM model while the LightGBM model achieves huge computational gain for the large dataset with negligible compromise in the prediction accuracy.","author":[{"dropping-particle":"","family":"Hasan","given":"Md Rashidul","non-dropping-particle":"","parse-names":false,"suffix":""},{"dropping-particle":"","family":"Kabir","given":"Muntasir A","non-dropping-particle":"","parse-names":false,"suffix":""},{"dropping-particle":"","family":"Shuvro","given":"Rezoan A","non-dropping-particle":"","parse-names":false,"suffix":""},{"dropping-particle":"","family":"Das","given":"Pankaz","non-dropping-particle":"","parse-names":false,"suffix":""}],"container-title":"arXiv","id":"ITEM-1","issued":{"date-parts":[["2022"]]},"page":"1-14","title":"A Comparative Study on Forecasting of Retail Sales","type":"article-journal"},"uris":["http://www.mendeley.com/documents/?uuid=56a486b1-2cd6-47df-a8fe-fe57b753cba8"]},{"id":"ITEM-2","itemData":{"DOI":"10.1057/s41270-022-00162-x","ISBN":"0123456789","ISSN":"20503326","abstract":"Time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Analytics","id":"ITEM-2","issue":"2","issued":{"date-parts":[["2023"]]},"page":"219-232","publisher":"Palgrave Macmillan UK","title":"Does demand forecasting matter to retailing?","type":"article-journal","volume":"11"},"uris":["http://www.mendeley.com/documents/?uuid=b05c72ae-5e63-40d2-bd2e-350692d8cfbc"]}],"mendeley":{"formattedCitation":"[17], [19]","plainTextFormattedCitation":"[17], [19]","previouslyFormattedCitation":"[17], [19]"},"properties":{"noteIndex":0},"schema":"https://github.com/citation-style-language/schema/raw/master/csl-citation.json"}</w:instrText>
      </w:r>
      <w:r w:rsidRPr="00170F49">
        <w:rPr>
          <w:rFonts w:ascii="Arial" w:hAnsi="Arial" w:cs="Arial"/>
          <w:sz w:val="20"/>
          <w:szCs w:val="20"/>
        </w:rPr>
        <w:fldChar w:fldCharType="separate"/>
      </w:r>
      <w:r w:rsidR="009A6400" w:rsidRPr="009A6400">
        <w:rPr>
          <w:rFonts w:ascii="Arial" w:hAnsi="Arial" w:cs="Arial"/>
          <w:noProof/>
          <w:sz w:val="20"/>
          <w:szCs w:val="20"/>
        </w:rPr>
        <w:t>[17], [19]</w:t>
      </w:r>
      <w:r w:rsidRPr="00170F49">
        <w:rPr>
          <w:rFonts w:ascii="Arial" w:hAnsi="Arial" w:cs="Arial"/>
          <w:sz w:val="20"/>
          <w:szCs w:val="20"/>
        </w:rPr>
        <w:fldChar w:fldCharType="end"/>
      </w:r>
      <w:r w:rsidR="00992945">
        <w:rPr>
          <w:rFonts w:ascii="Arial" w:hAnsi="Arial" w:cs="Arial"/>
          <w:sz w:val="20"/>
          <w:szCs w:val="20"/>
        </w:rPr>
        <w:t>.</w:t>
      </w:r>
    </w:p>
    <w:p w:rsidR="00CD0FD0" w:rsidRDefault="00CD0FD0" w:rsidP="00992945">
      <w:pPr>
        <w:spacing w:after="0" w:line="240" w:lineRule="auto"/>
        <w:ind w:left="0" w:hanging="2"/>
        <w:jc w:val="both"/>
        <w:rPr>
          <w:rFonts w:ascii="Arial" w:hAnsi="Arial" w:cs="Arial"/>
          <w:sz w:val="20"/>
          <w:szCs w:val="20"/>
        </w:rPr>
      </w:pPr>
      <w:r w:rsidRPr="00CD0FD0">
        <w:rPr>
          <w:rFonts w:ascii="Arial" w:hAnsi="Arial" w:cs="Arial"/>
          <w:sz w:val="20"/>
          <w:szCs w:val="20"/>
        </w:rPr>
        <w:t xml:space="preserve">As a comparison, this study also uses another forecast model, which is the decomposition forecast model. There are two types of decomposition forecasting models; those are additive and multiplicative decomposition models. </w:t>
      </w:r>
      <w:r w:rsidR="007D5769">
        <w:rPr>
          <w:rFonts w:ascii="Arial" w:hAnsi="Arial" w:cs="Arial"/>
          <w:sz w:val="20"/>
          <w:szCs w:val="20"/>
        </w:rPr>
        <w:t xml:space="preserve">The decision to choose between both models </w:t>
      </w:r>
      <w:r w:rsidRPr="00CD0FD0">
        <w:rPr>
          <w:rFonts w:ascii="Arial" w:hAnsi="Arial" w:cs="Arial"/>
          <w:sz w:val="20"/>
          <w:szCs w:val="20"/>
        </w:rPr>
        <w:t>is based on the data analysis. Both forecasting models</w:t>
      </w:r>
      <w:r w:rsidR="007D5769">
        <w:rPr>
          <w:rFonts w:ascii="Arial" w:hAnsi="Arial" w:cs="Arial"/>
          <w:sz w:val="20"/>
          <w:szCs w:val="20"/>
        </w:rPr>
        <w:t xml:space="preserve"> for this study </w:t>
      </w:r>
      <w:r w:rsidRPr="00CD0FD0">
        <w:rPr>
          <w:rFonts w:ascii="Arial" w:hAnsi="Arial" w:cs="Arial"/>
          <w:sz w:val="20"/>
          <w:szCs w:val="20"/>
        </w:rPr>
        <w:t xml:space="preserve">are chosen because </w:t>
      </w:r>
      <w:r w:rsidR="007D5769">
        <w:rPr>
          <w:rFonts w:ascii="Arial" w:hAnsi="Arial" w:cs="Arial"/>
          <w:sz w:val="20"/>
          <w:szCs w:val="20"/>
        </w:rPr>
        <w:t xml:space="preserve">of </w:t>
      </w:r>
      <w:r w:rsidR="00FD55D5">
        <w:rPr>
          <w:rFonts w:ascii="Arial" w:hAnsi="Arial" w:cs="Arial"/>
          <w:sz w:val="20"/>
          <w:szCs w:val="20"/>
        </w:rPr>
        <w:t>their ability</w:t>
      </w:r>
      <w:r w:rsidR="007D5769">
        <w:rPr>
          <w:rFonts w:ascii="Arial" w:hAnsi="Arial" w:cs="Arial"/>
          <w:sz w:val="20"/>
          <w:szCs w:val="20"/>
        </w:rPr>
        <w:t xml:space="preserve"> to</w:t>
      </w:r>
      <w:r w:rsidRPr="00CD0FD0">
        <w:rPr>
          <w:rFonts w:ascii="Arial" w:hAnsi="Arial" w:cs="Arial"/>
          <w:sz w:val="20"/>
          <w:szCs w:val="20"/>
        </w:rPr>
        <w:t xml:space="preserve"> capture the trend and seasonal pattern of data</w:t>
      </w:r>
      <w:r>
        <w:rPr>
          <w:rFonts w:ascii="Arial" w:hAnsi="Arial" w:cs="Arial"/>
          <w:sz w:val="20"/>
          <w:szCs w:val="20"/>
        </w:rPr>
        <w:t>.</w:t>
      </w:r>
    </w:p>
    <w:p w:rsidR="000069E5" w:rsidRDefault="000069E5" w:rsidP="00992945">
      <w:pPr>
        <w:spacing w:after="0" w:line="240" w:lineRule="auto"/>
        <w:ind w:left="0" w:hanging="2"/>
        <w:jc w:val="both"/>
        <w:rPr>
          <w:rFonts w:ascii="Arial" w:hAnsi="Arial" w:cs="Arial"/>
          <w:sz w:val="20"/>
          <w:szCs w:val="20"/>
        </w:rPr>
      </w:pPr>
      <w:r>
        <w:rPr>
          <w:rFonts w:ascii="Arial" w:hAnsi="Arial" w:cs="Arial"/>
          <w:sz w:val="20"/>
          <w:szCs w:val="20"/>
        </w:rPr>
        <w:t>Based on the writer</w:t>
      </w:r>
      <w:r w:rsidR="00FD55D5">
        <w:rPr>
          <w:rFonts w:ascii="Arial" w:hAnsi="Arial" w:cs="Arial"/>
          <w:sz w:val="20"/>
          <w:szCs w:val="20"/>
        </w:rPr>
        <w:t>'s</w:t>
      </w:r>
      <w:r>
        <w:rPr>
          <w:rFonts w:ascii="Arial" w:hAnsi="Arial" w:cs="Arial"/>
          <w:sz w:val="20"/>
          <w:szCs w:val="20"/>
        </w:rPr>
        <w:t xml:space="preserve"> knowledge, only one study </w:t>
      </w:r>
      <w:r w:rsidR="00703960">
        <w:rPr>
          <w:rFonts w:ascii="Arial" w:hAnsi="Arial" w:cs="Arial"/>
          <w:sz w:val="20"/>
          <w:szCs w:val="20"/>
        </w:rPr>
        <w:t>analyze</w:t>
      </w:r>
      <w:r w:rsidR="00FD55D5">
        <w:rPr>
          <w:rFonts w:ascii="Arial" w:hAnsi="Arial" w:cs="Arial"/>
          <w:sz w:val="20"/>
          <w:szCs w:val="20"/>
        </w:rPr>
        <w:t>d</w:t>
      </w:r>
      <w:r w:rsidR="00703960">
        <w:rPr>
          <w:rFonts w:ascii="Arial" w:hAnsi="Arial" w:cs="Arial"/>
          <w:sz w:val="20"/>
          <w:szCs w:val="20"/>
        </w:rPr>
        <w:t xml:space="preserve"> the comparison of SARIMA and decomposition forecast models</w:t>
      </w:r>
      <w:r w:rsidR="00DD6F83">
        <w:rPr>
          <w:rFonts w:ascii="Arial" w:hAnsi="Arial" w:cs="Arial"/>
          <w:sz w:val="20"/>
          <w:szCs w:val="20"/>
        </w:rPr>
        <w:t>;</w:t>
      </w:r>
      <w:r w:rsidR="003858FA">
        <w:rPr>
          <w:rFonts w:ascii="Arial" w:hAnsi="Arial" w:cs="Arial"/>
          <w:sz w:val="20"/>
          <w:szCs w:val="20"/>
        </w:rPr>
        <w:t xml:space="preserve"> </w:t>
      </w:r>
      <w:r w:rsidR="00DD6F83">
        <w:rPr>
          <w:rFonts w:ascii="Arial" w:hAnsi="Arial" w:cs="Arial"/>
          <w:sz w:val="20"/>
          <w:szCs w:val="20"/>
        </w:rPr>
        <w:t xml:space="preserve">that </w:t>
      </w:r>
      <w:r w:rsidR="003858FA">
        <w:rPr>
          <w:rFonts w:ascii="Arial" w:hAnsi="Arial" w:cs="Arial"/>
          <w:sz w:val="20"/>
          <w:szCs w:val="20"/>
        </w:rPr>
        <w:t>w</w:t>
      </w:r>
      <w:r w:rsidR="00DD6F83">
        <w:rPr>
          <w:rFonts w:ascii="Arial" w:hAnsi="Arial" w:cs="Arial"/>
          <w:sz w:val="20"/>
          <w:szCs w:val="20"/>
        </w:rPr>
        <w:t>a</w:t>
      </w:r>
      <w:r w:rsidR="003858FA">
        <w:rPr>
          <w:rFonts w:ascii="Arial" w:hAnsi="Arial" w:cs="Arial"/>
          <w:sz w:val="20"/>
          <w:szCs w:val="20"/>
        </w:rPr>
        <w:t xml:space="preserve">s done by </w:t>
      </w:r>
      <w:proofErr w:type="spellStart"/>
      <w:r w:rsidR="003858FA">
        <w:rPr>
          <w:rFonts w:ascii="Arial" w:hAnsi="Arial" w:cs="Arial"/>
          <w:sz w:val="20"/>
          <w:szCs w:val="20"/>
        </w:rPr>
        <w:t>Guarnaccia</w:t>
      </w:r>
      <w:proofErr w:type="spellEnd"/>
      <w:r w:rsidR="003858FA">
        <w:rPr>
          <w:rFonts w:ascii="Arial" w:hAnsi="Arial" w:cs="Arial"/>
          <w:sz w:val="20"/>
          <w:szCs w:val="20"/>
        </w:rPr>
        <w:t xml:space="preserve"> et al. </w:t>
      </w:r>
      <w:r w:rsidR="003858FA">
        <w:rPr>
          <w:rFonts w:ascii="Arial" w:hAnsi="Arial" w:cs="Arial"/>
          <w:sz w:val="20"/>
          <w:szCs w:val="20"/>
        </w:rPr>
        <w:fldChar w:fldCharType="begin" w:fldLock="1"/>
      </w:r>
      <w:r w:rsidR="003858FA">
        <w:rPr>
          <w:rFonts w:ascii="Arial" w:hAnsi="Arial" w:cs="Arial"/>
          <w:sz w:val="20"/>
          <w:szCs w:val="20"/>
        </w:rPr>
        <w:instrText>ADDIN CSL_CITATION {"citationItems":[{"id":"ITEM-1","itemData":{"DOI":"10.1063/1.4982019","ISBN":"9780735415065","ISSN":"15517616","abstract":"One of the most hazardous physical polluting agents, considering their effects on human health, is acoustical noise. Airports are a strong source of acoustical noise, due to the airplanes turbines, to the aero-dynamical noise of transits, to the acceleration or the breaking during the take-off and landing phases of aircrafts, to the road traffic around the airport, etc.. The monitoring and the prediction of the acoustical level emitted by airports can be very useful to assess the impact on human health and activities. In the airports noise scenario, thanks to flights scheduling, the predominant sources may have a periodic behaviour. Thus, a Time Series Analysis approach can be adopted, considering that a general trend and a seasonal behaviour can be highlighted and used to build a predictive model. In this paper, two different approaches are adopted, thus two predictive models are constructed and tested. The first model is based on deterministic decomposition and is built composing the trend, that is the long term behaviour, the seasonality, that is the periodic component, and the random variations. The second model is based on seasonal autoregressive moving average, and it belongs to the stochastic class of models. The two different models are fitted on an acoustical level dataset collected close to the Nice (France) international airport. Results will be encouraging and will show good prediction performances of both the adopted strategies. A residual analysis is performed, in order to quantify the forecasting error features.","author":[{"dropping-particle":"","family":"Guarnaccia","given":"Claudio","non-dropping-particle":"","parse-names":false,"suffix":""},{"dropping-particle":"","family":"Quartieri","given":"Joseph","non-dropping-particle":"","parse-names":false,"suffix":""},{"dropping-particle":"","family":"Tepedino","given":"Carmine","non-dropping-particle":"","parse-names":false,"suffix":""}],"container-title":"AIP Conference Proceedings","id":"ITEM-1","issued":{"date-parts":[["2017"]]},"title":"Deterministic decomposition and seasonal ARIMA time series models applied to airport noise forecasting","type":"article-journal","volume":"1836"},"uris":["http://www.mendeley.com/documents/?uuid=4fcbb52c-4128-484b-bfb0-a88762e0a176"]}],"mendeley":{"formattedCitation":"[20]","plainTextFormattedCitation":"[20]","previouslyFormattedCitation":"[20]"},"properties":{"noteIndex":0},"schema":"https://github.com/citation-style-language/schema/raw/master/csl-citation.json"}</w:instrText>
      </w:r>
      <w:r w:rsidR="003858FA">
        <w:rPr>
          <w:rFonts w:ascii="Arial" w:hAnsi="Arial" w:cs="Arial"/>
          <w:sz w:val="20"/>
          <w:szCs w:val="20"/>
        </w:rPr>
        <w:fldChar w:fldCharType="separate"/>
      </w:r>
      <w:r w:rsidR="003858FA" w:rsidRPr="00703960">
        <w:rPr>
          <w:rFonts w:ascii="Arial" w:hAnsi="Arial" w:cs="Arial"/>
          <w:noProof/>
          <w:sz w:val="20"/>
          <w:szCs w:val="20"/>
        </w:rPr>
        <w:t>[20]</w:t>
      </w:r>
      <w:r w:rsidR="003858FA">
        <w:rPr>
          <w:rFonts w:ascii="Arial" w:hAnsi="Arial" w:cs="Arial"/>
          <w:sz w:val="20"/>
          <w:szCs w:val="20"/>
        </w:rPr>
        <w:fldChar w:fldCharType="end"/>
      </w:r>
      <w:r w:rsidR="00703960">
        <w:rPr>
          <w:rFonts w:ascii="Arial" w:hAnsi="Arial" w:cs="Arial"/>
          <w:sz w:val="20"/>
          <w:szCs w:val="20"/>
        </w:rPr>
        <w:t xml:space="preserve">. </w:t>
      </w:r>
      <w:r w:rsidR="001B76EB">
        <w:rPr>
          <w:rFonts w:ascii="Arial" w:hAnsi="Arial" w:cs="Arial"/>
          <w:sz w:val="20"/>
          <w:szCs w:val="20"/>
        </w:rPr>
        <w:t>The r</w:t>
      </w:r>
      <w:r w:rsidR="00703960">
        <w:rPr>
          <w:rFonts w:ascii="Arial" w:hAnsi="Arial" w:cs="Arial"/>
          <w:sz w:val="20"/>
          <w:szCs w:val="20"/>
        </w:rPr>
        <w:t>esult describe</w:t>
      </w:r>
      <w:r w:rsidR="00FD55D5">
        <w:rPr>
          <w:rFonts w:ascii="Arial" w:hAnsi="Arial" w:cs="Arial"/>
          <w:sz w:val="20"/>
          <w:szCs w:val="20"/>
        </w:rPr>
        <w:t>s</w:t>
      </w:r>
      <w:r w:rsidR="00703960">
        <w:rPr>
          <w:rFonts w:ascii="Arial" w:hAnsi="Arial" w:cs="Arial"/>
          <w:sz w:val="20"/>
          <w:szCs w:val="20"/>
        </w:rPr>
        <w:t xml:space="preserve"> that </w:t>
      </w:r>
      <w:r w:rsidR="00A92DC0">
        <w:rPr>
          <w:rFonts w:ascii="Arial" w:hAnsi="Arial" w:cs="Arial"/>
          <w:sz w:val="20"/>
          <w:szCs w:val="20"/>
        </w:rPr>
        <w:t>both perform well, but decomposition is</w:t>
      </w:r>
      <w:r w:rsidR="00703960">
        <w:rPr>
          <w:rFonts w:ascii="Arial" w:hAnsi="Arial" w:cs="Arial"/>
          <w:sz w:val="20"/>
          <w:szCs w:val="20"/>
        </w:rPr>
        <w:t xml:space="preserve"> better than </w:t>
      </w:r>
      <w:r w:rsidR="003858FA">
        <w:rPr>
          <w:rFonts w:ascii="Arial" w:hAnsi="Arial" w:cs="Arial"/>
          <w:sz w:val="20"/>
          <w:szCs w:val="20"/>
        </w:rPr>
        <w:t xml:space="preserve">SARIMA. However, </w:t>
      </w:r>
      <w:r w:rsidR="00703960">
        <w:rPr>
          <w:rFonts w:ascii="Arial" w:hAnsi="Arial" w:cs="Arial"/>
          <w:sz w:val="20"/>
          <w:szCs w:val="20"/>
        </w:rPr>
        <w:t xml:space="preserve">it is not clear </w:t>
      </w:r>
      <w:r w:rsidR="00FD55D5">
        <w:rPr>
          <w:rFonts w:ascii="Arial" w:hAnsi="Arial" w:cs="Arial"/>
          <w:sz w:val="20"/>
          <w:szCs w:val="20"/>
        </w:rPr>
        <w:t xml:space="preserve">which </w:t>
      </w:r>
      <w:r w:rsidR="008E48D9">
        <w:rPr>
          <w:rFonts w:ascii="Arial" w:hAnsi="Arial" w:cs="Arial"/>
          <w:sz w:val="20"/>
          <w:szCs w:val="20"/>
        </w:rPr>
        <w:t>decomposition model</w:t>
      </w:r>
      <w:r w:rsidR="00703960">
        <w:rPr>
          <w:rFonts w:ascii="Arial" w:hAnsi="Arial" w:cs="Arial"/>
          <w:sz w:val="20"/>
          <w:szCs w:val="20"/>
        </w:rPr>
        <w:t xml:space="preserve"> </w:t>
      </w:r>
      <w:r w:rsidR="00FD55D5">
        <w:rPr>
          <w:rFonts w:ascii="Arial" w:hAnsi="Arial" w:cs="Arial"/>
          <w:sz w:val="20"/>
          <w:szCs w:val="20"/>
        </w:rPr>
        <w:t>is used</w:t>
      </w:r>
      <w:r w:rsidR="00703960">
        <w:rPr>
          <w:rFonts w:ascii="Arial" w:hAnsi="Arial" w:cs="Arial"/>
          <w:sz w:val="20"/>
          <w:szCs w:val="20"/>
        </w:rPr>
        <w:t>, whether additive or multiplicative model.</w:t>
      </w:r>
      <w:r w:rsidR="00EE4BC5">
        <w:rPr>
          <w:rFonts w:ascii="Arial" w:hAnsi="Arial" w:cs="Arial"/>
          <w:sz w:val="20"/>
          <w:szCs w:val="20"/>
        </w:rPr>
        <w:t xml:space="preserve"> Furthermore, the forecast result is heavily affected by the characteristics of input data,</w:t>
      </w:r>
      <w:r w:rsidR="00F2513D">
        <w:rPr>
          <w:rFonts w:ascii="Arial" w:hAnsi="Arial" w:cs="Arial"/>
          <w:sz w:val="20"/>
          <w:szCs w:val="20"/>
        </w:rPr>
        <w:t xml:space="preserve"> </w:t>
      </w:r>
      <w:r w:rsidR="003858FA">
        <w:rPr>
          <w:rFonts w:ascii="Arial" w:hAnsi="Arial" w:cs="Arial"/>
          <w:sz w:val="20"/>
          <w:szCs w:val="20"/>
        </w:rPr>
        <w:t xml:space="preserve">thus it becomes a question </w:t>
      </w:r>
      <w:r w:rsidR="00DD6F83">
        <w:rPr>
          <w:rFonts w:ascii="Arial" w:hAnsi="Arial" w:cs="Arial"/>
          <w:sz w:val="20"/>
          <w:szCs w:val="20"/>
        </w:rPr>
        <w:t xml:space="preserve">of </w:t>
      </w:r>
      <w:r w:rsidR="003858FA">
        <w:rPr>
          <w:rFonts w:ascii="Arial" w:hAnsi="Arial" w:cs="Arial"/>
          <w:sz w:val="20"/>
          <w:szCs w:val="20"/>
        </w:rPr>
        <w:t>whether decomposition also works better than ARIMA or SARIMA for sugar sales prediction.</w:t>
      </w:r>
    </w:p>
    <w:p w:rsidR="00703960" w:rsidRDefault="00703960" w:rsidP="00992945">
      <w:pPr>
        <w:spacing w:after="0" w:line="240" w:lineRule="auto"/>
        <w:ind w:left="0" w:hanging="2"/>
        <w:jc w:val="both"/>
        <w:rPr>
          <w:rFonts w:ascii="Arial" w:hAnsi="Arial" w:cs="Arial"/>
          <w:sz w:val="20"/>
          <w:szCs w:val="20"/>
        </w:rPr>
      </w:pPr>
      <w:r>
        <w:rPr>
          <w:rFonts w:ascii="Arial" w:hAnsi="Arial" w:cs="Arial"/>
          <w:sz w:val="20"/>
          <w:szCs w:val="20"/>
        </w:rPr>
        <w:t>This stud</w:t>
      </w:r>
      <w:r w:rsidR="003858FA">
        <w:rPr>
          <w:rFonts w:ascii="Arial" w:hAnsi="Arial" w:cs="Arial"/>
          <w:sz w:val="20"/>
          <w:szCs w:val="20"/>
        </w:rPr>
        <w:t xml:space="preserve">y </w:t>
      </w:r>
      <w:r>
        <w:rPr>
          <w:rFonts w:ascii="Arial" w:hAnsi="Arial" w:cs="Arial"/>
          <w:sz w:val="20"/>
          <w:szCs w:val="20"/>
        </w:rPr>
        <w:t>help</w:t>
      </w:r>
      <w:r w:rsidR="003858FA">
        <w:rPr>
          <w:rFonts w:ascii="Arial" w:hAnsi="Arial" w:cs="Arial"/>
          <w:sz w:val="20"/>
          <w:szCs w:val="20"/>
        </w:rPr>
        <w:t>s</w:t>
      </w:r>
      <w:r>
        <w:rPr>
          <w:rFonts w:ascii="Arial" w:hAnsi="Arial" w:cs="Arial"/>
          <w:sz w:val="20"/>
          <w:szCs w:val="20"/>
        </w:rPr>
        <w:t xml:space="preserve"> to increase the research </w:t>
      </w:r>
      <w:r w:rsidR="001B76EB">
        <w:rPr>
          <w:rFonts w:ascii="Arial" w:hAnsi="Arial" w:cs="Arial"/>
          <w:sz w:val="20"/>
          <w:szCs w:val="20"/>
        </w:rPr>
        <w:t xml:space="preserve">that </w:t>
      </w:r>
      <w:r>
        <w:rPr>
          <w:rFonts w:ascii="Arial" w:hAnsi="Arial" w:cs="Arial"/>
          <w:sz w:val="20"/>
          <w:szCs w:val="20"/>
        </w:rPr>
        <w:t>discuss</w:t>
      </w:r>
      <w:r w:rsidR="001B76EB">
        <w:rPr>
          <w:rFonts w:ascii="Arial" w:hAnsi="Arial" w:cs="Arial"/>
          <w:sz w:val="20"/>
          <w:szCs w:val="20"/>
        </w:rPr>
        <w:t>es</w:t>
      </w:r>
      <w:r>
        <w:rPr>
          <w:rFonts w:ascii="Arial" w:hAnsi="Arial" w:cs="Arial"/>
          <w:sz w:val="20"/>
          <w:szCs w:val="20"/>
        </w:rPr>
        <w:t xml:space="preserve"> both forecast model</w:t>
      </w:r>
      <w:r w:rsidR="001B76EB">
        <w:rPr>
          <w:rFonts w:ascii="Arial" w:hAnsi="Arial" w:cs="Arial"/>
          <w:sz w:val="20"/>
          <w:szCs w:val="20"/>
        </w:rPr>
        <w:t>s</w:t>
      </w:r>
      <w:r>
        <w:rPr>
          <w:rFonts w:ascii="Arial" w:hAnsi="Arial" w:cs="Arial"/>
          <w:sz w:val="20"/>
          <w:szCs w:val="20"/>
        </w:rPr>
        <w:t xml:space="preserve"> mentioned before. Besides, there will be clear data analysis to decide which decomposition model is used.</w:t>
      </w:r>
    </w:p>
    <w:p w:rsidR="00BC7E6E" w:rsidRDefault="00FF1BAE" w:rsidP="00605B0A">
      <w:pPr>
        <w:spacing w:after="0" w:line="240" w:lineRule="auto"/>
        <w:ind w:left="0" w:hanging="2"/>
        <w:jc w:val="both"/>
        <w:rPr>
          <w:rFonts w:ascii="Arial" w:eastAsia="Arial" w:hAnsi="Arial" w:cs="Arial"/>
          <w:sz w:val="20"/>
          <w:szCs w:val="20"/>
        </w:rPr>
      </w:pPr>
      <w:r w:rsidRPr="00FF1BAE">
        <w:rPr>
          <w:rFonts w:ascii="Arial" w:hAnsi="Arial" w:cs="Arial"/>
          <w:sz w:val="20"/>
          <w:szCs w:val="20"/>
        </w:rPr>
        <w:t>In conclusion, this study discusses</w:t>
      </w:r>
      <w:r w:rsidR="007D5769">
        <w:rPr>
          <w:rFonts w:ascii="Arial" w:hAnsi="Arial" w:cs="Arial"/>
          <w:sz w:val="20"/>
          <w:szCs w:val="20"/>
        </w:rPr>
        <w:t xml:space="preserve"> the prediction of sugar sales</w:t>
      </w:r>
      <w:r w:rsidRPr="00FF1BAE">
        <w:rPr>
          <w:rFonts w:ascii="Arial" w:hAnsi="Arial" w:cs="Arial"/>
          <w:sz w:val="20"/>
          <w:szCs w:val="20"/>
        </w:rPr>
        <w:t xml:space="preserve"> in retail to help fill the research gap in sugar-related studies; since based on the writer's knowledge, there has not been any research discussed about</w:t>
      </w:r>
      <w:r w:rsidR="007D5769">
        <w:rPr>
          <w:rFonts w:ascii="Arial" w:hAnsi="Arial" w:cs="Arial"/>
          <w:sz w:val="20"/>
          <w:szCs w:val="20"/>
        </w:rPr>
        <w:t xml:space="preserve"> it. </w:t>
      </w:r>
      <w:r w:rsidR="00821BC8">
        <w:rPr>
          <w:rFonts w:ascii="Arial" w:hAnsi="Arial" w:cs="Arial"/>
          <w:sz w:val="20"/>
          <w:szCs w:val="20"/>
        </w:rPr>
        <w:t>In addition</w:t>
      </w:r>
      <w:r w:rsidR="009A39C7">
        <w:rPr>
          <w:rFonts w:ascii="Arial" w:hAnsi="Arial" w:cs="Arial"/>
          <w:sz w:val="20"/>
          <w:szCs w:val="20"/>
        </w:rPr>
        <w:t>,</w:t>
      </w:r>
      <w:r w:rsidR="00821BC8">
        <w:rPr>
          <w:rFonts w:ascii="Arial" w:hAnsi="Arial" w:cs="Arial"/>
          <w:sz w:val="20"/>
          <w:szCs w:val="20"/>
        </w:rPr>
        <w:t xml:space="preserve"> we also improve the research discussion </w:t>
      </w:r>
      <w:r w:rsidR="009A39C7">
        <w:rPr>
          <w:rFonts w:ascii="Arial" w:hAnsi="Arial" w:cs="Arial"/>
          <w:sz w:val="20"/>
          <w:szCs w:val="20"/>
        </w:rPr>
        <w:t xml:space="preserve">by </w:t>
      </w:r>
      <w:r w:rsidR="00821BC8">
        <w:rPr>
          <w:rFonts w:ascii="Arial" w:hAnsi="Arial" w:cs="Arial"/>
          <w:sz w:val="20"/>
          <w:szCs w:val="20"/>
        </w:rPr>
        <w:t xml:space="preserve">comparing ARIMA or SARIMA with </w:t>
      </w:r>
      <w:r w:rsidR="009A39C7">
        <w:rPr>
          <w:rFonts w:ascii="Arial" w:hAnsi="Arial" w:cs="Arial"/>
          <w:sz w:val="20"/>
          <w:szCs w:val="20"/>
        </w:rPr>
        <w:t xml:space="preserve">the </w:t>
      </w:r>
      <w:r w:rsidR="00821BC8">
        <w:rPr>
          <w:rFonts w:ascii="Arial" w:hAnsi="Arial" w:cs="Arial"/>
          <w:sz w:val="20"/>
          <w:szCs w:val="20"/>
        </w:rPr>
        <w:t xml:space="preserve">decomposition forecast model with </w:t>
      </w:r>
      <w:r w:rsidR="009A39C7">
        <w:rPr>
          <w:rFonts w:ascii="Arial" w:hAnsi="Arial" w:cs="Arial"/>
          <w:sz w:val="20"/>
          <w:szCs w:val="20"/>
        </w:rPr>
        <w:t xml:space="preserve">a </w:t>
      </w:r>
      <w:r w:rsidR="00821BC8">
        <w:rPr>
          <w:rFonts w:ascii="Arial" w:hAnsi="Arial" w:cs="Arial"/>
          <w:sz w:val="20"/>
          <w:szCs w:val="20"/>
        </w:rPr>
        <w:t xml:space="preserve">clear analysis </w:t>
      </w:r>
      <w:r w:rsidR="009A39C7">
        <w:rPr>
          <w:rFonts w:ascii="Arial" w:hAnsi="Arial" w:cs="Arial"/>
          <w:sz w:val="20"/>
          <w:szCs w:val="20"/>
        </w:rPr>
        <w:t xml:space="preserve">of </w:t>
      </w:r>
      <w:r w:rsidR="00821BC8">
        <w:rPr>
          <w:rFonts w:ascii="Arial" w:hAnsi="Arial" w:cs="Arial"/>
          <w:sz w:val="20"/>
          <w:szCs w:val="20"/>
        </w:rPr>
        <w:t xml:space="preserve">which decomposition model </w:t>
      </w:r>
      <w:r w:rsidR="009A39C7">
        <w:rPr>
          <w:rFonts w:ascii="Arial" w:hAnsi="Arial" w:cs="Arial"/>
          <w:sz w:val="20"/>
          <w:szCs w:val="20"/>
        </w:rPr>
        <w:t xml:space="preserve">is </w:t>
      </w:r>
      <w:r w:rsidR="00821BC8">
        <w:rPr>
          <w:rFonts w:ascii="Arial" w:hAnsi="Arial" w:cs="Arial"/>
          <w:sz w:val="20"/>
          <w:szCs w:val="20"/>
        </w:rPr>
        <w:t xml:space="preserve">chosen. </w:t>
      </w:r>
      <w:r w:rsidR="007D5769">
        <w:rPr>
          <w:rFonts w:ascii="Arial" w:hAnsi="Arial" w:cs="Arial"/>
          <w:sz w:val="20"/>
          <w:szCs w:val="20"/>
        </w:rPr>
        <w:t>M</w:t>
      </w:r>
      <w:r w:rsidR="00703960">
        <w:rPr>
          <w:rFonts w:ascii="Arial" w:hAnsi="Arial" w:cs="Arial"/>
          <w:sz w:val="20"/>
          <w:szCs w:val="20"/>
        </w:rPr>
        <w:t>oreov</w:t>
      </w:r>
      <w:r w:rsidR="007D5769">
        <w:rPr>
          <w:rFonts w:ascii="Arial" w:hAnsi="Arial" w:cs="Arial"/>
          <w:sz w:val="20"/>
          <w:szCs w:val="20"/>
        </w:rPr>
        <w:t>er</w:t>
      </w:r>
      <w:r w:rsidRPr="00FF1BAE">
        <w:rPr>
          <w:rFonts w:ascii="Arial" w:hAnsi="Arial" w:cs="Arial"/>
          <w:sz w:val="20"/>
          <w:szCs w:val="20"/>
        </w:rPr>
        <w:t>, we can understand the pattern of sugar demand for retail in Indonesia, see how volatile the sugar demand pattern is for retail, understand the challenge of predicting it</w:t>
      </w:r>
      <w:r w:rsidR="00A0656B">
        <w:rPr>
          <w:rFonts w:ascii="Arial" w:hAnsi="Arial" w:cs="Arial"/>
          <w:sz w:val="20"/>
          <w:szCs w:val="20"/>
        </w:rPr>
        <w:t>, and know the suitable forecast model to estimate it</w:t>
      </w:r>
      <w:r w:rsidRPr="00FF1BAE">
        <w:rPr>
          <w:rFonts w:ascii="Arial" w:hAnsi="Arial" w:cs="Arial"/>
          <w:sz w:val="20"/>
          <w:szCs w:val="20"/>
        </w:rPr>
        <w:t xml:space="preserve">. </w:t>
      </w:r>
      <w:r w:rsidR="007D5769">
        <w:rPr>
          <w:rFonts w:ascii="Arial" w:hAnsi="Arial" w:cs="Arial"/>
          <w:sz w:val="20"/>
          <w:szCs w:val="20"/>
        </w:rPr>
        <w:t>Besides</w:t>
      </w:r>
      <w:r w:rsidRPr="00FF1BAE">
        <w:rPr>
          <w:rFonts w:ascii="Arial" w:hAnsi="Arial" w:cs="Arial"/>
          <w:sz w:val="20"/>
          <w:szCs w:val="20"/>
        </w:rPr>
        <w:t>,</w:t>
      </w:r>
      <w:r>
        <w:rPr>
          <w:rFonts w:ascii="Arial" w:hAnsi="Arial" w:cs="Arial"/>
          <w:sz w:val="20"/>
          <w:szCs w:val="20"/>
        </w:rPr>
        <w:t xml:space="preserve"> it can be considered as the first step</w:t>
      </w:r>
      <w:r w:rsidRPr="00FF1BAE">
        <w:rPr>
          <w:rFonts w:ascii="Arial" w:hAnsi="Arial" w:cs="Arial"/>
          <w:sz w:val="20"/>
          <w:szCs w:val="20"/>
        </w:rPr>
        <w:t xml:space="preserve"> to help retail </w:t>
      </w:r>
      <w:r>
        <w:rPr>
          <w:rFonts w:ascii="Arial" w:hAnsi="Arial" w:cs="Arial"/>
          <w:sz w:val="20"/>
          <w:szCs w:val="20"/>
        </w:rPr>
        <w:t>manage sugar</w:t>
      </w:r>
      <w:r w:rsidRPr="00FF1BAE">
        <w:rPr>
          <w:rFonts w:ascii="Arial" w:hAnsi="Arial" w:cs="Arial"/>
          <w:sz w:val="20"/>
          <w:szCs w:val="20"/>
        </w:rPr>
        <w:t xml:space="preserve"> stock.</w:t>
      </w:r>
    </w:p>
    <w:p w:rsidR="00BC7E6E" w:rsidRDefault="00BC7E6E">
      <w:pPr>
        <w:spacing w:after="0" w:line="240" w:lineRule="auto"/>
        <w:ind w:left="0" w:hanging="2"/>
        <w:jc w:val="both"/>
        <w:rPr>
          <w:rFonts w:ascii="Arial" w:eastAsia="Arial" w:hAnsi="Arial" w:cs="Arial"/>
          <w:sz w:val="20"/>
          <w:szCs w:val="20"/>
        </w:rPr>
      </w:pPr>
    </w:p>
    <w:p w:rsidR="00BC7E6E" w:rsidRPr="001A3CF6" w:rsidRDefault="007266B7" w:rsidP="001A3CF6">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METHOD</w:t>
      </w:r>
    </w:p>
    <w:p w:rsidR="00BC7E6E" w:rsidRDefault="006F38F1">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Research Design</w:t>
      </w:r>
    </w:p>
    <w:p w:rsidR="00F82AA0" w:rsidRDefault="006F38F1" w:rsidP="006F38F1">
      <w:pPr>
        <w:spacing w:after="0" w:line="240" w:lineRule="auto"/>
        <w:ind w:left="0" w:hanging="2"/>
        <w:jc w:val="both"/>
        <w:rPr>
          <w:rFonts w:ascii="Arial" w:hAnsi="Arial" w:cs="Arial"/>
          <w:sz w:val="20"/>
          <w:szCs w:val="20"/>
        </w:rPr>
        <w:sectPr w:rsidR="00F82AA0">
          <w:type w:val="continuous"/>
          <w:pgSz w:w="11907" w:h="16840"/>
          <w:pgMar w:top="1701" w:right="1134" w:bottom="1701" w:left="1701" w:header="680" w:footer="680" w:gutter="0"/>
          <w:cols w:num="2" w:space="720" w:equalWidth="0">
            <w:col w:w="4394" w:space="284"/>
            <w:col w:w="4394" w:space="0"/>
          </w:cols>
          <w:titlePg/>
        </w:sectPr>
      </w:pPr>
      <w:r w:rsidRPr="006F38F1">
        <w:rPr>
          <w:rFonts w:ascii="Arial" w:hAnsi="Arial" w:cs="Arial"/>
          <w:sz w:val="20"/>
          <w:szCs w:val="20"/>
        </w:rPr>
        <w:lastRenderedPageBreak/>
        <w:t xml:space="preserve">The retail store for this study is located in one of the strategic areas in Yogyakarta Province, Indonesia. The retail lies near universities and </w:t>
      </w:r>
      <w:r w:rsidRPr="006F38F1">
        <w:rPr>
          <w:rFonts w:ascii="Arial" w:hAnsi="Arial" w:cs="Arial"/>
          <w:sz w:val="20"/>
          <w:szCs w:val="20"/>
        </w:rPr>
        <w:t xml:space="preserve">other stores leading the surrounding area to be highly populated. There are a total of 72 monthly </w:t>
      </w:r>
    </w:p>
    <w:p w:rsidR="006F38F1" w:rsidRDefault="006F38F1" w:rsidP="006F38F1">
      <w:pPr>
        <w:spacing w:after="0" w:line="240" w:lineRule="auto"/>
        <w:ind w:left="0" w:hanging="2"/>
        <w:jc w:val="both"/>
        <w:rPr>
          <w:rFonts w:ascii="Arial" w:hAnsi="Arial" w:cs="Arial"/>
          <w:sz w:val="20"/>
          <w:szCs w:val="20"/>
        </w:rPr>
      </w:pPr>
      <w:proofErr w:type="gramStart"/>
      <w:r w:rsidRPr="006F38F1">
        <w:rPr>
          <w:rFonts w:ascii="Arial" w:hAnsi="Arial" w:cs="Arial"/>
          <w:sz w:val="20"/>
          <w:szCs w:val="20"/>
        </w:rPr>
        <w:t>data</w:t>
      </w:r>
      <w:proofErr w:type="gramEnd"/>
      <w:r w:rsidRPr="006F38F1">
        <w:rPr>
          <w:rFonts w:ascii="Arial" w:hAnsi="Arial" w:cs="Arial"/>
          <w:sz w:val="20"/>
          <w:szCs w:val="20"/>
        </w:rPr>
        <w:t xml:space="preserve"> about the sales of sugar from 2018 until 2023 for a one-kilogram-package white sugar product</w:t>
      </w:r>
      <w:r>
        <w:rPr>
          <w:rFonts w:ascii="Arial" w:hAnsi="Arial" w:cs="Arial"/>
          <w:sz w:val="20"/>
          <w:szCs w:val="20"/>
        </w:rPr>
        <w:t>.</w:t>
      </w:r>
    </w:p>
    <w:p w:rsidR="001C02A3" w:rsidRDefault="001C02A3" w:rsidP="001C02A3">
      <w:pPr>
        <w:spacing w:after="0" w:line="240" w:lineRule="auto"/>
        <w:ind w:left="0" w:hanging="2"/>
        <w:jc w:val="both"/>
        <w:rPr>
          <w:rFonts w:ascii="Arial" w:hAnsi="Arial" w:cs="Arial"/>
          <w:sz w:val="20"/>
          <w:szCs w:val="20"/>
        </w:rPr>
      </w:pPr>
      <w:r w:rsidRPr="001C02A3">
        <w:rPr>
          <w:rFonts w:ascii="Arial" w:hAnsi="Arial" w:cs="Arial"/>
          <w:sz w:val="20"/>
          <w:szCs w:val="20"/>
        </w:rPr>
        <w:t xml:space="preserve">The numbers of data fulfill the minimum data requirement for ARIMA. The ARIMA forecast model needs quite a lot of data, around 40 to 50 observation data </w:t>
      </w:r>
      <w:r w:rsidRPr="001C02A3">
        <w:rPr>
          <w:rFonts w:ascii="Arial" w:hAnsi="Arial" w:cs="Arial"/>
          <w:sz w:val="20"/>
          <w:szCs w:val="20"/>
        </w:rPr>
        <w:fldChar w:fldCharType="begin" w:fldLock="1"/>
      </w:r>
      <w:r w:rsidR="00EE0732">
        <w:rPr>
          <w:rFonts w:ascii="Arial" w:hAnsi="Arial" w:cs="Arial"/>
          <w:sz w:val="20"/>
          <w:szCs w:val="20"/>
        </w:rPr>
        <w:instrText>ADDIN CSL_CITATION {"citationItems":[{"id":"ITEM-1","itemData":{"DOI":"10.3390/econometrics10020018","ISSN":"22251146","abstract":"The COVID-19 pandemic is a serious threat to all of us. It has caused an unprecedented shock to the world’s economy, and it has interrupted the lives and livelihood of millions of people. In the last two years, a large body of literature has attempted to forecast the main dimensions of the COVID-19 outbreak using a wide set of models. In this paper, I forecast the short-to mid-term cumulative deaths from COVID-19 in 12 hard-hit big countries around the world as of 20 August 2021. The data used in the analysis were extracted from the Our World in Data COVID-19 dataset. Both non-seasonal and seasonal autoregressive integrated moving averages (ARIMA and SARIMA) were estimated. The analysis showed that: (i) ARIMA/SARIMA forecasts were sufficiently accurate in both the training and test set by always outperforming the simple alternative forecasting techniques chosen as benchmarks (Mean, Naïve, and Seasonal Naïve); (ii) SARIMA models outperformed ARIMA models in 47 out 48 metrics (in forecasting future values), i.e., on 97.9% of all the considered forecast accuracy measures (mean absolute error [MAE], mean absolute percentage error [MAPE], mean absolute scaled error [MASE], and the root mean squared error [RMSE]), suggesting a clear seasonal pattern in the data; and (iii) the forecasted values from SARIMA models fitted very well the observed (real-time) data for the period 21 August 2021–19 September 2021 for almost all the countries analyzed. This article shows that SARIMA can be safely used for both the short-and medium-term predictions of COVID-19 deaths. Thus, this approach can help government authorities to monitor and manage the huge pressure that COVID-19 is exerting on national healthcare systems.","author":[{"dropping-particle":"","family":"Perone","given":"Gaetano","non-dropping-particle":"","parse-names":false,"suffix":""}],"container-title":"Econometrics","id":"ITEM-1","issue":"2","issued":{"date-parts":[["2022"]]},"title":"Using the SARIMA Model to Forecast the Fourth Global Wave of Cumulative Deaths from COVID-19: Evidence from 12 Hard-Hit Big Countries","type":"article-journal","volume":"10"},"uris":["http://www.mendeley.com/documents/?uuid=e0bec484-9816-4ed8-9e27-b5498f78271f"]}],"mendeley":{"formattedCitation":"[21]","plainTextFormattedCitation":"[21]","previouslyFormattedCitation":"[21]"},"properties":{"noteIndex":0},"schema":"https://github.com/citation-style-language/schema/raw/master/csl-citation.json"}</w:instrText>
      </w:r>
      <w:r w:rsidRPr="001C02A3">
        <w:rPr>
          <w:rFonts w:ascii="Arial" w:hAnsi="Arial" w:cs="Arial"/>
          <w:sz w:val="20"/>
          <w:szCs w:val="20"/>
        </w:rPr>
        <w:fldChar w:fldCharType="separate"/>
      </w:r>
      <w:r w:rsidR="00703960" w:rsidRPr="00703960">
        <w:rPr>
          <w:rFonts w:ascii="Arial" w:hAnsi="Arial" w:cs="Arial"/>
          <w:noProof/>
          <w:sz w:val="20"/>
          <w:szCs w:val="20"/>
        </w:rPr>
        <w:t>[21]</w:t>
      </w:r>
      <w:r w:rsidRPr="001C02A3">
        <w:rPr>
          <w:rFonts w:ascii="Arial" w:hAnsi="Arial" w:cs="Arial"/>
          <w:sz w:val="20"/>
          <w:szCs w:val="20"/>
        </w:rPr>
        <w:fldChar w:fldCharType="end"/>
      </w:r>
      <w:r w:rsidRPr="001C02A3">
        <w:rPr>
          <w:rFonts w:ascii="Arial" w:hAnsi="Arial" w:cs="Arial"/>
          <w:sz w:val="20"/>
          <w:szCs w:val="20"/>
        </w:rPr>
        <w:t xml:space="preserve">.  </w:t>
      </w:r>
      <w:r w:rsidR="00291B9F">
        <w:rPr>
          <w:rFonts w:ascii="Arial" w:hAnsi="Arial" w:cs="Arial"/>
          <w:sz w:val="20"/>
          <w:szCs w:val="20"/>
        </w:rPr>
        <w:t xml:space="preserve">The </w:t>
      </w:r>
      <w:r w:rsidR="00A85AAE">
        <w:rPr>
          <w:rFonts w:ascii="Arial" w:hAnsi="Arial" w:cs="Arial"/>
          <w:sz w:val="20"/>
          <w:szCs w:val="20"/>
        </w:rPr>
        <w:t xml:space="preserve">SARIMA model </w:t>
      </w:r>
      <w:r w:rsidRPr="001C02A3">
        <w:rPr>
          <w:rFonts w:ascii="Arial" w:hAnsi="Arial" w:cs="Arial"/>
          <w:sz w:val="20"/>
          <w:szCs w:val="20"/>
        </w:rPr>
        <w:t>might require a bit more data compared to ARIMA to capture</w:t>
      </w:r>
      <w:r w:rsidR="004D426F">
        <w:rPr>
          <w:rFonts w:ascii="Arial" w:hAnsi="Arial" w:cs="Arial"/>
          <w:sz w:val="20"/>
          <w:szCs w:val="20"/>
        </w:rPr>
        <w:t xml:space="preserve"> the seasonality component. </w:t>
      </w:r>
      <w:r w:rsidR="00F82AA0">
        <w:rPr>
          <w:rFonts w:ascii="Arial" w:hAnsi="Arial" w:cs="Arial"/>
          <w:sz w:val="20"/>
          <w:szCs w:val="20"/>
        </w:rPr>
        <w:t>It might even require more data if the seasonal length is long.</w:t>
      </w:r>
    </w:p>
    <w:p w:rsidR="00BD45C7" w:rsidRDefault="001C02A3" w:rsidP="00BD45C7">
      <w:pPr>
        <w:spacing w:after="0" w:line="240" w:lineRule="auto"/>
        <w:ind w:left="0" w:hanging="2"/>
        <w:jc w:val="both"/>
      </w:pPr>
      <w:r w:rsidRPr="001C02A3">
        <w:rPr>
          <w:rFonts w:ascii="Arial" w:hAnsi="Arial" w:cs="Arial"/>
          <w:sz w:val="20"/>
          <w:szCs w:val="20"/>
        </w:rPr>
        <w:t xml:space="preserve">To check the performance of the </w:t>
      </w:r>
      <w:r w:rsidR="004D426F">
        <w:rPr>
          <w:rFonts w:ascii="Arial" w:hAnsi="Arial" w:cs="Arial"/>
          <w:sz w:val="20"/>
          <w:szCs w:val="20"/>
        </w:rPr>
        <w:t xml:space="preserve">forecast model, this study </w:t>
      </w:r>
      <w:r w:rsidRPr="001C02A3">
        <w:rPr>
          <w:rFonts w:ascii="Arial" w:hAnsi="Arial" w:cs="Arial"/>
          <w:sz w:val="20"/>
          <w:szCs w:val="20"/>
        </w:rPr>
        <w:t>use</w:t>
      </w:r>
      <w:r w:rsidR="004D426F">
        <w:rPr>
          <w:rFonts w:ascii="Arial" w:hAnsi="Arial" w:cs="Arial"/>
          <w:sz w:val="20"/>
          <w:szCs w:val="20"/>
        </w:rPr>
        <w:t>s</w:t>
      </w:r>
      <w:r w:rsidRPr="001C02A3">
        <w:rPr>
          <w:rFonts w:ascii="Arial" w:hAnsi="Arial" w:cs="Arial"/>
          <w:sz w:val="20"/>
          <w:szCs w:val="20"/>
        </w:rPr>
        <w:t xml:space="preserve"> cross-</w:t>
      </w:r>
      <w:r w:rsidR="004177C8">
        <w:rPr>
          <w:rFonts w:ascii="Arial" w:hAnsi="Arial" w:cs="Arial"/>
          <w:sz w:val="20"/>
          <w:szCs w:val="20"/>
        </w:rPr>
        <w:t xml:space="preserve">validation </w:t>
      </w:r>
      <w:r w:rsidRPr="001C02A3">
        <w:rPr>
          <w:rFonts w:ascii="Arial" w:hAnsi="Arial" w:cs="Arial"/>
          <w:sz w:val="20"/>
          <w:szCs w:val="20"/>
        </w:rPr>
        <w:t xml:space="preserve">by splitting the </w:t>
      </w:r>
      <w:r w:rsidR="004177C8">
        <w:rPr>
          <w:rFonts w:ascii="Arial" w:hAnsi="Arial" w:cs="Arial"/>
          <w:sz w:val="20"/>
          <w:szCs w:val="20"/>
        </w:rPr>
        <w:t xml:space="preserve">observed </w:t>
      </w:r>
      <w:r w:rsidRPr="001C02A3">
        <w:rPr>
          <w:rFonts w:ascii="Arial" w:hAnsi="Arial" w:cs="Arial"/>
          <w:sz w:val="20"/>
          <w:szCs w:val="20"/>
        </w:rPr>
        <w:t>data into tw</w:t>
      </w:r>
      <w:r w:rsidR="004177C8">
        <w:rPr>
          <w:rFonts w:ascii="Arial" w:hAnsi="Arial" w:cs="Arial"/>
          <w:sz w:val="20"/>
          <w:szCs w:val="20"/>
        </w:rPr>
        <w:t>o group</w:t>
      </w:r>
      <w:r w:rsidRPr="001C02A3">
        <w:rPr>
          <w:rFonts w:ascii="Arial" w:hAnsi="Arial" w:cs="Arial"/>
          <w:sz w:val="20"/>
          <w:szCs w:val="20"/>
        </w:rPr>
        <w:t>s; those are training and testing data</w:t>
      </w:r>
      <w:r w:rsidR="004177C8">
        <w:rPr>
          <w:rFonts w:ascii="Arial" w:hAnsi="Arial" w:cs="Arial"/>
          <w:sz w:val="20"/>
          <w:szCs w:val="20"/>
        </w:rPr>
        <w:t xml:space="preserve"> groups or sets</w:t>
      </w:r>
      <w:r w:rsidRPr="001C02A3">
        <w:rPr>
          <w:rFonts w:ascii="Arial" w:hAnsi="Arial" w:cs="Arial"/>
          <w:sz w:val="20"/>
          <w:szCs w:val="20"/>
        </w:rPr>
        <w:t xml:space="preserve">. The purpose of the </w:t>
      </w:r>
      <w:r w:rsidR="004177C8">
        <w:rPr>
          <w:rFonts w:ascii="Arial" w:hAnsi="Arial" w:cs="Arial"/>
          <w:sz w:val="20"/>
          <w:szCs w:val="20"/>
        </w:rPr>
        <w:t>training data set is to make</w:t>
      </w:r>
      <w:r w:rsidRPr="001C02A3">
        <w:rPr>
          <w:rFonts w:ascii="Arial" w:hAnsi="Arial" w:cs="Arial"/>
          <w:sz w:val="20"/>
          <w:szCs w:val="20"/>
        </w:rPr>
        <w:t xml:space="preserve"> the forecast model; while for testing data set is to see the performance of</w:t>
      </w:r>
      <w:r w:rsidR="00F82AA0">
        <w:rPr>
          <w:rFonts w:ascii="Arial" w:hAnsi="Arial" w:cs="Arial"/>
          <w:sz w:val="20"/>
          <w:szCs w:val="20"/>
        </w:rPr>
        <w:t xml:space="preserve"> that built model by </w:t>
      </w:r>
      <w:r w:rsidRPr="001C02A3">
        <w:rPr>
          <w:rFonts w:ascii="Arial" w:hAnsi="Arial" w:cs="Arial"/>
          <w:sz w:val="20"/>
          <w:szCs w:val="20"/>
        </w:rPr>
        <w:t xml:space="preserve">analyzing the forecast error.  Because ARIMA and SARIMA need a lot of data to build the </w:t>
      </w:r>
      <w:r w:rsidR="00291B9F">
        <w:rPr>
          <w:rFonts w:ascii="Arial" w:hAnsi="Arial" w:cs="Arial"/>
          <w:sz w:val="20"/>
          <w:szCs w:val="20"/>
        </w:rPr>
        <w:t>model, we</w:t>
      </w:r>
      <w:r w:rsidR="00BD45C7">
        <w:rPr>
          <w:rFonts w:ascii="Arial" w:hAnsi="Arial" w:cs="Arial"/>
          <w:sz w:val="20"/>
          <w:szCs w:val="20"/>
        </w:rPr>
        <w:t xml:space="preserve"> </w:t>
      </w:r>
      <w:r w:rsidR="00BD45C7" w:rsidRPr="001C02A3">
        <w:rPr>
          <w:rFonts w:ascii="Arial" w:hAnsi="Arial" w:cs="Arial"/>
          <w:sz w:val="20"/>
          <w:szCs w:val="20"/>
        </w:rPr>
        <w:t>only use the last 10 data, or around 14% of data, as the testing data set</w:t>
      </w:r>
      <w:r w:rsidR="00BD45C7">
        <w:t>.</w:t>
      </w:r>
    </w:p>
    <w:p w:rsidR="00325B98" w:rsidRDefault="00AB6837" w:rsidP="00325B98">
      <w:pPr>
        <w:spacing w:after="0"/>
        <w:ind w:leftChars="0" w:left="0" w:firstLineChars="0" w:firstLine="0"/>
        <w:jc w:val="both"/>
        <w:rPr>
          <w:rFonts w:ascii="Arial" w:hAnsi="Arial" w:cs="Arial"/>
          <w:sz w:val="20"/>
          <w:szCs w:val="20"/>
        </w:rPr>
      </w:pPr>
      <w:r w:rsidRPr="00AB6837">
        <w:rPr>
          <w:rFonts w:ascii="Arial" w:hAnsi="Arial" w:cs="Arial"/>
          <w:sz w:val="20"/>
          <w:szCs w:val="20"/>
        </w:rPr>
        <w:t xml:space="preserve">With n is number of data, </w:t>
      </w: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oMath>
      <w:r w:rsidRPr="00AB6837">
        <w:rPr>
          <w:rFonts w:ascii="Arial" w:eastAsiaTheme="minorEastAsia" w:hAnsi="Arial" w:cs="Arial"/>
          <w:sz w:val="20"/>
          <w:szCs w:val="20"/>
        </w:rPr>
        <w:t xml:space="preserve"> is the actual </w:t>
      </w:r>
      <w:r w:rsidR="00DA5430">
        <w:rPr>
          <w:rFonts w:ascii="Arial" w:eastAsiaTheme="minorEastAsia" w:hAnsi="Arial" w:cs="Arial"/>
          <w:sz w:val="20"/>
          <w:szCs w:val="20"/>
        </w:rPr>
        <w:t>or observed data of</w:t>
      </w:r>
      <w:r w:rsidRPr="00AB6837">
        <w:rPr>
          <w:rFonts w:ascii="Arial" w:eastAsiaTheme="minorEastAsia" w:hAnsi="Arial" w:cs="Arial"/>
          <w:sz w:val="20"/>
          <w:szCs w:val="20"/>
        </w:rPr>
        <w:t xml:space="preserve"> period t, and </w:t>
      </w: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m:t>
            </m:r>
          </m:sub>
        </m:sSub>
      </m:oMath>
      <w:r w:rsidRPr="00AB6837">
        <w:rPr>
          <w:rFonts w:ascii="Arial" w:eastAsiaTheme="minorEastAsia" w:hAnsi="Arial" w:cs="Arial"/>
          <w:sz w:val="20"/>
          <w:szCs w:val="20"/>
        </w:rPr>
        <w:t xml:space="preserve"> is the forecast value of period t.</w:t>
      </w:r>
    </w:p>
    <w:p w:rsidR="00F82AA0" w:rsidRDefault="00F82AA0" w:rsidP="00F82AA0">
      <w:pPr>
        <w:spacing w:after="0" w:line="240" w:lineRule="auto"/>
        <w:ind w:left="0" w:hanging="2"/>
        <w:jc w:val="both"/>
        <w:rPr>
          <w:rFonts w:ascii="Arial" w:hAnsi="Arial" w:cs="Arial"/>
          <w:sz w:val="20"/>
          <w:szCs w:val="20"/>
        </w:rPr>
      </w:pPr>
      <w:r w:rsidRPr="00AB6837">
        <w:rPr>
          <w:rFonts w:ascii="Arial" w:hAnsi="Arial" w:cs="Arial"/>
          <w:sz w:val="20"/>
          <w:szCs w:val="20"/>
        </w:rPr>
        <w:t>This study uses Mean Absolute Percentage Error (MAPE)</w:t>
      </w:r>
      <w:r>
        <w:rPr>
          <w:rFonts w:ascii="Arial" w:hAnsi="Arial" w:cs="Arial"/>
          <w:sz w:val="20"/>
          <w:szCs w:val="20"/>
        </w:rPr>
        <w:t xml:space="preserve"> to</w:t>
      </w:r>
      <w:r w:rsidRPr="00AB6837">
        <w:rPr>
          <w:rFonts w:ascii="Arial" w:hAnsi="Arial" w:cs="Arial"/>
          <w:sz w:val="20"/>
          <w:szCs w:val="20"/>
        </w:rPr>
        <w:t xml:space="preserve"> see the error of forecast.</w:t>
      </w:r>
      <w:r>
        <w:rPr>
          <w:rFonts w:ascii="Arial" w:hAnsi="Arial" w:cs="Arial"/>
          <w:sz w:val="20"/>
          <w:szCs w:val="20"/>
        </w:rPr>
        <w:t xml:space="preserve"> </w:t>
      </w:r>
      <w:r w:rsidRPr="00AB6837">
        <w:rPr>
          <w:rFonts w:ascii="Arial" w:hAnsi="Arial" w:cs="Arial"/>
          <w:sz w:val="20"/>
          <w:szCs w:val="20"/>
        </w:rPr>
        <w:t>The best forecast has the smallest MAPE.</w:t>
      </w:r>
      <w:r>
        <w:rPr>
          <w:rFonts w:ascii="Arial" w:hAnsi="Arial" w:cs="Arial"/>
          <w:sz w:val="20"/>
          <w:szCs w:val="20"/>
        </w:rPr>
        <w:t xml:space="preserve"> MAPE formula is:</w:t>
      </w:r>
    </w:p>
    <w:tbl>
      <w:tblPr>
        <w:tblStyle w:val="a1"/>
        <w:tblW w:w="4503" w:type="dxa"/>
        <w:tblInd w:w="-108" w:type="dxa"/>
        <w:tblLayout w:type="fixed"/>
        <w:tblLook w:val="0000" w:firstRow="0" w:lastRow="0" w:firstColumn="0" w:lastColumn="0" w:noHBand="0" w:noVBand="0"/>
      </w:tblPr>
      <w:tblGrid>
        <w:gridCol w:w="3369"/>
        <w:gridCol w:w="1134"/>
      </w:tblGrid>
      <w:tr w:rsidR="00F82AA0" w:rsidTr="00E06F47">
        <w:tc>
          <w:tcPr>
            <w:tcW w:w="3369" w:type="dxa"/>
          </w:tcPr>
          <w:p w:rsidR="00F82AA0" w:rsidRPr="008410E4" w:rsidRDefault="00F82AA0" w:rsidP="00E06F47">
            <w:pPr>
              <w:pBdr>
                <w:top w:val="nil"/>
                <w:left w:val="nil"/>
                <w:bottom w:val="nil"/>
                <w:right w:val="nil"/>
                <w:between w:val="nil"/>
              </w:pBdr>
              <w:spacing w:before="120" w:after="120" w:line="240" w:lineRule="auto"/>
              <w:ind w:left="0" w:hanging="2"/>
              <w:jc w:val="both"/>
              <w:rPr>
                <w:rFonts w:ascii="Arial" w:eastAsia="Arial" w:hAnsi="Arial" w:cs="Arial"/>
                <w:color w:val="000000"/>
                <w:sz w:val="20"/>
                <w:szCs w:val="20"/>
              </w:rPr>
            </w:pPr>
            <m:oMathPara>
              <m:oMath>
                <m:r>
                  <w:rPr>
                    <w:rFonts w:ascii="Cambria Math" w:hAnsi="Cambria Math" w:cs="Arial"/>
                    <w:sz w:val="20"/>
                    <w:szCs w:val="20"/>
                  </w:rPr>
                  <m:t>MAPE=100x</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ctrlPr>
                      <w:rPr>
                        <w:rFonts w:ascii="Cambria Math" w:hAnsi="Cambria Math" w:cs="Arial"/>
                        <w:i/>
                        <w:sz w:val="20"/>
                        <w:szCs w:val="20"/>
                      </w:rPr>
                    </m:ctrlPr>
                  </m:naryPr>
                  <m:sub>
                    <m:r>
                      <w:rPr>
                        <w:rFonts w:ascii="Cambria Math" w:hAnsi="Cambria Math" w:cs="Arial"/>
                        <w:sz w:val="20"/>
                        <w:szCs w:val="20"/>
                      </w:rPr>
                      <m:t>t=1</m:t>
                    </m:r>
                  </m:sub>
                  <m:sup>
                    <m:r>
                      <w:rPr>
                        <w:rFonts w:ascii="Cambria Math" w:hAnsi="Cambria Math" w:cs="Arial"/>
                        <w:sz w:val="20"/>
                        <w:szCs w:val="20"/>
                      </w:rPr>
                      <m:t>n</m:t>
                    </m:r>
                  </m:sup>
                  <m:e>
                    <m:d>
                      <m:dPr>
                        <m:begChr m:val="|"/>
                        <m:endChr m:val="|"/>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den>
                        </m:f>
                      </m:e>
                    </m:d>
                  </m:e>
                </m:nary>
              </m:oMath>
            </m:oMathPara>
          </w:p>
        </w:tc>
        <w:tc>
          <w:tcPr>
            <w:tcW w:w="1134" w:type="dxa"/>
            <w:vAlign w:val="center"/>
          </w:tcPr>
          <w:p w:rsidR="00F82AA0" w:rsidRDefault="00F82AA0" w:rsidP="00E06F47">
            <w:pPr>
              <w:pBdr>
                <w:top w:val="nil"/>
                <w:left w:val="nil"/>
                <w:bottom w:val="nil"/>
                <w:right w:val="nil"/>
                <w:between w:val="nil"/>
              </w:pBdr>
              <w:spacing w:before="120"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(1)</w:t>
            </w:r>
          </w:p>
        </w:tc>
      </w:tr>
    </w:tbl>
    <w:p w:rsidR="00F82AA0" w:rsidRDefault="00325B98" w:rsidP="00706998">
      <w:pPr>
        <w:spacing w:after="0" w:line="240" w:lineRule="auto"/>
        <w:ind w:leftChars="0" w:left="0" w:firstLineChars="0" w:firstLine="0"/>
        <w:jc w:val="both"/>
        <w:rPr>
          <w:rFonts w:ascii="Arial" w:hAnsi="Arial" w:cs="Arial"/>
          <w:sz w:val="20"/>
          <w:szCs w:val="20"/>
        </w:rPr>
        <w:sectPr w:rsidR="00F82AA0" w:rsidSect="00706998">
          <w:type w:val="continuous"/>
          <w:pgSz w:w="11907" w:h="16840"/>
          <w:pgMar w:top="1701" w:right="1134" w:bottom="1701" w:left="1701" w:header="680" w:footer="680" w:gutter="0"/>
          <w:cols w:num="2" w:space="284"/>
          <w:titlePg/>
        </w:sectPr>
      </w:pPr>
      <w:r>
        <w:rPr>
          <w:rFonts w:ascii="Arial" w:hAnsi="Arial" w:cs="Arial"/>
          <w:sz w:val="20"/>
          <w:szCs w:val="20"/>
        </w:rPr>
        <w:t>The</w:t>
      </w:r>
      <w:r w:rsidR="00AB6837" w:rsidRPr="00AB6837">
        <w:rPr>
          <w:rFonts w:ascii="Arial" w:hAnsi="Arial" w:cs="Arial"/>
          <w:sz w:val="20"/>
          <w:szCs w:val="20"/>
        </w:rPr>
        <w:t xml:space="preserve"> </w:t>
      </w:r>
      <w:r>
        <w:rPr>
          <w:rFonts w:ascii="Arial" w:hAnsi="Arial" w:cs="Arial"/>
          <w:sz w:val="20"/>
          <w:szCs w:val="20"/>
        </w:rPr>
        <w:t xml:space="preserve">MAPE </w:t>
      </w:r>
      <w:r w:rsidR="00AB6837" w:rsidRPr="00AB6837">
        <w:rPr>
          <w:rFonts w:ascii="Arial" w:hAnsi="Arial" w:cs="Arial"/>
          <w:sz w:val="20"/>
          <w:szCs w:val="20"/>
        </w:rPr>
        <w:t>comparison</w:t>
      </w:r>
      <w:r>
        <w:rPr>
          <w:rFonts w:ascii="Arial" w:hAnsi="Arial" w:cs="Arial"/>
          <w:sz w:val="20"/>
          <w:szCs w:val="20"/>
        </w:rPr>
        <w:t>s are</w:t>
      </w:r>
      <w:r w:rsidR="00AB6837" w:rsidRPr="00AB6837">
        <w:rPr>
          <w:rFonts w:ascii="Arial" w:hAnsi="Arial" w:cs="Arial"/>
          <w:sz w:val="20"/>
          <w:szCs w:val="20"/>
        </w:rPr>
        <w:t xml:space="preserve"> done to choose the most suitable forecast model </w:t>
      </w:r>
      <w:r>
        <w:rPr>
          <w:rFonts w:ascii="Arial" w:hAnsi="Arial" w:cs="Arial"/>
          <w:sz w:val="20"/>
          <w:szCs w:val="20"/>
        </w:rPr>
        <w:t>among ARIMA or</w:t>
      </w:r>
      <w:r w:rsidR="00AB6837" w:rsidRPr="00AB6837">
        <w:rPr>
          <w:rFonts w:ascii="Arial" w:hAnsi="Arial" w:cs="Arial"/>
          <w:sz w:val="20"/>
          <w:szCs w:val="20"/>
        </w:rPr>
        <w:t xml:space="preserve"> SARIMA possible models, among the possible decomposition models, and between the chosen ARIMA or SARIMA and </w:t>
      </w:r>
      <w:r w:rsidR="00291B9F">
        <w:rPr>
          <w:rFonts w:ascii="Arial" w:hAnsi="Arial" w:cs="Arial"/>
          <w:sz w:val="20"/>
          <w:szCs w:val="20"/>
        </w:rPr>
        <w:t xml:space="preserve">the </w:t>
      </w:r>
      <w:r w:rsidR="00AB6837" w:rsidRPr="00AB6837">
        <w:rPr>
          <w:rFonts w:ascii="Arial" w:hAnsi="Arial" w:cs="Arial"/>
          <w:sz w:val="20"/>
          <w:szCs w:val="20"/>
        </w:rPr>
        <w:t xml:space="preserve">decomposition model. </w:t>
      </w:r>
      <w:r w:rsidR="00AB6837" w:rsidRPr="00325B98">
        <w:rPr>
          <w:rFonts w:ascii="Arial" w:hAnsi="Arial" w:cs="Arial"/>
          <w:sz w:val="20"/>
          <w:szCs w:val="20"/>
        </w:rPr>
        <w:t>Picture 1 shows the research design of this study.</w:t>
      </w:r>
    </w:p>
    <w:p w:rsidR="00706998" w:rsidRDefault="00706998" w:rsidP="00706998">
      <w:pPr>
        <w:spacing w:after="0" w:line="240" w:lineRule="auto"/>
        <w:ind w:leftChars="0" w:left="0" w:firstLineChars="0" w:firstLine="0"/>
        <w:jc w:val="both"/>
        <w:rPr>
          <w:rFonts w:ascii="Arial" w:hAnsi="Arial" w:cs="Arial"/>
          <w:sz w:val="20"/>
          <w:szCs w:val="20"/>
        </w:rPr>
      </w:pPr>
    </w:p>
    <w:p w:rsidR="00706998" w:rsidRDefault="00706998" w:rsidP="00706998">
      <w:pPr>
        <w:spacing w:after="0" w:line="240" w:lineRule="auto"/>
        <w:ind w:leftChars="0" w:left="0" w:firstLineChars="0" w:firstLine="0"/>
        <w:jc w:val="both"/>
        <w:rPr>
          <w:rFonts w:ascii="Arial" w:hAnsi="Arial" w:cs="Arial"/>
          <w:color w:val="00B050"/>
          <w:sz w:val="20"/>
          <w:szCs w:val="20"/>
        </w:rPr>
        <w:sectPr w:rsidR="00706998" w:rsidSect="00706998">
          <w:type w:val="continuous"/>
          <w:pgSz w:w="11907" w:h="16840"/>
          <w:pgMar w:top="1701" w:right="1134" w:bottom="1701" w:left="1701" w:header="680" w:footer="680" w:gutter="0"/>
          <w:cols w:num="2" w:space="284"/>
          <w:titlePg/>
        </w:sectPr>
      </w:pPr>
    </w:p>
    <w:p w:rsidR="00706998" w:rsidRDefault="00706998" w:rsidP="009C7E97">
      <w:pPr>
        <w:spacing w:after="0" w:line="240" w:lineRule="auto"/>
        <w:ind w:leftChars="0" w:left="0" w:firstLineChars="0" w:firstLine="0"/>
        <w:jc w:val="center"/>
        <w:rPr>
          <w:rFonts w:ascii="Arial" w:hAnsi="Arial" w:cs="Arial"/>
          <w:color w:val="00B050"/>
          <w:sz w:val="20"/>
          <w:szCs w:val="20"/>
        </w:rPr>
        <w:sectPr w:rsidR="00706998" w:rsidSect="00706998">
          <w:type w:val="continuous"/>
          <w:pgSz w:w="11907" w:h="16840"/>
          <w:pgMar w:top="1701" w:right="1134" w:bottom="1701" w:left="1701" w:header="680" w:footer="680" w:gutter="0"/>
          <w:cols w:space="284"/>
          <w:titlePg/>
        </w:sectPr>
      </w:pPr>
      <w:r>
        <w:rPr>
          <w:noProof/>
          <w:lang w:val="en-ID" w:eastAsia="en-ID"/>
        </w:rPr>
        <w:drawing>
          <wp:inline distT="0" distB="0" distL="0" distR="0" wp14:anchorId="79948490" wp14:editId="51AE7781">
            <wp:extent cx="5440435" cy="46609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40435" cy="4660900"/>
                    </a:xfrm>
                    <a:prstGeom prst="rect">
                      <a:avLst/>
                    </a:prstGeom>
                    <a:noFill/>
                  </pic:spPr>
                </pic:pic>
              </a:graphicData>
            </a:graphic>
          </wp:inline>
        </w:drawing>
      </w:r>
    </w:p>
    <w:p w:rsidR="005F4F79" w:rsidRDefault="005F4F79" w:rsidP="00706998">
      <w:pPr>
        <w:spacing w:after="0" w:line="240" w:lineRule="auto"/>
        <w:ind w:leftChars="0" w:left="0" w:firstLineChars="0" w:firstLine="0"/>
        <w:jc w:val="center"/>
        <w:rPr>
          <w:rFonts w:ascii="Arial" w:hAnsi="Arial" w:cs="Arial"/>
          <w:color w:val="00B050"/>
          <w:sz w:val="20"/>
          <w:szCs w:val="20"/>
        </w:rPr>
      </w:pPr>
    </w:p>
    <w:p w:rsidR="00706998" w:rsidRDefault="005F4F79" w:rsidP="00706998">
      <w:pPr>
        <w:spacing w:after="0" w:line="240" w:lineRule="auto"/>
        <w:ind w:leftChars="0" w:left="0" w:firstLineChars="0" w:firstLine="0"/>
        <w:jc w:val="center"/>
        <w:rPr>
          <w:rFonts w:ascii="Arial" w:hAnsi="Arial" w:cs="Arial"/>
          <w:sz w:val="20"/>
          <w:szCs w:val="20"/>
        </w:rPr>
      </w:pPr>
      <w:r w:rsidRPr="005F4F79">
        <w:rPr>
          <w:rFonts w:ascii="Arial" w:hAnsi="Arial" w:cs="Arial"/>
          <w:sz w:val="20"/>
          <w:szCs w:val="20"/>
        </w:rPr>
        <w:t>Figure</w:t>
      </w:r>
      <w:r w:rsidR="00706998" w:rsidRPr="005F4F79">
        <w:rPr>
          <w:rFonts w:ascii="Arial" w:hAnsi="Arial" w:cs="Arial"/>
          <w:sz w:val="20"/>
          <w:szCs w:val="20"/>
        </w:rPr>
        <w:t xml:space="preserve"> 1. Research De</w:t>
      </w:r>
      <w:r w:rsidR="00A57179" w:rsidRPr="005F4F79">
        <w:rPr>
          <w:rFonts w:ascii="Arial" w:hAnsi="Arial" w:cs="Arial"/>
          <w:sz w:val="20"/>
          <w:szCs w:val="20"/>
        </w:rPr>
        <w:t>sig</w:t>
      </w:r>
      <w:r>
        <w:rPr>
          <w:rFonts w:ascii="Arial" w:hAnsi="Arial" w:cs="Arial"/>
          <w:sz w:val="20"/>
          <w:szCs w:val="20"/>
        </w:rPr>
        <w:t>n</w:t>
      </w:r>
    </w:p>
    <w:p w:rsidR="00BD45C7" w:rsidRDefault="00BD45C7" w:rsidP="00706998">
      <w:pPr>
        <w:spacing w:after="0" w:line="240" w:lineRule="auto"/>
        <w:ind w:leftChars="0" w:left="0" w:firstLineChars="0" w:firstLine="0"/>
        <w:jc w:val="center"/>
        <w:rPr>
          <w:rFonts w:ascii="Arial" w:hAnsi="Arial" w:cs="Arial"/>
          <w:sz w:val="20"/>
          <w:szCs w:val="20"/>
        </w:rPr>
      </w:pPr>
    </w:p>
    <w:p w:rsidR="00BD45C7" w:rsidRPr="005F4F79" w:rsidRDefault="00BD45C7" w:rsidP="00706998">
      <w:pPr>
        <w:spacing w:after="0" w:line="240" w:lineRule="auto"/>
        <w:ind w:leftChars="0" w:left="0" w:firstLineChars="0" w:firstLine="0"/>
        <w:jc w:val="center"/>
        <w:rPr>
          <w:rFonts w:ascii="Arial" w:hAnsi="Arial" w:cs="Arial"/>
          <w:sz w:val="20"/>
          <w:szCs w:val="20"/>
        </w:rPr>
        <w:sectPr w:rsidR="00BD45C7" w:rsidRPr="005F4F79" w:rsidSect="00706998">
          <w:type w:val="continuous"/>
          <w:pgSz w:w="11907" w:h="16840"/>
          <w:pgMar w:top="1701" w:right="1134" w:bottom="1701" w:left="1701" w:header="680" w:footer="680" w:gutter="0"/>
          <w:cols w:space="284"/>
          <w:titlePg/>
        </w:sectPr>
      </w:pPr>
    </w:p>
    <w:p w:rsidR="00BC7E6E" w:rsidRDefault="00245E70" w:rsidP="005F4F79">
      <w:pPr>
        <w:spacing w:after="0" w:line="240" w:lineRule="auto"/>
        <w:ind w:leftChars="0" w:left="0" w:firstLineChars="0" w:firstLine="0"/>
        <w:jc w:val="both"/>
        <w:rPr>
          <w:rFonts w:ascii="Arial" w:eastAsia="Arial" w:hAnsi="Arial" w:cs="Arial"/>
          <w:color w:val="1F4E79"/>
          <w:sz w:val="20"/>
          <w:szCs w:val="20"/>
        </w:rPr>
      </w:pPr>
      <w:r>
        <w:rPr>
          <w:rFonts w:ascii="Arial" w:eastAsia="Arial" w:hAnsi="Arial" w:cs="Arial"/>
          <w:b/>
          <w:color w:val="1F4E79"/>
          <w:sz w:val="20"/>
          <w:szCs w:val="20"/>
        </w:rPr>
        <w:t>ARIMA or SARIMA Forecast Model</w:t>
      </w:r>
    </w:p>
    <w:p w:rsidR="009F5F59" w:rsidRPr="009F5F59" w:rsidRDefault="009F5F59" w:rsidP="009F5F59">
      <w:pPr>
        <w:spacing w:after="0" w:line="240" w:lineRule="auto"/>
        <w:ind w:left="0" w:hanging="2"/>
        <w:jc w:val="both"/>
        <w:rPr>
          <w:rFonts w:ascii="Arial" w:hAnsi="Arial" w:cs="Arial"/>
          <w:sz w:val="20"/>
          <w:szCs w:val="20"/>
        </w:rPr>
      </w:pPr>
      <w:r w:rsidRPr="009F5F59">
        <w:rPr>
          <w:rFonts w:ascii="Arial" w:hAnsi="Arial" w:cs="Arial"/>
          <w:sz w:val="20"/>
          <w:szCs w:val="20"/>
        </w:rPr>
        <w:t>SARIMA (p,</w:t>
      </w:r>
      <w:r w:rsidR="00463ED6">
        <w:rPr>
          <w:rFonts w:ascii="Arial" w:hAnsi="Arial" w:cs="Arial"/>
          <w:sz w:val="20"/>
          <w:szCs w:val="20"/>
        </w:rPr>
        <w:t xml:space="preserve"> </w:t>
      </w:r>
      <w:r w:rsidRPr="009F5F59">
        <w:rPr>
          <w:rFonts w:ascii="Arial" w:hAnsi="Arial" w:cs="Arial"/>
          <w:sz w:val="20"/>
          <w:szCs w:val="20"/>
        </w:rPr>
        <w:t>d,</w:t>
      </w:r>
      <w:r w:rsidR="00463ED6">
        <w:rPr>
          <w:rFonts w:ascii="Arial" w:hAnsi="Arial" w:cs="Arial"/>
          <w:sz w:val="20"/>
          <w:szCs w:val="20"/>
        </w:rPr>
        <w:t xml:space="preserve"> </w:t>
      </w:r>
      <w:r w:rsidRPr="009F5F59">
        <w:rPr>
          <w:rFonts w:ascii="Arial" w:hAnsi="Arial" w:cs="Arial"/>
          <w:sz w:val="20"/>
          <w:szCs w:val="20"/>
        </w:rPr>
        <w:t>q</w:t>
      </w:r>
      <w:proofErr w:type="gramStart"/>
      <w:r w:rsidRPr="009F5F59">
        <w:rPr>
          <w:rFonts w:ascii="Arial" w:hAnsi="Arial" w:cs="Arial"/>
          <w:sz w:val="20"/>
          <w:szCs w:val="20"/>
        </w:rPr>
        <w:t>)(</w:t>
      </w:r>
      <w:proofErr w:type="gramEnd"/>
      <w:r w:rsidRPr="009F5F59">
        <w:rPr>
          <w:rFonts w:ascii="Arial" w:hAnsi="Arial" w:cs="Arial"/>
          <w:sz w:val="20"/>
          <w:szCs w:val="20"/>
        </w:rPr>
        <w:t>P, D, Q)s model is the seasonal adjustment of the ARIMA (</w:t>
      </w:r>
      <w:proofErr w:type="spellStart"/>
      <w:r w:rsidRPr="009F5F59">
        <w:rPr>
          <w:rFonts w:ascii="Arial" w:hAnsi="Arial" w:cs="Arial"/>
          <w:sz w:val="20"/>
          <w:szCs w:val="20"/>
        </w:rPr>
        <w:t>p,d,q</w:t>
      </w:r>
      <w:proofErr w:type="spellEnd"/>
      <w:r w:rsidRPr="009F5F59">
        <w:rPr>
          <w:rFonts w:ascii="Arial" w:hAnsi="Arial" w:cs="Arial"/>
          <w:sz w:val="20"/>
          <w:szCs w:val="20"/>
        </w:rPr>
        <w:t>) model. The (p,</w:t>
      </w:r>
      <w:r w:rsidR="00463ED6">
        <w:rPr>
          <w:rFonts w:ascii="Arial" w:hAnsi="Arial" w:cs="Arial"/>
          <w:sz w:val="20"/>
          <w:szCs w:val="20"/>
        </w:rPr>
        <w:t xml:space="preserve"> </w:t>
      </w:r>
      <w:r w:rsidRPr="009F5F59">
        <w:rPr>
          <w:rFonts w:ascii="Arial" w:hAnsi="Arial" w:cs="Arial"/>
          <w:sz w:val="20"/>
          <w:szCs w:val="20"/>
        </w:rPr>
        <w:t>d,</w:t>
      </w:r>
      <w:r w:rsidR="00463ED6">
        <w:rPr>
          <w:rFonts w:ascii="Arial" w:hAnsi="Arial" w:cs="Arial"/>
          <w:sz w:val="20"/>
          <w:szCs w:val="20"/>
        </w:rPr>
        <w:t xml:space="preserve"> </w:t>
      </w:r>
      <w:r w:rsidRPr="009F5F59">
        <w:rPr>
          <w:rFonts w:ascii="Arial" w:hAnsi="Arial" w:cs="Arial"/>
          <w:sz w:val="20"/>
          <w:szCs w:val="20"/>
        </w:rPr>
        <w:t>q) in SARIMA correspond with ARIMA (p,</w:t>
      </w:r>
      <w:r w:rsidR="00463ED6">
        <w:rPr>
          <w:rFonts w:ascii="Arial" w:hAnsi="Arial" w:cs="Arial"/>
          <w:sz w:val="20"/>
          <w:szCs w:val="20"/>
        </w:rPr>
        <w:t xml:space="preserve"> </w:t>
      </w:r>
      <w:r w:rsidRPr="009F5F59">
        <w:rPr>
          <w:rFonts w:ascii="Arial" w:hAnsi="Arial" w:cs="Arial"/>
          <w:sz w:val="20"/>
          <w:szCs w:val="20"/>
        </w:rPr>
        <w:t>d,</w:t>
      </w:r>
      <w:r w:rsidR="00463ED6">
        <w:rPr>
          <w:rFonts w:ascii="Arial" w:hAnsi="Arial" w:cs="Arial"/>
          <w:sz w:val="20"/>
          <w:szCs w:val="20"/>
        </w:rPr>
        <w:t xml:space="preserve"> </w:t>
      </w:r>
      <w:r w:rsidRPr="009F5F59">
        <w:rPr>
          <w:rFonts w:ascii="Arial" w:hAnsi="Arial" w:cs="Arial"/>
          <w:sz w:val="20"/>
          <w:szCs w:val="20"/>
        </w:rPr>
        <w:t xml:space="preserve">q) with p as the order or ordo of autoregressive (AR), d as the order of differencing (I) to take the trend out of the data </w:t>
      </w:r>
      <w:r w:rsidR="00D42462">
        <w:rPr>
          <w:rFonts w:ascii="Arial" w:hAnsi="Arial" w:cs="Arial"/>
          <w:sz w:val="20"/>
          <w:szCs w:val="20"/>
        </w:rPr>
        <w:t>for achieving</w:t>
      </w:r>
      <w:r w:rsidRPr="009F5F59">
        <w:rPr>
          <w:rFonts w:ascii="Arial" w:hAnsi="Arial" w:cs="Arial"/>
          <w:sz w:val="20"/>
          <w:szCs w:val="20"/>
        </w:rPr>
        <w:t xml:space="preserve"> stationary data, and q is the order of moving average (MA). While the (P, D, Q</w:t>
      </w:r>
      <w:proofErr w:type="gramStart"/>
      <w:r w:rsidRPr="009F5F59">
        <w:rPr>
          <w:rFonts w:ascii="Arial" w:hAnsi="Arial" w:cs="Arial"/>
          <w:sz w:val="20"/>
          <w:szCs w:val="20"/>
        </w:rPr>
        <w:t>)s</w:t>
      </w:r>
      <w:proofErr w:type="gramEnd"/>
      <w:r w:rsidRPr="009F5F59">
        <w:rPr>
          <w:rFonts w:ascii="Arial" w:hAnsi="Arial" w:cs="Arial"/>
          <w:sz w:val="20"/>
          <w:szCs w:val="20"/>
        </w:rPr>
        <w:t xml:space="preserve"> in SARIMA correspond with seasonal adjustment, where P</w:t>
      </w:r>
      <w:r w:rsidR="004A4647">
        <w:rPr>
          <w:rFonts w:ascii="Arial" w:hAnsi="Arial" w:cs="Arial"/>
          <w:sz w:val="20"/>
          <w:szCs w:val="20"/>
        </w:rPr>
        <w:t>, D, and Q</w:t>
      </w:r>
      <w:r w:rsidRPr="009F5F59">
        <w:rPr>
          <w:rFonts w:ascii="Arial" w:hAnsi="Arial" w:cs="Arial"/>
          <w:sz w:val="20"/>
          <w:szCs w:val="20"/>
        </w:rPr>
        <w:t xml:space="preserve"> </w:t>
      </w:r>
      <w:r w:rsidR="004A4647">
        <w:rPr>
          <w:rFonts w:ascii="Arial" w:hAnsi="Arial" w:cs="Arial"/>
          <w:sz w:val="20"/>
          <w:szCs w:val="20"/>
        </w:rPr>
        <w:t>are</w:t>
      </w:r>
      <w:r w:rsidR="00815C5D">
        <w:rPr>
          <w:rFonts w:ascii="Arial" w:hAnsi="Arial" w:cs="Arial"/>
          <w:sz w:val="20"/>
          <w:szCs w:val="20"/>
        </w:rPr>
        <w:t xml:space="preserve"> the ordo</w:t>
      </w:r>
      <w:r w:rsidRPr="009F5F59">
        <w:rPr>
          <w:rFonts w:ascii="Arial" w:hAnsi="Arial" w:cs="Arial"/>
          <w:sz w:val="20"/>
          <w:szCs w:val="20"/>
        </w:rPr>
        <w:t xml:space="preserve"> of seasonal autoregressive, seaso</w:t>
      </w:r>
      <w:r w:rsidR="004A4647">
        <w:rPr>
          <w:rFonts w:ascii="Arial" w:hAnsi="Arial" w:cs="Arial"/>
          <w:sz w:val="20"/>
          <w:szCs w:val="20"/>
        </w:rPr>
        <w:t>nal differencing, and seasonal moving average, while</w:t>
      </w:r>
      <w:r w:rsidRPr="009F5F59">
        <w:rPr>
          <w:rFonts w:ascii="Arial" w:hAnsi="Arial" w:cs="Arial"/>
          <w:sz w:val="20"/>
          <w:szCs w:val="20"/>
        </w:rPr>
        <w:t xml:space="preserve"> s is</w:t>
      </w:r>
      <w:r w:rsidR="00A52526">
        <w:rPr>
          <w:rFonts w:ascii="Arial" w:hAnsi="Arial" w:cs="Arial"/>
          <w:sz w:val="20"/>
          <w:szCs w:val="20"/>
        </w:rPr>
        <w:t xml:space="preserve"> the seasonal length</w:t>
      </w:r>
      <w:r w:rsidRPr="009F5F59">
        <w:rPr>
          <w:rFonts w:ascii="Arial" w:hAnsi="Arial" w:cs="Arial"/>
          <w:sz w:val="20"/>
          <w:szCs w:val="20"/>
        </w:rPr>
        <w:t xml:space="preserve">. </w:t>
      </w:r>
      <w:r w:rsidR="00A601E9">
        <w:rPr>
          <w:rFonts w:ascii="Arial" w:eastAsiaTheme="minorEastAsia" w:hAnsi="Arial" w:cs="Arial"/>
          <w:sz w:val="20"/>
          <w:szCs w:val="20"/>
        </w:rPr>
        <w:t>Order p, q, P, and Q are attained</w:t>
      </w:r>
      <w:r w:rsidRPr="009F5F59">
        <w:rPr>
          <w:rFonts w:ascii="Arial" w:eastAsiaTheme="minorEastAsia" w:hAnsi="Arial" w:cs="Arial"/>
          <w:sz w:val="20"/>
          <w:szCs w:val="20"/>
        </w:rPr>
        <w:t xml:space="preserve"> by the </w:t>
      </w:r>
      <w:r w:rsidR="00A601E9">
        <w:rPr>
          <w:rFonts w:ascii="Arial" w:eastAsiaTheme="minorEastAsia" w:hAnsi="Arial" w:cs="Arial"/>
          <w:sz w:val="20"/>
          <w:szCs w:val="20"/>
        </w:rPr>
        <w:t xml:space="preserve">analyses of </w:t>
      </w:r>
      <w:r w:rsidR="006637D3">
        <w:rPr>
          <w:rFonts w:ascii="Arial" w:eastAsiaTheme="minorEastAsia" w:hAnsi="Arial" w:cs="Arial"/>
          <w:sz w:val="20"/>
          <w:szCs w:val="20"/>
        </w:rPr>
        <w:t xml:space="preserve">the </w:t>
      </w:r>
      <w:r w:rsidRPr="009F5F59">
        <w:rPr>
          <w:rFonts w:ascii="Arial" w:hAnsi="Arial" w:cs="Arial"/>
          <w:sz w:val="20"/>
          <w:szCs w:val="20"/>
        </w:rPr>
        <w:t>Autocorrelation Function</w:t>
      </w:r>
      <w:r w:rsidRPr="009F5F59">
        <w:rPr>
          <w:rFonts w:ascii="Arial" w:eastAsiaTheme="minorEastAsia" w:hAnsi="Arial" w:cs="Arial"/>
          <w:sz w:val="20"/>
          <w:szCs w:val="20"/>
        </w:rPr>
        <w:t xml:space="preserve"> (ACF) and </w:t>
      </w:r>
      <w:r w:rsidRPr="009F5F59">
        <w:rPr>
          <w:rFonts w:ascii="Arial" w:hAnsi="Arial" w:cs="Arial"/>
          <w:sz w:val="20"/>
          <w:szCs w:val="20"/>
        </w:rPr>
        <w:t>Partial Autocorrelation Function</w:t>
      </w:r>
      <w:r w:rsidRPr="009F5F59">
        <w:rPr>
          <w:rFonts w:ascii="Arial" w:eastAsiaTheme="minorEastAsia" w:hAnsi="Arial" w:cs="Arial"/>
          <w:sz w:val="20"/>
          <w:szCs w:val="20"/>
        </w:rPr>
        <w:t xml:space="preserve"> (PACF) of data.</w:t>
      </w:r>
    </w:p>
    <w:p w:rsidR="009F5F59" w:rsidRDefault="009F5F59" w:rsidP="009F5F59">
      <w:pPr>
        <w:spacing w:after="0" w:line="240" w:lineRule="auto"/>
        <w:ind w:left="0" w:hanging="2"/>
        <w:jc w:val="both"/>
        <w:rPr>
          <w:rFonts w:ascii="Arial" w:hAnsi="Arial" w:cs="Arial"/>
          <w:sz w:val="20"/>
          <w:szCs w:val="20"/>
        </w:rPr>
      </w:pPr>
      <w:r w:rsidRPr="009F5F59">
        <w:rPr>
          <w:rFonts w:ascii="Arial" w:hAnsi="Arial" w:cs="Arial"/>
          <w:sz w:val="20"/>
          <w:szCs w:val="20"/>
        </w:rPr>
        <w:t xml:space="preserve">The formula of ARIMA and SARIMA are </w:t>
      </w:r>
      <w:r w:rsidRPr="009F5F59">
        <w:rPr>
          <w:rFonts w:ascii="Arial" w:hAnsi="Arial" w:cs="Arial"/>
          <w:sz w:val="20"/>
          <w:szCs w:val="20"/>
        </w:rPr>
        <w:fldChar w:fldCharType="begin" w:fldLock="1"/>
      </w:r>
      <w:r w:rsidR="00EE0732">
        <w:rPr>
          <w:rFonts w:ascii="Arial" w:hAnsi="Arial" w:cs="Arial"/>
          <w:sz w:val="20"/>
          <w:szCs w:val="20"/>
        </w:rPr>
        <w:instrText>ADDIN CSL_CITATION {"citationItems":[{"id":"ITEM-1","itemData":{"DOI":"10.9734/arjom/2021/v17i330280","abstract":"This research aimed at modelling and forecasting the quarterly GDP of Nigeria using the Seasonal Artificial Neural Network (SANN), SARIMA and Box-Jenkins models as well as comparing their predictive performance. The three models mentioned earlier were successfully fitted to the data set. Tentative architecture for the SANN was suggested by varying the number of neurons in the hidden layer while that of the input and output layer remained constant at 4. It was observed that the best architecture was when the hidden layer had 10 neurons and thus SANN (4-10-4) was chosen as the best. In fitting the ARIMA/SARIMA models, the Augmented Dickey Fuller (ADF) test was used to check for stationarity. Variance stabilization and Stationarity were achieved after logarithm transformation and first regular differencing. The ARIMA/SARIMA model with lowest AIC, BIC and HQIC values was chosen as the best amongst the competing models and fitted to the data. The adequacy of the fitted models was confirmed observing the correlogram of the residuals and the Ljung-Box Chi-Squared test result. The SANN model performed better than the SARIMA and ARIMA models as it had a Mean Squared Error value of 0.004 while SARIMA and ARIMA had mean squared errors of 0.527 and 0.705 respectively. It was concluded that the SANN which is a non-linear model be used in modelling the quarterly GDP of Nigeria. Hybrid models which combine the strength of individual models are recommended for further research.","author":[{"dropping-particle":"","family":"Nwokike","given":"Chukwudike C.","non-dropping-particle":"","parse-names":false,"suffix":""},{"dropping-particle":"","family":"Okereke","given":"Emmanuel W.","non-dropping-particle":"","parse-names":false,"suffix":""}],"container-title":"Asian Research Journal of Mathematics","id":"ITEM-1","issue":"3","issued":{"date-parts":[["2021"]]},"page":"1-20","title":"Comparison of the Performance of the SANN, SARIMA and ARIMA Models for Forecasting Quarterly GDP of Nigeria","type":"article-journal","volume":"17"},"uris":["http://www.mendeley.com/documents/?uuid=5408d0f5-8f41-4a43-aeeb-a2db6f59f7dc"]}],"mendeley":{"formattedCitation":"[22]","plainTextFormattedCitation":"[22]","previouslyFormattedCitation":"[22]"},"properties":{"noteIndex":0},"schema":"https://github.com/citation-style-language/schema/raw/master/csl-citation.json"}</w:instrText>
      </w:r>
      <w:r w:rsidRPr="009F5F59">
        <w:rPr>
          <w:rFonts w:ascii="Arial" w:hAnsi="Arial" w:cs="Arial"/>
          <w:sz w:val="20"/>
          <w:szCs w:val="20"/>
        </w:rPr>
        <w:fldChar w:fldCharType="separate"/>
      </w:r>
      <w:r w:rsidR="00703960" w:rsidRPr="00703960">
        <w:rPr>
          <w:rFonts w:ascii="Arial" w:hAnsi="Arial" w:cs="Arial"/>
          <w:noProof/>
          <w:sz w:val="20"/>
          <w:szCs w:val="20"/>
        </w:rPr>
        <w:t>[22]</w:t>
      </w:r>
      <w:r w:rsidRPr="009F5F59">
        <w:rPr>
          <w:rFonts w:ascii="Arial" w:hAnsi="Arial" w:cs="Arial"/>
          <w:sz w:val="20"/>
          <w:szCs w:val="20"/>
        </w:rPr>
        <w:fldChar w:fldCharType="end"/>
      </w:r>
      <w:r w:rsidRPr="009F5F59">
        <w:rPr>
          <w:rFonts w:ascii="Arial" w:hAnsi="Arial" w:cs="Arial"/>
          <w:sz w:val="20"/>
          <w:szCs w:val="20"/>
        </w:rPr>
        <w:t>:</w:t>
      </w:r>
    </w:p>
    <w:p w:rsidR="009F5F59" w:rsidRDefault="009F5F59" w:rsidP="009F5F59">
      <w:pPr>
        <w:spacing w:after="0" w:line="240" w:lineRule="auto"/>
        <w:ind w:left="0" w:hanging="2"/>
        <w:jc w:val="both"/>
        <w:rPr>
          <w:rFonts w:ascii="Arial" w:hAnsi="Arial" w:cs="Arial"/>
          <w:sz w:val="20"/>
          <w:szCs w:val="20"/>
        </w:rPr>
      </w:pPr>
      <w:r>
        <w:rPr>
          <w:rFonts w:ascii="Arial" w:hAnsi="Arial" w:cs="Arial"/>
          <w:sz w:val="20"/>
          <w:szCs w:val="20"/>
        </w:rPr>
        <w:t>ARIMA:</w:t>
      </w:r>
    </w:p>
    <w:tbl>
      <w:tblPr>
        <w:tblStyle w:val="a1"/>
        <w:tblW w:w="4503" w:type="dxa"/>
        <w:tblInd w:w="-108" w:type="dxa"/>
        <w:tblLayout w:type="fixed"/>
        <w:tblLook w:val="0000" w:firstRow="0" w:lastRow="0" w:firstColumn="0" w:lastColumn="0" w:noHBand="0" w:noVBand="0"/>
      </w:tblPr>
      <w:tblGrid>
        <w:gridCol w:w="3369"/>
        <w:gridCol w:w="1134"/>
      </w:tblGrid>
      <w:tr w:rsidR="009F5F59" w:rsidTr="007867EB">
        <w:tc>
          <w:tcPr>
            <w:tcW w:w="3369" w:type="dxa"/>
            <w:vAlign w:val="center"/>
          </w:tcPr>
          <w:p w:rsidR="009F5F59" w:rsidRPr="008410E4" w:rsidRDefault="00E36C75" w:rsidP="00871D77">
            <w:pPr>
              <w:spacing w:after="0"/>
              <w:ind w:left="0" w:hanging="2"/>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p</m:t>
                    </m:r>
                  </m:sub>
                </m:sSub>
                <m:d>
                  <m:dPr>
                    <m:ctrlPr>
                      <w:rPr>
                        <w:rFonts w:ascii="Cambria Math" w:hAnsi="Cambria Math"/>
                        <w:i/>
                        <w:sz w:val="20"/>
                        <w:szCs w:val="20"/>
                      </w:rPr>
                    </m:ctrlPr>
                  </m:dPr>
                  <m:e>
                    <m:r>
                      <w:rPr>
                        <w:rFonts w:ascii="Cambria Math" w:hAnsi="Cambria Math"/>
                        <w:sz w:val="20"/>
                        <w:szCs w:val="20"/>
                      </w:rPr>
                      <m:t>B</m:t>
                    </m:r>
                  </m:e>
                </m:d>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1-B</m:t>
                        </m:r>
                      </m:e>
                    </m:d>
                  </m:e>
                  <m:sup>
                    <m:r>
                      <w:rPr>
                        <w:rFonts w:ascii="Cambria Math" w:hAnsi="Cambria Math"/>
                        <w:sz w:val="20"/>
                        <w:szCs w:val="20"/>
                      </w:rPr>
                      <m:t>d</m:t>
                    </m:r>
                  </m:sup>
                </m:sSup>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q</m:t>
                    </m:r>
                  </m:sub>
                </m:sSub>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m:t>
                    </m:r>
                  </m:sub>
                </m:sSub>
              </m:oMath>
            </m:oMathPara>
          </w:p>
        </w:tc>
        <w:tc>
          <w:tcPr>
            <w:tcW w:w="1134" w:type="dxa"/>
            <w:vAlign w:val="center"/>
          </w:tcPr>
          <w:p w:rsidR="009F5F59" w:rsidRDefault="009F5F59" w:rsidP="00871D77">
            <w:pPr>
              <w:pBdr>
                <w:top w:val="nil"/>
                <w:left w:val="nil"/>
                <w:bottom w:val="nil"/>
                <w:right w:val="nil"/>
                <w:between w:val="nil"/>
              </w:pBdr>
              <w:spacing w:after="0"/>
              <w:ind w:left="0" w:hanging="2"/>
              <w:jc w:val="right"/>
              <w:rPr>
                <w:rFonts w:ascii="Arial" w:eastAsia="Arial" w:hAnsi="Arial" w:cs="Arial"/>
                <w:color w:val="000000"/>
                <w:sz w:val="20"/>
                <w:szCs w:val="20"/>
              </w:rPr>
            </w:pPr>
            <w:r>
              <w:rPr>
                <w:rFonts w:ascii="Arial" w:eastAsia="Arial" w:hAnsi="Arial" w:cs="Arial"/>
                <w:color w:val="000000"/>
                <w:sz w:val="20"/>
                <w:szCs w:val="20"/>
              </w:rPr>
              <w:t>(</w:t>
            </w:r>
            <w:r w:rsidR="007867EB">
              <w:rPr>
                <w:rFonts w:ascii="Arial" w:eastAsia="Arial" w:hAnsi="Arial" w:cs="Arial"/>
                <w:color w:val="000000"/>
                <w:sz w:val="20"/>
                <w:szCs w:val="20"/>
              </w:rPr>
              <w:t>2</w:t>
            </w:r>
            <w:r>
              <w:rPr>
                <w:rFonts w:ascii="Arial" w:eastAsia="Arial" w:hAnsi="Arial" w:cs="Arial"/>
                <w:color w:val="000000"/>
                <w:sz w:val="20"/>
                <w:szCs w:val="20"/>
              </w:rPr>
              <w:t>)</w:t>
            </w:r>
          </w:p>
        </w:tc>
      </w:tr>
    </w:tbl>
    <w:p w:rsidR="009F5F59" w:rsidRDefault="009F5F59" w:rsidP="009F5F59">
      <w:pPr>
        <w:spacing w:after="0" w:line="240" w:lineRule="auto"/>
        <w:ind w:left="0" w:hanging="2"/>
        <w:jc w:val="both"/>
        <w:rPr>
          <w:rFonts w:ascii="Arial" w:eastAsia="Arial" w:hAnsi="Arial" w:cs="Arial"/>
          <w:sz w:val="20"/>
          <w:szCs w:val="20"/>
        </w:rPr>
      </w:pPr>
      <w:r>
        <w:rPr>
          <w:rFonts w:ascii="Arial" w:eastAsia="Arial" w:hAnsi="Arial" w:cs="Arial"/>
          <w:sz w:val="20"/>
          <w:szCs w:val="20"/>
        </w:rPr>
        <w:t>SARIMA:</w:t>
      </w:r>
    </w:p>
    <w:tbl>
      <w:tblPr>
        <w:tblStyle w:val="a1"/>
        <w:tblW w:w="4503" w:type="dxa"/>
        <w:tblInd w:w="-108" w:type="dxa"/>
        <w:tblLayout w:type="fixed"/>
        <w:tblLook w:val="0000" w:firstRow="0" w:lastRow="0" w:firstColumn="0" w:lastColumn="0" w:noHBand="0" w:noVBand="0"/>
      </w:tblPr>
      <w:tblGrid>
        <w:gridCol w:w="3936"/>
        <w:gridCol w:w="567"/>
      </w:tblGrid>
      <w:tr w:rsidR="009F5F59" w:rsidTr="008410E4">
        <w:tc>
          <w:tcPr>
            <w:tcW w:w="3936" w:type="dxa"/>
          </w:tcPr>
          <w:p w:rsidR="008410E4" w:rsidRPr="008410E4" w:rsidRDefault="00E36C75" w:rsidP="00871D77">
            <w:pPr>
              <w:spacing w:after="0"/>
              <w:ind w:leftChars="64" w:left="141" w:firstLineChars="0" w:firstLine="1"/>
              <w:jc w:val="both"/>
              <w:rPr>
                <w:rFonts w:ascii="Arial" w:eastAsia="Arial" w:hAnsi="Arial" w:cs="Arial"/>
                <w:sz w:val="20"/>
                <w:szCs w:val="20"/>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p</m:t>
                    </m:r>
                  </m:sub>
                </m:sSub>
                <m:d>
                  <m:dPr>
                    <m:ctrlPr>
                      <w:rPr>
                        <w:rFonts w:ascii="Cambria Math" w:hAnsi="Cambria Math" w:cs="Arial"/>
                        <w:i/>
                        <w:sz w:val="20"/>
                        <w:szCs w:val="20"/>
                      </w:rPr>
                    </m:ctrlPr>
                  </m:dPr>
                  <m:e>
                    <m:r>
                      <w:rPr>
                        <w:rFonts w:ascii="Cambria Math" w:hAnsi="Cambria Math" w:cs="Arial"/>
                        <w:sz w:val="20"/>
                        <w:szCs w:val="20"/>
                      </w:rPr>
                      <m:t>B</m:t>
                    </m:r>
                  </m:e>
                </m:d>
                <m:sSub>
                  <m:sSubPr>
                    <m:ctrlPr>
                      <w:rPr>
                        <w:rFonts w:ascii="Cambria Math" w:hAnsi="Cambria Math" w:cs="Arial"/>
                        <w:i/>
                        <w:sz w:val="20"/>
                        <w:szCs w:val="20"/>
                      </w:rPr>
                    </m:ctrlPr>
                  </m:sSubPr>
                  <m:e>
                    <m:r>
                      <m:rPr>
                        <m:sty m:val="p"/>
                      </m:rPr>
                      <w:rPr>
                        <w:rFonts w:ascii="Cambria Math" w:hAnsi="Cambria Math" w:cs="Arial"/>
                        <w:sz w:val="20"/>
                        <w:szCs w:val="20"/>
                      </w:rPr>
                      <m:t>Φ</m:t>
                    </m:r>
                  </m:e>
                  <m:sub>
                    <m:r>
                      <w:rPr>
                        <w:rFonts w:ascii="Cambria Math" w:hAnsi="Cambria Math" w:cs="Arial"/>
                        <w:sz w:val="20"/>
                        <w:szCs w:val="20"/>
                      </w:rPr>
                      <m:t>p</m:t>
                    </m:r>
                  </m:sub>
                </m:sSub>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s</m:t>
                    </m:r>
                  </m:sup>
                </m:s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1-B</m:t>
                        </m:r>
                      </m:e>
                    </m:d>
                  </m:e>
                  <m:sup>
                    <m:r>
                      <w:rPr>
                        <w:rFonts w:ascii="Cambria Math" w:hAnsi="Cambria Math" w:cs="Arial"/>
                        <w:sz w:val="20"/>
                        <w:szCs w:val="20"/>
                      </w:rPr>
                      <m:t>d</m:t>
                    </m:r>
                  </m:sup>
                </m:sSup>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s</m:t>
                            </m:r>
                          </m:sup>
                        </m:sSup>
                      </m:e>
                    </m:d>
                  </m:e>
                  <m:sup>
                    <m:r>
                      <w:rPr>
                        <w:rFonts w:ascii="Cambria Math" w:hAnsi="Cambria Math" w:cs="Arial"/>
                        <w:sz w:val="20"/>
                        <w:szCs w:val="20"/>
                      </w:rPr>
                      <m:t>D</m:t>
                    </m:r>
                  </m:sup>
                </m:s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m:oMathPara>
          </w:p>
          <w:p w:rsidR="009F5F59" w:rsidRPr="008410E4" w:rsidRDefault="008410E4" w:rsidP="00871D77">
            <w:pPr>
              <w:spacing w:after="0"/>
              <w:ind w:leftChars="64" w:left="141" w:firstLineChars="0" w:firstLine="1"/>
              <w:jc w:val="both"/>
              <w:rPr>
                <w:rFonts w:ascii="Arial" w:hAnsi="Arial" w:cs="Arial"/>
                <w:sz w:val="20"/>
                <w:szCs w:val="20"/>
              </w:rPr>
            </w:pPr>
            <m:oMathPara>
              <m:oMathParaPr>
                <m:jc m:val="left"/>
              </m:oMathParaPr>
              <m:oMath>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q</m:t>
                    </m:r>
                  </m:sub>
                </m:sSub>
                <m:r>
                  <w:rPr>
                    <w:rFonts w:ascii="Cambria Math" w:hAnsi="Cambria Math" w:cs="Arial"/>
                    <w:sz w:val="20"/>
                    <w:szCs w:val="20"/>
                  </w:rPr>
                  <m:t>(B)</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Q</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s</m:t>
                    </m:r>
                  </m:sup>
                </m:sSup>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m:oMathPara>
          </w:p>
        </w:tc>
        <w:tc>
          <w:tcPr>
            <w:tcW w:w="567" w:type="dxa"/>
            <w:vAlign w:val="center"/>
          </w:tcPr>
          <w:p w:rsidR="009F5F59" w:rsidRDefault="009F5F59" w:rsidP="00871D77">
            <w:pPr>
              <w:pBdr>
                <w:top w:val="nil"/>
                <w:left w:val="nil"/>
                <w:bottom w:val="nil"/>
                <w:right w:val="nil"/>
                <w:between w:val="nil"/>
              </w:pBdr>
              <w:spacing w:before="120" w:after="120"/>
              <w:ind w:left="0" w:hanging="2"/>
              <w:jc w:val="right"/>
              <w:rPr>
                <w:rFonts w:ascii="Arial" w:eastAsia="Arial" w:hAnsi="Arial" w:cs="Arial"/>
                <w:color w:val="000000"/>
                <w:sz w:val="20"/>
                <w:szCs w:val="20"/>
              </w:rPr>
            </w:pPr>
            <w:r>
              <w:rPr>
                <w:rFonts w:ascii="Arial" w:eastAsia="Arial" w:hAnsi="Arial" w:cs="Arial"/>
                <w:color w:val="000000"/>
                <w:sz w:val="20"/>
                <w:szCs w:val="20"/>
              </w:rPr>
              <w:t>(</w:t>
            </w:r>
            <w:r w:rsidR="008410E4">
              <w:rPr>
                <w:rFonts w:ascii="Arial" w:eastAsia="Arial" w:hAnsi="Arial" w:cs="Arial"/>
                <w:color w:val="000000"/>
                <w:sz w:val="20"/>
                <w:szCs w:val="20"/>
              </w:rPr>
              <w:t>3</w:t>
            </w:r>
            <w:r>
              <w:rPr>
                <w:rFonts w:ascii="Arial" w:eastAsia="Arial" w:hAnsi="Arial" w:cs="Arial"/>
                <w:color w:val="000000"/>
                <w:sz w:val="20"/>
                <w:szCs w:val="20"/>
              </w:rPr>
              <w:t>)</w:t>
            </w:r>
          </w:p>
        </w:tc>
      </w:tr>
    </w:tbl>
    <w:p w:rsidR="0078233C" w:rsidRPr="0078233C" w:rsidRDefault="0078233C" w:rsidP="00871D77">
      <w:pPr>
        <w:spacing w:after="0"/>
        <w:ind w:left="0" w:hanging="2"/>
        <w:jc w:val="both"/>
        <w:rPr>
          <w:rFonts w:ascii="Arial" w:eastAsiaTheme="minorEastAsia" w:hAnsi="Arial" w:cs="Arial"/>
          <w:sz w:val="20"/>
          <w:szCs w:val="20"/>
        </w:rPr>
      </w:pPr>
      <w:r w:rsidRPr="0078233C">
        <w:rPr>
          <w:rFonts w:ascii="Arial" w:hAnsi="Arial" w:cs="Arial"/>
          <w:sz w:val="20"/>
          <w:szCs w:val="20"/>
        </w:rPr>
        <w:t xml:space="preserve">With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00A601E9">
        <w:rPr>
          <w:rFonts w:ascii="Arial" w:eastAsiaTheme="minorEastAsia" w:hAnsi="Arial" w:cs="Arial"/>
          <w:sz w:val="20"/>
          <w:szCs w:val="20"/>
        </w:rPr>
        <w:t xml:space="preserve"> as the real</w:t>
      </w:r>
      <w:r w:rsidR="00420CAE">
        <w:rPr>
          <w:rFonts w:ascii="Arial" w:eastAsiaTheme="minorEastAsia" w:hAnsi="Arial" w:cs="Arial"/>
          <w:sz w:val="20"/>
          <w:szCs w:val="20"/>
        </w:rPr>
        <w:t xml:space="preserve"> or observed</w:t>
      </w:r>
      <w:r w:rsidRPr="0078233C">
        <w:rPr>
          <w:rFonts w:ascii="Arial" w:eastAsiaTheme="minorEastAsia" w:hAnsi="Arial" w:cs="Arial"/>
          <w:sz w:val="20"/>
          <w:szCs w:val="20"/>
        </w:rPr>
        <w:t xml:space="preserve"> data value,</w:t>
      </w:r>
      <w:r w:rsidRPr="0078233C">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p</m:t>
            </m:r>
          </m:sub>
        </m:sSub>
        <m:d>
          <m:dPr>
            <m:ctrlPr>
              <w:rPr>
                <w:rFonts w:ascii="Cambria Math" w:hAnsi="Cambria Math" w:cs="Arial"/>
                <w:i/>
                <w:sz w:val="20"/>
                <w:szCs w:val="20"/>
              </w:rPr>
            </m:ctrlPr>
          </m:dPr>
          <m:e>
            <m:r>
              <w:rPr>
                <w:rFonts w:ascii="Cambria Math" w:hAnsi="Cambria Math" w:cs="Arial"/>
                <w:sz w:val="20"/>
                <w:szCs w:val="20"/>
              </w:rPr>
              <m:t>B</m:t>
            </m:r>
          </m:e>
        </m:d>
      </m:oMath>
      <w:r w:rsidRPr="0078233C">
        <w:rPr>
          <w:rFonts w:ascii="Arial" w:eastAsiaTheme="minorEastAsia" w:hAnsi="Arial" w:cs="Arial"/>
          <w:sz w:val="20"/>
          <w:szCs w:val="20"/>
        </w:rPr>
        <w:t xml:space="preserve"> i</w:t>
      </w:r>
      <w:proofErr w:type="spellStart"/>
      <w:r w:rsidR="00871D77">
        <w:rPr>
          <w:rFonts w:ascii="Arial" w:eastAsiaTheme="minorEastAsia" w:hAnsi="Arial" w:cs="Arial"/>
          <w:sz w:val="20"/>
          <w:szCs w:val="20"/>
        </w:rPr>
        <w:t>s</w:t>
      </w:r>
      <w:proofErr w:type="spellEnd"/>
      <w:r w:rsidRPr="0078233C">
        <w:rPr>
          <w:rFonts w:ascii="Arial" w:eastAsiaTheme="minorEastAsia" w:hAnsi="Arial" w:cs="Arial"/>
          <w:sz w:val="20"/>
          <w:szCs w:val="20"/>
        </w:rPr>
        <w:t xml:space="preserve"> </w:t>
      </w:r>
      <w:r w:rsidR="006637D3">
        <w:rPr>
          <w:rFonts w:ascii="Arial" w:eastAsiaTheme="minorEastAsia" w:hAnsi="Arial" w:cs="Arial"/>
          <w:sz w:val="20"/>
          <w:szCs w:val="20"/>
        </w:rPr>
        <w:t xml:space="preserve">the </w:t>
      </w:r>
      <w:r w:rsidR="004A4647">
        <w:rPr>
          <w:rFonts w:ascii="Arial" w:eastAsiaTheme="minorEastAsia" w:hAnsi="Arial" w:cs="Arial"/>
          <w:sz w:val="20"/>
          <w:szCs w:val="20"/>
        </w:rPr>
        <w:t>ordo</w:t>
      </w:r>
      <w:r w:rsidRPr="0078233C">
        <w:rPr>
          <w:rFonts w:ascii="Arial" w:eastAsiaTheme="minorEastAsia" w:hAnsi="Arial" w:cs="Arial"/>
          <w:sz w:val="20"/>
          <w:szCs w:val="20"/>
        </w:rPr>
        <w:t xml:space="preserve"> of p, </w:t>
      </w:r>
      <m:oMath>
        <m:d>
          <m:dPr>
            <m:ctrlPr>
              <w:rPr>
                <w:rFonts w:ascii="Cambria Math" w:hAnsi="Cambria Math" w:cs="Arial"/>
                <w:i/>
                <w:sz w:val="20"/>
                <w:szCs w:val="20"/>
              </w:rPr>
            </m:ctrlPr>
          </m:dPr>
          <m:e>
            <m:r>
              <w:rPr>
                <w:rFonts w:ascii="Cambria Math" w:hAnsi="Cambria Math" w:cs="Arial"/>
                <w:sz w:val="20"/>
                <w:szCs w:val="20"/>
              </w:rPr>
              <m:t>1-B</m:t>
            </m:r>
          </m:e>
        </m:d>
      </m:oMath>
      <w:r w:rsidRPr="0078233C">
        <w:rPr>
          <w:rFonts w:ascii="Arial" w:eastAsiaTheme="minorEastAsia" w:hAnsi="Arial" w:cs="Arial"/>
          <w:sz w:val="20"/>
          <w:szCs w:val="20"/>
        </w:rPr>
        <w:t xml:space="preserve"> is a differencing </w:t>
      </w:r>
      <w:r w:rsidR="004A4647">
        <w:rPr>
          <w:rFonts w:ascii="Arial" w:eastAsiaTheme="minorEastAsia" w:hAnsi="Arial" w:cs="Arial"/>
          <w:sz w:val="20"/>
          <w:szCs w:val="20"/>
        </w:rPr>
        <w:t>operator for non-seasonal pattern</w:t>
      </w:r>
      <w:r w:rsidRPr="0078233C">
        <w:rPr>
          <w:rFonts w:ascii="Arial" w:eastAsiaTheme="minorEastAsia" w:hAnsi="Arial" w:cs="Arial"/>
          <w:sz w:val="20"/>
          <w:szCs w:val="20"/>
        </w:rPr>
        <w:t xml:space="preserve">, d as the number of differencing, t as the period at t, </w:t>
      </w:r>
      <m:oMath>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0</m:t>
            </m:r>
          </m:sub>
        </m:sSub>
      </m:oMath>
      <w:r w:rsidRPr="0078233C">
        <w:rPr>
          <w:rFonts w:ascii="Arial" w:eastAsiaTheme="minorEastAsia" w:hAnsi="Arial" w:cs="Arial"/>
          <w:sz w:val="20"/>
          <w:szCs w:val="20"/>
        </w:rPr>
        <w:t xml:space="preserve"> the constant term, </w:t>
      </w:r>
      <m:oMath>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q</m:t>
            </m:r>
          </m:sub>
        </m:sSub>
        <m:r>
          <w:rPr>
            <w:rFonts w:ascii="Cambria Math" w:hAnsi="Cambria Math" w:cs="Arial"/>
            <w:sz w:val="20"/>
            <w:szCs w:val="20"/>
          </w:rPr>
          <m:t>(B)</m:t>
        </m:r>
      </m:oMath>
      <w:r w:rsidRPr="0078233C">
        <w:rPr>
          <w:rFonts w:ascii="Arial" w:eastAsiaTheme="minorEastAsia" w:hAnsi="Arial" w:cs="Arial"/>
          <w:sz w:val="20"/>
          <w:szCs w:val="20"/>
        </w:rPr>
        <w:t xml:space="preserve"> as the order of q, and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w:r w:rsidRPr="0078233C">
        <w:rPr>
          <w:rFonts w:ascii="Arial" w:eastAsiaTheme="minorEastAsia" w:hAnsi="Arial" w:cs="Arial"/>
          <w:sz w:val="20"/>
          <w:szCs w:val="20"/>
        </w:rPr>
        <w:t xml:space="preserve"> as the error at time t. These symbols are used both in ARIMA and SARIMA. For SARIMA there are more symbols in the formula. With </w:t>
      </w:r>
      <m:oMath>
        <m:sSub>
          <m:sSubPr>
            <m:ctrlPr>
              <w:rPr>
                <w:rFonts w:ascii="Cambria Math" w:hAnsi="Cambria Math" w:cs="Arial"/>
                <w:i/>
                <w:sz w:val="20"/>
                <w:szCs w:val="20"/>
              </w:rPr>
            </m:ctrlPr>
          </m:sSubPr>
          <m:e>
            <m:r>
              <m:rPr>
                <m:sty m:val="p"/>
              </m:rPr>
              <w:rPr>
                <w:rFonts w:ascii="Cambria Math" w:hAnsi="Cambria Math" w:cs="Arial"/>
                <w:sz w:val="20"/>
                <w:szCs w:val="20"/>
              </w:rPr>
              <m:t>Φ</m:t>
            </m:r>
          </m:e>
          <m:sub>
            <m:r>
              <w:rPr>
                <w:rFonts w:ascii="Cambria Math" w:hAnsi="Cambria Math" w:cs="Arial"/>
                <w:sz w:val="20"/>
                <w:szCs w:val="20"/>
              </w:rPr>
              <m:t>p</m:t>
            </m:r>
          </m:sub>
        </m:sSub>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s</m:t>
            </m:r>
          </m:sup>
        </m:sSup>
        <m:r>
          <w:rPr>
            <w:rFonts w:ascii="Cambria Math" w:hAnsi="Cambria Math" w:cs="Arial"/>
            <w:sz w:val="20"/>
            <w:szCs w:val="20"/>
          </w:rPr>
          <m:t>)</m:t>
        </m:r>
      </m:oMath>
      <w:r w:rsidRPr="0078233C">
        <w:rPr>
          <w:rFonts w:ascii="Arial" w:eastAsiaTheme="minorEastAsia" w:hAnsi="Arial" w:cs="Arial"/>
          <w:sz w:val="20"/>
          <w:szCs w:val="20"/>
        </w:rPr>
        <w:t xml:space="preserve"> in order of P,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1-B</m:t>
                </m:r>
              </m:e>
            </m:d>
          </m:e>
          <m:sup>
            <m:r>
              <w:rPr>
                <w:rFonts w:ascii="Cambria Math" w:hAnsi="Cambria Math" w:cs="Arial"/>
                <w:sz w:val="20"/>
                <w:szCs w:val="20"/>
              </w:rPr>
              <m:t>d</m:t>
            </m:r>
          </m:sup>
        </m:sSup>
      </m:oMath>
      <w:r w:rsidRPr="0078233C">
        <w:rPr>
          <w:rFonts w:ascii="Arial" w:eastAsiaTheme="minorEastAsia" w:hAnsi="Arial" w:cs="Arial"/>
          <w:sz w:val="20"/>
          <w:szCs w:val="20"/>
        </w:rPr>
        <w:t xml:space="preserve"> in order of Q, s as the seasonal period length, D as the seasonal d</w:t>
      </w:r>
      <w:proofErr w:type="spellStart"/>
      <w:r w:rsidRPr="0078233C">
        <w:rPr>
          <w:rFonts w:ascii="Arial" w:eastAsiaTheme="minorEastAsia" w:hAnsi="Arial" w:cs="Arial"/>
          <w:sz w:val="20"/>
          <w:szCs w:val="20"/>
        </w:rPr>
        <w:t>ifferencing</w:t>
      </w:r>
      <w:proofErr w:type="spellEnd"/>
      <w:r w:rsidRPr="0078233C">
        <w:rPr>
          <w:rFonts w:ascii="Arial" w:eastAsiaTheme="minorEastAsia" w:hAnsi="Arial" w:cs="Arial"/>
          <w:sz w:val="20"/>
          <w:szCs w:val="20"/>
        </w:rPr>
        <w:t xml:space="preserve">, </w:t>
      </w:r>
      <m:oMath>
        <m:r>
          <w:rPr>
            <w:rFonts w:ascii="Cambria Math" w:hAnsi="Cambria Math" w:cs="Arial"/>
            <w:sz w:val="20"/>
            <w:szCs w:val="20"/>
          </w:rPr>
          <m:t>(1-</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s</m:t>
            </m:r>
          </m:sup>
        </m:sSup>
        <m:r>
          <w:rPr>
            <w:rFonts w:ascii="Cambria Math" w:hAnsi="Cambria Math" w:cs="Arial"/>
            <w:sz w:val="20"/>
            <w:szCs w:val="20"/>
          </w:rPr>
          <m:t>)</m:t>
        </m:r>
      </m:oMath>
      <w:r w:rsidRPr="0078233C">
        <w:rPr>
          <w:rFonts w:ascii="Arial" w:eastAsiaTheme="minorEastAsia" w:hAnsi="Arial" w:cs="Arial"/>
          <w:sz w:val="20"/>
          <w:szCs w:val="20"/>
        </w:rPr>
        <w:t xml:space="preserve"> as a seasonal differencing operator. </w:t>
      </w:r>
    </w:p>
    <w:p w:rsidR="00BC7E6E" w:rsidRDefault="003F171F" w:rsidP="003F171F">
      <w:pPr>
        <w:spacing w:after="0" w:line="240" w:lineRule="auto"/>
        <w:ind w:left="0" w:hanging="2"/>
        <w:jc w:val="both"/>
        <w:rPr>
          <w:rFonts w:ascii="Arial" w:eastAsia="Arial" w:hAnsi="Arial" w:cs="Arial"/>
          <w:sz w:val="20"/>
          <w:szCs w:val="20"/>
        </w:rPr>
      </w:pPr>
      <w:r w:rsidRPr="003F171F">
        <w:rPr>
          <w:rFonts w:ascii="Arial" w:hAnsi="Arial" w:cs="Arial"/>
          <w:sz w:val="20"/>
          <w:szCs w:val="20"/>
        </w:rPr>
        <w:t xml:space="preserve">There are several residual requirements for both ARIMA and SARIMA; so that the model can be considered valid or not biased. Those are the residuals of the model should be independent or not have autocorrelation, should be homoscedasticity, and have a normal distribution </w:t>
      </w:r>
      <w:r w:rsidRPr="003F171F">
        <w:rPr>
          <w:rFonts w:ascii="Arial" w:hAnsi="Arial" w:cs="Arial"/>
          <w:sz w:val="20"/>
          <w:szCs w:val="20"/>
        </w:rPr>
        <w:fldChar w:fldCharType="begin" w:fldLock="1"/>
      </w:r>
      <w:r w:rsidR="00EE0732">
        <w:rPr>
          <w:rFonts w:ascii="Arial" w:hAnsi="Arial" w:cs="Arial"/>
          <w:sz w:val="20"/>
          <w:szCs w:val="20"/>
        </w:rPr>
        <w:instrText>ADDIN CSL_CITATION {"citationItems":[{"id":"ITEM-1","itemData":{"DOI":"10.1016/j.annepidem.2007.03.020","ISSN":"10472797","PMID":"17604645","abstract":"Purpose: Few studies have examined the relationship between weather variables and cryptosporidiosis in Australia. This paper examines the potential impact of weather variability on the transmission of cryptosporidiosis and explores the possibility of developing an empirical forecast system. Methods: Data on weather variables, notified cryptosporidiosis cases, and population size in Brisbane were supplied by the Australian Bureau of Meteorology, Queensland Department of Health, and Australian Bureau of Statistics for the period of January 1, 1996-December 31, 2004, respectively. Time series Poisson regression and seasonal auto-regression integrated moving average (SARIMA) models were performed to examine the potential impact of weather variability on the transmission of cryptosporidiosis. Results: Both the time series Poisson regression and SARIMA models show that seasonal and monthly maximum temperature at a prior moving average of 1 and 3 months were significantly associated with cryptosporidiosis disease. It suggests that there may be 50 more cases a year for an increase of 1°C maximum temperature on average in Brisbane. Model assessments indicated that the SARIMA model had better predictive ability than the Poisson regression model (SARIMA: root mean square error (RMSE): 0.40, Akaike information criterion (AIC): -12.53; Poisson regression: RMSE: 0.54, AIC: -2.84). Furthermore, the analysis of residuals shows that the time series Poisson regression appeared to violate a modeling assumption, in that residual autocorrelation persisted. Conclusions: The results of this study suggest that weather variability (particularly maximum temperature) may have played a significant role in the transmission of cryptosporidiosis. A SARIMA model may be a better predictive model than a Poisson regression model in the assessment of the relationship between weather variability and the incidence of cryptosporidiosis. © 2007 Elsevier Inc. All rights reserved.","author":[{"dropping-particle":"","family":"Hu","given":"Wenbiao","non-dropping-particle":"","parse-names":false,"suffix":""},{"dropping-particle":"","family":"Tong","given":"Shilu","non-dropping-particle":"","parse-names":false,"suffix":""},{"dropping-particle":"","family":"Mengersen","given":"Kerrie","non-dropping-particle":"","parse-names":false,"suffix":""},{"dropping-particle":"","family":"Connell","given":"Des","non-dropping-particle":"","parse-names":false,"suffix":""}],"container-title":"Annals of Epidemiology","id":"ITEM-1","issue":"9","issued":{"date-parts":[["2007"]]},"page":"679-688","title":"Weather Variability and the Incidence of Cryptosporidiosis: Comparison of Time Series Poisson Regression and SARIMA Models","type":"article-journal","volume":"17"},"uris":["http://www.mendeley.com/documents/?uuid=590ecbbe-5fef-4436-9f4d-f96063723201"]}],"mendeley":{"formattedCitation":"[23]","plainTextFormattedCitation":"[23]","previouslyFormattedCitation":"[23]"},"properties":{"noteIndex":0},"schema":"https://github.com/citation-style-language/schema/raw/master/csl-citation.json"}</w:instrText>
      </w:r>
      <w:r w:rsidRPr="003F171F">
        <w:rPr>
          <w:rFonts w:ascii="Arial" w:hAnsi="Arial" w:cs="Arial"/>
          <w:sz w:val="20"/>
          <w:szCs w:val="20"/>
        </w:rPr>
        <w:fldChar w:fldCharType="separate"/>
      </w:r>
      <w:r w:rsidR="00703960" w:rsidRPr="00703960">
        <w:rPr>
          <w:rFonts w:ascii="Arial" w:hAnsi="Arial" w:cs="Arial"/>
          <w:noProof/>
          <w:sz w:val="20"/>
          <w:szCs w:val="20"/>
        </w:rPr>
        <w:t>[23]</w:t>
      </w:r>
      <w:r w:rsidRPr="003F171F">
        <w:rPr>
          <w:rFonts w:ascii="Arial" w:hAnsi="Arial" w:cs="Arial"/>
          <w:sz w:val="20"/>
          <w:szCs w:val="20"/>
        </w:rPr>
        <w:fldChar w:fldCharType="end"/>
      </w:r>
      <w:r w:rsidRPr="003F171F">
        <w:rPr>
          <w:rFonts w:ascii="Arial" w:hAnsi="Arial" w:cs="Arial"/>
          <w:sz w:val="20"/>
          <w:szCs w:val="20"/>
        </w:rPr>
        <w:t xml:space="preserve">. The autocorrelation and homoscedasticity can be checked by ACF and PACF graphs </w:t>
      </w:r>
      <w:r w:rsidRPr="003F171F">
        <w:rPr>
          <w:rFonts w:ascii="Arial" w:hAnsi="Arial" w:cs="Arial"/>
          <w:sz w:val="20"/>
          <w:szCs w:val="20"/>
        </w:rPr>
        <w:fldChar w:fldCharType="begin" w:fldLock="1"/>
      </w:r>
      <w:r w:rsidR="00EE0732">
        <w:rPr>
          <w:rFonts w:ascii="Arial" w:hAnsi="Arial" w:cs="Arial"/>
          <w:sz w:val="20"/>
          <w:szCs w:val="20"/>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retailing?","type":"article-journal","volume":"11"},"uris":["http://www.mendeley.com/documents/?uuid=b05c72ae-5e63-40d2-bd2e-350692d8cfbc"]},{"id":"ITEM-2","itemData":{"DOI":"10.3390/econometrics10020018","ISSN":"22251146","abstract":"The COVID-19 pandemic is a serious threat to all of us. It has caused an unprecedented shock to the world’s economy, and it has interrupted the lives and livelihood of millions of people. In the last two years, a large body of literature has attempted to forecast the main dimensions of the COVID-19 outbreak using a wide set of models. In this paper, I forecast the short-to mid-term cumulative deaths from COVID-19 in 12 hard-hit big countries around the world as of 20 August 2021. The data used in the analysis were extracted from the Our World in Data COVID-19 dataset. Both non-seasonal and seasonal autoregressive integrated moving averages (ARIMA and SARIMA) were estimated. The analysis showed that: (i) ARIMA/SARIMA forecasts were sufficiently accurate in both the training and test set by always outperforming the simple alternative forecasting techniques chosen as benchmarks (Mean, Naïve, and Seasonal Naïve); (ii) SARIMA models outperformed ARIMA models in 47 out 48 metrics (in forecasting future values), i.e., on 97.9% of all the considered forecast accuracy measures (mean absolute error [MAE], mean absolute percentage error [MAPE], mean absolute scaled error [MASE], and the root mean squared error [RMSE]), suggesting a clear seasonal pattern in the data; and (iii) the forecasted values from SARIMA models fitted very well the observed (real-time) data for the period 21 August 2021–19 September 2021 for almost all the countries analyzed. This article shows that SARIMA can be safely used for both the short-and medium-term predictions of COVID-19 deaths. Thus, this approach can help government authorities to monitor and manage the huge pressure that COVID-19 is exerting on national healthcare systems.","author":[{"dropping-particle":"","family":"Perone","given":"Gaetano","non-dropping-particle":"","parse-names":false,"suffix":""}],"container-title":"Econometrics","id":"ITEM-2","issue":"2","issued":{"date-parts":[["2022"]]},"title":"Using the SARIMA Model to Forecast the Fourth Global Wave of Cumulative Deaths from COVID-19: Evidence from 12 Hard-Hit Big Countries","type":"article-journal","volume":"10"},"uris":["http://www.mendeley.com/documents/?uuid=e0bec484-9816-4ed8-9e27-b5498f78271f"]},{"id":"ITEM-3","itemData":{"DOI":"10.1016/j.annepidem.2007.03.020","ISSN":"10472797","PMID":"17604645","abstract":"Purpose: Few studies have examined the relationship between weather variables and cryptosporidiosis in Australia. This paper examines the potential impact of weather variability on the transmission of cryptosporidiosis and explores the possibility of developing an empirical forecast system. Methods: Data on weather variables, notified cryptosporidiosis cases, and population size in Brisbane were supplied by the Australian Bureau of Meteorology, Queensland Department of Health, and Australian Bureau of Statistics for the period of January 1, 1996-December 31, 2004, respectively. Time series Poisson regression and seasonal auto-regression integrated moving average (SARIMA) models were performed to examine the potential impact of weather variability on the transmission of cryptosporidiosis. Results: Both the time series Poisson regression and SARIMA models show that seasonal and monthly maximum temperature at a prior moving average of 1 and 3 months were significantly associated with cryptosporidiosis disease. It suggests that there may be 50 more cases a year for an increase of 1°C maximum temperature on average in Brisbane. Model assessments indicated that the SARIMA model had better predictive ability than the Poisson regression model (SARIMA: root mean square error (RMSE): 0.40, Akaike information criterion (AIC): -12.53; Poisson regression: RMSE: 0.54, AIC: -2.84). Furthermore, the analysis of residuals shows that the time series Poisson regression appeared to violate a modeling assumption, in that residual autocorrelation persisted. Conclusions: The results of this study suggest that weather variability (particularly maximum temperature) may have played a significant role in the transmission of cryptosporidiosis. A SARIMA model may be a better predictive model than a Poisson regression model in the assessment of the relationship between weather variability and the incidence of cryptosporidiosis. © 2007 Elsevier Inc. All rights reserved.","author":[{"dropping-particle":"","family":"Hu","given":"Wenbiao","non-dropping-particle":"","parse-names":false,"suffix":""},{"dropping-particle":"","family":"Tong","given":"Shilu","non-dropping-particle":"","parse-names":false,"suffix":""},{"dropping-particle":"","family":"Mengersen","given":"Kerrie","non-dropping-particle":"","parse-names":false,"suffix":""},{"dropping-particle":"","family":"Connell","given":"Des","non-dropping-particle":"","parse-names":false,"suffix":""}],"container-title":"Annals of Epidemiology","id":"ITEM-3","issue":"9","issued":{"date-parts":[["2007"]]},"page":"679-688","title":"Weather Variability and the Incidence of Cryptosporidiosis: Comparison of Time Series Poisson Regression and SARIMA Models","type":"article-journal","volume":"17"},"uris":["http://www.mendeley.com/documents/?uuid=590ecbbe-5fef-4436-9f4d-f96063723201"]}],"mendeley":{"formattedCitation":"[17], [21], [23]","plainTextFormattedCitation":"[17], [21], [23]","previouslyFormattedCitation":"[17], [21], [23]"},"properties":{"noteIndex":0},"schema":"https://github.com/citation-style-language/schema/raw/master/csl-citation.json"}</w:instrText>
      </w:r>
      <w:r w:rsidRPr="003F171F">
        <w:rPr>
          <w:rFonts w:ascii="Arial" w:hAnsi="Arial" w:cs="Arial"/>
          <w:sz w:val="20"/>
          <w:szCs w:val="20"/>
        </w:rPr>
        <w:fldChar w:fldCharType="separate"/>
      </w:r>
      <w:r w:rsidR="00703960" w:rsidRPr="00703960">
        <w:rPr>
          <w:rFonts w:ascii="Arial" w:hAnsi="Arial" w:cs="Arial"/>
          <w:noProof/>
          <w:sz w:val="20"/>
          <w:szCs w:val="20"/>
        </w:rPr>
        <w:t>[17], [21], [23]</w:t>
      </w:r>
      <w:r w:rsidRPr="003F171F">
        <w:rPr>
          <w:rFonts w:ascii="Arial" w:hAnsi="Arial" w:cs="Arial"/>
          <w:sz w:val="20"/>
          <w:szCs w:val="20"/>
        </w:rPr>
        <w:fldChar w:fldCharType="end"/>
      </w:r>
      <w:r w:rsidRPr="003F171F">
        <w:rPr>
          <w:rFonts w:ascii="Arial" w:hAnsi="Arial" w:cs="Arial"/>
          <w:sz w:val="20"/>
          <w:szCs w:val="20"/>
        </w:rPr>
        <w:t xml:space="preserve">. If no value surpasses the control line on those graphs, these assumptions are satisfied </w:t>
      </w:r>
      <w:r w:rsidRPr="003F171F">
        <w:rPr>
          <w:rFonts w:ascii="Arial" w:hAnsi="Arial" w:cs="Arial"/>
          <w:sz w:val="20"/>
          <w:szCs w:val="20"/>
        </w:rPr>
        <w:fldChar w:fldCharType="begin" w:fldLock="1"/>
      </w:r>
      <w:r w:rsidR="00EE0732">
        <w:rPr>
          <w:rFonts w:ascii="Arial" w:hAnsi="Arial" w:cs="Arial"/>
          <w:sz w:val="20"/>
          <w:szCs w:val="20"/>
        </w:rPr>
        <w:instrText>ADDIN CSL_CITATION {"citationItems":[{"id":"ITEM-1","itemData":{"DOI":"10.3390/econometrics10020018","ISSN":"22251146","abstract":"The COVID-19 pandemic is a serious threat to all of us. It has caused an unprecedented shock to the world’s economy, and it has interrupted the lives and livelihood of millions of people. In the last two years, a large body of literature has attempted to forecast the main dimensions of the COVID-19 outbreak using a wide set of models. In this paper, I forecast the short-to mid-term cumulative deaths from COVID-19 in 12 hard-hit big countries around the world as of 20 August 2021. The data used in the analysis were extracted from the Our World in Data COVID-19 dataset. Both non-seasonal and seasonal autoregressive integrated moving averages (ARIMA and SARIMA) were estimated. The analysis showed that: (i) ARIMA/SARIMA forecasts were sufficiently accurate in both the training and test set by always outperforming the simple alternative forecasting techniques chosen as benchmarks (Mean, Naïve, and Seasonal Naïve); (ii) SARIMA models outperformed ARIMA models in 47 out 48 metrics (in forecasting future values), i.e., on 97.9% of all the considered forecast accuracy measures (mean absolute error [MAE], mean absolute percentage error [MAPE], mean absolute scaled error [MASE], and the root mean squared error [RMSE]), suggesting a clear seasonal pattern in the data; and (iii) the forecasted values from SARIMA models fitted very well the observed (real-time) data for the period 21 August 2021–19 September 2021 for almost all the countries analyzed. This article shows that SARIMA can be safely used for both the short-and medium-term predictions of COVID-19 deaths. Thus, this approach can help government authorities to monitor and manage the huge pressure that COVID-19 is exerting on national healthcare systems.","author":[{"dropping-particle":"","family":"Perone","given":"Gaetano","non-dropping-particle":"","parse-names":false,"suffix":""}],"container-title":"Econometrics","id":"ITEM-1","issue":"2","issued":{"date-parts":[["2022"]]},"title":"Using the SARIMA Model to Forecast the Fourth Global Wave of Cumulative Deaths from COVID-19: Evidence from 12 Hard-Hit Big Countries","type":"article-journal","volume":"10"},"uris":["http://www.mendeley.com/documents/?uuid=e0bec484-9816-4ed8-9e27-b5498f78271f"]}],"mendeley":{"formattedCitation":"[21]","plainTextFormattedCitation":"[21]","previouslyFormattedCitation":"[21]"},"properties":{"noteIndex":0},"schema":"https://github.com/citation-style-language/schema/raw/master/csl-citation.json"}</w:instrText>
      </w:r>
      <w:r w:rsidRPr="003F171F">
        <w:rPr>
          <w:rFonts w:ascii="Arial" w:hAnsi="Arial" w:cs="Arial"/>
          <w:sz w:val="20"/>
          <w:szCs w:val="20"/>
        </w:rPr>
        <w:fldChar w:fldCharType="separate"/>
      </w:r>
      <w:r w:rsidR="00703960" w:rsidRPr="00703960">
        <w:rPr>
          <w:rFonts w:ascii="Arial" w:hAnsi="Arial" w:cs="Arial"/>
          <w:noProof/>
          <w:sz w:val="20"/>
          <w:szCs w:val="20"/>
        </w:rPr>
        <w:t>[21]</w:t>
      </w:r>
      <w:r w:rsidRPr="003F171F">
        <w:rPr>
          <w:rFonts w:ascii="Arial" w:hAnsi="Arial" w:cs="Arial"/>
          <w:sz w:val="20"/>
          <w:szCs w:val="20"/>
        </w:rPr>
        <w:fldChar w:fldCharType="end"/>
      </w:r>
      <w:r w:rsidRPr="003F171F">
        <w:rPr>
          <w:rFonts w:ascii="Arial" w:hAnsi="Arial" w:cs="Arial"/>
          <w:sz w:val="20"/>
          <w:szCs w:val="20"/>
        </w:rPr>
        <w:t xml:space="preserve">. In addition, the </w:t>
      </w:r>
      <w:proofErr w:type="spellStart"/>
      <w:r w:rsidRPr="003F171F">
        <w:rPr>
          <w:rFonts w:ascii="Arial" w:hAnsi="Arial" w:cs="Arial"/>
          <w:sz w:val="20"/>
          <w:szCs w:val="20"/>
        </w:rPr>
        <w:t>Ljung</w:t>
      </w:r>
      <w:proofErr w:type="spellEnd"/>
      <w:r w:rsidRPr="003F171F">
        <w:rPr>
          <w:rFonts w:ascii="Arial" w:hAnsi="Arial" w:cs="Arial"/>
          <w:sz w:val="20"/>
          <w:szCs w:val="20"/>
        </w:rPr>
        <w:t xml:space="preserve">-Box Statistics Test can also be used to check the autocorrelation </w:t>
      </w:r>
      <w:r w:rsidRPr="003F171F">
        <w:rPr>
          <w:rFonts w:ascii="Arial" w:hAnsi="Arial" w:cs="Arial"/>
          <w:sz w:val="20"/>
          <w:szCs w:val="20"/>
        </w:rPr>
        <w:fldChar w:fldCharType="begin" w:fldLock="1"/>
      </w:r>
      <w:r w:rsidR="009A6400">
        <w:rPr>
          <w:rFonts w:ascii="Arial" w:hAnsi="Arial" w:cs="Arial"/>
          <w:sz w:val="20"/>
          <w:szCs w:val="20"/>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mendeley":{"formattedCitation":"[17]","plainTextFormattedCitation":"[17]","previouslyFormattedCitation":"[17]"},"properties":{"noteIndex":0},"schema":"https://github.com/citation-style-language/schema/raw/master/csl-citation.json"}</w:instrText>
      </w:r>
      <w:r w:rsidRPr="003F171F">
        <w:rPr>
          <w:rFonts w:ascii="Arial" w:hAnsi="Arial" w:cs="Arial"/>
          <w:sz w:val="20"/>
          <w:szCs w:val="20"/>
        </w:rPr>
        <w:fldChar w:fldCharType="separate"/>
      </w:r>
      <w:r w:rsidR="009A6400" w:rsidRPr="009A6400">
        <w:rPr>
          <w:rFonts w:ascii="Arial" w:hAnsi="Arial" w:cs="Arial"/>
          <w:noProof/>
          <w:sz w:val="20"/>
          <w:szCs w:val="20"/>
        </w:rPr>
        <w:t>[17]</w:t>
      </w:r>
      <w:r w:rsidRPr="003F171F">
        <w:rPr>
          <w:rFonts w:ascii="Arial" w:hAnsi="Arial" w:cs="Arial"/>
          <w:sz w:val="20"/>
          <w:szCs w:val="20"/>
        </w:rPr>
        <w:fldChar w:fldCharType="end"/>
      </w:r>
      <w:r>
        <w:rPr>
          <w:rFonts w:ascii="Arial" w:eastAsia="Arial" w:hAnsi="Arial" w:cs="Arial"/>
          <w:sz w:val="20"/>
          <w:szCs w:val="20"/>
        </w:rPr>
        <w:t>.</w:t>
      </w:r>
    </w:p>
    <w:p w:rsidR="00EA3C65" w:rsidRDefault="00EA3C65">
      <w:pPr>
        <w:spacing w:after="0" w:line="240" w:lineRule="auto"/>
        <w:ind w:left="0" w:hanging="2"/>
        <w:jc w:val="both"/>
        <w:rPr>
          <w:rFonts w:ascii="Arial" w:eastAsia="Arial" w:hAnsi="Arial" w:cs="Arial"/>
          <w:sz w:val="20"/>
          <w:szCs w:val="20"/>
        </w:rPr>
      </w:pPr>
    </w:p>
    <w:p w:rsidR="00EA3C65" w:rsidRDefault="0041400C" w:rsidP="00EA3C65">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Decomposition</w:t>
      </w:r>
      <w:r w:rsidR="00EA3C65">
        <w:rPr>
          <w:rFonts w:ascii="Arial" w:eastAsia="Arial" w:hAnsi="Arial" w:cs="Arial"/>
          <w:b/>
          <w:color w:val="1F4E79"/>
          <w:sz w:val="20"/>
          <w:szCs w:val="20"/>
        </w:rPr>
        <w:t xml:space="preserve"> Forecast Model</w:t>
      </w:r>
    </w:p>
    <w:p w:rsidR="00A82227" w:rsidRDefault="00A82227" w:rsidP="00A82227">
      <w:pPr>
        <w:spacing w:after="0" w:line="240" w:lineRule="auto"/>
        <w:ind w:left="-2" w:firstLineChars="0" w:firstLine="0"/>
        <w:jc w:val="both"/>
        <w:rPr>
          <w:rFonts w:ascii="Arial" w:hAnsi="Arial" w:cs="Arial"/>
          <w:sz w:val="20"/>
          <w:szCs w:val="20"/>
        </w:rPr>
      </w:pPr>
      <w:r w:rsidRPr="00A82227">
        <w:rPr>
          <w:rFonts w:ascii="Arial" w:hAnsi="Arial" w:cs="Arial"/>
          <w:sz w:val="20"/>
          <w:szCs w:val="20"/>
        </w:rPr>
        <w:t xml:space="preserve">There are two types of decomposition models, those are additive and multiplicative decomposition models. We use an additive decomposition if there is a considerably constant variability in the data over time and choose the other for the opposite condition. However, if it is </w:t>
      </w:r>
      <w:r w:rsidRPr="00A82227">
        <w:rPr>
          <w:rFonts w:ascii="Arial" w:hAnsi="Arial" w:cs="Arial"/>
          <w:sz w:val="20"/>
          <w:szCs w:val="20"/>
        </w:rPr>
        <w:t>difficult to decide which decomposition model is used, we can try to do both models and check the error assumption for both models. Later we can choose the model that satisfies this assumption.</w:t>
      </w:r>
    </w:p>
    <w:p w:rsidR="0096479D" w:rsidRDefault="0096479D" w:rsidP="009A0485">
      <w:pPr>
        <w:spacing w:after="0" w:line="240" w:lineRule="auto"/>
        <w:ind w:left="0" w:hanging="2"/>
        <w:jc w:val="both"/>
        <w:rPr>
          <w:rFonts w:ascii="Arial" w:hAnsi="Arial" w:cs="Arial"/>
          <w:sz w:val="20"/>
          <w:szCs w:val="20"/>
        </w:rPr>
      </w:pPr>
      <w:r>
        <w:rPr>
          <w:rFonts w:ascii="Arial" w:hAnsi="Arial" w:cs="Arial"/>
          <w:sz w:val="20"/>
          <w:szCs w:val="20"/>
        </w:rPr>
        <w:t>T</w:t>
      </w:r>
      <w:r w:rsidRPr="00572332">
        <w:rPr>
          <w:rFonts w:ascii="Arial" w:hAnsi="Arial" w:cs="Arial"/>
          <w:sz w:val="20"/>
          <w:szCs w:val="20"/>
        </w:rPr>
        <w:t xml:space="preserve">he formula for decomposition models are </w:t>
      </w:r>
      <w:r w:rsidRPr="00572332">
        <w:rPr>
          <w:rFonts w:ascii="Arial" w:hAnsi="Arial" w:cs="Arial"/>
          <w:sz w:val="20"/>
          <w:szCs w:val="20"/>
        </w:rPr>
        <w:fldChar w:fldCharType="begin" w:fldLock="1"/>
      </w:r>
      <w:r w:rsidR="00EE0732">
        <w:rPr>
          <w:rFonts w:ascii="Arial" w:hAnsi="Arial" w:cs="Arial"/>
          <w:sz w:val="20"/>
          <w:szCs w:val="20"/>
        </w:rPr>
        <w:instrText>ADDIN CSL_CITATION {"citationItems":[{"id":"ITEM-1","itemData":{"DOI":"10.4236/oalib.1106435","ISSN":"2333-9721","abstract":"This paper demonstrates the use of Buys-Ballot table for identification of decomposition model using graphical method, when the trend cycle component is quadratic. A suitable ARIMA model was fitted, and was used for forecasting. Using the Buys-Ballot techniques, the column means, variances and standard deviation were estimated for the model identification. The additive model had no seasonal effect but, the multiplicative model had seasonal effect. The result of the illustrative example using the data of Nigeria Spot component price of oil (US Dollar per Barrel) showed the additive model to be the appropriate model for decomposition of this series. AR(2) model was identified as a suitable ARIMA model for the de-trended Nigeria Spot component price of oil. This was used to make forecast for the next twelve months. The obtained expected oil prices were compared with the observed prices. The comparison of expected and observed prices showed no significance difference between them, using Mean Absolute Percentage Error (MAPE).","author":[{"dropping-particle":"","family":"Emmanuel","given":"Biu O.","non-dropping-particle":"","parse-names":false,"suffix":""},{"dropping-particle":"","family":"Enegesele","given":"Dennis","non-dropping-particle":"","parse-names":false,"suffix":""},{"dropping-particle":"","family":"Arimie","given":"C. O.","non-dropping-particle":"","parse-names":false,"suffix":""}],"container-title":"OALib","id":"ITEM-1","issue":"07","issued":{"date-parts":[["2020"]]},"page":"1-20","title":"Additive Decomposition with Arima Model Forecasts When the Trend Component Is Quadratic","type":"article-journal","volume":"07"},"uris":["http://www.mendeley.com/documents/?uuid=9babbbcb-86ef-48a8-b678-8c05e713f95d"]}],"mendeley":{"formattedCitation":"[24]","plainTextFormattedCitation":"[24]","previouslyFormattedCitation":"[24]"},"properties":{"noteIndex":0},"schema":"https://github.com/citation-style-language/schema/raw/master/csl-citation.json"}</w:instrText>
      </w:r>
      <w:r w:rsidRPr="00572332">
        <w:rPr>
          <w:rFonts w:ascii="Arial" w:hAnsi="Arial" w:cs="Arial"/>
          <w:sz w:val="20"/>
          <w:szCs w:val="20"/>
        </w:rPr>
        <w:fldChar w:fldCharType="separate"/>
      </w:r>
      <w:r w:rsidR="00703960" w:rsidRPr="00703960">
        <w:rPr>
          <w:rFonts w:ascii="Arial" w:hAnsi="Arial" w:cs="Arial"/>
          <w:noProof/>
          <w:sz w:val="20"/>
          <w:szCs w:val="20"/>
        </w:rPr>
        <w:t>[24]</w:t>
      </w:r>
      <w:r w:rsidRPr="00572332">
        <w:rPr>
          <w:rFonts w:ascii="Arial" w:hAnsi="Arial" w:cs="Arial"/>
          <w:sz w:val="20"/>
          <w:szCs w:val="20"/>
        </w:rPr>
        <w:fldChar w:fldCharType="end"/>
      </w:r>
      <w:r w:rsidRPr="00572332">
        <w:rPr>
          <w:rFonts w:ascii="Arial" w:hAnsi="Arial" w:cs="Arial"/>
          <w:sz w:val="20"/>
          <w:szCs w:val="20"/>
        </w:rPr>
        <w:t>:</w:t>
      </w:r>
    </w:p>
    <w:p w:rsidR="00863D87" w:rsidRPr="009A0485" w:rsidRDefault="0041400C" w:rsidP="009A0485">
      <w:pPr>
        <w:spacing w:after="0" w:line="240" w:lineRule="auto"/>
        <w:ind w:left="0" w:hanging="2"/>
        <w:jc w:val="both"/>
        <w:rPr>
          <w:rFonts w:ascii="Arial" w:hAnsi="Arial" w:cs="Arial"/>
          <w:sz w:val="20"/>
          <w:szCs w:val="20"/>
        </w:rPr>
      </w:pPr>
      <w:r w:rsidRPr="009A0485">
        <w:rPr>
          <w:rFonts w:ascii="Arial" w:hAnsi="Arial" w:cs="Arial"/>
          <w:sz w:val="20"/>
          <w:szCs w:val="20"/>
        </w:rPr>
        <w:t>Additive Decomposition Model:</w:t>
      </w:r>
    </w:p>
    <w:tbl>
      <w:tblPr>
        <w:tblStyle w:val="a1"/>
        <w:tblW w:w="4503" w:type="dxa"/>
        <w:tblInd w:w="-108" w:type="dxa"/>
        <w:tblLayout w:type="fixed"/>
        <w:tblLook w:val="0000" w:firstRow="0" w:lastRow="0" w:firstColumn="0" w:lastColumn="0" w:noHBand="0" w:noVBand="0"/>
      </w:tblPr>
      <w:tblGrid>
        <w:gridCol w:w="3369"/>
        <w:gridCol w:w="1134"/>
      </w:tblGrid>
      <w:tr w:rsidR="00863D87" w:rsidRPr="009A0485" w:rsidTr="00E06F47">
        <w:tc>
          <w:tcPr>
            <w:tcW w:w="3369" w:type="dxa"/>
            <w:vAlign w:val="center"/>
          </w:tcPr>
          <w:p w:rsidR="00863D87" w:rsidRPr="009A0485" w:rsidRDefault="00E36C75" w:rsidP="009A0485">
            <w:pPr>
              <w:spacing w:after="0"/>
              <w:ind w:left="0" w:hanging="2"/>
              <w:jc w:val="cente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m:oMathPara>
          </w:p>
        </w:tc>
        <w:tc>
          <w:tcPr>
            <w:tcW w:w="1134" w:type="dxa"/>
            <w:vAlign w:val="center"/>
          </w:tcPr>
          <w:p w:rsidR="00863D87" w:rsidRPr="009A0485" w:rsidRDefault="00863D87" w:rsidP="009A0485">
            <w:pPr>
              <w:pBdr>
                <w:top w:val="nil"/>
                <w:left w:val="nil"/>
                <w:bottom w:val="nil"/>
                <w:right w:val="nil"/>
                <w:between w:val="nil"/>
              </w:pBdr>
              <w:spacing w:after="0"/>
              <w:ind w:left="0" w:hanging="2"/>
              <w:jc w:val="right"/>
              <w:rPr>
                <w:rFonts w:ascii="Arial" w:eastAsia="Arial" w:hAnsi="Arial" w:cs="Arial"/>
                <w:color w:val="000000"/>
                <w:sz w:val="20"/>
                <w:szCs w:val="20"/>
              </w:rPr>
            </w:pPr>
            <w:r w:rsidRPr="009A0485">
              <w:rPr>
                <w:rFonts w:ascii="Arial" w:eastAsia="Arial" w:hAnsi="Arial" w:cs="Arial"/>
                <w:color w:val="000000"/>
                <w:sz w:val="20"/>
                <w:szCs w:val="20"/>
              </w:rPr>
              <w:t>(</w:t>
            </w:r>
            <w:r w:rsidR="0041400C" w:rsidRPr="009A0485">
              <w:rPr>
                <w:rFonts w:ascii="Arial" w:eastAsia="Arial" w:hAnsi="Arial" w:cs="Arial"/>
                <w:color w:val="000000"/>
                <w:sz w:val="20"/>
                <w:szCs w:val="20"/>
              </w:rPr>
              <w:t>4</w:t>
            </w:r>
            <w:r w:rsidRPr="009A0485">
              <w:rPr>
                <w:rFonts w:ascii="Arial" w:eastAsia="Arial" w:hAnsi="Arial" w:cs="Arial"/>
                <w:color w:val="000000"/>
                <w:sz w:val="20"/>
                <w:szCs w:val="20"/>
              </w:rPr>
              <w:t>)</w:t>
            </w:r>
          </w:p>
        </w:tc>
      </w:tr>
    </w:tbl>
    <w:p w:rsidR="0041400C" w:rsidRPr="009A0485" w:rsidRDefault="0041400C" w:rsidP="00871D77">
      <w:pPr>
        <w:spacing w:after="0"/>
        <w:ind w:left="0" w:hanging="2"/>
        <w:jc w:val="both"/>
        <w:rPr>
          <w:rFonts w:ascii="Arial" w:hAnsi="Arial" w:cs="Arial"/>
          <w:sz w:val="20"/>
          <w:szCs w:val="20"/>
        </w:rPr>
      </w:pPr>
      <w:r w:rsidRPr="009A0485">
        <w:rPr>
          <w:rFonts w:ascii="Arial" w:eastAsiaTheme="minorEastAsia" w:hAnsi="Arial" w:cs="Arial"/>
          <w:sz w:val="20"/>
          <w:szCs w:val="20"/>
        </w:rPr>
        <w:t xml:space="preserve">With </w:t>
      </w:r>
      <w:r w:rsidRPr="009A0485">
        <w:rPr>
          <w:rFonts w:ascii="Arial" w:hAnsi="Arial" w:cs="Arial"/>
          <w:sz w:val="20"/>
          <w:szCs w:val="20"/>
        </w:rPr>
        <w:t xml:space="preserve">the sum of seasonal component values are 0 or </w:t>
      </w:r>
      <m:oMath>
        <m:nary>
          <m:naryPr>
            <m:chr m:val="∑"/>
            <m:limLoc m:val="undOvr"/>
            <m:ctrlPr>
              <w:rPr>
                <w:rFonts w:ascii="Cambria Math" w:hAnsi="Cambria Math" w:cs="Arial"/>
                <w:i/>
                <w:sz w:val="18"/>
                <w:szCs w:val="18"/>
              </w:rPr>
            </m:ctrlPr>
          </m:naryPr>
          <m:sub>
            <m:r>
              <w:rPr>
                <w:rFonts w:ascii="Cambria Math" w:hAnsi="Cambria Math" w:cs="Arial"/>
                <w:sz w:val="18"/>
                <w:szCs w:val="18"/>
              </w:rPr>
              <m:t>j=0</m:t>
            </m:r>
          </m:sub>
          <m:sup>
            <m:r>
              <w:rPr>
                <w:rFonts w:ascii="Cambria Math" w:hAnsi="Cambria Math" w:cs="Arial"/>
                <w:sz w:val="18"/>
                <w:szCs w:val="18"/>
              </w:rPr>
              <m:t>s</m:t>
            </m:r>
          </m:sup>
          <m:e>
            <m:sSub>
              <m:sSubPr>
                <m:ctrlPr>
                  <w:rPr>
                    <w:rFonts w:ascii="Cambria Math" w:hAnsi="Cambria Math" w:cs="Arial"/>
                    <w:i/>
                    <w:sz w:val="18"/>
                    <w:szCs w:val="18"/>
                  </w:rPr>
                </m:ctrlPr>
              </m:sSubPr>
              <m:e>
                <m:r>
                  <w:rPr>
                    <w:rFonts w:ascii="Cambria Math" w:hAnsi="Cambria Math" w:cs="Arial"/>
                    <w:sz w:val="18"/>
                    <w:szCs w:val="18"/>
                  </w:rPr>
                  <m:t>S</m:t>
                </m:r>
              </m:e>
              <m:sub>
                <m:r>
                  <w:rPr>
                    <w:rFonts w:ascii="Cambria Math" w:hAnsi="Cambria Math" w:cs="Arial"/>
                    <w:sz w:val="18"/>
                    <w:szCs w:val="18"/>
                  </w:rPr>
                  <m:t>j</m:t>
                </m:r>
              </m:sub>
            </m:sSub>
          </m:e>
        </m:nary>
        <m:r>
          <w:rPr>
            <w:rFonts w:ascii="Cambria Math" w:eastAsiaTheme="minorEastAsia" w:hAnsi="Cambria Math" w:cs="Arial"/>
            <w:sz w:val="18"/>
            <w:szCs w:val="18"/>
          </w:rPr>
          <m:t>=0</m:t>
        </m:r>
      </m:oMath>
      <w:r w:rsidRPr="009A0485">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w:r w:rsidRPr="009A0485">
        <w:rPr>
          <w:rFonts w:ascii="Arial" w:eastAsiaTheme="minorEastAsia" w:hAnsi="Arial" w:cs="Arial"/>
          <w:sz w:val="20"/>
          <w:szCs w:val="20"/>
        </w:rPr>
        <w:t xml:space="preserve"> </w:t>
      </w:r>
      <w:r w:rsidR="00A659B0">
        <w:rPr>
          <w:rFonts w:ascii="Arial" w:eastAsiaTheme="minorEastAsia" w:hAnsi="Arial" w:cs="Arial"/>
          <w:sz w:val="20"/>
          <w:szCs w:val="20"/>
        </w:rPr>
        <w:t>or error or residual</w:t>
      </w:r>
      <w:r w:rsidRPr="009A0485">
        <w:rPr>
          <w:rFonts w:ascii="Arial" w:eastAsiaTheme="minorEastAsia" w:hAnsi="Arial" w:cs="Arial"/>
          <w:sz w:val="20"/>
          <w:szCs w:val="20"/>
        </w:rPr>
        <w:t xml:space="preserve"> component has </w:t>
      </w:r>
      <w:r w:rsidRPr="009A0485">
        <w:rPr>
          <w:rFonts w:ascii="Arial" w:hAnsi="Arial" w:cs="Arial"/>
          <w:sz w:val="20"/>
          <w:szCs w:val="20"/>
        </w:rPr>
        <w:t xml:space="preserve">Gaussian </w:t>
      </w:r>
      <w:proofErr w:type="gramStart"/>
      <w:r w:rsidRPr="009A0485">
        <w:rPr>
          <w:rFonts w:ascii="Arial" w:hAnsi="Arial" w:cs="Arial"/>
          <w:sz w:val="20"/>
          <w:szCs w:val="20"/>
        </w:rPr>
        <w:t>N(</w:t>
      </w:r>
      <w:proofErr w:type="gramEnd"/>
      <w:r w:rsidRPr="009A0485">
        <w:rPr>
          <w:rFonts w:ascii="Arial" w:hAnsi="Arial" w:cs="Arial"/>
          <w:sz w:val="20"/>
          <w:szCs w:val="20"/>
        </w:rPr>
        <w:t xml:space="preserve">0, </w:t>
      </w:r>
      <m:oMath>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sidRPr="009A0485">
        <w:rPr>
          <w:rFonts w:ascii="Arial" w:hAnsi="Arial" w:cs="Arial"/>
          <w:sz w:val="20"/>
          <w:szCs w:val="20"/>
        </w:rPr>
        <w:t>).</w:t>
      </w:r>
    </w:p>
    <w:p w:rsidR="0041400C" w:rsidRPr="009A0485" w:rsidRDefault="0041400C" w:rsidP="009A0485">
      <w:pPr>
        <w:spacing w:after="0" w:line="240" w:lineRule="auto"/>
        <w:ind w:left="0" w:hanging="2"/>
        <w:jc w:val="both"/>
        <w:rPr>
          <w:rFonts w:ascii="Arial" w:hAnsi="Arial" w:cs="Arial"/>
          <w:sz w:val="20"/>
          <w:szCs w:val="20"/>
        </w:rPr>
      </w:pPr>
      <w:r w:rsidRPr="009A0485">
        <w:rPr>
          <w:rFonts w:ascii="Arial" w:hAnsi="Arial" w:cs="Arial"/>
          <w:sz w:val="20"/>
          <w:szCs w:val="20"/>
        </w:rPr>
        <w:t>Additive Decomposition Model:</w:t>
      </w:r>
    </w:p>
    <w:tbl>
      <w:tblPr>
        <w:tblStyle w:val="a1"/>
        <w:tblW w:w="4503" w:type="dxa"/>
        <w:tblInd w:w="-108" w:type="dxa"/>
        <w:tblLayout w:type="fixed"/>
        <w:tblLook w:val="0000" w:firstRow="0" w:lastRow="0" w:firstColumn="0" w:lastColumn="0" w:noHBand="0" w:noVBand="0"/>
      </w:tblPr>
      <w:tblGrid>
        <w:gridCol w:w="3369"/>
        <w:gridCol w:w="1134"/>
      </w:tblGrid>
      <w:tr w:rsidR="0041400C" w:rsidRPr="009A0485" w:rsidTr="00E06F47">
        <w:tc>
          <w:tcPr>
            <w:tcW w:w="3369" w:type="dxa"/>
            <w:vAlign w:val="center"/>
          </w:tcPr>
          <w:p w:rsidR="0041400C" w:rsidRPr="009A0485" w:rsidRDefault="00E36C75" w:rsidP="009A0485">
            <w:pPr>
              <w:spacing w:after="0"/>
              <w:ind w:left="0" w:hanging="2"/>
              <w:jc w:val="cente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t</m:t>
                    </m:r>
                  </m:sub>
                </m:sSub>
                <m:r>
                  <w:rPr>
                    <w:rFonts w:ascii="Cambria Math" w:hAnsi="Cambria Math" w:cs="Arial"/>
                    <w:sz w:val="20"/>
                    <w:szCs w:val="20"/>
                  </w:rPr>
                  <m:t xml:space="preserve"> x </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 xml:space="preserve"> x </m:t>
                </m:r>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m:oMathPara>
          </w:p>
        </w:tc>
        <w:tc>
          <w:tcPr>
            <w:tcW w:w="1134" w:type="dxa"/>
            <w:vAlign w:val="center"/>
          </w:tcPr>
          <w:p w:rsidR="0041400C" w:rsidRPr="009A0485" w:rsidRDefault="0041400C" w:rsidP="009A0485">
            <w:pPr>
              <w:pBdr>
                <w:top w:val="nil"/>
                <w:left w:val="nil"/>
                <w:bottom w:val="nil"/>
                <w:right w:val="nil"/>
                <w:between w:val="nil"/>
              </w:pBdr>
              <w:spacing w:after="0" w:line="240" w:lineRule="auto"/>
              <w:ind w:left="0" w:hanging="2"/>
              <w:jc w:val="right"/>
              <w:rPr>
                <w:rFonts w:ascii="Arial" w:eastAsia="Arial" w:hAnsi="Arial" w:cs="Arial"/>
                <w:color w:val="000000"/>
                <w:sz w:val="20"/>
                <w:szCs w:val="20"/>
              </w:rPr>
            </w:pPr>
            <w:r w:rsidRPr="009A0485">
              <w:rPr>
                <w:rFonts w:ascii="Arial" w:eastAsia="Arial" w:hAnsi="Arial" w:cs="Arial"/>
                <w:color w:val="000000"/>
                <w:sz w:val="20"/>
                <w:szCs w:val="20"/>
              </w:rPr>
              <w:t>(</w:t>
            </w:r>
            <w:r w:rsidR="009A0485">
              <w:rPr>
                <w:rFonts w:ascii="Arial" w:eastAsia="Arial" w:hAnsi="Arial" w:cs="Arial"/>
                <w:color w:val="000000"/>
                <w:sz w:val="20"/>
                <w:szCs w:val="20"/>
              </w:rPr>
              <w:t>5</w:t>
            </w:r>
            <w:r w:rsidRPr="009A0485">
              <w:rPr>
                <w:rFonts w:ascii="Arial" w:eastAsia="Arial" w:hAnsi="Arial" w:cs="Arial"/>
                <w:color w:val="000000"/>
                <w:sz w:val="20"/>
                <w:szCs w:val="20"/>
              </w:rPr>
              <w:t>)</w:t>
            </w:r>
          </w:p>
        </w:tc>
      </w:tr>
    </w:tbl>
    <w:p w:rsidR="0041400C" w:rsidRPr="009A0485" w:rsidRDefault="0041400C" w:rsidP="00871D77">
      <w:pPr>
        <w:spacing w:after="0"/>
        <w:ind w:left="0" w:hanging="2"/>
        <w:jc w:val="both"/>
        <w:rPr>
          <w:rFonts w:ascii="Arial" w:hAnsi="Arial" w:cs="Arial"/>
          <w:sz w:val="20"/>
          <w:szCs w:val="20"/>
        </w:rPr>
      </w:pPr>
      <w:r w:rsidRPr="009A0485">
        <w:rPr>
          <w:rFonts w:ascii="Arial" w:eastAsiaTheme="minorEastAsia" w:hAnsi="Arial" w:cs="Arial"/>
          <w:sz w:val="20"/>
          <w:szCs w:val="20"/>
        </w:rPr>
        <w:t xml:space="preserve">With </w:t>
      </w:r>
      <w:r w:rsidRPr="009A0485">
        <w:rPr>
          <w:rFonts w:ascii="Arial" w:hAnsi="Arial" w:cs="Arial"/>
          <w:sz w:val="20"/>
          <w:szCs w:val="20"/>
        </w:rPr>
        <w:t>the sum of seasonal component value</w:t>
      </w:r>
      <w:r w:rsidR="006637D3">
        <w:rPr>
          <w:rFonts w:ascii="Arial" w:hAnsi="Arial" w:cs="Arial"/>
          <w:sz w:val="20"/>
          <w:szCs w:val="20"/>
        </w:rPr>
        <w:t>s</w:t>
      </w:r>
      <w:r w:rsidRPr="009A0485">
        <w:rPr>
          <w:rFonts w:ascii="Arial" w:hAnsi="Arial" w:cs="Arial"/>
          <w:sz w:val="20"/>
          <w:szCs w:val="20"/>
        </w:rPr>
        <w:t xml:space="preserve"> is the total of the </w:t>
      </w:r>
      <w:r w:rsidR="00016D66">
        <w:rPr>
          <w:rFonts w:ascii="Arial" w:hAnsi="Arial" w:cs="Arial"/>
          <w:sz w:val="20"/>
          <w:szCs w:val="20"/>
        </w:rPr>
        <w:t xml:space="preserve">seasonal </w:t>
      </w:r>
      <w:r w:rsidR="002F3F43">
        <w:rPr>
          <w:rFonts w:ascii="Arial" w:hAnsi="Arial" w:cs="Arial"/>
          <w:sz w:val="20"/>
          <w:szCs w:val="20"/>
        </w:rPr>
        <w:t>length</w:t>
      </w:r>
      <w:r w:rsidRPr="009A0485">
        <w:rPr>
          <w:rFonts w:ascii="Arial" w:hAnsi="Arial" w:cs="Arial"/>
          <w:sz w:val="20"/>
          <w:szCs w:val="20"/>
        </w:rPr>
        <w:t xml:space="preserve"> or </w:t>
      </w:r>
      <m:oMath>
        <m:nary>
          <m:naryPr>
            <m:chr m:val="∑"/>
            <m:limLoc m:val="undOvr"/>
            <m:ctrlPr>
              <w:rPr>
                <w:rFonts w:ascii="Cambria Math" w:hAnsi="Cambria Math" w:cs="Arial"/>
                <w:i/>
                <w:sz w:val="18"/>
                <w:szCs w:val="18"/>
              </w:rPr>
            </m:ctrlPr>
          </m:naryPr>
          <m:sub>
            <m:r>
              <w:rPr>
                <w:rFonts w:ascii="Cambria Math" w:hAnsi="Cambria Math" w:cs="Arial"/>
                <w:sz w:val="18"/>
                <w:szCs w:val="18"/>
              </w:rPr>
              <m:t>j=0</m:t>
            </m:r>
          </m:sub>
          <m:sup>
            <m:r>
              <w:rPr>
                <w:rFonts w:ascii="Cambria Math" w:hAnsi="Cambria Math" w:cs="Arial"/>
                <w:sz w:val="18"/>
                <w:szCs w:val="18"/>
              </w:rPr>
              <m:t>s</m:t>
            </m:r>
          </m:sup>
          <m:e>
            <m:sSub>
              <m:sSubPr>
                <m:ctrlPr>
                  <w:rPr>
                    <w:rFonts w:ascii="Cambria Math" w:hAnsi="Cambria Math" w:cs="Arial"/>
                    <w:i/>
                    <w:sz w:val="18"/>
                    <w:szCs w:val="18"/>
                  </w:rPr>
                </m:ctrlPr>
              </m:sSubPr>
              <m:e>
                <m:r>
                  <w:rPr>
                    <w:rFonts w:ascii="Cambria Math" w:hAnsi="Cambria Math" w:cs="Arial"/>
                    <w:sz w:val="18"/>
                    <w:szCs w:val="18"/>
                  </w:rPr>
                  <m:t>S</m:t>
                </m:r>
              </m:e>
              <m:sub>
                <m:r>
                  <w:rPr>
                    <w:rFonts w:ascii="Cambria Math" w:hAnsi="Cambria Math" w:cs="Arial"/>
                    <w:sz w:val="18"/>
                    <w:szCs w:val="18"/>
                  </w:rPr>
                  <m:t>j</m:t>
                </m:r>
              </m:sub>
            </m:sSub>
          </m:e>
        </m:nary>
        <m:r>
          <w:rPr>
            <w:rFonts w:ascii="Cambria Math" w:eastAsiaTheme="minorEastAsia" w:hAnsi="Cambria Math" w:cs="Arial"/>
            <w:sz w:val="18"/>
            <w:szCs w:val="18"/>
          </w:rPr>
          <m:t>=s</m:t>
        </m:r>
      </m:oMath>
      <w:r w:rsidRPr="009A0485">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w:r w:rsidRPr="009A0485">
        <w:rPr>
          <w:rFonts w:ascii="Arial" w:eastAsiaTheme="minorEastAsia" w:hAnsi="Arial" w:cs="Arial"/>
          <w:sz w:val="20"/>
          <w:szCs w:val="20"/>
        </w:rPr>
        <w:t xml:space="preserve"> has </w:t>
      </w:r>
      <w:r w:rsidRPr="009A0485">
        <w:rPr>
          <w:rFonts w:ascii="Arial" w:hAnsi="Arial" w:cs="Arial"/>
          <w:sz w:val="20"/>
          <w:szCs w:val="20"/>
        </w:rPr>
        <w:t xml:space="preserve">Gaussian </w:t>
      </w:r>
      <w:proofErr w:type="gramStart"/>
      <w:r w:rsidRPr="009A0485">
        <w:rPr>
          <w:rFonts w:ascii="Arial" w:hAnsi="Arial" w:cs="Arial"/>
          <w:sz w:val="20"/>
          <w:szCs w:val="20"/>
        </w:rPr>
        <w:t>N(</w:t>
      </w:r>
      <w:proofErr w:type="gramEnd"/>
      <w:r w:rsidRPr="009A0485">
        <w:rPr>
          <w:rFonts w:ascii="Arial" w:hAnsi="Arial" w:cs="Arial"/>
          <w:sz w:val="20"/>
          <w:szCs w:val="20"/>
        </w:rPr>
        <w:t xml:space="preserve">1, </w:t>
      </w:r>
      <m:oMath>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sidRPr="009A0485">
        <w:rPr>
          <w:rFonts w:ascii="Arial" w:hAnsi="Arial" w:cs="Arial"/>
          <w:sz w:val="20"/>
          <w:szCs w:val="20"/>
        </w:rPr>
        <w:t>).</w:t>
      </w:r>
    </w:p>
    <w:p w:rsidR="00572332" w:rsidRPr="0096479D" w:rsidRDefault="0041400C" w:rsidP="00871D77">
      <w:pPr>
        <w:spacing w:after="0"/>
        <w:ind w:left="0" w:hanging="2"/>
        <w:jc w:val="both"/>
        <w:rPr>
          <w:rFonts w:ascii="Arial" w:eastAsiaTheme="minorEastAsia" w:hAnsi="Arial" w:cs="Arial"/>
          <w:sz w:val="20"/>
          <w:szCs w:val="20"/>
        </w:rPr>
      </w:pPr>
      <w:r w:rsidRPr="009A0485">
        <w:rPr>
          <w:rFonts w:ascii="Arial" w:eastAsiaTheme="minorEastAsia"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00420CAE">
        <w:rPr>
          <w:rFonts w:ascii="Arial" w:eastAsiaTheme="minorEastAsia" w:hAnsi="Arial" w:cs="Arial"/>
          <w:sz w:val="20"/>
          <w:szCs w:val="20"/>
        </w:rPr>
        <w:t xml:space="preserve"> is the real</w:t>
      </w:r>
      <w:r w:rsidRPr="009A0485">
        <w:rPr>
          <w:rFonts w:ascii="Arial" w:eastAsiaTheme="minorEastAsia" w:hAnsi="Arial" w:cs="Arial"/>
          <w:sz w:val="20"/>
          <w:szCs w:val="20"/>
        </w:rPr>
        <w:t xml:space="preserve"> data, </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t</m:t>
            </m:r>
          </m:sub>
        </m:sSub>
      </m:oMath>
      <w:r w:rsidRPr="009A0485">
        <w:rPr>
          <w:rFonts w:ascii="Arial" w:eastAsiaTheme="minorEastAsia" w:hAnsi="Arial" w:cs="Arial"/>
          <w:sz w:val="20"/>
          <w:szCs w:val="20"/>
        </w:rPr>
        <w:t xml:space="preserve"> is trend component value at period t,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oMath>
      <w:r w:rsidRPr="009A0485">
        <w:rPr>
          <w:rFonts w:ascii="Arial" w:eastAsiaTheme="minorEastAsia" w:hAnsi="Arial" w:cs="Arial"/>
          <w:sz w:val="20"/>
          <w:szCs w:val="20"/>
        </w:rPr>
        <w:t xml:space="preserve"> is the seasonal component value at period t,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w:r w:rsidRPr="009A0485">
        <w:rPr>
          <w:rFonts w:ascii="Arial" w:eastAsiaTheme="minorEastAsia" w:hAnsi="Arial" w:cs="Arial"/>
          <w:sz w:val="20"/>
          <w:szCs w:val="20"/>
        </w:rPr>
        <w:t xml:space="preserve"> is error or residual or random component value at period t and j is the duration of the seasonal period.</w:t>
      </w:r>
    </w:p>
    <w:p w:rsidR="00871D77" w:rsidRDefault="00420CAE" w:rsidP="00871D77">
      <w:pPr>
        <w:spacing w:after="0"/>
        <w:ind w:left="-2" w:firstLineChars="0" w:firstLine="0"/>
        <w:jc w:val="both"/>
        <w:rPr>
          <w:rFonts w:ascii="Arial" w:eastAsiaTheme="minorEastAsia" w:hAnsi="Arial" w:cs="Arial"/>
          <w:sz w:val="20"/>
          <w:szCs w:val="20"/>
        </w:rPr>
      </w:pPr>
      <w:r>
        <w:rPr>
          <w:rFonts w:ascii="Arial" w:eastAsiaTheme="minorEastAsia" w:hAnsi="Arial" w:cs="Arial"/>
          <w:sz w:val="20"/>
          <w:szCs w:val="20"/>
        </w:rPr>
        <w:t xml:space="preserve">It is worth noting that </w:t>
      </w:r>
      <w:r w:rsidR="003F2655" w:rsidRPr="003F2655">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oMath>
      <w:r w:rsidR="003F2655" w:rsidRPr="003F2655">
        <w:rPr>
          <w:rFonts w:ascii="Arial" w:eastAsiaTheme="minorEastAsia" w:hAnsi="Arial" w:cs="Arial"/>
          <w:sz w:val="20"/>
          <w:szCs w:val="20"/>
        </w:rPr>
        <w:t xml:space="preserve"> is constant for the same t for each seasonal period. Thus, after choosing the decomposition model, we can know the estimate of seasonal data. </w:t>
      </w:r>
    </w:p>
    <w:p w:rsidR="003F2655" w:rsidRPr="00871D77" w:rsidRDefault="003F2655" w:rsidP="00871D77">
      <w:pPr>
        <w:spacing w:after="0" w:line="240" w:lineRule="auto"/>
        <w:ind w:left="-2" w:firstLineChars="0" w:firstLine="0"/>
        <w:jc w:val="both"/>
        <w:rPr>
          <w:rFonts w:ascii="Arial" w:eastAsiaTheme="minorEastAsia" w:hAnsi="Arial" w:cs="Arial"/>
          <w:sz w:val="20"/>
          <w:szCs w:val="20"/>
        </w:rPr>
      </w:pPr>
      <w:r w:rsidRPr="003F2655">
        <w:rPr>
          <w:rFonts w:ascii="Arial" w:eastAsiaTheme="minorEastAsia" w:hAnsi="Arial" w:cs="Arial"/>
          <w:sz w:val="20"/>
          <w:szCs w:val="20"/>
        </w:rPr>
        <w:t>For the trend data, we still need to do the other estimation. In this study, we use double moving average method to estimate</w:t>
      </w:r>
      <w:r w:rsidR="00871D77">
        <w:rPr>
          <w:rFonts w:ascii="Arial" w:eastAsiaTheme="minorEastAsia" w:hAnsi="Arial" w:cs="Arial"/>
          <w:sz w:val="20"/>
          <w:szCs w:val="20"/>
        </w:rPr>
        <w:t xml:space="preserve"> it. </w:t>
      </w:r>
      <w:r w:rsidRPr="003F2655">
        <w:rPr>
          <w:rFonts w:ascii="Arial" w:hAnsi="Arial" w:cs="Arial"/>
          <w:sz w:val="20"/>
          <w:szCs w:val="20"/>
        </w:rPr>
        <w:t>Double moving average forecast model can help to predict trend patterns in the data</w:t>
      </w:r>
      <w:r w:rsidR="0038150E">
        <w:rPr>
          <w:rFonts w:ascii="Arial" w:hAnsi="Arial" w:cs="Arial"/>
          <w:sz w:val="20"/>
          <w:szCs w:val="20"/>
        </w:rPr>
        <w:t xml:space="preserve"> </w:t>
      </w:r>
      <w:r w:rsidRPr="003F2655">
        <w:rPr>
          <w:rFonts w:ascii="Arial" w:hAnsi="Arial" w:cs="Arial"/>
          <w:sz w:val="20"/>
          <w:szCs w:val="20"/>
        </w:rPr>
        <w:fldChar w:fldCharType="begin" w:fldLock="1"/>
      </w:r>
      <w:r w:rsidR="00EE0732">
        <w:rPr>
          <w:rFonts w:ascii="Arial" w:hAnsi="Arial" w:cs="Arial"/>
          <w:sz w:val="20"/>
          <w:szCs w:val="20"/>
        </w:rPr>
        <w:instrText>ADDIN CSL_CITATION {"citationItems":[{"id":"ITEM-1","itemData":{"DOI":"10.1088/1742-6596/1462/1/012046","ISSN":"17426596","abstract":"In Mathematics, Forecasting is scientific. Forecasting uses statistical techniques to describe the future using previous data. Based on North Sumatra BPS data, the number of foreign tourists coming to North Sumatra fluctuates. Therefore, forecasting the number of foreign tourism needs to be done so that tourism actors can prepare themselves. The purpose of this study is to compare time series forecasting methods, namely Double Moving Average (DMA) and Double Exponential Smoothing (DES). Then the number of tourists is predicted using the best method, the method with the smallest MAPE. The research data in the form of secondary data obtained from BPS as many as 108 data, from January 2010 to December 2018. The calculation process uses Ms. Excel. The results showed that the 12th time order on DMA had the smallest MAPE value, which was 14.12%. Whereas the DES Brown method with and DES Holt yielding MAPE values respectively 12.71% and 12.21%. Forecasting the number of foreign tourists coming to North Sumatra in 2019 using the DES Holt method.","author":[{"dropping-particle":"","family":"Febrian","given":"Didi","non-dropping-particle":"","parse-names":false,"suffix":""},{"dropping-particle":"Al","family":"Idrus","given":"Said Iskandar","non-dropping-particle":"","parse-names":false,"suffix":""},{"dropping-particle":"","family":"Nainggolan","given":"Debora Agnes Jessica","non-dropping-particle":"","parse-names":false,"suffix":""}],"container-title":"Journal of Physics: Conference Series","id":"ITEM-1","issue":"1","issued":{"date-parts":[["2020"]]},"page":"0-10","title":"The Comparison of Double Moving Average and Double Exponential Smoothing Methods in Forecasting the Number of Foreign Tourists Coming to North Sumatera","type":"article-journal","volume":"1462"},"uris":["http://www.mendeley.com/documents/?uuid=4a6e3c35-3959-4910-a4a6-6ef3d7851755"]}],"mendeley":{"formattedCitation":"[25]","plainTextFormattedCitation":"[25]","previouslyFormattedCitation":"[25]"},"properties":{"noteIndex":0},"schema":"https://github.com/citation-style-language/schema/raw/master/csl-citation.json"}</w:instrText>
      </w:r>
      <w:r w:rsidRPr="003F2655">
        <w:rPr>
          <w:rFonts w:ascii="Arial" w:hAnsi="Arial" w:cs="Arial"/>
          <w:sz w:val="20"/>
          <w:szCs w:val="20"/>
        </w:rPr>
        <w:fldChar w:fldCharType="separate"/>
      </w:r>
      <w:r w:rsidR="00703960" w:rsidRPr="00703960">
        <w:rPr>
          <w:rFonts w:ascii="Arial" w:hAnsi="Arial" w:cs="Arial"/>
          <w:noProof/>
          <w:sz w:val="20"/>
          <w:szCs w:val="20"/>
        </w:rPr>
        <w:t>[25]</w:t>
      </w:r>
      <w:r w:rsidRPr="003F2655">
        <w:rPr>
          <w:rFonts w:ascii="Arial" w:hAnsi="Arial" w:cs="Arial"/>
          <w:sz w:val="20"/>
          <w:szCs w:val="20"/>
        </w:rPr>
        <w:fldChar w:fldCharType="end"/>
      </w:r>
      <w:r w:rsidRPr="003F2655">
        <w:rPr>
          <w:rFonts w:ascii="Arial" w:hAnsi="Arial" w:cs="Arial"/>
          <w:sz w:val="20"/>
          <w:szCs w:val="20"/>
        </w:rPr>
        <w:t xml:space="preserve">. </w:t>
      </w:r>
      <w:r w:rsidRPr="000722D2">
        <w:rPr>
          <w:rFonts w:ascii="Arial" w:hAnsi="Arial" w:cs="Arial"/>
          <w:sz w:val="20"/>
          <w:szCs w:val="20"/>
        </w:rPr>
        <w:t xml:space="preserve">The double moving average model is </w:t>
      </w:r>
      <w:r w:rsidRPr="000722D2">
        <w:rPr>
          <w:rFonts w:ascii="Arial" w:hAnsi="Arial" w:cs="Arial"/>
          <w:sz w:val="20"/>
          <w:szCs w:val="20"/>
        </w:rPr>
        <w:fldChar w:fldCharType="begin" w:fldLock="1"/>
      </w:r>
      <w:r w:rsidR="00EE0732">
        <w:rPr>
          <w:rFonts w:ascii="Arial" w:hAnsi="Arial" w:cs="Arial"/>
          <w:sz w:val="20"/>
          <w:szCs w:val="20"/>
        </w:rPr>
        <w:instrText>ADDIN CSL_CITATION {"citationItems":[{"id":"ITEM-1","itemData":{"DOI":"10.11591/eei.v10i2.2711","ISSN":"23029285","abstract":"Spread of dengue hemorrhagic fever (DHF) is influenced by an increase in air temperature due to changes in weather and population density so that there is a lot of exchange of dengue virus through the bite of the Aedes aegypti mosquito. Forecasting models are needed to predict the number of DHF patients in the future so that monitoring of the number of DHF patients can be carried out as anticipation and consideration of decision making. Forecasting the number of patients is based on actual data within 2 (two) previous years by comparing the two methods, namely trend moment and double moving average. To measure the accuracy of the forecasting results from the two forecasting methods, tracking signal and moving range are used. based on the test results, it shows that the forecasting results are said to be good because no one has passed the upper control limit and lower control limit values so that the difference between the actual data and the forecasting results is not too significant and the trend moment more recommended because the difference in actual data and forecasting results are approached and shown in the pattern graph by looking at the data difference in each period.","author":[{"dropping-particle":"","family":"Khairina","given":"Dyna Marisa","non-dropping-particle":"","parse-names":false,"suffix":""},{"dropping-particle":"","family":"Khairunnisa","given":"Rizka","non-dropping-particle":"","parse-names":false,"suffix":""},{"dropping-particle":"","family":"Hatta","given":"Heliza Rahmania","non-dropping-particle":"","parse-names":false,"suffix":""},{"dropping-particle":"","family":"Maharani","given":"Septya","non-dropping-particle":"","parse-names":false,"suffix":""}],"container-title":"Bulletin of Electrical Engineering and Informatics","id":"ITEM-1","issue":"2","issued":{"date-parts":[["2021"]]},"page":"978-987","title":"Comparison of the trend moment and double moving average methods for forecasting the number of dengue hemorrhagic fever patients","type":"article-journal","volume":"10"},"uris":["http://www.mendeley.com/documents/?uuid=ed58e693-1c8a-4241-a0a4-ad89ce9ab8eb"]}],"mendeley":{"formattedCitation":"[26]","plainTextFormattedCitation":"[26]","previouslyFormattedCitation":"[26]"},"properties":{"noteIndex":0},"schema":"https://github.com/citation-style-language/schema/raw/master/csl-citation.json"}</w:instrText>
      </w:r>
      <w:r w:rsidRPr="000722D2">
        <w:rPr>
          <w:rFonts w:ascii="Arial" w:hAnsi="Arial" w:cs="Arial"/>
          <w:sz w:val="20"/>
          <w:szCs w:val="20"/>
        </w:rPr>
        <w:fldChar w:fldCharType="separate"/>
      </w:r>
      <w:r w:rsidR="00703960" w:rsidRPr="00703960">
        <w:rPr>
          <w:rFonts w:ascii="Arial" w:hAnsi="Arial" w:cs="Arial"/>
          <w:noProof/>
          <w:sz w:val="20"/>
          <w:szCs w:val="20"/>
        </w:rPr>
        <w:t>[26]</w:t>
      </w:r>
      <w:r w:rsidRPr="000722D2">
        <w:rPr>
          <w:rFonts w:ascii="Arial" w:hAnsi="Arial" w:cs="Arial"/>
          <w:sz w:val="20"/>
          <w:szCs w:val="20"/>
        </w:rPr>
        <w:fldChar w:fldCharType="end"/>
      </w:r>
      <w:r w:rsidR="0038150E">
        <w:rPr>
          <w:rFonts w:ascii="Arial" w:hAnsi="Arial" w:cs="Arial"/>
          <w:sz w:val="20"/>
          <w:szCs w:val="20"/>
        </w:rPr>
        <w:t>:</w:t>
      </w:r>
    </w:p>
    <w:p w:rsidR="002000CA" w:rsidRPr="000722D2" w:rsidRDefault="002000CA" w:rsidP="000722D2">
      <w:pPr>
        <w:pStyle w:val="ListParagraph"/>
        <w:suppressAutoHyphens w:val="0"/>
        <w:spacing w:after="0" w:line="240" w:lineRule="auto"/>
        <w:ind w:leftChars="0" w:left="0" w:firstLineChars="0" w:firstLine="0"/>
        <w:jc w:val="both"/>
        <w:textDirection w:val="lrTb"/>
        <w:textAlignment w:val="auto"/>
        <w:outlineLvl w:val="9"/>
        <w:rPr>
          <w:rFonts w:ascii="Arial" w:hAnsi="Arial" w:cs="Arial"/>
          <w:sz w:val="20"/>
          <w:szCs w:val="20"/>
        </w:rPr>
      </w:pPr>
    </w:p>
    <w:p w:rsidR="001D34F0" w:rsidRPr="000722D2" w:rsidRDefault="001D34F0" w:rsidP="000722D2">
      <w:pPr>
        <w:pStyle w:val="ListParagraph"/>
        <w:suppressAutoHyphens w:val="0"/>
        <w:spacing w:after="0" w:line="240" w:lineRule="auto"/>
        <w:ind w:leftChars="0" w:left="0" w:firstLineChars="0" w:firstLine="0"/>
        <w:jc w:val="both"/>
        <w:textDirection w:val="lrTb"/>
        <w:textAlignment w:val="auto"/>
        <w:outlineLvl w:val="9"/>
        <w:rPr>
          <w:rFonts w:ascii="Arial" w:hAnsi="Arial" w:cs="Arial"/>
          <w:sz w:val="20"/>
          <w:szCs w:val="20"/>
        </w:rPr>
      </w:pPr>
      <w:r w:rsidRPr="000722D2">
        <w:rPr>
          <w:rFonts w:ascii="Arial" w:hAnsi="Arial" w:cs="Arial"/>
          <w:sz w:val="20"/>
          <w:szCs w:val="20"/>
        </w:rPr>
        <w:t>Single Moving Average (S’) of period t:</w:t>
      </w:r>
    </w:p>
    <w:tbl>
      <w:tblPr>
        <w:tblStyle w:val="a1"/>
        <w:tblW w:w="4503" w:type="dxa"/>
        <w:tblInd w:w="-108" w:type="dxa"/>
        <w:tblLayout w:type="fixed"/>
        <w:tblLook w:val="0000" w:firstRow="0" w:lastRow="0" w:firstColumn="0" w:lastColumn="0" w:noHBand="0" w:noVBand="0"/>
      </w:tblPr>
      <w:tblGrid>
        <w:gridCol w:w="3369"/>
        <w:gridCol w:w="1134"/>
      </w:tblGrid>
      <w:tr w:rsidR="00D41F86" w:rsidRPr="000722D2" w:rsidTr="00E06F47">
        <w:tc>
          <w:tcPr>
            <w:tcW w:w="3369" w:type="dxa"/>
            <w:vAlign w:val="center"/>
          </w:tcPr>
          <w:p w:rsidR="00D41F86" w:rsidRPr="000722D2" w:rsidRDefault="00E36C75" w:rsidP="00871D77">
            <w:pPr>
              <w:spacing w:after="0"/>
              <w:ind w:left="0" w:hanging="2"/>
              <w:jc w:val="both"/>
              <w:rPr>
                <w:rFonts w:ascii="Arial" w:hAnsi="Arial" w:cs="Arial"/>
                <w:sz w:val="20"/>
                <w:szCs w:val="20"/>
              </w:rPr>
            </w:pPr>
            <m:oMathPara>
              <m:oMath>
                <m:sSub>
                  <m:sSubPr>
                    <m:ctrlPr>
                      <w:rPr>
                        <w:rFonts w:ascii="Cambria Math" w:hAnsi="Cambria Math" w:cs="Arial"/>
                        <w:i/>
                        <w:sz w:val="20"/>
                        <w:szCs w:val="20"/>
                      </w:rPr>
                    </m:ctrlPr>
                  </m:sSubPr>
                  <m:e>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m:t>
                        </m:r>
                      </m:sup>
                    </m:sSup>
                  </m:e>
                  <m:sub>
                    <m:r>
                      <w:rPr>
                        <w:rFonts w:ascii="Cambria Math" w:hAnsi="Cambria Math" w:cs="Arial"/>
                        <w:sz w:val="20"/>
                        <w:szCs w:val="20"/>
                      </w:rPr>
                      <m:t>t</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t-n+1</m:t>
                        </m:r>
                      </m:sub>
                    </m:sSub>
                  </m:num>
                  <m:den>
                    <m:r>
                      <w:rPr>
                        <w:rFonts w:ascii="Cambria Math" w:hAnsi="Cambria Math" w:cs="Arial"/>
                        <w:sz w:val="20"/>
                        <w:szCs w:val="20"/>
                      </w:rPr>
                      <m:t>n</m:t>
                    </m:r>
                  </m:den>
                </m:f>
              </m:oMath>
            </m:oMathPara>
          </w:p>
        </w:tc>
        <w:tc>
          <w:tcPr>
            <w:tcW w:w="1134" w:type="dxa"/>
            <w:vAlign w:val="center"/>
          </w:tcPr>
          <w:p w:rsidR="00D41F86" w:rsidRPr="000722D2" w:rsidRDefault="00D41F86" w:rsidP="00871D77">
            <w:pPr>
              <w:pBdr>
                <w:top w:val="nil"/>
                <w:left w:val="nil"/>
                <w:bottom w:val="nil"/>
                <w:right w:val="nil"/>
                <w:between w:val="nil"/>
              </w:pBdr>
              <w:spacing w:after="0"/>
              <w:ind w:left="0" w:hanging="2"/>
              <w:jc w:val="right"/>
              <w:rPr>
                <w:rFonts w:ascii="Arial" w:eastAsia="Arial" w:hAnsi="Arial" w:cs="Arial"/>
                <w:color w:val="000000"/>
                <w:sz w:val="20"/>
                <w:szCs w:val="20"/>
              </w:rPr>
            </w:pPr>
            <w:r w:rsidRPr="000722D2">
              <w:rPr>
                <w:rFonts w:ascii="Arial" w:eastAsia="Arial" w:hAnsi="Arial" w:cs="Arial"/>
                <w:color w:val="000000"/>
                <w:sz w:val="20"/>
                <w:szCs w:val="20"/>
              </w:rPr>
              <w:t>(5)</w:t>
            </w:r>
          </w:p>
        </w:tc>
      </w:tr>
    </w:tbl>
    <w:p w:rsidR="00CC7B8E" w:rsidRPr="000722D2" w:rsidRDefault="00CC7B8E" w:rsidP="000722D2">
      <w:pPr>
        <w:pStyle w:val="ListParagraph"/>
        <w:suppressAutoHyphens w:val="0"/>
        <w:spacing w:after="0" w:line="240" w:lineRule="auto"/>
        <w:ind w:leftChars="0" w:left="0" w:firstLineChars="0" w:firstLine="0"/>
        <w:jc w:val="both"/>
        <w:textDirection w:val="lrTb"/>
        <w:textAlignment w:val="auto"/>
        <w:outlineLvl w:val="9"/>
        <w:rPr>
          <w:rFonts w:ascii="Arial" w:hAnsi="Arial" w:cs="Arial"/>
          <w:sz w:val="20"/>
          <w:szCs w:val="20"/>
        </w:rPr>
      </w:pPr>
      <w:r w:rsidRPr="000722D2">
        <w:rPr>
          <w:rFonts w:ascii="Arial" w:hAnsi="Arial" w:cs="Arial"/>
          <w:sz w:val="20"/>
          <w:szCs w:val="20"/>
        </w:rPr>
        <w:t>Double Moving Average (S’’) of period t:</w:t>
      </w:r>
    </w:p>
    <w:tbl>
      <w:tblPr>
        <w:tblStyle w:val="a1"/>
        <w:tblW w:w="4503" w:type="dxa"/>
        <w:tblInd w:w="-108" w:type="dxa"/>
        <w:tblLayout w:type="fixed"/>
        <w:tblLook w:val="0000" w:firstRow="0" w:lastRow="0" w:firstColumn="0" w:lastColumn="0" w:noHBand="0" w:noVBand="0"/>
      </w:tblPr>
      <w:tblGrid>
        <w:gridCol w:w="3794"/>
        <w:gridCol w:w="709"/>
      </w:tblGrid>
      <w:tr w:rsidR="00D41F86" w:rsidRPr="000722D2" w:rsidTr="002000CA">
        <w:tc>
          <w:tcPr>
            <w:tcW w:w="3794" w:type="dxa"/>
            <w:vAlign w:val="center"/>
          </w:tcPr>
          <w:p w:rsidR="00D41F86" w:rsidRPr="000722D2" w:rsidRDefault="00E36C75" w:rsidP="00871D77">
            <w:pPr>
              <w:pStyle w:val="ListParagraph"/>
              <w:spacing w:after="0"/>
              <w:ind w:left="0" w:hanging="2"/>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t-n+1</m:t>
                        </m:r>
                      </m:sub>
                    </m:sSub>
                  </m:num>
                  <m:den>
                    <m:r>
                      <w:rPr>
                        <w:rFonts w:ascii="Cambria Math" w:hAnsi="Cambria Math" w:cs="Arial"/>
                        <w:sz w:val="20"/>
                        <w:szCs w:val="20"/>
                      </w:rPr>
                      <m:t>n</m:t>
                    </m:r>
                  </m:den>
                </m:f>
              </m:oMath>
            </m:oMathPara>
          </w:p>
        </w:tc>
        <w:tc>
          <w:tcPr>
            <w:tcW w:w="709" w:type="dxa"/>
            <w:vAlign w:val="center"/>
          </w:tcPr>
          <w:p w:rsidR="00D41F86" w:rsidRPr="000722D2" w:rsidRDefault="00D41F86" w:rsidP="00871D77">
            <w:pPr>
              <w:pBdr>
                <w:top w:val="nil"/>
                <w:left w:val="nil"/>
                <w:bottom w:val="nil"/>
                <w:right w:val="nil"/>
                <w:between w:val="nil"/>
              </w:pBdr>
              <w:spacing w:after="0"/>
              <w:ind w:left="0" w:hanging="2"/>
              <w:jc w:val="right"/>
              <w:rPr>
                <w:rFonts w:ascii="Arial" w:eastAsia="Arial" w:hAnsi="Arial" w:cs="Arial"/>
                <w:color w:val="000000"/>
                <w:sz w:val="20"/>
                <w:szCs w:val="20"/>
              </w:rPr>
            </w:pPr>
            <w:r w:rsidRPr="000722D2">
              <w:rPr>
                <w:rFonts w:ascii="Arial" w:eastAsia="Arial" w:hAnsi="Arial" w:cs="Arial"/>
                <w:color w:val="000000"/>
                <w:sz w:val="20"/>
                <w:szCs w:val="20"/>
              </w:rPr>
              <w:t>(6)</w:t>
            </w:r>
          </w:p>
        </w:tc>
      </w:tr>
    </w:tbl>
    <w:p w:rsidR="00D41F86" w:rsidRPr="000722D2" w:rsidRDefault="00147EBB" w:rsidP="000722D2">
      <w:pPr>
        <w:spacing w:after="0" w:line="240" w:lineRule="auto"/>
        <w:ind w:left="0" w:hanging="2"/>
        <w:jc w:val="both"/>
        <w:rPr>
          <w:rFonts w:ascii="Arial" w:hAnsi="Arial" w:cs="Arial"/>
          <w:sz w:val="20"/>
          <w:szCs w:val="20"/>
        </w:rPr>
      </w:pPr>
      <w:r w:rsidRPr="000722D2">
        <w:rPr>
          <w:rFonts w:ascii="Arial" w:hAnsi="Arial" w:cs="Arial"/>
          <w:sz w:val="20"/>
          <w:szCs w:val="20"/>
        </w:rPr>
        <w:t>The value of the constant or intercept of period t</w:t>
      </w:r>
      <w:r w:rsidR="00D41F86" w:rsidRPr="000722D2">
        <w:rPr>
          <w:rFonts w:ascii="Arial" w:hAnsi="Arial" w:cs="Arial"/>
          <w:sz w:val="20"/>
          <w:szCs w:val="20"/>
        </w:rPr>
        <w:t>:</w:t>
      </w:r>
    </w:p>
    <w:tbl>
      <w:tblPr>
        <w:tblStyle w:val="a1"/>
        <w:tblW w:w="4503" w:type="dxa"/>
        <w:tblInd w:w="-108" w:type="dxa"/>
        <w:tblLayout w:type="fixed"/>
        <w:tblLook w:val="0000" w:firstRow="0" w:lastRow="0" w:firstColumn="0" w:lastColumn="0" w:noHBand="0" w:noVBand="0"/>
      </w:tblPr>
      <w:tblGrid>
        <w:gridCol w:w="3369"/>
        <w:gridCol w:w="1134"/>
      </w:tblGrid>
      <w:tr w:rsidR="00D41F86" w:rsidRPr="000722D2" w:rsidTr="00E06F47">
        <w:tc>
          <w:tcPr>
            <w:tcW w:w="3369" w:type="dxa"/>
            <w:vAlign w:val="center"/>
          </w:tcPr>
          <w:p w:rsidR="00D41F86" w:rsidRPr="000722D2" w:rsidRDefault="00E36C75" w:rsidP="00871D77">
            <w:pPr>
              <w:pStyle w:val="ListParagraph"/>
              <w:spacing w:after="0"/>
              <w:ind w:left="0" w:hanging="2"/>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=2</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oMath>
            </m:oMathPara>
          </w:p>
        </w:tc>
        <w:tc>
          <w:tcPr>
            <w:tcW w:w="1134" w:type="dxa"/>
            <w:vAlign w:val="center"/>
          </w:tcPr>
          <w:p w:rsidR="00D41F86" w:rsidRPr="000722D2" w:rsidRDefault="00D41F86" w:rsidP="00871D77">
            <w:pPr>
              <w:pBdr>
                <w:top w:val="nil"/>
                <w:left w:val="nil"/>
                <w:bottom w:val="nil"/>
                <w:right w:val="nil"/>
                <w:between w:val="nil"/>
              </w:pBdr>
              <w:spacing w:after="0"/>
              <w:ind w:left="0" w:hanging="2"/>
              <w:jc w:val="right"/>
              <w:rPr>
                <w:rFonts w:ascii="Arial" w:eastAsia="Arial" w:hAnsi="Arial" w:cs="Arial"/>
                <w:color w:val="000000"/>
                <w:sz w:val="20"/>
                <w:szCs w:val="20"/>
              </w:rPr>
            </w:pPr>
            <w:r w:rsidRPr="000722D2">
              <w:rPr>
                <w:rFonts w:ascii="Arial" w:eastAsia="Arial" w:hAnsi="Arial" w:cs="Arial"/>
                <w:color w:val="000000"/>
                <w:sz w:val="20"/>
                <w:szCs w:val="20"/>
              </w:rPr>
              <w:t>(7)</w:t>
            </w:r>
          </w:p>
        </w:tc>
      </w:tr>
    </w:tbl>
    <w:p w:rsidR="00D41F86" w:rsidRPr="000722D2" w:rsidRDefault="00090430" w:rsidP="000722D2">
      <w:pPr>
        <w:spacing w:after="0" w:line="240" w:lineRule="auto"/>
        <w:ind w:left="0" w:hanging="2"/>
        <w:jc w:val="both"/>
        <w:rPr>
          <w:rFonts w:ascii="Arial" w:hAnsi="Arial" w:cs="Arial"/>
          <w:sz w:val="20"/>
          <w:szCs w:val="20"/>
        </w:rPr>
      </w:pPr>
      <w:r w:rsidRPr="000722D2">
        <w:rPr>
          <w:rFonts w:ascii="Arial" w:hAnsi="Arial" w:cs="Arial"/>
          <w:sz w:val="20"/>
          <w:szCs w:val="20"/>
        </w:rPr>
        <w:t>The value of the trend of period t</w:t>
      </w:r>
      <w:r w:rsidR="00D41F86" w:rsidRPr="000722D2">
        <w:rPr>
          <w:rFonts w:ascii="Arial" w:hAnsi="Arial" w:cs="Arial"/>
          <w:sz w:val="20"/>
          <w:szCs w:val="20"/>
        </w:rPr>
        <w:t>:</w:t>
      </w:r>
    </w:p>
    <w:tbl>
      <w:tblPr>
        <w:tblStyle w:val="a1"/>
        <w:tblW w:w="4503" w:type="dxa"/>
        <w:tblInd w:w="-108" w:type="dxa"/>
        <w:tblLayout w:type="fixed"/>
        <w:tblLook w:val="0000" w:firstRow="0" w:lastRow="0" w:firstColumn="0" w:lastColumn="0" w:noHBand="0" w:noVBand="0"/>
      </w:tblPr>
      <w:tblGrid>
        <w:gridCol w:w="3369"/>
        <w:gridCol w:w="1134"/>
      </w:tblGrid>
      <w:tr w:rsidR="00D41F86" w:rsidRPr="000722D2" w:rsidTr="00E06F47">
        <w:tc>
          <w:tcPr>
            <w:tcW w:w="3369" w:type="dxa"/>
            <w:vAlign w:val="center"/>
          </w:tcPr>
          <w:p w:rsidR="00D41F86" w:rsidRPr="000722D2" w:rsidRDefault="00E36C75" w:rsidP="00871D77">
            <w:pPr>
              <w:pStyle w:val="ListParagraph"/>
              <w:spacing w:after="0"/>
              <w:ind w:left="0" w:hanging="2"/>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n-1</m:t>
                    </m:r>
                  </m:den>
                </m:f>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e>
                </m:d>
              </m:oMath>
            </m:oMathPara>
          </w:p>
        </w:tc>
        <w:tc>
          <w:tcPr>
            <w:tcW w:w="1134" w:type="dxa"/>
            <w:vAlign w:val="center"/>
          </w:tcPr>
          <w:p w:rsidR="00D41F86" w:rsidRPr="000722D2" w:rsidRDefault="00D41F86" w:rsidP="00871D77">
            <w:pPr>
              <w:pBdr>
                <w:top w:val="nil"/>
                <w:left w:val="nil"/>
                <w:bottom w:val="nil"/>
                <w:right w:val="nil"/>
                <w:between w:val="nil"/>
              </w:pBdr>
              <w:spacing w:after="0"/>
              <w:ind w:left="0" w:hanging="2"/>
              <w:jc w:val="right"/>
              <w:rPr>
                <w:rFonts w:ascii="Arial" w:eastAsia="Arial" w:hAnsi="Arial" w:cs="Arial"/>
                <w:color w:val="000000"/>
                <w:sz w:val="20"/>
                <w:szCs w:val="20"/>
              </w:rPr>
            </w:pPr>
            <w:r w:rsidRPr="000722D2">
              <w:rPr>
                <w:rFonts w:ascii="Arial" w:eastAsia="Arial" w:hAnsi="Arial" w:cs="Arial"/>
                <w:color w:val="000000"/>
                <w:sz w:val="20"/>
                <w:szCs w:val="20"/>
              </w:rPr>
              <w:t>(8)</w:t>
            </w:r>
          </w:p>
        </w:tc>
      </w:tr>
    </w:tbl>
    <w:p w:rsidR="00D41F86" w:rsidRPr="000722D2" w:rsidRDefault="004F79A3" w:rsidP="000722D2">
      <w:pPr>
        <w:spacing w:after="0" w:line="240" w:lineRule="auto"/>
        <w:ind w:left="0" w:hanging="2"/>
        <w:jc w:val="both"/>
        <w:rPr>
          <w:rFonts w:ascii="Arial" w:hAnsi="Arial" w:cs="Arial"/>
          <w:sz w:val="20"/>
          <w:szCs w:val="20"/>
        </w:rPr>
      </w:pPr>
      <w:r w:rsidRPr="000722D2">
        <w:rPr>
          <w:rFonts w:ascii="Arial" w:hAnsi="Arial" w:cs="Arial"/>
          <w:sz w:val="20"/>
          <w:szCs w:val="20"/>
        </w:rPr>
        <w:t xml:space="preserve">The forecast value of period </w:t>
      </w:r>
      <w:proofErr w:type="spellStart"/>
      <w:r w:rsidRPr="000722D2">
        <w:rPr>
          <w:rFonts w:ascii="Arial" w:hAnsi="Arial" w:cs="Arial"/>
          <w:sz w:val="20"/>
          <w:szCs w:val="20"/>
        </w:rPr>
        <w:t>t+m</w:t>
      </w:r>
      <w:proofErr w:type="spellEnd"/>
      <w:r w:rsidR="00D41F86" w:rsidRPr="000722D2">
        <w:rPr>
          <w:rFonts w:ascii="Arial" w:hAnsi="Arial" w:cs="Arial"/>
          <w:sz w:val="20"/>
          <w:szCs w:val="20"/>
        </w:rPr>
        <w:t>:</w:t>
      </w:r>
    </w:p>
    <w:tbl>
      <w:tblPr>
        <w:tblStyle w:val="a1"/>
        <w:tblW w:w="4503" w:type="dxa"/>
        <w:tblInd w:w="-108" w:type="dxa"/>
        <w:tblLayout w:type="fixed"/>
        <w:tblLook w:val="0000" w:firstRow="0" w:lastRow="0" w:firstColumn="0" w:lastColumn="0" w:noHBand="0" w:noVBand="0"/>
      </w:tblPr>
      <w:tblGrid>
        <w:gridCol w:w="3369"/>
        <w:gridCol w:w="1134"/>
      </w:tblGrid>
      <w:tr w:rsidR="00D41F86" w:rsidRPr="000722D2" w:rsidTr="00E06F47">
        <w:tc>
          <w:tcPr>
            <w:tcW w:w="3369" w:type="dxa"/>
            <w:vAlign w:val="center"/>
          </w:tcPr>
          <w:p w:rsidR="004F79A3" w:rsidRPr="000722D2" w:rsidRDefault="00E36C75" w:rsidP="00871D77">
            <w:pPr>
              <w:pStyle w:val="ListParagraph"/>
              <w:spacing w:after="0"/>
              <w:ind w:left="0" w:hanging="2"/>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t+m</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m:t>
                    </m:r>
                  </m:sub>
                </m:sSub>
                <m:r>
                  <w:rPr>
                    <w:rFonts w:ascii="Cambria Math" w:hAnsi="Cambria Math" w:cs="Arial"/>
                    <w:sz w:val="20"/>
                    <w:szCs w:val="20"/>
                  </w:rPr>
                  <m:t>m</m:t>
                </m:r>
              </m:oMath>
            </m:oMathPara>
          </w:p>
          <w:p w:rsidR="00D41F86" w:rsidRPr="000722D2" w:rsidRDefault="00D41F86" w:rsidP="00871D77">
            <w:pPr>
              <w:spacing w:after="0"/>
              <w:ind w:left="0" w:hanging="2"/>
              <w:jc w:val="center"/>
              <w:rPr>
                <w:rFonts w:ascii="Arial" w:hAnsi="Arial" w:cs="Arial"/>
                <w:sz w:val="20"/>
                <w:szCs w:val="20"/>
              </w:rPr>
            </w:pPr>
          </w:p>
        </w:tc>
        <w:tc>
          <w:tcPr>
            <w:tcW w:w="1134" w:type="dxa"/>
            <w:vAlign w:val="center"/>
          </w:tcPr>
          <w:p w:rsidR="00D41F86" w:rsidRPr="000722D2" w:rsidRDefault="00D41F86" w:rsidP="00871D77">
            <w:pPr>
              <w:pBdr>
                <w:top w:val="nil"/>
                <w:left w:val="nil"/>
                <w:bottom w:val="nil"/>
                <w:right w:val="nil"/>
                <w:between w:val="nil"/>
              </w:pBdr>
              <w:spacing w:after="0"/>
              <w:ind w:left="0" w:hanging="2"/>
              <w:jc w:val="right"/>
              <w:rPr>
                <w:rFonts w:ascii="Arial" w:eastAsia="Arial" w:hAnsi="Arial" w:cs="Arial"/>
                <w:color w:val="000000"/>
                <w:sz w:val="20"/>
                <w:szCs w:val="20"/>
              </w:rPr>
            </w:pPr>
            <w:r w:rsidRPr="000722D2">
              <w:rPr>
                <w:rFonts w:ascii="Arial" w:eastAsia="Arial" w:hAnsi="Arial" w:cs="Arial"/>
                <w:color w:val="000000"/>
                <w:sz w:val="20"/>
                <w:szCs w:val="20"/>
              </w:rPr>
              <w:t>(9)</w:t>
            </w:r>
          </w:p>
        </w:tc>
      </w:tr>
    </w:tbl>
    <w:p w:rsidR="00F5663B" w:rsidRDefault="004F79A3" w:rsidP="00F5663B">
      <w:pPr>
        <w:spacing w:after="0"/>
        <w:ind w:left="-2" w:firstLineChars="0" w:firstLine="0"/>
        <w:jc w:val="both"/>
        <w:rPr>
          <w:rFonts w:ascii="Arial" w:eastAsiaTheme="minorEastAsia" w:hAnsi="Arial" w:cs="Arial"/>
          <w:sz w:val="20"/>
          <w:szCs w:val="20"/>
        </w:rPr>
      </w:pPr>
      <w:r w:rsidRPr="000722D2">
        <w:rPr>
          <w:rFonts w:ascii="Arial" w:eastAsiaTheme="minorEastAsia"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proofErr w:type="gramStart"/>
      <w:r w:rsidR="00F5663B">
        <w:rPr>
          <w:rFonts w:ascii="Arial" w:eastAsiaTheme="minorEastAsia" w:hAnsi="Arial" w:cs="Arial"/>
          <w:sz w:val="20"/>
          <w:szCs w:val="20"/>
        </w:rPr>
        <w:t xml:space="preserve"> is </w:t>
      </w:r>
      <w:r w:rsidR="00DD7B7A">
        <w:rPr>
          <w:rFonts w:ascii="Arial" w:eastAsiaTheme="minorEastAsia" w:hAnsi="Arial" w:cs="Arial"/>
          <w:sz w:val="20"/>
          <w:szCs w:val="20"/>
        </w:rPr>
        <w:t>the input</w:t>
      </w:r>
      <w:r w:rsidR="00F5663B">
        <w:rPr>
          <w:rFonts w:ascii="Arial" w:eastAsiaTheme="minorEastAsia" w:hAnsi="Arial" w:cs="Arial"/>
          <w:sz w:val="20"/>
          <w:szCs w:val="20"/>
        </w:rPr>
        <w:t xml:space="preserve"> data and n</w:t>
      </w:r>
      <w:proofErr w:type="gramEnd"/>
      <w:r w:rsidR="00F5663B">
        <w:rPr>
          <w:rFonts w:ascii="Arial" w:eastAsiaTheme="minorEastAsia" w:hAnsi="Arial" w:cs="Arial"/>
          <w:sz w:val="20"/>
          <w:szCs w:val="20"/>
        </w:rPr>
        <w:t xml:space="preserve"> </w:t>
      </w:r>
      <w:r w:rsidRPr="000722D2">
        <w:rPr>
          <w:rFonts w:ascii="Arial" w:eastAsiaTheme="minorEastAsia" w:hAnsi="Arial" w:cs="Arial"/>
          <w:sz w:val="20"/>
          <w:szCs w:val="20"/>
        </w:rPr>
        <w:t>is the number of periods chosen to</w:t>
      </w:r>
      <w:r w:rsidR="00F5663B">
        <w:rPr>
          <w:rFonts w:ascii="Arial" w:eastAsiaTheme="minorEastAsia" w:hAnsi="Arial" w:cs="Arial"/>
          <w:sz w:val="20"/>
          <w:szCs w:val="20"/>
        </w:rPr>
        <w:t xml:space="preserve"> make the average period.</w:t>
      </w:r>
    </w:p>
    <w:p w:rsidR="00EA3C65" w:rsidRDefault="004F79A3" w:rsidP="00F5663B">
      <w:pPr>
        <w:spacing w:after="0" w:line="240" w:lineRule="auto"/>
        <w:ind w:left="-2" w:firstLineChars="0" w:firstLine="0"/>
        <w:jc w:val="both"/>
        <w:rPr>
          <w:rFonts w:ascii="Arial" w:eastAsia="Arial" w:hAnsi="Arial" w:cs="Arial"/>
          <w:sz w:val="20"/>
          <w:szCs w:val="20"/>
        </w:rPr>
      </w:pPr>
      <w:r w:rsidRPr="004F79A3">
        <w:rPr>
          <w:rFonts w:ascii="Arial" w:eastAsiaTheme="minorEastAsia" w:hAnsi="Arial" w:cs="Arial"/>
          <w:sz w:val="20"/>
          <w:szCs w:val="20"/>
        </w:rPr>
        <w:t xml:space="preserve">This n </w:t>
      </w:r>
      <w:r w:rsidR="00F5663B">
        <w:rPr>
          <w:rFonts w:ascii="Arial" w:eastAsiaTheme="minorEastAsia" w:hAnsi="Arial" w:cs="Arial"/>
          <w:sz w:val="20"/>
          <w:szCs w:val="20"/>
        </w:rPr>
        <w:t xml:space="preserve">period </w:t>
      </w:r>
      <w:r w:rsidRPr="004F79A3">
        <w:rPr>
          <w:rFonts w:ascii="Arial" w:eastAsiaTheme="minorEastAsia" w:hAnsi="Arial" w:cs="Arial"/>
          <w:sz w:val="20"/>
          <w:szCs w:val="20"/>
        </w:rPr>
        <w:t xml:space="preserve">can be picked from a minimum of two periods. In this study, to decide the best n period to fit the forecasting model, several n periods are run to predict trend composition data, and this trend prediction is combined with the seasonal </w:t>
      </w:r>
      <w:r w:rsidRPr="004F79A3">
        <w:rPr>
          <w:rFonts w:ascii="Arial" w:eastAsiaTheme="minorEastAsia" w:hAnsi="Arial" w:cs="Arial"/>
          <w:sz w:val="20"/>
          <w:szCs w:val="20"/>
        </w:rPr>
        <w:lastRenderedPageBreak/>
        <w:t>decomposition period to get the final decomposition forecast value. The best-fitted n period is chosen based on the smallest MAPE of the testing data set</w:t>
      </w:r>
      <w:r w:rsidR="000722D2">
        <w:rPr>
          <w:rFonts w:ascii="Arial" w:eastAsiaTheme="minorEastAsia" w:hAnsi="Arial" w:cs="Arial"/>
          <w:sz w:val="20"/>
          <w:szCs w:val="20"/>
        </w:rPr>
        <w:t>.</w:t>
      </w:r>
    </w:p>
    <w:p w:rsidR="00BC7E6E" w:rsidRDefault="00BC7E6E">
      <w:pPr>
        <w:spacing w:after="0" w:line="240" w:lineRule="auto"/>
        <w:ind w:left="0" w:hanging="2"/>
        <w:jc w:val="both"/>
        <w:rPr>
          <w:rFonts w:ascii="Arial" w:eastAsia="Arial" w:hAnsi="Arial" w:cs="Arial"/>
          <w:sz w:val="20"/>
          <w:szCs w:val="20"/>
        </w:rPr>
      </w:pPr>
    </w:p>
    <w:p w:rsidR="00BC7E6E" w:rsidRDefault="007266B7">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RESULTS AND DISCUSSION</w:t>
      </w:r>
    </w:p>
    <w:p w:rsidR="001A3CF6" w:rsidRDefault="008F495C" w:rsidP="001A3CF6">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r>
        <w:rPr>
          <w:rFonts w:ascii="Arial" w:eastAsia="Arial" w:hAnsi="Arial" w:cs="Arial"/>
          <w:b/>
          <w:color w:val="1F4E79"/>
          <w:sz w:val="20"/>
          <w:szCs w:val="20"/>
        </w:rPr>
        <w:t>Data Exploration and Understanding</w:t>
      </w:r>
      <w:r w:rsidR="001A3CF6">
        <w:rPr>
          <w:rFonts w:ascii="Arial" w:eastAsia="Arial" w:hAnsi="Arial" w:cs="Arial"/>
          <w:color w:val="000000"/>
          <w:sz w:val="20"/>
          <w:szCs w:val="20"/>
        </w:rPr>
        <w:t xml:space="preserve"> </w:t>
      </w:r>
    </w:p>
    <w:p w:rsidR="00AE4F29" w:rsidRDefault="00AE4F29" w:rsidP="00AE4F29">
      <w:pPr>
        <w:spacing w:after="0" w:line="240" w:lineRule="auto"/>
        <w:ind w:left="0" w:hanging="2"/>
        <w:jc w:val="both"/>
        <w:rPr>
          <w:rFonts w:ascii="Arial" w:hAnsi="Arial" w:cs="Arial"/>
          <w:sz w:val="20"/>
          <w:szCs w:val="20"/>
        </w:rPr>
      </w:pPr>
      <w:r w:rsidRPr="00AE4F29">
        <w:rPr>
          <w:rFonts w:ascii="Arial" w:hAnsi="Arial" w:cs="Arial"/>
          <w:sz w:val="20"/>
          <w:szCs w:val="20"/>
        </w:rPr>
        <w:t>To understand the data, we should see the graph of d</w:t>
      </w:r>
      <w:r w:rsidR="00935C62">
        <w:rPr>
          <w:rFonts w:ascii="Arial" w:hAnsi="Arial" w:cs="Arial"/>
          <w:sz w:val="20"/>
          <w:szCs w:val="20"/>
        </w:rPr>
        <w:t>ata. Figure</w:t>
      </w:r>
      <w:r w:rsidRPr="00AE4F29">
        <w:rPr>
          <w:rFonts w:ascii="Arial" w:hAnsi="Arial" w:cs="Arial"/>
          <w:sz w:val="20"/>
          <w:szCs w:val="20"/>
        </w:rPr>
        <w:t xml:space="preserve"> 6 of the observed data part shows the sugar sales. Based on the analysis, the retail can always sell more than 100 packages of sugar</w:t>
      </w:r>
      <w:r w:rsidR="00935C62">
        <w:rPr>
          <w:rFonts w:ascii="Arial" w:hAnsi="Arial" w:cs="Arial"/>
          <w:sz w:val="20"/>
          <w:szCs w:val="20"/>
        </w:rPr>
        <w:t xml:space="preserve"> every month</w:t>
      </w:r>
      <w:r w:rsidRPr="00AE4F29">
        <w:rPr>
          <w:rFonts w:ascii="Arial" w:hAnsi="Arial" w:cs="Arial"/>
          <w:sz w:val="20"/>
          <w:szCs w:val="20"/>
        </w:rPr>
        <w:t>. There is high variability of the sales</w:t>
      </w:r>
      <w:r w:rsidR="00935C62">
        <w:rPr>
          <w:rFonts w:ascii="Arial" w:hAnsi="Arial" w:cs="Arial"/>
          <w:sz w:val="20"/>
          <w:szCs w:val="20"/>
        </w:rPr>
        <w:t xml:space="preserve"> shown by </w:t>
      </w:r>
      <w:r w:rsidRPr="00AE4F29">
        <w:rPr>
          <w:rFonts w:ascii="Arial" w:hAnsi="Arial" w:cs="Arial"/>
          <w:sz w:val="20"/>
          <w:szCs w:val="20"/>
        </w:rPr>
        <w:t>the coefficient of variability</w:t>
      </w:r>
      <w:r w:rsidR="00935C62">
        <w:rPr>
          <w:rFonts w:ascii="Arial" w:hAnsi="Arial" w:cs="Arial"/>
          <w:sz w:val="20"/>
          <w:szCs w:val="20"/>
        </w:rPr>
        <w:t xml:space="preserve"> (CV). The CV is 27</w:t>
      </w:r>
      <w:proofErr w:type="gramStart"/>
      <w:r w:rsidR="00935C62">
        <w:rPr>
          <w:rFonts w:ascii="Arial" w:hAnsi="Arial" w:cs="Arial"/>
          <w:sz w:val="20"/>
          <w:szCs w:val="20"/>
        </w:rPr>
        <w:t>,</w:t>
      </w:r>
      <w:r w:rsidR="006637D3">
        <w:rPr>
          <w:rFonts w:ascii="Arial" w:hAnsi="Arial" w:cs="Arial"/>
          <w:sz w:val="20"/>
          <w:szCs w:val="20"/>
        </w:rPr>
        <w:t>44</w:t>
      </w:r>
      <w:proofErr w:type="gramEnd"/>
      <w:r w:rsidR="006637D3">
        <w:rPr>
          <w:rFonts w:ascii="Arial" w:hAnsi="Arial" w:cs="Arial"/>
          <w:sz w:val="20"/>
          <w:szCs w:val="20"/>
        </w:rPr>
        <w:t>. That</w:t>
      </w:r>
      <w:r w:rsidR="00935C62">
        <w:rPr>
          <w:rFonts w:ascii="Arial" w:hAnsi="Arial" w:cs="Arial"/>
          <w:sz w:val="20"/>
          <w:szCs w:val="20"/>
        </w:rPr>
        <w:t xml:space="preserve"> is</w:t>
      </w:r>
      <w:r w:rsidRPr="00AE4F29">
        <w:rPr>
          <w:rFonts w:ascii="Arial" w:hAnsi="Arial" w:cs="Arial"/>
          <w:sz w:val="20"/>
          <w:szCs w:val="20"/>
        </w:rPr>
        <w:t xml:space="preserve"> higher than the variability severity threshold, which is 15</w:t>
      </w:r>
      <w:r w:rsidR="00935C62">
        <w:rPr>
          <w:rFonts w:ascii="Arial" w:hAnsi="Arial" w:cs="Arial"/>
          <w:sz w:val="20"/>
          <w:szCs w:val="20"/>
        </w:rPr>
        <w:t>%</w:t>
      </w:r>
      <w:r w:rsidRPr="00AE4F29">
        <w:rPr>
          <w:rFonts w:ascii="Arial" w:hAnsi="Arial" w:cs="Arial"/>
          <w:sz w:val="20"/>
          <w:szCs w:val="20"/>
        </w:rPr>
        <w:t xml:space="preserve"> </w:t>
      </w:r>
      <w:r w:rsidRPr="00935C62">
        <w:rPr>
          <w:rFonts w:ascii="Arial" w:hAnsi="Arial" w:cs="Arial"/>
          <w:sz w:val="20"/>
          <w:szCs w:val="20"/>
        </w:rPr>
        <w:fldChar w:fldCharType="begin" w:fldLock="1"/>
      </w:r>
      <w:r w:rsidR="00EE0732">
        <w:rPr>
          <w:rFonts w:ascii="Arial" w:hAnsi="Arial" w:cs="Arial"/>
          <w:sz w:val="20"/>
          <w:szCs w:val="20"/>
        </w:rPr>
        <w:instrText>ADDIN CSL_CITATION {"citationItems":[{"id":"ITEM-1","itemData":{"DOI":"10.1007/978-3-642-37131-8_4","ISBN":"9783642371318","abstract":"This chapter focuses on the use of the coefficient of variation (CV) as an index of reliability or variability in the health sciences (medical and biological sciences) for the purpose of clinical research and clinical practice in the context of diagnostic tests, human performance tests, and biochemical laboratory assays. Before examining the use of the CV as an index of measurement reliability or variability, there is a need to define basic terms in measurement theory such as reliability, validity, and measurement error. A discussion and examples of use of the CV as a measure of reliability or variability are also provided","author":[{"dropping-particle":"","family":"Shechtman","given":"Orit","non-dropping-particle":"","parse-names":false,"suffix":""}],"chapter-number":"4","container-title":"Methods of Clinical Epidemiology","editor":[{"dropping-particle":"","family":"Doi","given":"Suhail A. R.","non-dropping-particle":"","parse-names":false,"suffix":""},{"dropping-particle":"","family":"Williams","given":"Gail M.","non-dropping-particle":"","parse-names":false,"suffix":""}],"id":"ITEM-1","issue":"Springer Series on Epidemiology and Public Health","issued":{"date-parts":[["2013"]]},"page":"39-49","publisher":"Springer","publisher-place":"Verlag Berlin Heidelberg","title":"The Coefficient of Variation as an Index of Measurement Reliability","type":"chapter"},"uris":["http://www.mendeley.com/documents/?uuid=acf0cb6f-8bbe-4ee3-9473-8f8cd2c01541"]}],"mendeley":{"formattedCitation":"[27]","plainTextFormattedCitation":"[27]","previouslyFormattedCitation":"[27]"},"properties":{"noteIndex":0},"schema":"https://github.com/citation-style-language/schema/raw/master/csl-citation.json"}</w:instrText>
      </w:r>
      <w:r w:rsidRPr="00935C62">
        <w:rPr>
          <w:rFonts w:ascii="Arial" w:hAnsi="Arial" w:cs="Arial"/>
          <w:sz w:val="20"/>
          <w:szCs w:val="20"/>
        </w:rPr>
        <w:fldChar w:fldCharType="separate"/>
      </w:r>
      <w:r w:rsidR="00703960" w:rsidRPr="00703960">
        <w:rPr>
          <w:rFonts w:ascii="Arial" w:hAnsi="Arial" w:cs="Arial"/>
          <w:noProof/>
          <w:sz w:val="20"/>
          <w:szCs w:val="20"/>
        </w:rPr>
        <w:t>[27]</w:t>
      </w:r>
      <w:r w:rsidRPr="00935C62">
        <w:rPr>
          <w:rFonts w:ascii="Arial" w:hAnsi="Arial" w:cs="Arial"/>
          <w:sz w:val="20"/>
          <w:szCs w:val="20"/>
        </w:rPr>
        <w:fldChar w:fldCharType="end"/>
      </w:r>
      <w:r w:rsidR="00935C62">
        <w:rPr>
          <w:rFonts w:ascii="Arial" w:hAnsi="Arial" w:cs="Arial"/>
          <w:sz w:val="20"/>
          <w:szCs w:val="20"/>
        </w:rPr>
        <w:t>.</w:t>
      </w:r>
      <w:r w:rsidRPr="00AE4F29">
        <w:rPr>
          <w:rFonts w:ascii="Arial" w:hAnsi="Arial" w:cs="Arial"/>
          <w:color w:val="FF0000"/>
          <w:sz w:val="20"/>
          <w:szCs w:val="20"/>
        </w:rPr>
        <w:t xml:space="preserve"> </w:t>
      </w:r>
      <w:r w:rsidRPr="00AE4F29">
        <w:rPr>
          <w:rFonts w:ascii="Arial" w:hAnsi="Arial" w:cs="Arial"/>
          <w:sz w:val="20"/>
          <w:szCs w:val="20"/>
        </w:rPr>
        <w:t>This condition</w:t>
      </w:r>
      <w:r w:rsidR="00935C62">
        <w:rPr>
          <w:rFonts w:ascii="Arial" w:hAnsi="Arial" w:cs="Arial"/>
          <w:sz w:val="20"/>
          <w:szCs w:val="20"/>
        </w:rPr>
        <w:t xml:space="preserve"> might</w:t>
      </w:r>
      <w:r w:rsidRPr="00AE4F29">
        <w:rPr>
          <w:rFonts w:ascii="Arial" w:hAnsi="Arial" w:cs="Arial"/>
          <w:sz w:val="20"/>
          <w:szCs w:val="20"/>
        </w:rPr>
        <w:t xml:space="preserve"> lead to the difficulty of sales prediction. Further information can be found in Table 1.</w:t>
      </w:r>
    </w:p>
    <w:p w:rsidR="00AE4F29" w:rsidRDefault="00AE4F29" w:rsidP="00AE4F29">
      <w:pPr>
        <w:spacing w:after="0" w:line="240" w:lineRule="auto"/>
        <w:ind w:left="0" w:hanging="2"/>
        <w:jc w:val="both"/>
        <w:rPr>
          <w:rFonts w:ascii="Arial" w:hAnsi="Arial" w:cs="Arial"/>
          <w:sz w:val="20"/>
          <w:szCs w:val="20"/>
        </w:rPr>
      </w:pPr>
    </w:p>
    <w:p w:rsidR="00AE4F29" w:rsidRDefault="00337017" w:rsidP="00AE4F29">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Table 1</w:t>
      </w:r>
      <w:r w:rsidR="00BA68F1">
        <w:rPr>
          <w:rFonts w:ascii="Arial" w:eastAsia="Arial" w:hAnsi="Arial" w:cs="Arial"/>
          <w:color w:val="000000"/>
          <w:sz w:val="20"/>
          <w:szCs w:val="20"/>
        </w:rPr>
        <w:t>.</w:t>
      </w:r>
      <w:r>
        <w:rPr>
          <w:rFonts w:ascii="Arial" w:eastAsia="Arial" w:hAnsi="Arial" w:cs="Arial"/>
          <w:color w:val="000000"/>
          <w:sz w:val="20"/>
          <w:szCs w:val="20"/>
        </w:rPr>
        <w:t xml:space="preserve"> Basic S</w:t>
      </w:r>
      <w:r w:rsidR="00D96894">
        <w:rPr>
          <w:rFonts w:ascii="Arial" w:eastAsia="Arial" w:hAnsi="Arial" w:cs="Arial"/>
          <w:color w:val="000000"/>
          <w:sz w:val="20"/>
          <w:szCs w:val="20"/>
        </w:rPr>
        <w:t>tatistics of Da</w:t>
      </w:r>
      <w:r>
        <w:rPr>
          <w:rFonts w:ascii="Arial" w:eastAsia="Arial" w:hAnsi="Arial" w:cs="Arial"/>
          <w:color w:val="000000"/>
          <w:sz w:val="20"/>
          <w:szCs w:val="20"/>
        </w:rPr>
        <w:t>ta</w:t>
      </w:r>
    </w:p>
    <w:tbl>
      <w:tblPr>
        <w:tblStyle w:val="a2"/>
        <w:tblW w:w="4395"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268"/>
        <w:gridCol w:w="2127"/>
      </w:tblGrid>
      <w:tr w:rsidR="00337017" w:rsidRPr="003E7689" w:rsidTr="0027516B">
        <w:trPr>
          <w:trHeight w:val="20"/>
          <w:jc w:val="center"/>
        </w:trPr>
        <w:tc>
          <w:tcPr>
            <w:tcW w:w="2268" w:type="dxa"/>
            <w:tcBorders>
              <w:top w:val="single" w:sz="4" w:space="0" w:color="000000"/>
              <w:bottom w:val="single" w:sz="4" w:space="0" w:color="000000"/>
            </w:tcBorders>
            <w:vAlign w:val="bottom"/>
          </w:tcPr>
          <w:p w:rsidR="00337017" w:rsidRPr="003E7689" w:rsidRDefault="00337017" w:rsidP="00337017">
            <w:pPr>
              <w:spacing w:after="0" w:line="240" w:lineRule="auto"/>
              <w:ind w:left="0" w:hanging="2"/>
              <w:jc w:val="center"/>
              <w:rPr>
                <w:rFonts w:ascii="Arial" w:eastAsia="Times New Roman" w:hAnsi="Arial" w:cs="Arial"/>
                <w:b/>
                <w:bCs/>
                <w:color w:val="000000"/>
                <w:sz w:val="16"/>
                <w:szCs w:val="16"/>
                <w:lang w:eastAsia="en-ID"/>
              </w:rPr>
            </w:pPr>
            <w:r w:rsidRPr="003E7689">
              <w:rPr>
                <w:rFonts w:ascii="Arial" w:eastAsia="Times New Roman" w:hAnsi="Arial" w:cs="Arial"/>
                <w:b/>
                <w:bCs/>
                <w:color w:val="000000"/>
                <w:sz w:val="16"/>
                <w:szCs w:val="16"/>
                <w:lang w:eastAsia="en-ID"/>
              </w:rPr>
              <w:t>Coefficient of Variance</w:t>
            </w:r>
          </w:p>
        </w:tc>
        <w:tc>
          <w:tcPr>
            <w:tcW w:w="2127" w:type="dxa"/>
            <w:tcBorders>
              <w:top w:val="single" w:sz="4" w:space="0" w:color="000000"/>
              <w:bottom w:val="single" w:sz="4" w:space="0" w:color="000000"/>
            </w:tcBorders>
            <w:vAlign w:val="bottom"/>
          </w:tcPr>
          <w:p w:rsidR="00337017" w:rsidRPr="003E7689" w:rsidRDefault="00337017" w:rsidP="00337017">
            <w:pPr>
              <w:spacing w:after="0" w:line="240" w:lineRule="auto"/>
              <w:ind w:left="0" w:hanging="2"/>
              <w:jc w:val="center"/>
              <w:rPr>
                <w:rFonts w:ascii="Arial" w:eastAsia="Times New Roman" w:hAnsi="Arial" w:cs="Arial"/>
                <w:b/>
                <w:bCs/>
                <w:color w:val="000000"/>
                <w:sz w:val="16"/>
                <w:szCs w:val="16"/>
                <w:lang w:eastAsia="en-ID"/>
              </w:rPr>
            </w:pPr>
            <w:r w:rsidRPr="003E7689">
              <w:rPr>
                <w:rFonts w:ascii="Arial" w:eastAsia="Times New Roman" w:hAnsi="Arial" w:cs="Arial"/>
                <w:b/>
                <w:bCs/>
                <w:color w:val="000000"/>
                <w:sz w:val="16"/>
                <w:szCs w:val="16"/>
                <w:lang w:eastAsia="en-ID"/>
              </w:rPr>
              <w:t>Value</w:t>
            </w:r>
          </w:p>
        </w:tc>
      </w:tr>
      <w:tr w:rsidR="00337017" w:rsidRPr="003E7689" w:rsidTr="0027516B">
        <w:trPr>
          <w:trHeight w:val="20"/>
          <w:jc w:val="center"/>
        </w:trPr>
        <w:tc>
          <w:tcPr>
            <w:tcW w:w="2268" w:type="dxa"/>
            <w:tcBorders>
              <w:top w:val="single" w:sz="4" w:space="0" w:color="000000"/>
            </w:tcBorders>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Total Data</w:t>
            </w:r>
          </w:p>
        </w:tc>
        <w:tc>
          <w:tcPr>
            <w:tcW w:w="2127" w:type="dxa"/>
            <w:tcBorders>
              <w:top w:val="single" w:sz="4" w:space="0" w:color="000000"/>
            </w:tcBorders>
            <w:vAlign w:val="bottom"/>
          </w:tcPr>
          <w:p w:rsidR="00337017" w:rsidRPr="003E7689" w:rsidRDefault="00337017"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72</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Mean</w:t>
            </w:r>
          </w:p>
        </w:tc>
        <w:tc>
          <w:tcPr>
            <w:tcW w:w="2127" w:type="dxa"/>
            <w:vAlign w:val="bottom"/>
          </w:tcPr>
          <w:p w:rsidR="00337017" w:rsidRPr="003E7689" w:rsidRDefault="00337017" w:rsidP="003E7689">
            <w:pPr>
              <w:tabs>
                <w:tab w:val="left" w:pos="1430"/>
              </w:tabs>
              <w:spacing w:after="0" w:line="240" w:lineRule="auto"/>
              <w:ind w:left="0" w:hanging="2"/>
              <w:jc w:val="right"/>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185</w:t>
            </w:r>
            <w:r w:rsidR="003E7689">
              <w:rPr>
                <w:rFonts w:ascii="Arial" w:eastAsia="Times New Roman" w:hAnsi="Arial" w:cs="Arial"/>
                <w:color w:val="000000"/>
                <w:sz w:val="16"/>
                <w:szCs w:val="16"/>
                <w:lang w:eastAsia="en-ID"/>
              </w:rPr>
              <w:t>.</w:t>
            </w:r>
            <w:r w:rsidRPr="003E7689">
              <w:rPr>
                <w:rFonts w:ascii="Arial" w:eastAsia="Times New Roman" w:hAnsi="Arial" w:cs="Arial"/>
                <w:color w:val="000000"/>
                <w:sz w:val="16"/>
                <w:szCs w:val="16"/>
                <w:lang w:eastAsia="en-ID"/>
              </w:rPr>
              <w:t>46</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Median</w:t>
            </w:r>
          </w:p>
        </w:tc>
        <w:tc>
          <w:tcPr>
            <w:tcW w:w="2127" w:type="dxa"/>
            <w:vAlign w:val="bottom"/>
          </w:tcPr>
          <w:p w:rsidR="00337017" w:rsidRPr="003E7689" w:rsidRDefault="00337017"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1</w:t>
            </w:r>
            <w:r w:rsidR="003E7689">
              <w:rPr>
                <w:rFonts w:ascii="Arial" w:eastAsia="Times New Roman" w:hAnsi="Arial" w:cs="Arial"/>
                <w:color w:val="000000"/>
                <w:sz w:val="16"/>
                <w:szCs w:val="16"/>
                <w:lang w:eastAsia="en-ID"/>
              </w:rPr>
              <w:t>79.</w:t>
            </w:r>
            <w:r w:rsidRPr="003E7689">
              <w:rPr>
                <w:rFonts w:ascii="Arial" w:eastAsia="Times New Roman" w:hAnsi="Arial" w:cs="Arial"/>
                <w:color w:val="000000"/>
                <w:sz w:val="16"/>
                <w:szCs w:val="16"/>
                <w:lang w:eastAsia="en-ID"/>
              </w:rPr>
              <w:t>5</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Variance</w:t>
            </w:r>
          </w:p>
        </w:tc>
        <w:tc>
          <w:tcPr>
            <w:tcW w:w="2127" w:type="dxa"/>
            <w:vAlign w:val="bottom"/>
          </w:tcPr>
          <w:p w:rsidR="00337017" w:rsidRPr="003E7689" w:rsidRDefault="003E7689"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Pr>
                <w:rFonts w:ascii="Arial" w:eastAsia="Times New Roman" w:hAnsi="Arial" w:cs="Arial"/>
                <w:color w:val="000000"/>
                <w:sz w:val="16"/>
                <w:szCs w:val="16"/>
                <w:lang w:eastAsia="en-ID"/>
              </w:rPr>
              <w:t>2589.</w:t>
            </w:r>
            <w:r w:rsidR="00337017" w:rsidRPr="003E7689">
              <w:rPr>
                <w:rFonts w:ascii="Arial" w:eastAsia="Times New Roman" w:hAnsi="Arial" w:cs="Arial"/>
                <w:color w:val="000000"/>
                <w:sz w:val="16"/>
                <w:szCs w:val="16"/>
                <w:lang w:eastAsia="en-ID"/>
              </w:rPr>
              <w:t>6</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Standard Deviation</w:t>
            </w:r>
          </w:p>
        </w:tc>
        <w:tc>
          <w:tcPr>
            <w:tcW w:w="2127" w:type="dxa"/>
            <w:vAlign w:val="bottom"/>
          </w:tcPr>
          <w:p w:rsidR="00337017" w:rsidRPr="003E7689" w:rsidRDefault="003E7689"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Pr>
                <w:rFonts w:ascii="Arial" w:eastAsia="Times New Roman" w:hAnsi="Arial" w:cs="Arial"/>
                <w:color w:val="000000"/>
                <w:sz w:val="16"/>
                <w:szCs w:val="16"/>
                <w:lang w:eastAsia="en-ID"/>
              </w:rPr>
              <w:t>50.</w:t>
            </w:r>
            <w:r w:rsidR="00337017" w:rsidRPr="003E7689">
              <w:rPr>
                <w:rFonts w:ascii="Arial" w:eastAsia="Times New Roman" w:hAnsi="Arial" w:cs="Arial"/>
                <w:color w:val="000000"/>
                <w:sz w:val="16"/>
                <w:szCs w:val="16"/>
                <w:lang w:eastAsia="en-ID"/>
              </w:rPr>
              <w:t>89</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Coefficient of Variance</w:t>
            </w:r>
          </w:p>
        </w:tc>
        <w:tc>
          <w:tcPr>
            <w:tcW w:w="2127" w:type="dxa"/>
            <w:vAlign w:val="bottom"/>
          </w:tcPr>
          <w:p w:rsidR="00337017" w:rsidRPr="003E7689" w:rsidRDefault="003E7689"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Pr>
                <w:rFonts w:ascii="Arial" w:eastAsia="Times New Roman" w:hAnsi="Arial" w:cs="Arial"/>
                <w:color w:val="000000"/>
                <w:sz w:val="16"/>
                <w:szCs w:val="16"/>
                <w:lang w:eastAsia="en-ID"/>
              </w:rPr>
              <w:t>27.</w:t>
            </w:r>
            <w:r w:rsidR="00337017" w:rsidRPr="003E7689">
              <w:rPr>
                <w:rFonts w:ascii="Arial" w:eastAsia="Times New Roman" w:hAnsi="Arial" w:cs="Arial"/>
                <w:color w:val="000000"/>
                <w:sz w:val="16"/>
                <w:szCs w:val="16"/>
                <w:lang w:eastAsia="en-ID"/>
              </w:rPr>
              <w:t>44</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Maximal</w:t>
            </w:r>
          </w:p>
        </w:tc>
        <w:tc>
          <w:tcPr>
            <w:tcW w:w="2127" w:type="dxa"/>
            <w:vAlign w:val="bottom"/>
          </w:tcPr>
          <w:p w:rsidR="00337017" w:rsidRPr="003E7689" w:rsidRDefault="00337017"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389</w:t>
            </w:r>
          </w:p>
        </w:tc>
      </w:tr>
      <w:tr w:rsidR="0027516B" w:rsidRPr="003E7689" w:rsidTr="0027516B">
        <w:trPr>
          <w:trHeight w:val="20"/>
          <w:jc w:val="center"/>
        </w:trPr>
        <w:tc>
          <w:tcPr>
            <w:tcW w:w="2268" w:type="dxa"/>
            <w:vAlign w:val="bottom"/>
          </w:tcPr>
          <w:p w:rsidR="0027516B" w:rsidRPr="0027516B" w:rsidRDefault="0027516B" w:rsidP="0027516B">
            <w:pPr>
              <w:spacing w:after="0" w:line="240" w:lineRule="auto"/>
              <w:ind w:left="0" w:hanging="2"/>
              <w:rPr>
                <w:rFonts w:ascii="Arial" w:eastAsia="Times New Roman" w:hAnsi="Arial" w:cs="Arial"/>
                <w:color w:val="000000"/>
                <w:sz w:val="16"/>
                <w:szCs w:val="16"/>
                <w:lang w:eastAsia="en-ID"/>
              </w:rPr>
            </w:pPr>
            <w:r w:rsidRPr="0027516B">
              <w:rPr>
                <w:rFonts w:ascii="Arial" w:eastAsia="Times New Roman" w:hAnsi="Arial" w:cs="Arial"/>
                <w:color w:val="000000"/>
                <w:sz w:val="16"/>
                <w:szCs w:val="16"/>
                <w:lang w:eastAsia="en-ID"/>
              </w:rPr>
              <w:t>Minimal</w:t>
            </w:r>
          </w:p>
        </w:tc>
        <w:tc>
          <w:tcPr>
            <w:tcW w:w="2127" w:type="dxa"/>
            <w:vAlign w:val="bottom"/>
          </w:tcPr>
          <w:p w:rsidR="0027516B" w:rsidRPr="0027516B" w:rsidRDefault="0027516B" w:rsidP="0027516B">
            <w:pPr>
              <w:tabs>
                <w:tab w:val="left" w:pos="1430"/>
              </w:tabs>
              <w:spacing w:after="0" w:line="240" w:lineRule="auto"/>
              <w:ind w:left="0" w:hanging="2"/>
              <w:jc w:val="right"/>
              <w:rPr>
                <w:rFonts w:ascii="Arial" w:eastAsia="Times New Roman" w:hAnsi="Arial" w:cs="Arial"/>
                <w:color w:val="000000"/>
                <w:sz w:val="16"/>
                <w:szCs w:val="16"/>
                <w:lang w:eastAsia="en-ID"/>
              </w:rPr>
            </w:pPr>
            <w:r w:rsidRPr="0027516B">
              <w:rPr>
                <w:rFonts w:ascii="Arial" w:eastAsia="Times New Roman" w:hAnsi="Arial" w:cs="Arial"/>
                <w:color w:val="000000"/>
                <w:sz w:val="16"/>
                <w:szCs w:val="16"/>
                <w:lang w:eastAsia="en-ID"/>
              </w:rPr>
              <w:t>103</w:t>
            </w:r>
          </w:p>
        </w:tc>
      </w:tr>
      <w:tr w:rsidR="0027516B" w:rsidRPr="003E7689" w:rsidTr="0027516B">
        <w:trPr>
          <w:trHeight w:val="20"/>
          <w:jc w:val="center"/>
        </w:trPr>
        <w:tc>
          <w:tcPr>
            <w:tcW w:w="2268" w:type="dxa"/>
            <w:vAlign w:val="bottom"/>
          </w:tcPr>
          <w:p w:rsidR="0027516B" w:rsidRPr="0027516B" w:rsidRDefault="0027516B" w:rsidP="0027516B">
            <w:pPr>
              <w:spacing w:after="0" w:line="240" w:lineRule="auto"/>
              <w:ind w:left="0" w:hanging="2"/>
              <w:rPr>
                <w:rFonts w:ascii="Arial" w:eastAsia="Times New Roman" w:hAnsi="Arial" w:cs="Arial"/>
                <w:color w:val="000000"/>
                <w:sz w:val="16"/>
                <w:szCs w:val="16"/>
                <w:lang w:eastAsia="en-ID"/>
              </w:rPr>
            </w:pPr>
            <w:r w:rsidRPr="0027516B">
              <w:rPr>
                <w:rFonts w:ascii="Arial" w:eastAsia="Times New Roman" w:hAnsi="Arial" w:cs="Arial"/>
                <w:color w:val="000000"/>
                <w:sz w:val="16"/>
                <w:szCs w:val="16"/>
                <w:lang w:eastAsia="en-ID"/>
              </w:rPr>
              <w:t>P-value of Kolmogorov-Smirnov</w:t>
            </w:r>
            <w:r>
              <w:rPr>
                <w:rFonts w:ascii="Arial" w:eastAsia="Times New Roman" w:hAnsi="Arial" w:cs="Arial"/>
                <w:color w:val="000000"/>
                <w:sz w:val="16"/>
                <w:szCs w:val="16"/>
                <w:lang w:eastAsia="en-ID"/>
              </w:rPr>
              <w:t xml:space="preserve"> Test</w:t>
            </w:r>
          </w:p>
        </w:tc>
        <w:tc>
          <w:tcPr>
            <w:tcW w:w="2127" w:type="dxa"/>
            <w:vAlign w:val="bottom"/>
          </w:tcPr>
          <w:p w:rsidR="0027516B" w:rsidRPr="0027516B" w:rsidRDefault="0027516B" w:rsidP="0027516B">
            <w:pPr>
              <w:pStyle w:val="ListParagraph"/>
              <w:tabs>
                <w:tab w:val="left" w:pos="1430"/>
              </w:tabs>
              <w:spacing w:after="0" w:line="240" w:lineRule="auto"/>
              <w:ind w:left="0" w:hanging="2"/>
              <w:jc w:val="right"/>
              <w:rPr>
                <w:rFonts w:ascii="Arial" w:eastAsia="Times New Roman" w:hAnsi="Arial" w:cs="Arial"/>
                <w:color w:val="000000"/>
                <w:sz w:val="16"/>
                <w:szCs w:val="16"/>
                <w:lang w:eastAsia="en-ID"/>
              </w:rPr>
            </w:pPr>
            <w:r w:rsidRPr="0027516B">
              <w:rPr>
                <w:rFonts w:ascii="Arial" w:eastAsia="Times New Roman" w:hAnsi="Arial" w:cs="Arial"/>
                <w:color w:val="000000"/>
                <w:sz w:val="16"/>
                <w:szCs w:val="16"/>
                <w:lang w:eastAsia="en-ID"/>
              </w:rPr>
              <w:t>&gt;</w:t>
            </w:r>
            <w:r>
              <w:rPr>
                <w:rFonts w:ascii="Arial" w:eastAsia="Times New Roman" w:hAnsi="Arial" w:cs="Arial"/>
                <w:color w:val="000000"/>
                <w:sz w:val="16"/>
                <w:szCs w:val="16"/>
                <w:lang w:eastAsia="en-ID"/>
              </w:rPr>
              <w:t>0.</w:t>
            </w:r>
            <w:r w:rsidRPr="0027516B">
              <w:rPr>
                <w:rFonts w:ascii="Arial" w:eastAsia="Times New Roman" w:hAnsi="Arial" w:cs="Arial"/>
                <w:color w:val="000000"/>
                <w:sz w:val="16"/>
                <w:szCs w:val="16"/>
                <w:lang w:eastAsia="en-ID"/>
              </w:rPr>
              <w:t>15 (normal distribution)</w:t>
            </w:r>
          </w:p>
        </w:tc>
      </w:tr>
      <w:tr w:rsidR="0027516B" w:rsidRPr="003E7689" w:rsidTr="0027516B">
        <w:trPr>
          <w:trHeight w:val="20"/>
          <w:jc w:val="center"/>
        </w:trPr>
        <w:tc>
          <w:tcPr>
            <w:tcW w:w="2268" w:type="dxa"/>
            <w:tcBorders>
              <w:bottom w:val="single" w:sz="4" w:space="0" w:color="000000"/>
            </w:tcBorders>
            <w:vAlign w:val="bottom"/>
          </w:tcPr>
          <w:p w:rsidR="0027516B" w:rsidRPr="0027516B" w:rsidRDefault="0027516B" w:rsidP="0027516B">
            <w:pPr>
              <w:spacing w:after="0" w:line="240" w:lineRule="auto"/>
              <w:ind w:left="0" w:hanging="2"/>
              <w:rPr>
                <w:rFonts w:ascii="Arial" w:eastAsia="Times New Roman" w:hAnsi="Arial" w:cs="Arial"/>
                <w:color w:val="000000"/>
                <w:sz w:val="16"/>
                <w:szCs w:val="16"/>
                <w:lang w:eastAsia="en-ID"/>
              </w:rPr>
            </w:pPr>
            <w:r w:rsidRPr="0027516B">
              <w:rPr>
                <w:rFonts w:ascii="Arial" w:hAnsi="Arial" w:cs="Arial"/>
                <w:sz w:val="16"/>
                <w:szCs w:val="16"/>
              </w:rPr>
              <w:t xml:space="preserve">Kwiatkowski-Phillips-Schmidt-Shin (KPSS) value </w:t>
            </w:r>
          </w:p>
        </w:tc>
        <w:tc>
          <w:tcPr>
            <w:tcW w:w="2127" w:type="dxa"/>
            <w:tcBorders>
              <w:bottom w:val="single" w:sz="4" w:space="0" w:color="000000"/>
            </w:tcBorders>
            <w:vAlign w:val="bottom"/>
          </w:tcPr>
          <w:p w:rsidR="0027516B" w:rsidRPr="0027516B" w:rsidRDefault="0027516B" w:rsidP="0027516B">
            <w:pPr>
              <w:pStyle w:val="ListParagraph"/>
              <w:tabs>
                <w:tab w:val="left" w:pos="1430"/>
              </w:tabs>
              <w:spacing w:after="0" w:line="240" w:lineRule="auto"/>
              <w:ind w:left="0" w:hanging="2"/>
              <w:jc w:val="right"/>
              <w:rPr>
                <w:rFonts w:ascii="Arial" w:eastAsia="Times New Roman" w:hAnsi="Arial" w:cs="Arial"/>
                <w:color w:val="000000"/>
                <w:sz w:val="16"/>
                <w:szCs w:val="16"/>
                <w:lang w:eastAsia="en-ID"/>
              </w:rPr>
            </w:pPr>
            <w:r w:rsidRPr="0027516B">
              <w:rPr>
                <w:rFonts w:ascii="Arial" w:eastAsia="Times New Roman" w:hAnsi="Arial" w:cs="Arial"/>
                <w:color w:val="000000"/>
                <w:sz w:val="16"/>
                <w:szCs w:val="16"/>
                <w:lang w:eastAsia="en-ID"/>
              </w:rPr>
              <w:t>0.4419 (non-stationer)</w:t>
            </w:r>
          </w:p>
        </w:tc>
      </w:tr>
    </w:tbl>
    <w:p w:rsidR="00AE4F29" w:rsidRPr="00AE4F29" w:rsidRDefault="00AE4F29" w:rsidP="00AE4F29">
      <w:pPr>
        <w:spacing w:after="0" w:line="240" w:lineRule="auto"/>
        <w:ind w:left="0" w:hanging="2"/>
        <w:jc w:val="both"/>
        <w:rPr>
          <w:rFonts w:ascii="Arial" w:hAnsi="Arial" w:cs="Arial"/>
          <w:sz w:val="20"/>
          <w:szCs w:val="20"/>
        </w:rPr>
      </w:pPr>
    </w:p>
    <w:p w:rsidR="00D96894" w:rsidRPr="00D96894" w:rsidRDefault="00D96894" w:rsidP="00D96894">
      <w:pPr>
        <w:spacing w:after="0" w:line="240" w:lineRule="auto"/>
        <w:ind w:left="0" w:hanging="2"/>
        <w:jc w:val="both"/>
        <w:rPr>
          <w:rFonts w:ascii="Arial" w:hAnsi="Arial" w:cs="Arial"/>
          <w:sz w:val="20"/>
          <w:szCs w:val="20"/>
        </w:rPr>
      </w:pPr>
      <w:r w:rsidRPr="00D96894">
        <w:rPr>
          <w:rFonts w:ascii="Arial" w:hAnsi="Arial" w:cs="Arial"/>
          <w:sz w:val="20"/>
          <w:szCs w:val="20"/>
        </w:rPr>
        <w:t xml:space="preserve">Another data exploration that should be done is checking the stationary of data.  Stationer data means that its statistical </w:t>
      </w:r>
      <w:r w:rsidR="00935C62">
        <w:rPr>
          <w:rFonts w:ascii="Arial" w:hAnsi="Arial" w:cs="Arial"/>
          <w:sz w:val="20"/>
          <w:szCs w:val="20"/>
        </w:rPr>
        <w:t xml:space="preserve">properties such as mean, </w:t>
      </w:r>
      <w:r w:rsidRPr="00D96894">
        <w:rPr>
          <w:rFonts w:ascii="Arial" w:hAnsi="Arial" w:cs="Arial"/>
          <w:sz w:val="20"/>
          <w:szCs w:val="20"/>
        </w:rPr>
        <w:t>variance</w:t>
      </w:r>
      <w:r w:rsidR="00935C62">
        <w:rPr>
          <w:rFonts w:ascii="Arial" w:hAnsi="Arial" w:cs="Arial"/>
          <w:sz w:val="20"/>
          <w:szCs w:val="20"/>
        </w:rPr>
        <w:t>, etc.</w:t>
      </w:r>
      <w:r w:rsidRPr="00D96894">
        <w:rPr>
          <w:rFonts w:ascii="Arial" w:hAnsi="Arial" w:cs="Arial"/>
          <w:sz w:val="20"/>
          <w:szCs w:val="20"/>
        </w:rPr>
        <w:t xml:space="preserve"> do not change </w:t>
      </w:r>
      <w:r w:rsidR="00404A3D">
        <w:rPr>
          <w:rFonts w:ascii="Arial" w:hAnsi="Arial" w:cs="Arial"/>
          <w:sz w:val="20"/>
          <w:szCs w:val="20"/>
        </w:rPr>
        <w:t xml:space="preserve">or depend </w:t>
      </w:r>
      <w:r w:rsidRPr="00D96894">
        <w:rPr>
          <w:rFonts w:ascii="Arial" w:hAnsi="Arial" w:cs="Arial"/>
          <w:sz w:val="20"/>
          <w:szCs w:val="20"/>
        </w:rPr>
        <w:t xml:space="preserve">over time </w:t>
      </w:r>
      <w:r w:rsidRPr="00D96894">
        <w:rPr>
          <w:rFonts w:ascii="Arial" w:hAnsi="Arial" w:cs="Arial"/>
          <w:color w:val="7030A0"/>
          <w:sz w:val="20"/>
          <w:szCs w:val="20"/>
        </w:rPr>
        <w:fldChar w:fldCharType="begin" w:fldLock="1"/>
      </w:r>
      <w:r w:rsidR="00EE0732">
        <w:rPr>
          <w:rFonts w:ascii="Arial" w:hAnsi="Arial" w:cs="Arial"/>
          <w:color w:val="7030A0"/>
          <w:sz w:val="20"/>
          <w:szCs w:val="20"/>
        </w:rPr>
        <w:instrText>ADDIN CSL_CITATION {"citationItems":[{"id":"ITEM-1","itemData":{"author":[{"dropping-particle":"","family":"Box","given":"George E.P.","non-dropping-particle":"","parse-names":false,"suffix":""},{"dropping-particle":"","family":"Jenkins","given":"Gwilym M","non-dropping-particle":"","parse-names":false,"suffix":""},{"dropping-particle":"","family":"Reinsel","given":"Gregory C","non-dropping-particle":"","parse-names":false,"suffix":""},{"dropping-particle":"","family":"Ljung","given":"Greta M","non-dropping-particle":"","parse-names":false,"suffix":""}],"container-title":"John Wiley &amp; sons, Inc.","edition":"5th","id":"ITEM-1","issued":{"date-parts":[["2016"]]},"publisher":"John Wiley &amp; Sons, Inc.","publisher-place":"Hoboken, New Jersey","title":"Time Series Analysis: Forecasting and Control","type":"book","volume":"11"},"uris":["http://www.mendeley.com/documents/?uuid=0c62d506-5907-4f45-9a6b-e0a29bb99fb9"]},{"id":"ITEM-2","itemData":{"DOI":"10.1109/ACCESS.2022.3224938","ISSN":"21693536","abstract":"Time series forecasting using historical data is significantly important nowadays. Many fields such as finance, industries, healthcare, and meteorology use it. Profit analysis using financial data is crucial for any online or offline businesses and companies. It helps understand the sales and the profits and losses made and predict values for the future. For this effective analysis, the statistical methods- Autoregressive Integrated Moving Average (ARIMA) and Seasonal ARIMA models (SARIMA), and deep learning method- Long Short- Term Memory (LSTM) Neural Network model in time series forecasting have been chosen. It has been converted into a stationary dataset for ARIMA, not for SARIMA and LSTM. The fitted models have been built and used to predict profit on test data. After obtaining good accuracies of 93.84% (ARIMA), 94.378% (SARIMA) and 97.01% (LSTM) approximately, forecasts for the next 5 years have been done. Results show that LSTM surpasses both the statistical models in constructing the best model.","author":[{"dropping-particle":"","family":"Sirisha","given":"Uppala Meena","non-dropping-particle":"","parse-names":false,"suffix":""},{"dropping-particle":"","family":"Belavagi","given":"Manjula C.","non-dropping-particle":"","parse-names":false,"suffix":""},{"dropping-particle":"","family":"Attigeri","given":"Girija","non-dropping-particle":"","parse-names":false,"suffix":""}],"container-title":"IEEE Access","id":"ITEM-2","issue":"October","issued":{"date-parts":[["2022"]]},"page":"124715-124727","publisher":"IEEE","title":"Profit Prediction Using ARIMA, SARIMA and LSTM Models in Time Series Forecasting: A Comparison","type":"article-journal","volume":"10"},"uris":["http://www.mendeley.com/documents/?uuid=3da55f88-3351-4cf4-b2f0-6e4c48a29b98"]}],"mendeley":{"formattedCitation":"[28], [29]","plainTextFormattedCitation":"[28], [29]","previouslyFormattedCitation":"[28], [29]"},"properties":{"noteIndex":0},"schema":"https://github.com/citation-style-language/schema/raw/master/csl-citation.json"}</w:instrText>
      </w:r>
      <w:r w:rsidRPr="00D96894">
        <w:rPr>
          <w:rFonts w:ascii="Arial" w:hAnsi="Arial" w:cs="Arial"/>
          <w:color w:val="7030A0"/>
          <w:sz w:val="20"/>
          <w:szCs w:val="20"/>
        </w:rPr>
        <w:fldChar w:fldCharType="separate"/>
      </w:r>
      <w:r w:rsidR="00703960" w:rsidRPr="00703960">
        <w:rPr>
          <w:rFonts w:ascii="Arial" w:hAnsi="Arial" w:cs="Arial"/>
          <w:noProof/>
          <w:sz w:val="20"/>
          <w:szCs w:val="20"/>
        </w:rPr>
        <w:t>[28], [29]</w:t>
      </w:r>
      <w:r w:rsidRPr="00D96894">
        <w:rPr>
          <w:rFonts w:ascii="Arial" w:hAnsi="Arial" w:cs="Arial"/>
          <w:color w:val="7030A0"/>
          <w:sz w:val="20"/>
          <w:szCs w:val="20"/>
        </w:rPr>
        <w:fldChar w:fldCharType="end"/>
      </w:r>
      <w:r w:rsidRPr="00D96894">
        <w:rPr>
          <w:rFonts w:ascii="Arial" w:hAnsi="Arial" w:cs="Arial"/>
          <w:sz w:val="20"/>
          <w:szCs w:val="20"/>
        </w:rPr>
        <w:t>. It means that if the data is not stationer, it might have some patterns, such as seasonal, trend, or cyclic.</w:t>
      </w:r>
    </w:p>
    <w:p w:rsidR="002754D8" w:rsidRDefault="00D96894" w:rsidP="00D96894">
      <w:pPr>
        <w:pBdr>
          <w:top w:val="nil"/>
          <w:left w:val="nil"/>
          <w:bottom w:val="nil"/>
          <w:right w:val="nil"/>
          <w:between w:val="nil"/>
        </w:pBdr>
        <w:shd w:val="clear" w:color="auto" w:fill="FFFFFF"/>
        <w:spacing w:after="0" w:line="240" w:lineRule="auto"/>
        <w:ind w:left="0" w:hanging="2"/>
        <w:jc w:val="both"/>
        <w:rPr>
          <w:rFonts w:ascii="Arial" w:hAnsi="Arial" w:cs="Arial"/>
          <w:sz w:val="20"/>
          <w:szCs w:val="20"/>
        </w:rPr>
      </w:pPr>
      <w:r w:rsidRPr="00D96894">
        <w:rPr>
          <w:rFonts w:ascii="Arial" w:hAnsi="Arial" w:cs="Arial"/>
          <w:sz w:val="20"/>
          <w:szCs w:val="20"/>
        </w:rPr>
        <w:t xml:space="preserve">To check it, we can use </w:t>
      </w:r>
      <w:r w:rsidR="001310C6">
        <w:rPr>
          <w:rFonts w:ascii="Arial" w:hAnsi="Arial" w:cs="Arial"/>
          <w:sz w:val="20"/>
          <w:szCs w:val="20"/>
        </w:rPr>
        <w:t xml:space="preserve">the </w:t>
      </w:r>
      <w:r w:rsidRPr="00D96894">
        <w:rPr>
          <w:rFonts w:ascii="Arial" w:hAnsi="Arial" w:cs="Arial"/>
          <w:sz w:val="20"/>
          <w:szCs w:val="20"/>
        </w:rPr>
        <w:t xml:space="preserve">Kwiatkowski-Phillips-Schmidt-Shin (KPSS) test </w:t>
      </w:r>
      <w:r w:rsidRPr="00D96894">
        <w:rPr>
          <w:rFonts w:ascii="Arial" w:hAnsi="Arial" w:cs="Arial"/>
          <w:sz w:val="20"/>
          <w:szCs w:val="20"/>
        </w:rPr>
        <w:fldChar w:fldCharType="begin" w:fldLock="1"/>
      </w:r>
      <w:r w:rsidR="00EE0732">
        <w:rPr>
          <w:rFonts w:ascii="Arial" w:hAnsi="Arial" w:cs="Arial"/>
          <w:sz w:val="20"/>
          <w:szCs w:val="20"/>
        </w:rPr>
        <w:instrText>ADDIN CSL_CITATION {"citationItems":[{"id":"ITEM-1","itemData":{"author":[{"dropping-particle":"","family":"Hyndman","given":"Rob J","non-dropping-particle":"","parse-names":false,"suffix":""},{"dropping-particle":"","family":"Athanasopoulos","given":"George","non-dropping-particle":"","parse-names":false,"suffix":""}],"edition":"3th","id":"ITEM-1","issued":{"date-parts":[["2021"]]},"publisher-place":"Melbourne, Australia","title":"Forecasting : Principles and Practice","type":"book"},"uris":["http://www.mendeley.com/documents/?uuid=51ab2751-17b3-4670-a13a-db2b84473a56"]},{"id":"ITEM-2","itemData":{"DOI":"10.1109/ACCESS.2022.3224938","ISSN":"21693536","abstract":"Time series forecasting using historical data is significantly important nowadays. Many fields such as finance, industries, healthcare, and meteorology use it. Profit analysis using financial data is crucial for any online or offline businesses and companies. It helps understand the sales and the profits and losses made and predict values for the future. For this effective analysis, the statistical methods- Autoregressive Integrated Moving Average (ARIMA) and Seasonal ARIMA models (SARIMA), and deep learning method- Long Short- Term Memory (LSTM) Neural Network model in time series forecasting have been chosen. It has been converted into a stationary dataset for ARIMA, not for SARIMA and LSTM. The fitted models have been built and used to predict profit on test data. After obtaining good accuracies of 93.84% (ARIMA), 94.378% (SARIMA) and 97.01% (LSTM) approximately, forecasts for the next 5 years have been done. Results show that LSTM surpasses both the statistical models in constructing the best model.","author":[{"dropping-particle":"","family":"Sirisha","given":"Uppala Meena","non-dropping-particle":"","parse-names":false,"suffix":""},{"dropping-particle":"","family":"Belavagi","given":"Manjula C.","non-dropping-particle":"","parse-names":false,"suffix":""},{"dropping-particle":"","family":"Attigeri","given":"Girija","non-dropping-particle":"","parse-names":false,"suffix":""}],"container-title":"IEEE Access","id":"ITEM-2","issue":"October","issued":{"date-parts":[["2022"]]},"page":"124715-124727","publisher":"IEEE","title":"Profit Prediction Using ARIMA, SARIMA and LSTM Models in Time Series Forecasting: A Comparison","type":"article-journal","volume":"10"},"uris":["http://www.mendeley.com/documents/?uuid=3da55f88-3351-4cf4-b2f0-6e4c48a29b98"]}],"mendeley":{"formattedCitation":"[29], [30]","plainTextFormattedCitation":"[29], [30]","previouslyFormattedCitation":"[29], [30]"},"properties":{"noteIndex":0},"schema":"https://github.com/citation-style-language/schema/raw/master/csl-citation.json"}</w:instrText>
      </w:r>
      <w:r w:rsidRPr="00D96894">
        <w:rPr>
          <w:rFonts w:ascii="Arial" w:hAnsi="Arial" w:cs="Arial"/>
          <w:sz w:val="20"/>
          <w:szCs w:val="20"/>
        </w:rPr>
        <w:fldChar w:fldCharType="separate"/>
      </w:r>
      <w:r w:rsidR="00703960" w:rsidRPr="00703960">
        <w:rPr>
          <w:rFonts w:ascii="Arial" w:hAnsi="Arial" w:cs="Arial"/>
          <w:noProof/>
          <w:sz w:val="20"/>
          <w:szCs w:val="20"/>
        </w:rPr>
        <w:t>[29], [30]</w:t>
      </w:r>
      <w:r w:rsidRPr="00D96894">
        <w:rPr>
          <w:rFonts w:ascii="Arial" w:hAnsi="Arial" w:cs="Arial"/>
          <w:sz w:val="20"/>
          <w:szCs w:val="20"/>
        </w:rPr>
        <w:fldChar w:fldCharType="end"/>
      </w:r>
      <w:r w:rsidR="00935C62">
        <w:rPr>
          <w:rFonts w:ascii="Arial" w:hAnsi="Arial" w:cs="Arial"/>
          <w:sz w:val="20"/>
          <w:szCs w:val="20"/>
        </w:rPr>
        <w:t xml:space="preserve"> in </w:t>
      </w:r>
      <w:r w:rsidRPr="00D96894">
        <w:rPr>
          <w:rFonts w:ascii="Arial" w:hAnsi="Arial" w:cs="Arial"/>
          <w:sz w:val="20"/>
          <w:szCs w:val="20"/>
        </w:rPr>
        <w:t>R Software. KPSS results show that the KPSS test value of this data is 0.</w:t>
      </w:r>
      <w:r w:rsidR="00935C62">
        <w:rPr>
          <w:rFonts w:ascii="Arial" w:hAnsi="Arial" w:cs="Arial"/>
          <w:sz w:val="20"/>
          <w:szCs w:val="20"/>
        </w:rPr>
        <w:t>44</w:t>
      </w:r>
      <w:r w:rsidRPr="00D96894">
        <w:rPr>
          <w:rFonts w:ascii="Arial" w:hAnsi="Arial" w:cs="Arial"/>
          <w:sz w:val="20"/>
          <w:szCs w:val="20"/>
        </w:rPr>
        <w:t>, which is higher than the critical value of 10% significant level, which is 0.34. Thus, the data is not stationer.</w:t>
      </w:r>
    </w:p>
    <w:p w:rsidR="002754D8" w:rsidRPr="002754D8" w:rsidRDefault="002754D8" w:rsidP="002754D8">
      <w:pPr>
        <w:spacing w:after="0" w:line="240" w:lineRule="auto"/>
        <w:ind w:left="0" w:hanging="2"/>
        <w:jc w:val="both"/>
        <w:rPr>
          <w:rFonts w:ascii="Arial" w:hAnsi="Arial" w:cs="Arial"/>
          <w:sz w:val="20"/>
          <w:szCs w:val="20"/>
        </w:rPr>
      </w:pPr>
      <w:r w:rsidRPr="002754D8">
        <w:rPr>
          <w:rFonts w:ascii="Arial" w:hAnsi="Arial" w:cs="Arial"/>
          <w:sz w:val="20"/>
          <w:szCs w:val="20"/>
        </w:rPr>
        <w:t xml:space="preserve">Because of this finding, the seasonality and trend pattern are checked using ACF. The data is considered to have a seasonality pattern if there is a repetition of a high number or spikes of ACF value in the same multiple periods </w:t>
      </w:r>
      <w:r w:rsidRPr="002754D8">
        <w:rPr>
          <w:rFonts w:ascii="Arial" w:hAnsi="Arial" w:cs="Arial"/>
          <w:sz w:val="20"/>
          <w:szCs w:val="20"/>
        </w:rPr>
        <w:fldChar w:fldCharType="begin" w:fldLock="1"/>
      </w:r>
      <w:r w:rsidR="00EE0732">
        <w:rPr>
          <w:rFonts w:ascii="Arial" w:hAnsi="Arial" w:cs="Arial"/>
          <w:sz w:val="20"/>
          <w:szCs w:val="20"/>
        </w:rPr>
        <w:instrText>ADDIN CSL_CITATION {"citationItems":[{"id":"ITEM-1","itemData":{"DOI":"10.1109/EPEC47565.2019.9074776","ISBN":"9781728134062","abstract":"The importance of studying time series is that most forecasting models assume that the time series must be stationary. In addition, non-stationary time series can cause unexpected behaviors or create a non-existing relationship between two variables. The aim of this study is to shine new light on the Fast Fourier Transform (FFT) technique through an examination of its efficiency in identifying the trend and seasonality by applying it to many time series. A comparison between the FFT technique and Autocorrelation Function (ACF) has been conducted as well. The results show that the FFT technique has acceptable performance in identifying the trend and seasonality. The most obvious observation is that, unlike the FFT technique, the ACF has limitations in determining the exact time of the seasonality that repeats itself.","author":[{"dropping-particle":"","family":"Musbah","given":"Hmeda","non-dropping-particle":"","parse-names":false,"suffix":""},{"dropping-particle":"","family":"El-Hawary","given":"Mo","non-dropping-particle":"","parse-names":false,"suffix":""},{"dropping-particle":"","family":"Aly","given":"Hamed","non-dropping-particle":"","parse-names":false,"suffix":""}],"container-title":"2019 IEEE Electrical Power and Energy Conference, EPEC 2019","id":"ITEM-1","issued":{"date-parts":[["2019"]]},"page":"3-6","title":"Identifying seasonality in time series by applying fast fourier transform","type":"article-journal","volume":"3"},"uris":["http://www.mendeley.com/documents/?uuid=0476c587-0734-49a4-a58b-50ab721c3ef4"]}],"mendeley":{"formattedCitation":"[31]","plainTextFormattedCitation":"[31]","previouslyFormattedCitation":"[31]"},"properties":{"noteIndex":0},"schema":"https://github.com/citation-style-language/schema/raw/master/csl-citation.json"}</w:instrText>
      </w:r>
      <w:r w:rsidRPr="002754D8">
        <w:rPr>
          <w:rFonts w:ascii="Arial" w:hAnsi="Arial" w:cs="Arial"/>
          <w:sz w:val="20"/>
          <w:szCs w:val="20"/>
        </w:rPr>
        <w:fldChar w:fldCharType="separate"/>
      </w:r>
      <w:r w:rsidR="00703960" w:rsidRPr="00703960">
        <w:rPr>
          <w:rFonts w:ascii="Arial" w:hAnsi="Arial" w:cs="Arial"/>
          <w:noProof/>
          <w:sz w:val="20"/>
          <w:szCs w:val="20"/>
        </w:rPr>
        <w:t>[31]</w:t>
      </w:r>
      <w:r w:rsidRPr="002754D8">
        <w:rPr>
          <w:rFonts w:ascii="Arial" w:hAnsi="Arial" w:cs="Arial"/>
          <w:sz w:val="20"/>
          <w:szCs w:val="20"/>
        </w:rPr>
        <w:fldChar w:fldCharType="end"/>
      </w:r>
      <w:r w:rsidR="00AB1866">
        <w:rPr>
          <w:rFonts w:ascii="Arial" w:hAnsi="Arial" w:cs="Arial"/>
          <w:sz w:val="20"/>
          <w:szCs w:val="20"/>
        </w:rPr>
        <w:t xml:space="preserve">, </w:t>
      </w:r>
      <w:r w:rsidRPr="002754D8">
        <w:rPr>
          <w:rFonts w:ascii="Arial" w:hAnsi="Arial" w:cs="Arial"/>
          <w:sz w:val="20"/>
          <w:szCs w:val="20"/>
        </w:rPr>
        <w:t>while a trend pattern is considered if the ACF score</w:t>
      </w:r>
      <w:r w:rsidR="004917BB">
        <w:rPr>
          <w:rFonts w:ascii="Arial" w:hAnsi="Arial" w:cs="Arial"/>
          <w:sz w:val="20"/>
          <w:szCs w:val="20"/>
        </w:rPr>
        <w:t>s</w:t>
      </w:r>
      <w:r w:rsidRPr="002754D8">
        <w:rPr>
          <w:rFonts w:ascii="Arial" w:hAnsi="Arial" w:cs="Arial"/>
          <w:sz w:val="20"/>
          <w:szCs w:val="20"/>
        </w:rPr>
        <w:t xml:space="preserve"> </w:t>
      </w:r>
      <w:r w:rsidR="004917BB">
        <w:rPr>
          <w:rFonts w:ascii="Arial" w:hAnsi="Arial" w:cs="Arial"/>
          <w:sz w:val="20"/>
          <w:szCs w:val="20"/>
        </w:rPr>
        <w:t>decrease</w:t>
      </w:r>
      <w:r w:rsidRPr="002754D8">
        <w:rPr>
          <w:rFonts w:ascii="Arial" w:hAnsi="Arial" w:cs="Arial"/>
          <w:sz w:val="20"/>
          <w:szCs w:val="20"/>
        </w:rPr>
        <w:t xml:space="preserve"> over time gradually. This score is calcul</w:t>
      </w:r>
      <w:r w:rsidR="00486ECE">
        <w:rPr>
          <w:rFonts w:ascii="Arial" w:hAnsi="Arial" w:cs="Arial"/>
          <w:sz w:val="20"/>
          <w:szCs w:val="20"/>
        </w:rPr>
        <w:t>ated in Minitab Software. Figur</w:t>
      </w:r>
      <w:r w:rsidRPr="002754D8">
        <w:rPr>
          <w:rFonts w:ascii="Arial" w:hAnsi="Arial" w:cs="Arial"/>
          <w:sz w:val="20"/>
          <w:szCs w:val="20"/>
        </w:rPr>
        <w:t>e 2 shows the ACF Graph.</w:t>
      </w:r>
    </w:p>
    <w:p w:rsidR="001A3CF6" w:rsidRDefault="001A3CF6" w:rsidP="001A3CF6">
      <w:pPr>
        <w:spacing w:after="0" w:line="240" w:lineRule="auto"/>
        <w:ind w:left="0" w:hanging="2"/>
        <w:jc w:val="both"/>
        <w:rPr>
          <w:rFonts w:ascii="Arial" w:eastAsia="Arial" w:hAnsi="Arial" w:cs="Arial"/>
          <w:sz w:val="20"/>
          <w:szCs w:val="20"/>
        </w:rPr>
      </w:pPr>
    </w:p>
    <w:p w:rsidR="001A3CF6" w:rsidRDefault="00486ECE" w:rsidP="001A3CF6">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noProof/>
          <w:lang w:val="en-ID" w:eastAsia="en-ID"/>
        </w:rPr>
        <w:drawing>
          <wp:inline distT="0" distB="0" distL="0" distR="0" wp14:anchorId="3536DE92" wp14:editId="150545AF">
            <wp:extent cx="2651760" cy="158020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51760" cy="1580204"/>
                    </a:xfrm>
                    <a:prstGeom prst="rect">
                      <a:avLst/>
                    </a:prstGeom>
                  </pic:spPr>
                </pic:pic>
              </a:graphicData>
            </a:graphic>
          </wp:inline>
        </w:drawing>
      </w:r>
    </w:p>
    <w:p w:rsidR="001A3CF6" w:rsidRDefault="00486ECE" w:rsidP="001A3CF6">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Figure 2. ACF Graph of Sugar Sales</w:t>
      </w:r>
    </w:p>
    <w:p w:rsidR="0088468B" w:rsidRDefault="0088468B" w:rsidP="001A3CF6">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rsidR="0088468B" w:rsidRDefault="0088468B" w:rsidP="0088468B">
      <w:pPr>
        <w:spacing w:after="0" w:line="240" w:lineRule="auto"/>
        <w:ind w:left="0" w:hanging="2"/>
        <w:jc w:val="both"/>
        <w:rPr>
          <w:rFonts w:ascii="Arial" w:hAnsi="Arial" w:cs="Arial"/>
          <w:sz w:val="20"/>
          <w:szCs w:val="20"/>
        </w:rPr>
      </w:pPr>
      <w:r w:rsidRPr="0088468B">
        <w:rPr>
          <w:rFonts w:ascii="Arial" w:eastAsia="Arial" w:hAnsi="Arial" w:cs="Arial"/>
          <w:color w:val="000000"/>
          <w:sz w:val="20"/>
          <w:szCs w:val="20"/>
        </w:rPr>
        <w:t>Figure</w:t>
      </w:r>
      <w:r w:rsidRPr="0088468B">
        <w:rPr>
          <w:rFonts w:ascii="Arial" w:hAnsi="Arial" w:cs="Arial"/>
          <w:sz w:val="20"/>
          <w:szCs w:val="20"/>
        </w:rPr>
        <w:t xml:space="preserve"> 2 indicates that there are spikes in periods 1, 8, and 16 months. Thus the sales of sugar tend to have seasonal data with a seasonal length of 8 months. The seasonality of sugar sales is quite long, thus it requires a lot of data to analyze so that it can capture the seasonality pattern. Furthermore, by knowing there is a seasonal pattern, we should use the SARIMA model instead of the ARIMA model to forecast.</w:t>
      </w:r>
    </w:p>
    <w:p w:rsidR="0027516B" w:rsidRDefault="0027516B" w:rsidP="0088468B">
      <w:pPr>
        <w:spacing w:after="0" w:line="240" w:lineRule="auto"/>
        <w:ind w:left="0" w:hanging="2"/>
        <w:jc w:val="both"/>
        <w:rPr>
          <w:rFonts w:ascii="Arial" w:hAnsi="Arial" w:cs="Arial"/>
          <w:sz w:val="20"/>
          <w:szCs w:val="20"/>
        </w:rPr>
      </w:pPr>
    </w:p>
    <w:p w:rsidR="0027516B" w:rsidRDefault="0027516B" w:rsidP="0027516B">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r>
        <w:rPr>
          <w:rFonts w:ascii="Arial" w:eastAsia="Arial" w:hAnsi="Arial" w:cs="Arial"/>
          <w:b/>
          <w:color w:val="1F4E79"/>
          <w:sz w:val="20"/>
          <w:szCs w:val="20"/>
        </w:rPr>
        <w:t>SARIMA (p, d, q</w:t>
      </w:r>
      <w:proofErr w:type="gramStart"/>
      <w:r>
        <w:rPr>
          <w:rFonts w:ascii="Arial" w:eastAsia="Arial" w:hAnsi="Arial" w:cs="Arial"/>
          <w:b/>
          <w:color w:val="1F4E79"/>
          <w:sz w:val="20"/>
          <w:szCs w:val="20"/>
        </w:rPr>
        <w:t>)(</w:t>
      </w:r>
      <w:proofErr w:type="gramEnd"/>
      <w:r>
        <w:rPr>
          <w:rFonts w:ascii="Arial" w:eastAsia="Arial" w:hAnsi="Arial" w:cs="Arial"/>
          <w:b/>
          <w:color w:val="1F4E79"/>
          <w:sz w:val="20"/>
          <w:szCs w:val="20"/>
        </w:rPr>
        <w:t>P, D, Q)s Forecast</w:t>
      </w:r>
      <w:r>
        <w:rPr>
          <w:rFonts w:ascii="Arial" w:eastAsia="Arial" w:hAnsi="Arial" w:cs="Arial"/>
          <w:color w:val="000000"/>
          <w:sz w:val="20"/>
          <w:szCs w:val="20"/>
        </w:rPr>
        <w:t xml:space="preserve"> </w:t>
      </w:r>
    </w:p>
    <w:p w:rsidR="007F6347" w:rsidRPr="007F6347" w:rsidRDefault="007F6347" w:rsidP="007F6347">
      <w:pPr>
        <w:spacing w:after="0" w:line="240" w:lineRule="auto"/>
        <w:ind w:left="0" w:hanging="2"/>
        <w:jc w:val="both"/>
        <w:rPr>
          <w:rFonts w:ascii="Arial" w:hAnsi="Arial" w:cs="Arial"/>
          <w:sz w:val="20"/>
          <w:szCs w:val="20"/>
        </w:rPr>
      </w:pPr>
      <w:r w:rsidRPr="007F6347">
        <w:rPr>
          <w:rFonts w:ascii="Arial" w:hAnsi="Arial" w:cs="Arial"/>
          <w:sz w:val="20"/>
          <w:szCs w:val="20"/>
        </w:rPr>
        <w:t>Since the sales are not stationary, the data should be transformed first because SARIMA needs stationer data</w:t>
      </w:r>
      <w:r w:rsidR="00907688">
        <w:rPr>
          <w:rFonts w:ascii="Arial" w:hAnsi="Arial" w:cs="Arial"/>
          <w:sz w:val="20"/>
          <w:szCs w:val="20"/>
        </w:rPr>
        <w:t xml:space="preserve"> as input</w:t>
      </w:r>
      <w:r w:rsidRPr="007F6347">
        <w:rPr>
          <w:rFonts w:ascii="Arial" w:hAnsi="Arial" w:cs="Arial"/>
          <w:sz w:val="20"/>
          <w:szCs w:val="20"/>
        </w:rPr>
        <w:t xml:space="preserve">. This transformation is done in the training data set by taking out </w:t>
      </w:r>
      <w:r w:rsidR="00A62A3C">
        <w:rPr>
          <w:rFonts w:ascii="Arial" w:hAnsi="Arial" w:cs="Arial"/>
          <w:sz w:val="20"/>
          <w:szCs w:val="20"/>
        </w:rPr>
        <w:t>the seasonal pattern</w:t>
      </w:r>
      <w:r w:rsidRPr="007F6347">
        <w:rPr>
          <w:rFonts w:ascii="Arial" w:hAnsi="Arial" w:cs="Arial"/>
          <w:sz w:val="20"/>
          <w:szCs w:val="20"/>
        </w:rPr>
        <w:t xml:space="preserve"> by differencing. This differencing is done by subtracting the data on each same seasonal period from its previous observation data. The KPSS test shows that this transformed data has a </w:t>
      </w:r>
      <w:r>
        <w:rPr>
          <w:rFonts w:ascii="Arial" w:hAnsi="Arial" w:cs="Arial"/>
          <w:sz w:val="20"/>
          <w:szCs w:val="20"/>
        </w:rPr>
        <w:t>value of 0.</w:t>
      </w:r>
      <w:r w:rsidR="00A62A3C">
        <w:rPr>
          <w:rFonts w:ascii="Arial" w:hAnsi="Arial" w:cs="Arial"/>
          <w:sz w:val="20"/>
          <w:szCs w:val="20"/>
        </w:rPr>
        <w:t>12</w:t>
      </w:r>
      <w:r w:rsidRPr="007F6347">
        <w:rPr>
          <w:rFonts w:ascii="Arial" w:hAnsi="Arial" w:cs="Arial"/>
          <w:sz w:val="20"/>
          <w:szCs w:val="20"/>
        </w:rPr>
        <w:t>. This value indicates that the transformed data is stationer since the KPSS value is under the critical values of 10%</w:t>
      </w:r>
      <w:r>
        <w:rPr>
          <w:rFonts w:ascii="Arial" w:hAnsi="Arial" w:cs="Arial"/>
          <w:sz w:val="20"/>
          <w:szCs w:val="20"/>
        </w:rPr>
        <w:t xml:space="preserve"> significance level, which is 0.</w:t>
      </w:r>
      <w:r w:rsidR="00A62A3C">
        <w:rPr>
          <w:rFonts w:ascii="Arial" w:hAnsi="Arial" w:cs="Arial"/>
          <w:sz w:val="20"/>
          <w:szCs w:val="20"/>
        </w:rPr>
        <w:t>34</w:t>
      </w:r>
      <w:r w:rsidRPr="007F6347">
        <w:rPr>
          <w:rFonts w:ascii="Arial" w:hAnsi="Arial" w:cs="Arial"/>
          <w:sz w:val="20"/>
          <w:szCs w:val="20"/>
        </w:rPr>
        <w:t>. This result explains that there is no need to differencing the trend pattern. Thus, this new</w:t>
      </w:r>
      <w:r w:rsidR="00E3428E">
        <w:rPr>
          <w:rFonts w:ascii="Arial" w:hAnsi="Arial" w:cs="Arial"/>
          <w:sz w:val="20"/>
          <w:szCs w:val="20"/>
        </w:rPr>
        <w:t xml:space="preserve"> data</w:t>
      </w:r>
      <w:r w:rsidRPr="007F6347">
        <w:rPr>
          <w:rFonts w:ascii="Arial" w:hAnsi="Arial" w:cs="Arial"/>
          <w:sz w:val="20"/>
          <w:szCs w:val="20"/>
        </w:rPr>
        <w:t xml:space="preserve"> </w:t>
      </w:r>
      <w:r w:rsidR="00E3428E">
        <w:rPr>
          <w:rFonts w:ascii="Arial" w:hAnsi="Arial" w:cs="Arial"/>
          <w:sz w:val="20"/>
          <w:szCs w:val="20"/>
        </w:rPr>
        <w:t>is ready to analyze</w:t>
      </w:r>
      <w:r w:rsidRPr="007F6347">
        <w:rPr>
          <w:rFonts w:ascii="Arial" w:hAnsi="Arial" w:cs="Arial"/>
          <w:sz w:val="20"/>
          <w:szCs w:val="20"/>
        </w:rPr>
        <w:t>.</w:t>
      </w:r>
    </w:p>
    <w:p w:rsidR="007F6347" w:rsidRPr="007F6347" w:rsidRDefault="007F6347" w:rsidP="007F6347">
      <w:pPr>
        <w:spacing w:after="0" w:line="240" w:lineRule="auto"/>
        <w:ind w:left="0" w:hanging="2"/>
        <w:jc w:val="both"/>
        <w:rPr>
          <w:rFonts w:ascii="Arial" w:hAnsi="Arial" w:cs="Arial"/>
          <w:sz w:val="20"/>
          <w:szCs w:val="20"/>
        </w:rPr>
      </w:pPr>
      <w:r w:rsidRPr="007F6347">
        <w:rPr>
          <w:rFonts w:ascii="Arial" w:hAnsi="Arial" w:cs="Arial"/>
          <w:sz w:val="20"/>
          <w:szCs w:val="20"/>
        </w:rPr>
        <w:t>Since we know there is no need to do trend differencing, we can write trend order in (</w:t>
      </w:r>
      <w:proofErr w:type="spellStart"/>
      <w:r w:rsidRPr="007F6347">
        <w:rPr>
          <w:rFonts w:ascii="Arial" w:hAnsi="Arial" w:cs="Arial"/>
          <w:sz w:val="20"/>
          <w:szCs w:val="20"/>
        </w:rPr>
        <w:t>p</w:t>
      </w:r>
      <w:proofErr w:type="gramStart"/>
      <w:r w:rsidRPr="007F6347">
        <w:rPr>
          <w:rFonts w:ascii="Arial" w:hAnsi="Arial" w:cs="Arial"/>
          <w:sz w:val="20"/>
          <w:szCs w:val="20"/>
        </w:rPr>
        <w:t>,d,q</w:t>
      </w:r>
      <w:proofErr w:type="spellEnd"/>
      <w:proofErr w:type="gramEnd"/>
      <w:r w:rsidRPr="007F6347">
        <w:rPr>
          <w:rFonts w:ascii="Arial" w:hAnsi="Arial" w:cs="Arial"/>
          <w:sz w:val="20"/>
          <w:szCs w:val="20"/>
        </w:rPr>
        <w:t>) as (0,0,0). We should find out the seasonal order (P, D, Q</w:t>
      </w:r>
      <w:proofErr w:type="gramStart"/>
      <w:r w:rsidRPr="007F6347">
        <w:rPr>
          <w:rFonts w:ascii="Arial" w:hAnsi="Arial" w:cs="Arial"/>
          <w:sz w:val="20"/>
          <w:szCs w:val="20"/>
        </w:rPr>
        <w:t>)s</w:t>
      </w:r>
      <w:proofErr w:type="gramEnd"/>
      <w:r w:rsidRPr="007F6347">
        <w:rPr>
          <w:rFonts w:ascii="Arial" w:hAnsi="Arial" w:cs="Arial"/>
          <w:sz w:val="20"/>
          <w:szCs w:val="20"/>
        </w:rPr>
        <w:t xml:space="preserve">. Because the seasonal length is 8, we can write s=8 and we know that we do one-time seasonal differencing, therefore, D=1. </w:t>
      </w:r>
    </w:p>
    <w:p w:rsidR="007F6347" w:rsidRPr="00D77A27" w:rsidRDefault="00BD038C" w:rsidP="00D77A27">
      <w:pPr>
        <w:spacing w:after="0" w:line="240" w:lineRule="auto"/>
        <w:ind w:left="0" w:hanging="2"/>
        <w:jc w:val="both"/>
        <w:rPr>
          <w:rFonts w:ascii="Arial" w:hAnsi="Arial" w:cs="Arial"/>
          <w:sz w:val="20"/>
          <w:szCs w:val="20"/>
        </w:rPr>
      </w:pPr>
      <w:r>
        <w:rPr>
          <w:rFonts w:ascii="Arial" w:hAnsi="Arial" w:cs="Arial"/>
          <w:sz w:val="20"/>
          <w:szCs w:val="20"/>
        </w:rPr>
        <w:t>To find</w:t>
      </w:r>
      <w:r w:rsidR="009532CF">
        <w:rPr>
          <w:rFonts w:ascii="Arial" w:hAnsi="Arial" w:cs="Arial"/>
          <w:sz w:val="20"/>
          <w:szCs w:val="20"/>
        </w:rPr>
        <w:t xml:space="preserve"> P and Q, we need to</w:t>
      </w:r>
      <w:r w:rsidR="007F6347" w:rsidRPr="007F6347">
        <w:rPr>
          <w:rFonts w:ascii="Arial" w:hAnsi="Arial" w:cs="Arial"/>
          <w:sz w:val="20"/>
          <w:szCs w:val="20"/>
        </w:rPr>
        <w:t xml:space="preserve"> see PACF and ACF graphs. The numbers of PACF and ACF values that exceed the control line in PACF and ACF graphs a</w:t>
      </w:r>
      <w:r w:rsidR="009532CF">
        <w:rPr>
          <w:rFonts w:ascii="Arial" w:hAnsi="Arial" w:cs="Arial"/>
          <w:sz w:val="20"/>
          <w:szCs w:val="20"/>
        </w:rPr>
        <w:t xml:space="preserve">re considered as the maximum number </w:t>
      </w:r>
      <w:r w:rsidR="004D171A">
        <w:rPr>
          <w:rFonts w:ascii="Arial" w:hAnsi="Arial" w:cs="Arial"/>
          <w:sz w:val="20"/>
          <w:szCs w:val="20"/>
        </w:rPr>
        <w:t>of</w:t>
      </w:r>
      <w:r w:rsidR="007F6347" w:rsidRPr="007F6347">
        <w:rPr>
          <w:rFonts w:ascii="Arial" w:hAnsi="Arial" w:cs="Arial"/>
          <w:sz w:val="20"/>
          <w:szCs w:val="20"/>
        </w:rPr>
        <w:t xml:space="preserve"> order P and Q</w:t>
      </w:r>
      <w:r w:rsidR="009532CF">
        <w:rPr>
          <w:rFonts w:ascii="Arial" w:hAnsi="Arial" w:cs="Arial"/>
          <w:sz w:val="20"/>
          <w:szCs w:val="20"/>
        </w:rPr>
        <w:t xml:space="preserve"> possibilities</w:t>
      </w:r>
      <w:r w:rsidR="004D171A">
        <w:rPr>
          <w:rFonts w:ascii="Arial" w:hAnsi="Arial" w:cs="Arial"/>
          <w:sz w:val="20"/>
          <w:szCs w:val="20"/>
        </w:rPr>
        <w:t>. T</w:t>
      </w:r>
      <w:r w:rsidR="007F6347" w:rsidRPr="007F6347">
        <w:rPr>
          <w:rFonts w:ascii="Arial" w:hAnsi="Arial" w:cs="Arial"/>
          <w:sz w:val="20"/>
          <w:szCs w:val="20"/>
        </w:rPr>
        <w:t>h</w:t>
      </w:r>
      <w:r w:rsidR="001310C6">
        <w:rPr>
          <w:rFonts w:ascii="Arial" w:hAnsi="Arial" w:cs="Arial"/>
          <w:sz w:val="20"/>
          <w:szCs w:val="20"/>
        </w:rPr>
        <w:t>ese</w:t>
      </w:r>
      <w:r w:rsidR="007F6347" w:rsidRPr="007F6347">
        <w:rPr>
          <w:rFonts w:ascii="Arial" w:hAnsi="Arial" w:cs="Arial"/>
          <w:sz w:val="20"/>
          <w:szCs w:val="20"/>
        </w:rPr>
        <w:t xml:space="preserve"> spike</w:t>
      </w:r>
      <w:r w:rsidR="004D171A">
        <w:rPr>
          <w:rFonts w:ascii="Arial" w:hAnsi="Arial" w:cs="Arial"/>
          <w:sz w:val="20"/>
          <w:szCs w:val="20"/>
        </w:rPr>
        <w:t>s happen</w:t>
      </w:r>
      <w:r w:rsidR="007F6347" w:rsidRPr="007F6347">
        <w:rPr>
          <w:rFonts w:ascii="Arial" w:hAnsi="Arial" w:cs="Arial"/>
          <w:sz w:val="20"/>
          <w:szCs w:val="20"/>
        </w:rPr>
        <w:t xml:space="preserve"> in the corresponding number of lag values that same </w:t>
      </w:r>
      <w:r w:rsidR="001310C6">
        <w:rPr>
          <w:rFonts w:ascii="Arial" w:hAnsi="Arial" w:cs="Arial"/>
          <w:sz w:val="20"/>
          <w:szCs w:val="20"/>
        </w:rPr>
        <w:t>as</w:t>
      </w:r>
      <w:r w:rsidR="007F6347" w:rsidRPr="007F6347">
        <w:rPr>
          <w:rFonts w:ascii="Arial" w:hAnsi="Arial" w:cs="Arial"/>
          <w:sz w:val="20"/>
          <w:szCs w:val="20"/>
        </w:rPr>
        <w:t xml:space="preserve"> </w:t>
      </w:r>
      <w:r w:rsidR="001310C6">
        <w:rPr>
          <w:rFonts w:ascii="Arial" w:hAnsi="Arial" w:cs="Arial"/>
          <w:sz w:val="20"/>
          <w:szCs w:val="20"/>
        </w:rPr>
        <w:t xml:space="preserve">the </w:t>
      </w:r>
      <w:r w:rsidR="007F6347" w:rsidRPr="007F6347">
        <w:rPr>
          <w:rFonts w:ascii="Arial" w:hAnsi="Arial" w:cs="Arial"/>
          <w:sz w:val="20"/>
          <w:szCs w:val="20"/>
        </w:rPr>
        <w:t xml:space="preserve">seasonal period length or its multiplication length </w:t>
      </w:r>
      <w:r w:rsidR="007F6347" w:rsidRPr="007F6347">
        <w:rPr>
          <w:rFonts w:ascii="Arial" w:hAnsi="Arial" w:cs="Arial"/>
          <w:sz w:val="20"/>
          <w:szCs w:val="20"/>
        </w:rPr>
        <w:fldChar w:fldCharType="begin" w:fldLock="1"/>
      </w:r>
      <w:r w:rsidR="00EE0732">
        <w:rPr>
          <w:rFonts w:ascii="Arial" w:hAnsi="Arial" w:cs="Arial"/>
          <w:sz w:val="20"/>
          <w:szCs w:val="20"/>
        </w:rPr>
        <w:instrText>ADDIN CSL_CITATION {"citationItems":[{"id":"ITEM-1","itemData":{"author":[{"dropping-particle":"","family":"Hyndman","given":"Rob J","non-dropping-particle":"","parse-names":false,"suffix":""},{"dropping-particle":"","family":"Athanasopoulos","given":"George","non-dropping-particle":"","parse-names":false,"suffix":""}],"edition":"3th","id":"ITEM-1","issued":{"date-parts":[["2021"]]},"publisher-place":"Melbourne, Australia","title":"Forecasting : Principles and Practice","type":"book"},"uris":["http://www.mendeley.com/documents/?uuid=51ab2751-17b3-4670-a13a-db2b84473a56"]}],"mendeley":{"formattedCitation":"[30]","plainTextFormattedCitation":"[30]","previouslyFormattedCitation":"[30]"},"properties":{"noteIndex":0},"schema":"https://github.com/citation-style-language/schema/raw/master/csl-citation.json"}</w:instrText>
      </w:r>
      <w:r w:rsidR="007F6347" w:rsidRPr="007F6347">
        <w:rPr>
          <w:rFonts w:ascii="Arial" w:hAnsi="Arial" w:cs="Arial"/>
          <w:sz w:val="20"/>
          <w:szCs w:val="20"/>
        </w:rPr>
        <w:fldChar w:fldCharType="separate"/>
      </w:r>
      <w:r w:rsidR="00703960" w:rsidRPr="00703960">
        <w:rPr>
          <w:rFonts w:ascii="Arial" w:hAnsi="Arial" w:cs="Arial"/>
          <w:noProof/>
          <w:sz w:val="20"/>
          <w:szCs w:val="20"/>
        </w:rPr>
        <w:t>[30]</w:t>
      </w:r>
      <w:r w:rsidR="007F6347" w:rsidRPr="007F6347">
        <w:rPr>
          <w:rFonts w:ascii="Arial" w:hAnsi="Arial" w:cs="Arial"/>
          <w:sz w:val="20"/>
          <w:szCs w:val="20"/>
        </w:rPr>
        <w:fldChar w:fldCharType="end"/>
      </w:r>
      <w:r w:rsidR="007F6347" w:rsidRPr="007F6347">
        <w:rPr>
          <w:rFonts w:ascii="Arial" w:hAnsi="Arial" w:cs="Arial"/>
          <w:sz w:val="20"/>
          <w:szCs w:val="20"/>
        </w:rPr>
        <w:t>.</w:t>
      </w:r>
      <w:r w:rsidR="007F6347" w:rsidRPr="007F6347">
        <w:rPr>
          <w:rFonts w:ascii="Arial" w:hAnsi="Arial" w:cs="Arial"/>
          <w:color w:val="FF0000"/>
          <w:sz w:val="20"/>
          <w:szCs w:val="20"/>
        </w:rPr>
        <w:t xml:space="preserve"> </w:t>
      </w:r>
      <w:r w:rsidR="009B5AAF">
        <w:rPr>
          <w:rFonts w:ascii="Arial" w:hAnsi="Arial" w:cs="Arial"/>
          <w:sz w:val="20"/>
          <w:szCs w:val="20"/>
        </w:rPr>
        <w:t>Figure</w:t>
      </w:r>
      <w:r w:rsidR="007F6347" w:rsidRPr="007F6347">
        <w:rPr>
          <w:rFonts w:ascii="Arial" w:hAnsi="Arial" w:cs="Arial"/>
          <w:sz w:val="20"/>
          <w:szCs w:val="20"/>
        </w:rPr>
        <w:t xml:space="preserve"> 3 describes that in both the PACF and ACF graphs of the stationer data. There is a spike </w:t>
      </w:r>
      <w:r w:rsidR="004D171A">
        <w:rPr>
          <w:rFonts w:ascii="Arial" w:hAnsi="Arial" w:cs="Arial"/>
          <w:sz w:val="20"/>
          <w:szCs w:val="20"/>
        </w:rPr>
        <w:t>i</w:t>
      </w:r>
      <w:r w:rsidR="00AD7F7C">
        <w:rPr>
          <w:rFonts w:ascii="Arial" w:hAnsi="Arial" w:cs="Arial"/>
          <w:sz w:val="20"/>
          <w:szCs w:val="20"/>
        </w:rPr>
        <w:t>n lag 8 for each graph so that</w:t>
      </w:r>
      <w:r w:rsidR="007F6347" w:rsidRPr="00D77A27">
        <w:rPr>
          <w:rFonts w:ascii="Arial" w:hAnsi="Arial" w:cs="Arial"/>
          <w:sz w:val="20"/>
          <w:szCs w:val="20"/>
        </w:rPr>
        <w:t xml:space="preserve"> P=1 and Q=1.</w:t>
      </w:r>
    </w:p>
    <w:p w:rsidR="009B5AAF" w:rsidRPr="00D77A27" w:rsidRDefault="009B5AAF" w:rsidP="00D77A27">
      <w:pPr>
        <w:spacing w:after="0" w:line="240" w:lineRule="auto"/>
        <w:ind w:left="0" w:hanging="2"/>
        <w:jc w:val="both"/>
        <w:rPr>
          <w:rFonts w:ascii="Arial" w:hAnsi="Arial" w:cs="Arial"/>
          <w:sz w:val="20"/>
          <w:szCs w:val="20"/>
        </w:rPr>
      </w:pPr>
    </w:p>
    <w:p w:rsidR="00D77A27" w:rsidRPr="00D77A27" w:rsidRDefault="00D77A27" w:rsidP="001427A4">
      <w:pPr>
        <w:spacing w:after="0" w:line="240" w:lineRule="auto"/>
        <w:ind w:left="0" w:hanging="2"/>
        <w:jc w:val="center"/>
        <w:rPr>
          <w:rFonts w:ascii="Arial" w:hAnsi="Arial" w:cs="Arial"/>
          <w:sz w:val="20"/>
          <w:szCs w:val="20"/>
        </w:rPr>
      </w:pPr>
      <w:r w:rsidRPr="00D77A27">
        <w:rPr>
          <w:rFonts w:ascii="Arial" w:hAnsi="Arial" w:cs="Arial"/>
          <w:noProof/>
          <w:sz w:val="20"/>
          <w:szCs w:val="20"/>
          <w:lang w:val="en-ID" w:eastAsia="en-ID"/>
        </w:rPr>
        <w:lastRenderedPageBreak/>
        <w:drawing>
          <wp:inline distT="0" distB="0" distL="0" distR="0" wp14:anchorId="7DA738D9" wp14:editId="133CE7FA">
            <wp:extent cx="2295069" cy="133985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a:stretch>
                      <a:fillRect/>
                    </a:stretch>
                  </pic:blipFill>
                  <pic:spPr>
                    <a:xfrm>
                      <a:off x="0" y="0"/>
                      <a:ext cx="2305858" cy="1346148"/>
                    </a:xfrm>
                    <a:prstGeom prst="rect">
                      <a:avLst/>
                    </a:prstGeom>
                  </pic:spPr>
                </pic:pic>
              </a:graphicData>
            </a:graphic>
          </wp:inline>
        </w:drawing>
      </w:r>
    </w:p>
    <w:p w:rsidR="00A8441B" w:rsidRDefault="005F4F79" w:rsidP="00A8441B">
      <w:pPr>
        <w:spacing w:after="0" w:line="240" w:lineRule="auto"/>
        <w:ind w:left="0" w:hanging="2"/>
        <w:jc w:val="center"/>
        <w:rPr>
          <w:rFonts w:ascii="Arial" w:hAnsi="Arial" w:cs="Arial"/>
          <w:sz w:val="20"/>
          <w:szCs w:val="20"/>
        </w:rPr>
      </w:pPr>
      <w:r>
        <w:rPr>
          <w:rFonts w:ascii="Arial" w:hAnsi="Arial" w:cs="Arial"/>
          <w:sz w:val="20"/>
          <w:szCs w:val="20"/>
        </w:rPr>
        <w:t>(</w:t>
      </w:r>
      <w:r w:rsidR="00A8441B">
        <w:rPr>
          <w:rFonts w:ascii="Arial" w:hAnsi="Arial" w:cs="Arial"/>
          <w:sz w:val="20"/>
          <w:szCs w:val="20"/>
        </w:rPr>
        <w:t>a)</w:t>
      </w:r>
    </w:p>
    <w:p w:rsidR="00A8441B" w:rsidRDefault="00A8441B" w:rsidP="001427A4">
      <w:pPr>
        <w:spacing w:after="0" w:line="240" w:lineRule="auto"/>
        <w:ind w:left="0" w:hanging="2"/>
        <w:jc w:val="center"/>
        <w:rPr>
          <w:rFonts w:ascii="Arial" w:hAnsi="Arial" w:cs="Arial"/>
          <w:sz w:val="20"/>
          <w:szCs w:val="20"/>
        </w:rPr>
      </w:pPr>
      <w:r w:rsidRPr="00D77A27">
        <w:rPr>
          <w:rFonts w:ascii="Arial" w:hAnsi="Arial" w:cs="Arial"/>
          <w:noProof/>
          <w:sz w:val="20"/>
          <w:szCs w:val="20"/>
          <w:lang w:val="en-ID" w:eastAsia="en-ID"/>
        </w:rPr>
        <w:drawing>
          <wp:inline distT="0" distB="0" distL="0" distR="0" wp14:anchorId="150EC169" wp14:editId="721E8F51">
            <wp:extent cx="2288972" cy="1346200"/>
            <wp:effectExtent l="0" t="0" r="0" b="635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2"/>
                    <a:stretch>
                      <a:fillRect/>
                    </a:stretch>
                  </pic:blipFill>
                  <pic:spPr>
                    <a:xfrm>
                      <a:off x="0" y="0"/>
                      <a:ext cx="2299917" cy="1352637"/>
                    </a:xfrm>
                    <a:prstGeom prst="rect">
                      <a:avLst/>
                    </a:prstGeom>
                  </pic:spPr>
                </pic:pic>
              </a:graphicData>
            </a:graphic>
          </wp:inline>
        </w:drawing>
      </w:r>
    </w:p>
    <w:p w:rsidR="00A8441B" w:rsidRDefault="00A8441B" w:rsidP="00A8441B">
      <w:pPr>
        <w:spacing w:after="0" w:line="240" w:lineRule="auto"/>
        <w:ind w:left="0" w:hanging="2"/>
        <w:jc w:val="center"/>
        <w:rPr>
          <w:rFonts w:ascii="Arial" w:hAnsi="Arial" w:cs="Arial"/>
          <w:sz w:val="20"/>
          <w:szCs w:val="20"/>
        </w:rPr>
      </w:pPr>
      <w:r w:rsidRPr="00D77A27">
        <w:rPr>
          <w:rFonts w:ascii="Arial" w:hAnsi="Arial" w:cs="Arial"/>
          <w:sz w:val="20"/>
          <w:szCs w:val="20"/>
        </w:rPr>
        <w:t>(b)</w:t>
      </w:r>
    </w:p>
    <w:p w:rsidR="00F407F0" w:rsidRDefault="00F407F0" w:rsidP="00A8441B">
      <w:pPr>
        <w:spacing w:after="0" w:line="240" w:lineRule="auto"/>
        <w:ind w:left="0" w:hanging="2"/>
        <w:jc w:val="center"/>
        <w:rPr>
          <w:rFonts w:ascii="Arial" w:hAnsi="Arial" w:cs="Arial"/>
          <w:sz w:val="20"/>
          <w:szCs w:val="20"/>
        </w:rPr>
      </w:pPr>
    </w:p>
    <w:p w:rsidR="00F407F0" w:rsidRPr="00D77A27" w:rsidRDefault="00F407F0" w:rsidP="00F407F0">
      <w:pPr>
        <w:spacing w:after="0" w:line="240" w:lineRule="auto"/>
        <w:ind w:left="0" w:hanging="2"/>
        <w:jc w:val="center"/>
        <w:rPr>
          <w:rFonts w:ascii="Arial" w:hAnsi="Arial" w:cs="Arial"/>
          <w:sz w:val="20"/>
          <w:szCs w:val="20"/>
        </w:rPr>
      </w:pPr>
      <w:r w:rsidRPr="00D77A27">
        <w:rPr>
          <w:rFonts w:ascii="Arial" w:hAnsi="Arial" w:cs="Arial"/>
          <w:sz w:val="20"/>
          <w:szCs w:val="20"/>
        </w:rPr>
        <w:t xml:space="preserve">Figure 3. </w:t>
      </w:r>
      <w:r>
        <w:rPr>
          <w:rFonts w:ascii="Arial" w:hAnsi="Arial" w:cs="Arial"/>
          <w:sz w:val="20"/>
          <w:szCs w:val="20"/>
        </w:rPr>
        <w:t xml:space="preserve">Graph of </w:t>
      </w:r>
      <w:r w:rsidRPr="00D77A27">
        <w:rPr>
          <w:rFonts w:ascii="Arial" w:hAnsi="Arial" w:cs="Arial"/>
          <w:sz w:val="20"/>
          <w:szCs w:val="20"/>
        </w:rPr>
        <w:t>Transformed Seasonal Differencing</w:t>
      </w:r>
      <w:r>
        <w:rPr>
          <w:rFonts w:ascii="Arial" w:hAnsi="Arial" w:cs="Arial"/>
          <w:sz w:val="20"/>
          <w:szCs w:val="20"/>
        </w:rPr>
        <w:t xml:space="preserve"> of Training Data (a) PACF and (b) ACF</w:t>
      </w:r>
    </w:p>
    <w:p w:rsidR="00D77A27" w:rsidRPr="00D77A27" w:rsidRDefault="003814AB" w:rsidP="00D77A27">
      <w:pPr>
        <w:spacing w:after="0" w:line="240" w:lineRule="auto"/>
        <w:ind w:left="0" w:hanging="2"/>
        <w:jc w:val="both"/>
        <w:rPr>
          <w:rFonts w:ascii="Arial" w:hAnsi="Arial" w:cs="Arial"/>
          <w:sz w:val="20"/>
          <w:szCs w:val="20"/>
        </w:rPr>
      </w:pPr>
      <w:r>
        <w:rPr>
          <w:rFonts w:ascii="Arial" w:hAnsi="Arial" w:cs="Arial"/>
          <w:sz w:val="20"/>
          <w:szCs w:val="20"/>
        </w:rPr>
        <w:t>T</w:t>
      </w:r>
      <w:r w:rsidR="00150D1E">
        <w:rPr>
          <w:rFonts w:ascii="Arial" w:hAnsi="Arial" w:cs="Arial"/>
          <w:sz w:val="20"/>
          <w:szCs w:val="20"/>
        </w:rPr>
        <w:t xml:space="preserve">here </w:t>
      </w:r>
      <w:r w:rsidR="00D77A27" w:rsidRPr="00D77A27">
        <w:rPr>
          <w:rFonts w:ascii="Arial" w:hAnsi="Arial" w:cs="Arial"/>
          <w:sz w:val="20"/>
          <w:szCs w:val="20"/>
        </w:rPr>
        <w:t>are three possible SARIMA models, those are SARIMA (0,0,0)(0,1,1)8, SARIMA (0,0,0)(1,1,0)8, and SARIMA (0,0,0)(1,1,1)8. Those three models are run in the training data to see whether the SARIMA assumptions are satisfied. If more than one model can satisfy the residual requirements, we need to compare the performance of those forecast models by choosing the smallest MAPE from testing data.</w:t>
      </w:r>
    </w:p>
    <w:p w:rsidR="00D77A27" w:rsidRDefault="00D77A27" w:rsidP="00D77A27">
      <w:pPr>
        <w:spacing w:after="0" w:line="240" w:lineRule="auto"/>
        <w:ind w:left="0" w:hanging="2"/>
        <w:jc w:val="both"/>
        <w:rPr>
          <w:rFonts w:ascii="Arial" w:hAnsi="Arial" w:cs="Arial"/>
          <w:sz w:val="20"/>
          <w:szCs w:val="20"/>
        </w:rPr>
      </w:pPr>
      <w:r w:rsidRPr="00D77A27">
        <w:rPr>
          <w:rFonts w:ascii="Arial" w:hAnsi="Arial" w:cs="Arial"/>
          <w:sz w:val="20"/>
          <w:szCs w:val="20"/>
        </w:rPr>
        <w:t>After running all possible SARIMA models, there is only one model that satisfies residual assumptions; the model is SARIMA (0</w:t>
      </w:r>
      <w:proofErr w:type="gramStart"/>
      <w:r w:rsidRPr="00D77A27">
        <w:rPr>
          <w:rFonts w:ascii="Arial" w:hAnsi="Arial" w:cs="Arial"/>
          <w:sz w:val="20"/>
          <w:szCs w:val="20"/>
        </w:rPr>
        <w:t>,0,0</w:t>
      </w:r>
      <w:proofErr w:type="gramEnd"/>
      <w:r w:rsidRPr="00D77A27">
        <w:rPr>
          <w:rFonts w:ascii="Arial" w:hAnsi="Arial" w:cs="Arial"/>
          <w:sz w:val="20"/>
          <w:szCs w:val="20"/>
        </w:rPr>
        <w:t>)(0,1,1)8. These assumptions can be checked using ACF, PACF, and normal distribution tests</w:t>
      </w:r>
      <w:r w:rsidR="00844CDE">
        <w:rPr>
          <w:rFonts w:ascii="Arial" w:hAnsi="Arial" w:cs="Arial"/>
          <w:sz w:val="20"/>
          <w:szCs w:val="20"/>
        </w:rPr>
        <w:t xml:space="preserve"> of SARIMA residual. </w:t>
      </w:r>
      <w:r w:rsidR="00844CDE" w:rsidRPr="003814AB">
        <w:rPr>
          <w:rFonts w:ascii="Arial" w:hAnsi="Arial" w:cs="Arial"/>
          <w:color w:val="000000" w:themeColor="text1"/>
          <w:sz w:val="20"/>
          <w:szCs w:val="20"/>
        </w:rPr>
        <w:t>Figure</w:t>
      </w:r>
      <w:r w:rsidRPr="003814AB">
        <w:rPr>
          <w:rFonts w:ascii="Arial" w:hAnsi="Arial" w:cs="Arial"/>
          <w:color w:val="000000" w:themeColor="text1"/>
          <w:sz w:val="20"/>
          <w:szCs w:val="20"/>
        </w:rPr>
        <w:t xml:space="preserve"> 4 shows these tests of SARIMA (0</w:t>
      </w:r>
      <w:proofErr w:type="gramStart"/>
      <w:r w:rsidRPr="003814AB">
        <w:rPr>
          <w:rFonts w:ascii="Arial" w:hAnsi="Arial" w:cs="Arial"/>
          <w:color w:val="000000" w:themeColor="text1"/>
          <w:sz w:val="20"/>
          <w:szCs w:val="20"/>
        </w:rPr>
        <w:t>,0,0</w:t>
      </w:r>
      <w:proofErr w:type="gramEnd"/>
      <w:r w:rsidRPr="003814AB">
        <w:rPr>
          <w:rFonts w:ascii="Arial" w:hAnsi="Arial" w:cs="Arial"/>
          <w:color w:val="000000" w:themeColor="text1"/>
          <w:sz w:val="20"/>
          <w:szCs w:val="20"/>
        </w:rPr>
        <w:t xml:space="preserve">)(0,1,1)8. Since no value of ACF and PACF is out of the control line, the residuals are independent or have no autocorrelation and are homoscedasticity. In addition to that, the P-value of the </w:t>
      </w:r>
      <w:proofErr w:type="spellStart"/>
      <w:r w:rsidRPr="003814AB">
        <w:rPr>
          <w:rFonts w:ascii="Arial" w:hAnsi="Arial" w:cs="Arial"/>
          <w:color w:val="000000" w:themeColor="text1"/>
          <w:sz w:val="20"/>
          <w:szCs w:val="20"/>
        </w:rPr>
        <w:t>Ljung</w:t>
      </w:r>
      <w:proofErr w:type="spellEnd"/>
      <w:r w:rsidRPr="003814AB">
        <w:rPr>
          <w:rFonts w:ascii="Arial" w:hAnsi="Arial" w:cs="Arial"/>
          <w:color w:val="000000" w:themeColor="text1"/>
          <w:sz w:val="20"/>
          <w:szCs w:val="20"/>
        </w:rPr>
        <w:t>-Box test is above 0.05; thus the residuals are independent. The residual also has a normal distribution. After we find the forecast model, we need to see the performance of this model by calculating MAPE. Based on the testing data, the MAPE of this forecast model is around 15.22%.</w:t>
      </w:r>
      <w:r w:rsidR="0027516B" w:rsidRPr="00D77A27">
        <w:rPr>
          <w:rFonts w:ascii="Arial" w:hAnsi="Arial" w:cs="Arial"/>
          <w:sz w:val="20"/>
          <w:szCs w:val="20"/>
        </w:rPr>
        <w:t xml:space="preserve"> </w:t>
      </w:r>
    </w:p>
    <w:p w:rsidR="00A8441B" w:rsidRDefault="00A8441B" w:rsidP="00D77A27">
      <w:pPr>
        <w:spacing w:after="0" w:line="240" w:lineRule="auto"/>
        <w:ind w:left="0" w:hanging="2"/>
        <w:jc w:val="both"/>
        <w:rPr>
          <w:rFonts w:ascii="Arial" w:hAnsi="Arial" w:cs="Arial"/>
          <w:sz w:val="20"/>
          <w:szCs w:val="20"/>
        </w:rPr>
        <w:sectPr w:rsidR="00A8441B" w:rsidSect="00A8441B">
          <w:type w:val="continuous"/>
          <w:pgSz w:w="11907" w:h="16840"/>
          <w:pgMar w:top="1701" w:right="1134" w:bottom="1701" w:left="1701" w:header="680" w:footer="680" w:gutter="0"/>
          <w:cols w:num="2" w:space="284"/>
          <w:titlePg/>
        </w:sectPr>
      </w:pPr>
    </w:p>
    <w:p w:rsidR="003814AB" w:rsidRDefault="003814AB" w:rsidP="00D77A27">
      <w:pPr>
        <w:spacing w:after="0" w:line="240" w:lineRule="auto"/>
        <w:ind w:left="0" w:hanging="2"/>
        <w:jc w:val="both"/>
        <w:rPr>
          <w:rFonts w:ascii="Arial" w:hAnsi="Arial" w:cs="Arial"/>
          <w:sz w:val="20"/>
          <w:szCs w:val="20"/>
        </w:rPr>
      </w:pPr>
    </w:p>
    <w:p w:rsidR="00F407F0" w:rsidRDefault="00F407F0" w:rsidP="00D77A27">
      <w:pPr>
        <w:spacing w:after="0" w:line="240" w:lineRule="auto"/>
        <w:ind w:left="0" w:hanging="2"/>
        <w:jc w:val="both"/>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53"/>
      </w:tblGrid>
      <w:tr w:rsidR="006814A4" w:rsidTr="00586ADB">
        <w:trPr>
          <w:jc w:val="center"/>
        </w:trPr>
        <w:tc>
          <w:tcPr>
            <w:tcW w:w="4509" w:type="dxa"/>
          </w:tcPr>
          <w:p w:rsidR="006814A4" w:rsidRDefault="00A8441B" w:rsidP="003858FA">
            <w:pPr>
              <w:ind w:leftChars="0" w:left="0" w:firstLineChars="0" w:firstLine="0"/>
              <w:jc w:val="center"/>
              <w:rPr>
                <w:rFonts w:ascii="Arial" w:hAnsi="Arial" w:cs="Arial"/>
                <w:color w:val="00B050"/>
                <w:sz w:val="20"/>
                <w:szCs w:val="20"/>
              </w:rPr>
            </w:pPr>
            <w:r>
              <w:rPr>
                <w:rFonts w:ascii="Arial" w:hAnsi="Arial" w:cs="Arial"/>
                <w:color w:val="00B050"/>
                <w:sz w:val="20"/>
                <w:szCs w:val="20"/>
              </w:rPr>
              <w:br w:type="page"/>
            </w:r>
            <w:r w:rsidR="0062148F" w:rsidRPr="00E26237">
              <w:rPr>
                <w:noProof/>
                <w:lang w:val="en-ID" w:eastAsia="en-ID"/>
              </w:rPr>
              <w:drawing>
                <wp:inline distT="0" distB="0" distL="0" distR="0" wp14:anchorId="5D8EDBEA" wp14:editId="4C978F5A">
                  <wp:extent cx="2501900" cy="1479632"/>
                  <wp:effectExtent l="0" t="0" r="0" b="635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
                          <a:stretch>
                            <a:fillRect/>
                          </a:stretch>
                        </pic:blipFill>
                        <pic:spPr>
                          <a:xfrm>
                            <a:off x="0" y="0"/>
                            <a:ext cx="2528443" cy="1495330"/>
                          </a:xfrm>
                          <a:prstGeom prst="rect">
                            <a:avLst/>
                          </a:prstGeom>
                        </pic:spPr>
                      </pic:pic>
                    </a:graphicData>
                  </a:graphic>
                </wp:inline>
              </w:drawing>
            </w:r>
          </w:p>
        </w:tc>
        <w:tc>
          <w:tcPr>
            <w:tcW w:w="4553" w:type="dxa"/>
          </w:tcPr>
          <w:p w:rsidR="006814A4" w:rsidRDefault="0096624B" w:rsidP="003858FA">
            <w:pPr>
              <w:ind w:leftChars="0" w:left="0" w:firstLineChars="0" w:firstLine="0"/>
              <w:jc w:val="center"/>
              <w:rPr>
                <w:rFonts w:ascii="Arial" w:hAnsi="Arial" w:cs="Arial"/>
                <w:color w:val="00B050"/>
                <w:sz w:val="20"/>
                <w:szCs w:val="20"/>
              </w:rPr>
            </w:pPr>
            <w:r w:rsidRPr="00E26237">
              <w:rPr>
                <w:noProof/>
                <w:lang w:val="en-ID" w:eastAsia="en-ID"/>
              </w:rPr>
              <w:drawing>
                <wp:inline distT="0" distB="0" distL="0" distR="0" wp14:anchorId="69B1F7EF" wp14:editId="6B81788B">
                  <wp:extent cx="2362200" cy="1388636"/>
                  <wp:effectExtent l="0" t="0" r="0" b="254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4"/>
                          <a:stretch>
                            <a:fillRect/>
                          </a:stretch>
                        </pic:blipFill>
                        <pic:spPr>
                          <a:xfrm>
                            <a:off x="0" y="0"/>
                            <a:ext cx="2390580" cy="1405319"/>
                          </a:xfrm>
                          <a:prstGeom prst="rect">
                            <a:avLst/>
                          </a:prstGeom>
                        </pic:spPr>
                      </pic:pic>
                    </a:graphicData>
                  </a:graphic>
                </wp:inline>
              </w:drawing>
            </w:r>
          </w:p>
        </w:tc>
      </w:tr>
      <w:tr w:rsidR="006814A4" w:rsidTr="00586ADB">
        <w:trPr>
          <w:jc w:val="center"/>
        </w:trPr>
        <w:tc>
          <w:tcPr>
            <w:tcW w:w="4509" w:type="dxa"/>
          </w:tcPr>
          <w:p w:rsidR="006814A4" w:rsidRDefault="0096624B" w:rsidP="00586ADB">
            <w:pPr>
              <w:ind w:leftChars="0" w:left="0" w:firstLineChars="0" w:firstLine="0"/>
              <w:jc w:val="center"/>
              <w:rPr>
                <w:rFonts w:ascii="Arial" w:hAnsi="Arial" w:cs="Arial"/>
                <w:sz w:val="20"/>
                <w:szCs w:val="20"/>
              </w:rPr>
            </w:pPr>
            <w:r w:rsidRPr="005F4F79">
              <w:rPr>
                <w:rFonts w:ascii="Arial" w:hAnsi="Arial" w:cs="Arial"/>
                <w:sz w:val="20"/>
                <w:szCs w:val="20"/>
              </w:rPr>
              <w:t>(a)</w:t>
            </w:r>
          </w:p>
          <w:p w:rsidR="005F4F79" w:rsidRPr="005F4F79" w:rsidRDefault="005F4F79" w:rsidP="00586ADB">
            <w:pPr>
              <w:ind w:leftChars="0" w:left="0" w:firstLineChars="0" w:firstLine="0"/>
              <w:jc w:val="center"/>
              <w:rPr>
                <w:rFonts w:ascii="Arial" w:hAnsi="Arial" w:cs="Arial"/>
                <w:sz w:val="20"/>
                <w:szCs w:val="20"/>
              </w:rPr>
            </w:pPr>
          </w:p>
        </w:tc>
        <w:tc>
          <w:tcPr>
            <w:tcW w:w="4553" w:type="dxa"/>
          </w:tcPr>
          <w:p w:rsidR="006814A4" w:rsidRDefault="0096624B" w:rsidP="00586ADB">
            <w:pPr>
              <w:ind w:leftChars="0" w:left="0" w:firstLineChars="0" w:firstLine="0"/>
              <w:jc w:val="center"/>
              <w:rPr>
                <w:rFonts w:ascii="Arial" w:hAnsi="Arial" w:cs="Arial"/>
                <w:sz w:val="20"/>
                <w:szCs w:val="20"/>
              </w:rPr>
            </w:pPr>
            <w:r w:rsidRPr="005F4F79">
              <w:rPr>
                <w:rFonts w:ascii="Arial" w:hAnsi="Arial" w:cs="Arial"/>
                <w:sz w:val="20"/>
                <w:szCs w:val="20"/>
              </w:rPr>
              <w:t>(b)</w:t>
            </w:r>
          </w:p>
          <w:p w:rsidR="005F4F79" w:rsidRPr="005F4F79" w:rsidRDefault="005F4F79" w:rsidP="00586ADB">
            <w:pPr>
              <w:ind w:leftChars="0" w:left="0" w:firstLineChars="0" w:firstLine="0"/>
              <w:jc w:val="center"/>
              <w:rPr>
                <w:rFonts w:ascii="Arial" w:hAnsi="Arial" w:cs="Arial"/>
                <w:sz w:val="20"/>
                <w:szCs w:val="20"/>
              </w:rPr>
            </w:pPr>
          </w:p>
        </w:tc>
      </w:tr>
      <w:tr w:rsidR="006814A4" w:rsidTr="00586ADB">
        <w:trPr>
          <w:jc w:val="center"/>
        </w:trPr>
        <w:tc>
          <w:tcPr>
            <w:tcW w:w="4509" w:type="dxa"/>
          </w:tcPr>
          <w:p w:rsidR="006814A4" w:rsidRPr="005F4F79" w:rsidRDefault="0096624B" w:rsidP="003858FA">
            <w:pPr>
              <w:ind w:leftChars="0" w:left="0" w:firstLineChars="0" w:firstLine="0"/>
              <w:jc w:val="center"/>
              <w:rPr>
                <w:rFonts w:ascii="Arial" w:hAnsi="Arial" w:cs="Arial"/>
                <w:sz w:val="20"/>
                <w:szCs w:val="20"/>
              </w:rPr>
            </w:pPr>
            <w:r w:rsidRPr="005F4F79">
              <w:rPr>
                <w:noProof/>
                <w:lang w:val="en-ID" w:eastAsia="en-ID"/>
              </w:rPr>
              <w:drawing>
                <wp:inline distT="0" distB="0" distL="0" distR="0" wp14:anchorId="0963BAC3" wp14:editId="52008967">
                  <wp:extent cx="2489200" cy="1531816"/>
                  <wp:effectExtent l="0" t="0" r="635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5"/>
                          <a:stretch>
                            <a:fillRect/>
                          </a:stretch>
                        </pic:blipFill>
                        <pic:spPr>
                          <a:xfrm>
                            <a:off x="0" y="0"/>
                            <a:ext cx="2519947" cy="1550737"/>
                          </a:xfrm>
                          <a:prstGeom prst="rect">
                            <a:avLst/>
                          </a:prstGeom>
                        </pic:spPr>
                      </pic:pic>
                    </a:graphicData>
                  </a:graphic>
                </wp:inline>
              </w:drawing>
            </w:r>
          </w:p>
        </w:tc>
        <w:tc>
          <w:tcPr>
            <w:tcW w:w="4553" w:type="dxa"/>
          </w:tcPr>
          <w:p w:rsidR="006814A4" w:rsidRPr="005F4F79" w:rsidRDefault="0096624B" w:rsidP="003858FA">
            <w:pPr>
              <w:ind w:leftChars="0" w:left="0" w:firstLineChars="0" w:firstLine="0"/>
              <w:jc w:val="center"/>
              <w:rPr>
                <w:rFonts w:ascii="Arial" w:hAnsi="Arial" w:cs="Arial"/>
                <w:sz w:val="20"/>
                <w:szCs w:val="20"/>
              </w:rPr>
            </w:pPr>
            <w:r w:rsidRPr="005F4F79">
              <w:rPr>
                <w:noProof/>
                <w:lang w:val="en-ID" w:eastAsia="en-ID"/>
              </w:rPr>
              <w:drawing>
                <wp:inline distT="0" distB="0" distL="0" distR="0" wp14:anchorId="5A077A09" wp14:editId="6BE19537">
                  <wp:extent cx="2692400" cy="660722"/>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82080" cy="682730"/>
                          </a:xfrm>
                          <a:prstGeom prst="rect">
                            <a:avLst/>
                          </a:prstGeom>
                        </pic:spPr>
                      </pic:pic>
                    </a:graphicData>
                  </a:graphic>
                </wp:inline>
              </w:drawing>
            </w:r>
          </w:p>
        </w:tc>
      </w:tr>
      <w:tr w:rsidR="006814A4" w:rsidTr="00586ADB">
        <w:trPr>
          <w:jc w:val="center"/>
        </w:trPr>
        <w:tc>
          <w:tcPr>
            <w:tcW w:w="4509" w:type="dxa"/>
          </w:tcPr>
          <w:p w:rsidR="006814A4" w:rsidRPr="005F4F79" w:rsidRDefault="0096624B" w:rsidP="00586ADB">
            <w:pPr>
              <w:ind w:leftChars="0" w:left="0" w:firstLineChars="0" w:firstLine="0"/>
              <w:jc w:val="center"/>
              <w:rPr>
                <w:rFonts w:ascii="Arial" w:hAnsi="Arial" w:cs="Arial"/>
                <w:sz w:val="20"/>
                <w:szCs w:val="20"/>
              </w:rPr>
            </w:pPr>
            <w:r w:rsidRPr="005F4F79">
              <w:rPr>
                <w:rFonts w:ascii="Arial" w:hAnsi="Arial" w:cs="Arial"/>
                <w:sz w:val="20"/>
                <w:szCs w:val="20"/>
              </w:rPr>
              <w:t>(c)</w:t>
            </w:r>
          </w:p>
        </w:tc>
        <w:tc>
          <w:tcPr>
            <w:tcW w:w="4553" w:type="dxa"/>
          </w:tcPr>
          <w:p w:rsidR="006814A4" w:rsidRPr="005F4F79" w:rsidRDefault="0096624B" w:rsidP="00586ADB">
            <w:pPr>
              <w:ind w:leftChars="0" w:left="0" w:firstLineChars="0" w:firstLine="0"/>
              <w:jc w:val="center"/>
              <w:rPr>
                <w:rFonts w:ascii="Arial" w:hAnsi="Arial" w:cs="Arial"/>
                <w:sz w:val="20"/>
                <w:szCs w:val="20"/>
              </w:rPr>
            </w:pPr>
            <w:r w:rsidRPr="005F4F79">
              <w:rPr>
                <w:rFonts w:ascii="Arial" w:hAnsi="Arial" w:cs="Arial"/>
                <w:sz w:val="20"/>
                <w:szCs w:val="20"/>
              </w:rPr>
              <w:t>(d)</w:t>
            </w:r>
          </w:p>
        </w:tc>
      </w:tr>
    </w:tbl>
    <w:p w:rsidR="005F4F79" w:rsidRDefault="005F4F79" w:rsidP="00ED34D8">
      <w:pPr>
        <w:spacing w:after="0" w:line="240" w:lineRule="auto"/>
        <w:ind w:leftChars="0" w:left="0" w:firstLineChars="0" w:firstLine="0"/>
        <w:jc w:val="center"/>
        <w:rPr>
          <w:rFonts w:ascii="Arial" w:hAnsi="Arial" w:cs="Arial"/>
          <w:sz w:val="20"/>
          <w:szCs w:val="20"/>
        </w:rPr>
      </w:pPr>
    </w:p>
    <w:p w:rsidR="00ED34D8" w:rsidRPr="005F4F79" w:rsidRDefault="003814AB" w:rsidP="00ED34D8">
      <w:pPr>
        <w:spacing w:after="0" w:line="240" w:lineRule="auto"/>
        <w:ind w:leftChars="0" w:left="0" w:firstLineChars="0" w:firstLine="0"/>
        <w:jc w:val="center"/>
        <w:rPr>
          <w:rFonts w:ascii="Arial" w:hAnsi="Arial" w:cs="Arial"/>
          <w:sz w:val="20"/>
          <w:szCs w:val="20"/>
        </w:rPr>
      </w:pPr>
      <w:r w:rsidRPr="005F4F79">
        <w:rPr>
          <w:rFonts w:ascii="Arial" w:hAnsi="Arial" w:cs="Arial"/>
          <w:sz w:val="20"/>
          <w:szCs w:val="20"/>
        </w:rPr>
        <w:t xml:space="preserve">Figure 4. Residual Testing of </w:t>
      </w:r>
      <w:proofErr w:type="gramStart"/>
      <w:r w:rsidRPr="005F4F79">
        <w:rPr>
          <w:rFonts w:ascii="Arial" w:hAnsi="Arial" w:cs="Arial"/>
          <w:sz w:val="20"/>
          <w:szCs w:val="20"/>
        </w:rPr>
        <w:t>SARIMA(</w:t>
      </w:r>
      <w:proofErr w:type="gramEnd"/>
      <w:r w:rsidRPr="005F4F79">
        <w:rPr>
          <w:rFonts w:ascii="Arial" w:hAnsi="Arial" w:cs="Arial"/>
          <w:sz w:val="20"/>
          <w:szCs w:val="20"/>
        </w:rPr>
        <w:t>0,0,0)(0,1,1)8 Mode</w:t>
      </w:r>
      <w:r w:rsidR="006814A4" w:rsidRPr="005F4F79">
        <w:rPr>
          <w:rFonts w:ascii="Arial" w:hAnsi="Arial" w:cs="Arial"/>
          <w:sz w:val="20"/>
          <w:szCs w:val="20"/>
        </w:rPr>
        <w:t>l</w:t>
      </w:r>
    </w:p>
    <w:p w:rsidR="00ED34D8" w:rsidRDefault="00ED34D8" w:rsidP="00ED34D8">
      <w:pPr>
        <w:spacing w:after="0" w:line="240" w:lineRule="auto"/>
        <w:ind w:leftChars="0" w:left="0" w:firstLineChars="0" w:firstLine="0"/>
        <w:rPr>
          <w:rFonts w:ascii="Arial" w:hAnsi="Arial" w:cs="Arial"/>
          <w:sz w:val="20"/>
          <w:szCs w:val="20"/>
        </w:rPr>
        <w:sectPr w:rsidR="00ED34D8" w:rsidSect="006814A4">
          <w:type w:val="continuous"/>
          <w:pgSz w:w="11907" w:h="16840"/>
          <w:pgMar w:top="1701" w:right="1134" w:bottom="1701" w:left="1701" w:header="680" w:footer="680" w:gutter="0"/>
          <w:cols w:space="284"/>
          <w:titlePg/>
        </w:sectPr>
      </w:pPr>
    </w:p>
    <w:p w:rsidR="00BC48EA" w:rsidRDefault="00BC48EA" w:rsidP="00ED34D8">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b/>
          <w:color w:val="1F4E79"/>
          <w:sz w:val="20"/>
          <w:szCs w:val="20"/>
        </w:rPr>
        <w:sectPr w:rsidR="00BC48EA" w:rsidSect="00BC48EA">
          <w:pgSz w:w="11907" w:h="16840"/>
          <w:pgMar w:top="1701" w:right="1134" w:bottom="1701" w:left="1701" w:header="680" w:footer="680" w:gutter="0"/>
          <w:cols w:num="2" w:space="284"/>
          <w:titlePg/>
        </w:sectPr>
      </w:pPr>
    </w:p>
    <w:p w:rsidR="00D61242" w:rsidRDefault="00D61242" w:rsidP="00ED34D8">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Pr>
          <w:rFonts w:ascii="Arial" w:eastAsia="Arial" w:hAnsi="Arial" w:cs="Arial"/>
          <w:b/>
          <w:color w:val="1F4E79"/>
          <w:sz w:val="20"/>
          <w:szCs w:val="20"/>
        </w:rPr>
        <w:t>Decomposition Forecast</w:t>
      </w:r>
      <w:r>
        <w:rPr>
          <w:rFonts w:ascii="Arial" w:eastAsia="Arial" w:hAnsi="Arial" w:cs="Arial"/>
          <w:color w:val="000000"/>
          <w:sz w:val="20"/>
          <w:szCs w:val="20"/>
        </w:rPr>
        <w:t xml:space="preserve"> </w:t>
      </w:r>
    </w:p>
    <w:p w:rsidR="00084789" w:rsidRDefault="00084789" w:rsidP="00504B7B">
      <w:pPr>
        <w:spacing w:after="0" w:line="240" w:lineRule="auto"/>
        <w:ind w:left="0" w:hanging="2"/>
        <w:jc w:val="both"/>
        <w:rPr>
          <w:rFonts w:ascii="Arial" w:hAnsi="Arial" w:cs="Arial"/>
          <w:sz w:val="20"/>
          <w:szCs w:val="20"/>
        </w:rPr>
        <w:sectPr w:rsidR="00084789" w:rsidSect="002076FA">
          <w:type w:val="continuous"/>
          <w:pgSz w:w="11907" w:h="16840"/>
          <w:pgMar w:top="1701" w:right="1134" w:bottom="1701" w:left="1701" w:header="680" w:footer="680" w:gutter="0"/>
          <w:cols w:num="2" w:space="284"/>
          <w:titlePg/>
        </w:sectPr>
      </w:pPr>
    </w:p>
    <w:p w:rsidR="00800D55" w:rsidRDefault="00800D55" w:rsidP="00800D55">
      <w:pPr>
        <w:spacing w:after="0" w:line="240" w:lineRule="auto"/>
        <w:ind w:left="0" w:hanging="2"/>
        <w:jc w:val="both"/>
        <w:rPr>
          <w:rFonts w:ascii="Arial" w:hAnsi="Arial" w:cs="Arial"/>
          <w:sz w:val="20"/>
          <w:szCs w:val="20"/>
        </w:rPr>
      </w:pPr>
      <w:r w:rsidRPr="00800D55">
        <w:rPr>
          <w:rFonts w:ascii="Arial" w:hAnsi="Arial" w:cs="Arial"/>
          <w:sz w:val="20"/>
          <w:szCs w:val="20"/>
        </w:rPr>
        <w:t xml:space="preserve">After running additive and multiplicative decomposition models and checking the </w:t>
      </w:r>
      <w:r w:rsidR="0024410E">
        <w:rPr>
          <w:rFonts w:ascii="Arial" w:hAnsi="Arial" w:cs="Arial"/>
          <w:sz w:val="20"/>
          <w:szCs w:val="20"/>
        </w:rPr>
        <w:t>residual</w:t>
      </w:r>
      <w:r w:rsidRPr="00800D55">
        <w:rPr>
          <w:rFonts w:ascii="Arial" w:hAnsi="Arial" w:cs="Arial"/>
          <w:sz w:val="20"/>
          <w:szCs w:val="20"/>
        </w:rPr>
        <w:t xml:space="preserve"> </w:t>
      </w:r>
      <w:r w:rsidR="003858FA">
        <w:rPr>
          <w:rFonts w:ascii="Arial" w:hAnsi="Arial" w:cs="Arial"/>
          <w:sz w:val="20"/>
          <w:szCs w:val="20"/>
        </w:rPr>
        <w:t xml:space="preserve">or random </w:t>
      </w:r>
      <w:r w:rsidRPr="00800D55">
        <w:rPr>
          <w:rFonts w:ascii="Arial" w:hAnsi="Arial" w:cs="Arial"/>
          <w:sz w:val="20"/>
          <w:szCs w:val="20"/>
        </w:rPr>
        <w:t xml:space="preserve">assumptions, only </w:t>
      </w:r>
      <w:r w:rsidR="00D15141">
        <w:rPr>
          <w:rFonts w:ascii="Arial" w:hAnsi="Arial" w:cs="Arial"/>
          <w:sz w:val="20"/>
          <w:szCs w:val="20"/>
        </w:rPr>
        <w:t xml:space="preserve">the </w:t>
      </w:r>
      <w:r w:rsidRPr="00800D55">
        <w:rPr>
          <w:rFonts w:ascii="Arial" w:hAnsi="Arial" w:cs="Arial"/>
          <w:sz w:val="20"/>
          <w:szCs w:val="20"/>
        </w:rPr>
        <w:t xml:space="preserve">multiplicative </w:t>
      </w:r>
      <w:r w:rsidR="00D15141">
        <w:rPr>
          <w:rFonts w:ascii="Arial" w:hAnsi="Arial" w:cs="Arial"/>
          <w:sz w:val="20"/>
          <w:szCs w:val="20"/>
        </w:rPr>
        <w:t xml:space="preserve">model </w:t>
      </w:r>
      <w:r w:rsidRPr="00800D55">
        <w:rPr>
          <w:rFonts w:ascii="Arial" w:hAnsi="Arial" w:cs="Arial"/>
          <w:sz w:val="20"/>
          <w:szCs w:val="20"/>
        </w:rPr>
        <w:t>meet</w:t>
      </w:r>
      <w:r w:rsidR="00D15141">
        <w:rPr>
          <w:rFonts w:ascii="Arial" w:hAnsi="Arial" w:cs="Arial"/>
          <w:sz w:val="20"/>
          <w:szCs w:val="20"/>
        </w:rPr>
        <w:t>s</w:t>
      </w:r>
      <w:r w:rsidR="001427A4">
        <w:rPr>
          <w:rFonts w:ascii="Arial" w:hAnsi="Arial" w:cs="Arial"/>
          <w:sz w:val="20"/>
          <w:szCs w:val="20"/>
        </w:rPr>
        <w:t xml:space="preserve"> this assumption. Figure</w:t>
      </w:r>
      <w:r w:rsidR="00D15141">
        <w:rPr>
          <w:rFonts w:ascii="Arial" w:hAnsi="Arial" w:cs="Arial"/>
          <w:sz w:val="20"/>
          <w:szCs w:val="20"/>
        </w:rPr>
        <w:t>s</w:t>
      </w:r>
      <w:r w:rsidRPr="00800D55">
        <w:rPr>
          <w:rFonts w:ascii="Arial" w:hAnsi="Arial" w:cs="Arial"/>
          <w:sz w:val="20"/>
          <w:szCs w:val="20"/>
        </w:rPr>
        <w:t xml:space="preserve"> 5 </w:t>
      </w:r>
      <w:r w:rsidR="001427A4">
        <w:rPr>
          <w:rFonts w:ascii="Arial" w:hAnsi="Arial" w:cs="Arial"/>
          <w:sz w:val="20"/>
          <w:szCs w:val="20"/>
        </w:rPr>
        <w:t>and 6 g</w:t>
      </w:r>
      <w:r w:rsidRPr="00800D55">
        <w:rPr>
          <w:rFonts w:ascii="Arial" w:hAnsi="Arial" w:cs="Arial"/>
          <w:sz w:val="20"/>
          <w:szCs w:val="20"/>
        </w:rPr>
        <w:t>ive information about</w:t>
      </w:r>
      <w:r w:rsidR="00D15141">
        <w:rPr>
          <w:rFonts w:ascii="Arial" w:hAnsi="Arial" w:cs="Arial"/>
          <w:sz w:val="20"/>
          <w:szCs w:val="20"/>
        </w:rPr>
        <w:t xml:space="preserve"> the test of</w:t>
      </w:r>
      <w:r w:rsidRPr="00800D55">
        <w:rPr>
          <w:rFonts w:ascii="Arial" w:hAnsi="Arial" w:cs="Arial"/>
          <w:sz w:val="20"/>
          <w:szCs w:val="20"/>
        </w:rPr>
        <w:t xml:space="preserve"> both decomposition models using Kolmogorov-Smirnov Test. </w:t>
      </w:r>
    </w:p>
    <w:p w:rsidR="003E78E0" w:rsidRPr="00504B7B" w:rsidRDefault="003E78E0" w:rsidP="001427A4">
      <w:pPr>
        <w:spacing w:after="0" w:line="240" w:lineRule="auto"/>
        <w:ind w:left="0" w:hanging="2"/>
        <w:jc w:val="both"/>
        <w:rPr>
          <w:rFonts w:ascii="Arial" w:eastAsiaTheme="minorEastAsia" w:hAnsi="Arial" w:cs="Arial"/>
          <w:sz w:val="20"/>
          <w:szCs w:val="20"/>
        </w:rPr>
      </w:pPr>
      <w:r>
        <w:rPr>
          <w:rFonts w:ascii="Arial" w:hAnsi="Arial" w:cs="Arial"/>
          <w:sz w:val="20"/>
          <w:szCs w:val="20"/>
        </w:rPr>
        <w:t>T</w:t>
      </w:r>
      <w:r w:rsidRPr="00504B7B">
        <w:rPr>
          <w:rFonts w:ascii="Arial" w:hAnsi="Arial" w:cs="Arial"/>
          <w:sz w:val="20"/>
          <w:szCs w:val="20"/>
        </w:rPr>
        <w:t xml:space="preserve">he distribution of </w:t>
      </w:r>
      <w:r>
        <w:rPr>
          <w:rFonts w:ascii="Arial" w:hAnsi="Arial" w:cs="Arial"/>
          <w:sz w:val="20"/>
          <w:szCs w:val="20"/>
        </w:rPr>
        <w:t xml:space="preserve">residual in </w:t>
      </w:r>
      <w:r w:rsidR="00D15141">
        <w:rPr>
          <w:rFonts w:ascii="Arial" w:hAnsi="Arial" w:cs="Arial"/>
          <w:sz w:val="20"/>
          <w:szCs w:val="20"/>
        </w:rPr>
        <w:t xml:space="preserve">the </w:t>
      </w:r>
      <w:r>
        <w:rPr>
          <w:rFonts w:ascii="Arial" w:hAnsi="Arial" w:cs="Arial"/>
          <w:sz w:val="20"/>
          <w:szCs w:val="20"/>
        </w:rPr>
        <w:t xml:space="preserve">multiplicative model </w:t>
      </w:r>
      <w:r w:rsidRPr="00504B7B">
        <w:rPr>
          <w:rFonts w:ascii="Arial" w:hAnsi="Arial" w:cs="Arial"/>
          <w:sz w:val="20"/>
          <w:szCs w:val="20"/>
        </w:rPr>
        <w:t xml:space="preserve">is normal and </w:t>
      </w:r>
      <w:r>
        <w:rPr>
          <w:rFonts w:ascii="Arial" w:hAnsi="Arial" w:cs="Arial"/>
          <w:sz w:val="20"/>
          <w:szCs w:val="20"/>
        </w:rPr>
        <w:t xml:space="preserve">its </w:t>
      </w:r>
      <w:r w:rsidRPr="00504B7B">
        <w:rPr>
          <w:rFonts w:ascii="Arial" w:hAnsi="Arial" w:cs="Arial"/>
          <w:sz w:val="20"/>
          <w:szCs w:val="20"/>
        </w:rPr>
        <w:t xml:space="preserve">mean </w:t>
      </w:r>
      <w:r>
        <w:rPr>
          <w:rFonts w:ascii="Arial" w:hAnsi="Arial" w:cs="Arial"/>
          <w:sz w:val="20"/>
          <w:szCs w:val="20"/>
        </w:rPr>
        <w:t>is</w:t>
      </w:r>
      <w:r w:rsidRPr="00504B7B">
        <w:rPr>
          <w:rFonts w:ascii="Arial" w:hAnsi="Arial" w:cs="Arial"/>
          <w:sz w:val="20"/>
          <w:szCs w:val="20"/>
        </w:rPr>
        <w:t xml:space="preserve"> nearly 1</w:t>
      </w:r>
      <w:r w:rsidR="001427A4">
        <w:rPr>
          <w:rFonts w:ascii="Arial" w:hAnsi="Arial" w:cs="Arial"/>
          <w:sz w:val="20"/>
          <w:szCs w:val="20"/>
        </w:rPr>
        <w:t xml:space="preserve">. </w:t>
      </w:r>
      <w:r w:rsidR="00D15141">
        <w:rPr>
          <w:rFonts w:ascii="Arial" w:hAnsi="Arial" w:cs="Arial"/>
          <w:sz w:val="20"/>
          <w:szCs w:val="20"/>
        </w:rPr>
        <w:t>F</w:t>
      </w:r>
      <w:r>
        <w:rPr>
          <w:rFonts w:ascii="Arial" w:hAnsi="Arial" w:cs="Arial"/>
          <w:sz w:val="20"/>
          <w:szCs w:val="20"/>
        </w:rPr>
        <w:t xml:space="preserve">or </w:t>
      </w:r>
      <w:r w:rsidR="00D15141">
        <w:rPr>
          <w:rFonts w:ascii="Arial" w:hAnsi="Arial" w:cs="Arial"/>
          <w:sz w:val="20"/>
          <w:szCs w:val="20"/>
        </w:rPr>
        <w:t xml:space="preserve">the </w:t>
      </w:r>
      <w:r>
        <w:rPr>
          <w:rFonts w:ascii="Arial" w:hAnsi="Arial" w:cs="Arial"/>
          <w:sz w:val="20"/>
          <w:szCs w:val="20"/>
        </w:rPr>
        <w:t>additive model, although the residual distribution is normal, its mean is around -1.47</w:t>
      </w:r>
      <w:r w:rsidR="0024410E">
        <w:rPr>
          <w:rFonts w:ascii="Arial" w:hAnsi="Arial" w:cs="Arial"/>
          <w:sz w:val="20"/>
          <w:szCs w:val="20"/>
        </w:rPr>
        <w:t>. C</w:t>
      </w:r>
      <w:r>
        <w:rPr>
          <w:rFonts w:ascii="Arial" w:hAnsi="Arial" w:cs="Arial"/>
          <w:sz w:val="20"/>
          <w:szCs w:val="20"/>
        </w:rPr>
        <w:t>onsequently</w:t>
      </w:r>
      <w:r w:rsidR="0024410E">
        <w:rPr>
          <w:rFonts w:ascii="Arial" w:hAnsi="Arial" w:cs="Arial"/>
          <w:sz w:val="20"/>
          <w:szCs w:val="20"/>
        </w:rPr>
        <w:t xml:space="preserve">, </w:t>
      </w:r>
      <w:r>
        <w:rPr>
          <w:rFonts w:ascii="Arial" w:hAnsi="Arial" w:cs="Arial"/>
          <w:sz w:val="20"/>
          <w:szCs w:val="20"/>
        </w:rPr>
        <w:t>making the assumption is not satisfied</w:t>
      </w:r>
      <w:r w:rsidR="000D229E">
        <w:rPr>
          <w:rFonts w:ascii="Arial" w:hAnsi="Arial" w:cs="Arial"/>
          <w:sz w:val="20"/>
          <w:szCs w:val="20"/>
        </w:rPr>
        <w:t>. Hence we only use the multiplicative to forecast.</w:t>
      </w:r>
    </w:p>
    <w:p w:rsidR="00F407F0" w:rsidRDefault="00504B7B" w:rsidP="00800D55">
      <w:pPr>
        <w:spacing w:after="0" w:line="240" w:lineRule="auto"/>
        <w:ind w:left="0" w:hanging="2"/>
        <w:rPr>
          <w:rFonts w:ascii="Arial" w:hAnsi="Arial" w:cs="Arial"/>
          <w:sz w:val="20"/>
          <w:szCs w:val="20"/>
        </w:rPr>
      </w:pPr>
      <w:r w:rsidRPr="00504B7B">
        <w:rPr>
          <w:rFonts w:ascii="Arial" w:hAnsi="Arial" w:cs="Arial"/>
          <w:sz w:val="20"/>
          <w:szCs w:val="20"/>
        </w:rPr>
        <w:t xml:space="preserve"> </w:t>
      </w:r>
      <w:r w:rsidR="001427A4">
        <w:rPr>
          <w:noProof/>
          <w:lang w:val="en-ID" w:eastAsia="en-ID"/>
        </w:rPr>
        <w:drawing>
          <wp:inline distT="0" distB="0" distL="0" distR="0" wp14:anchorId="067FFD1A" wp14:editId="771D6F56">
            <wp:extent cx="2686050" cy="152381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12035" cy="1538558"/>
                    </a:xfrm>
                    <a:prstGeom prst="rect">
                      <a:avLst/>
                    </a:prstGeom>
                  </pic:spPr>
                </pic:pic>
              </a:graphicData>
            </a:graphic>
          </wp:inline>
        </w:drawing>
      </w:r>
    </w:p>
    <w:p w:rsidR="00F407F0" w:rsidRDefault="001427A4" w:rsidP="00F407F0">
      <w:pPr>
        <w:spacing w:after="0" w:line="240" w:lineRule="auto"/>
        <w:ind w:left="0" w:hanging="2"/>
        <w:jc w:val="center"/>
        <w:rPr>
          <w:rFonts w:ascii="Arial" w:hAnsi="Arial" w:cs="Arial"/>
          <w:sz w:val="20"/>
          <w:szCs w:val="20"/>
        </w:rPr>
      </w:pPr>
      <w:r>
        <w:rPr>
          <w:rFonts w:ascii="Arial" w:hAnsi="Arial" w:cs="Arial"/>
          <w:sz w:val="20"/>
          <w:szCs w:val="20"/>
        </w:rPr>
        <w:t>Figure 5. Residual Test of Additive Decomposition Model</w:t>
      </w:r>
    </w:p>
    <w:p w:rsidR="00DF5D0E" w:rsidRPr="00D77A27" w:rsidRDefault="00DF5D0E" w:rsidP="00F407F0">
      <w:pPr>
        <w:spacing w:after="0" w:line="240" w:lineRule="auto"/>
        <w:ind w:left="0" w:hanging="2"/>
        <w:jc w:val="center"/>
        <w:rPr>
          <w:rFonts w:ascii="Arial" w:hAnsi="Arial" w:cs="Arial"/>
          <w:sz w:val="20"/>
          <w:szCs w:val="20"/>
        </w:rPr>
      </w:pPr>
    </w:p>
    <w:p w:rsidR="00F407F0" w:rsidRPr="00D77A27" w:rsidRDefault="00F407F0" w:rsidP="00F407F0">
      <w:pPr>
        <w:spacing w:after="0" w:line="240" w:lineRule="auto"/>
        <w:ind w:left="0" w:hanging="2"/>
        <w:jc w:val="center"/>
        <w:rPr>
          <w:rFonts w:ascii="Arial" w:hAnsi="Arial" w:cs="Arial"/>
          <w:sz w:val="20"/>
          <w:szCs w:val="20"/>
        </w:rPr>
      </w:pPr>
      <w:r>
        <w:rPr>
          <w:noProof/>
          <w:lang w:val="en-ID" w:eastAsia="en-ID"/>
        </w:rPr>
        <w:drawing>
          <wp:inline distT="0" distB="0" distL="0" distR="0" wp14:anchorId="5C7BFB1E" wp14:editId="1B5D8EEF">
            <wp:extent cx="2651760" cy="1528011"/>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651760" cy="1528011"/>
                    </a:xfrm>
                    <a:prstGeom prst="rect">
                      <a:avLst/>
                    </a:prstGeom>
                  </pic:spPr>
                </pic:pic>
              </a:graphicData>
            </a:graphic>
          </wp:inline>
        </w:drawing>
      </w:r>
    </w:p>
    <w:p w:rsidR="00F407F0" w:rsidRPr="00D77A27" w:rsidRDefault="00F407F0" w:rsidP="00F407F0">
      <w:pPr>
        <w:spacing w:after="0" w:line="240" w:lineRule="auto"/>
        <w:ind w:left="0" w:hanging="2"/>
        <w:jc w:val="center"/>
        <w:rPr>
          <w:rFonts w:ascii="Arial" w:hAnsi="Arial" w:cs="Arial"/>
          <w:sz w:val="20"/>
          <w:szCs w:val="20"/>
        </w:rPr>
      </w:pPr>
      <w:r w:rsidRPr="00D77A27">
        <w:rPr>
          <w:rFonts w:ascii="Arial" w:hAnsi="Arial" w:cs="Arial"/>
          <w:sz w:val="20"/>
          <w:szCs w:val="20"/>
        </w:rPr>
        <w:t>(b)</w:t>
      </w:r>
    </w:p>
    <w:p w:rsidR="00F407F0" w:rsidRDefault="00F407F0" w:rsidP="00F407F0">
      <w:pPr>
        <w:spacing w:after="0" w:line="240" w:lineRule="auto"/>
        <w:ind w:left="0" w:hanging="2"/>
        <w:jc w:val="center"/>
        <w:rPr>
          <w:rFonts w:ascii="Arial" w:hAnsi="Arial" w:cs="Arial"/>
          <w:sz w:val="20"/>
          <w:szCs w:val="20"/>
        </w:rPr>
      </w:pPr>
    </w:p>
    <w:p w:rsidR="00F407F0" w:rsidRDefault="00F407F0" w:rsidP="00F407F0">
      <w:pPr>
        <w:spacing w:after="0" w:line="240" w:lineRule="auto"/>
        <w:ind w:left="0" w:hanging="2"/>
        <w:jc w:val="center"/>
        <w:rPr>
          <w:rFonts w:ascii="Arial" w:hAnsi="Arial" w:cs="Arial"/>
          <w:sz w:val="20"/>
          <w:szCs w:val="20"/>
        </w:rPr>
      </w:pPr>
      <w:r w:rsidRPr="000E3486">
        <w:rPr>
          <w:rFonts w:ascii="Arial" w:hAnsi="Arial" w:cs="Arial"/>
          <w:sz w:val="20"/>
          <w:szCs w:val="20"/>
        </w:rPr>
        <w:t>Fi</w:t>
      </w:r>
      <w:r w:rsidR="001427A4">
        <w:rPr>
          <w:rFonts w:ascii="Arial" w:hAnsi="Arial" w:cs="Arial"/>
          <w:sz w:val="20"/>
          <w:szCs w:val="20"/>
        </w:rPr>
        <w:t>gure 6</w:t>
      </w:r>
      <w:r w:rsidRPr="000E3486">
        <w:rPr>
          <w:rFonts w:ascii="Arial" w:hAnsi="Arial" w:cs="Arial"/>
          <w:sz w:val="20"/>
          <w:szCs w:val="20"/>
        </w:rPr>
        <w:t xml:space="preserve">. Residual Test of </w:t>
      </w:r>
      <w:r w:rsidR="001427A4">
        <w:rPr>
          <w:rFonts w:ascii="Arial" w:hAnsi="Arial" w:cs="Arial"/>
          <w:sz w:val="20"/>
          <w:szCs w:val="20"/>
        </w:rPr>
        <w:t>Mul</w:t>
      </w:r>
      <w:r w:rsidR="003858FA">
        <w:rPr>
          <w:rFonts w:ascii="Arial" w:hAnsi="Arial" w:cs="Arial"/>
          <w:sz w:val="20"/>
          <w:szCs w:val="20"/>
        </w:rPr>
        <w:t>tiplicative Decomposition Model</w:t>
      </w:r>
    </w:p>
    <w:p w:rsidR="00F407F0" w:rsidRDefault="00F407F0" w:rsidP="00F407F0">
      <w:pPr>
        <w:spacing w:after="0" w:line="240" w:lineRule="auto"/>
        <w:ind w:left="0" w:hanging="2"/>
        <w:jc w:val="center"/>
        <w:rPr>
          <w:rFonts w:ascii="Arial" w:hAnsi="Arial" w:cs="Arial"/>
          <w:sz w:val="20"/>
          <w:szCs w:val="20"/>
        </w:rPr>
      </w:pPr>
    </w:p>
    <w:p w:rsidR="002076FA" w:rsidRDefault="00F407F0" w:rsidP="0024410E">
      <w:pPr>
        <w:spacing w:after="0" w:line="240" w:lineRule="auto"/>
        <w:ind w:left="0" w:hanging="2"/>
        <w:jc w:val="both"/>
        <w:rPr>
          <w:rFonts w:ascii="Arial" w:hAnsi="Arial" w:cs="Arial"/>
          <w:sz w:val="20"/>
          <w:szCs w:val="20"/>
        </w:rPr>
        <w:sectPr w:rsidR="002076FA" w:rsidSect="002076FA">
          <w:type w:val="continuous"/>
          <w:pgSz w:w="11907" w:h="16840"/>
          <w:pgMar w:top="1701" w:right="1134" w:bottom="1701" w:left="1701" w:header="680" w:footer="680" w:gutter="0"/>
          <w:cols w:num="2" w:space="284"/>
          <w:titlePg/>
        </w:sectPr>
      </w:pPr>
      <w:r w:rsidRPr="009067E3">
        <w:rPr>
          <w:rFonts w:ascii="Arial" w:hAnsi="Arial" w:cs="Arial"/>
          <w:sz w:val="20"/>
          <w:szCs w:val="20"/>
        </w:rPr>
        <w:t>Figure</w:t>
      </w:r>
      <w:r w:rsidR="001427A4">
        <w:rPr>
          <w:rFonts w:ascii="Arial" w:hAnsi="Arial" w:cs="Arial"/>
          <w:sz w:val="20"/>
          <w:szCs w:val="20"/>
        </w:rPr>
        <w:t xml:space="preserve"> 7</w:t>
      </w:r>
      <w:r w:rsidRPr="009067E3">
        <w:rPr>
          <w:rFonts w:ascii="Arial" w:hAnsi="Arial" w:cs="Arial"/>
          <w:sz w:val="20"/>
          <w:szCs w:val="20"/>
        </w:rPr>
        <w:t xml:space="preserve"> shows the result of multiplicative decomposition in sugar sales. This figure has not shown the forecast value yet, but it only shows each decomposition pattern of the data. The decomposition not only can be used to help forecast but also can be used to explore and understand the data pattern.</w:t>
      </w:r>
      <w:r w:rsidR="003E78E0">
        <w:rPr>
          <w:rFonts w:ascii="Arial" w:hAnsi="Arial" w:cs="Arial"/>
          <w:sz w:val="20"/>
          <w:szCs w:val="20"/>
        </w:rPr>
        <w:t xml:space="preserve"> </w:t>
      </w:r>
    </w:p>
    <w:p w:rsidR="004A568D" w:rsidRDefault="004A568D" w:rsidP="002076FA">
      <w:pPr>
        <w:spacing w:after="0" w:line="240" w:lineRule="auto"/>
        <w:ind w:leftChars="0" w:left="0" w:firstLineChars="0" w:firstLine="0"/>
        <w:jc w:val="both"/>
        <w:rPr>
          <w:rFonts w:ascii="Arial" w:hAnsi="Arial" w:cs="Arial"/>
          <w:sz w:val="20"/>
          <w:szCs w:val="20"/>
        </w:rPr>
      </w:pPr>
    </w:p>
    <w:p w:rsidR="00D37447" w:rsidRDefault="00D37447" w:rsidP="004A568D">
      <w:pPr>
        <w:spacing w:after="0" w:line="240" w:lineRule="auto"/>
        <w:ind w:leftChars="0" w:left="0" w:firstLineChars="0" w:firstLine="0"/>
        <w:jc w:val="center"/>
        <w:rPr>
          <w:rFonts w:ascii="Arial" w:hAnsi="Arial" w:cs="Arial"/>
          <w:color w:val="00B050"/>
          <w:sz w:val="20"/>
          <w:szCs w:val="20"/>
        </w:rPr>
      </w:pPr>
      <w:r>
        <w:rPr>
          <w:rFonts w:ascii="Arial" w:hAnsi="Arial" w:cs="Arial"/>
          <w:noProof/>
          <w:color w:val="00B050"/>
          <w:sz w:val="20"/>
          <w:szCs w:val="20"/>
          <w:lang w:val="en-ID" w:eastAsia="en-ID"/>
        </w:rPr>
        <w:drawing>
          <wp:inline distT="0" distB="0" distL="0" distR="0" wp14:anchorId="7BAB6B64" wp14:editId="7A43C2F3">
            <wp:extent cx="4387850" cy="32369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02837" cy="3248051"/>
                    </a:xfrm>
                    <a:prstGeom prst="rect">
                      <a:avLst/>
                    </a:prstGeom>
                    <a:noFill/>
                  </pic:spPr>
                </pic:pic>
              </a:graphicData>
            </a:graphic>
          </wp:inline>
        </w:drawing>
      </w:r>
    </w:p>
    <w:p w:rsidR="00D37447" w:rsidRDefault="00D37447" w:rsidP="00D37447">
      <w:pPr>
        <w:spacing w:after="0" w:line="240" w:lineRule="auto"/>
        <w:ind w:left="0" w:hanging="2"/>
        <w:jc w:val="center"/>
        <w:rPr>
          <w:rFonts w:ascii="Arial" w:hAnsi="Arial" w:cs="Arial"/>
          <w:color w:val="00B050"/>
          <w:sz w:val="20"/>
          <w:szCs w:val="20"/>
        </w:rPr>
      </w:pPr>
    </w:p>
    <w:p w:rsidR="00D37447" w:rsidRPr="00211955" w:rsidRDefault="00D37447" w:rsidP="004F29EB">
      <w:pPr>
        <w:spacing w:after="0" w:line="240" w:lineRule="auto"/>
        <w:ind w:left="0" w:hanging="2"/>
        <w:jc w:val="center"/>
        <w:rPr>
          <w:rFonts w:ascii="Arial" w:hAnsi="Arial" w:cs="Arial"/>
          <w:sz w:val="20"/>
          <w:szCs w:val="20"/>
        </w:rPr>
        <w:sectPr w:rsidR="00D37447" w:rsidRPr="00211955" w:rsidSect="00634580">
          <w:type w:val="continuous"/>
          <w:pgSz w:w="11907" w:h="16840"/>
          <w:pgMar w:top="1701" w:right="1134" w:bottom="1701" w:left="1701" w:header="680" w:footer="680" w:gutter="0"/>
          <w:cols w:space="284"/>
          <w:titlePg/>
        </w:sectPr>
      </w:pPr>
      <w:r w:rsidRPr="00211955">
        <w:rPr>
          <w:rFonts w:ascii="Arial" w:hAnsi="Arial" w:cs="Arial"/>
          <w:sz w:val="20"/>
          <w:szCs w:val="20"/>
        </w:rPr>
        <w:t>Figure</w:t>
      </w:r>
      <w:r w:rsidR="001427A4">
        <w:rPr>
          <w:rFonts w:ascii="Arial" w:hAnsi="Arial" w:cs="Arial"/>
          <w:sz w:val="20"/>
          <w:szCs w:val="20"/>
        </w:rPr>
        <w:t xml:space="preserve"> 7</w:t>
      </w:r>
      <w:r w:rsidRPr="00211955">
        <w:rPr>
          <w:rFonts w:ascii="Arial" w:hAnsi="Arial" w:cs="Arial"/>
          <w:sz w:val="20"/>
          <w:szCs w:val="20"/>
        </w:rPr>
        <w:t>. Multiplicative Decomposition of Sugar Sales</w:t>
      </w:r>
    </w:p>
    <w:p w:rsidR="002076FA" w:rsidRDefault="002076FA" w:rsidP="002076FA">
      <w:pPr>
        <w:spacing w:after="0" w:line="240" w:lineRule="auto"/>
        <w:ind w:left="0" w:hanging="2"/>
        <w:jc w:val="both"/>
        <w:rPr>
          <w:rFonts w:ascii="Arial" w:hAnsi="Arial" w:cs="Arial"/>
          <w:sz w:val="20"/>
          <w:szCs w:val="20"/>
        </w:rPr>
      </w:pPr>
      <w:r>
        <w:rPr>
          <w:rFonts w:ascii="Arial" w:hAnsi="Arial" w:cs="Arial"/>
          <w:sz w:val="20"/>
          <w:szCs w:val="20"/>
        </w:rPr>
        <w:lastRenderedPageBreak/>
        <w:t>Based on this figure</w:t>
      </w:r>
      <w:r w:rsidRPr="009067E3">
        <w:rPr>
          <w:rFonts w:ascii="Arial" w:hAnsi="Arial" w:cs="Arial"/>
          <w:sz w:val="20"/>
          <w:szCs w:val="20"/>
        </w:rPr>
        <w:t xml:space="preserve">, there is a declining trend in sales of sugar. However, this trend is only little and almost </w:t>
      </w:r>
      <w:proofErr w:type="spellStart"/>
      <w:r w:rsidRPr="009067E3">
        <w:rPr>
          <w:rFonts w:ascii="Arial" w:hAnsi="Arial" w:cs="Arial"/>
          <w:sz w:val="20"/>
          <w:szCs w:val="20"/>
        </w:rPr>
        <w:t>not</w:t>
      </w:r>
      <w:proofErr w:type="spellEnd"/>
      <w:r w:rsidRPr="009067E3">
        <w:rPr>
          <w:rFonts w:ascii="Arial" w:hAnsi="Arial" w:cs="Arial"/>
          <w:sz w:val="20"/>
          <w:szCs w:val="20"/>
        </w:rPr>
        <w:t xml:space="preserve"> noticeable. This slight downward trend might be</w:t>
      </w:r>
      <w:r w:rsidR="00052807">
        <w:rPr>
          <w:rFonts w:ascii="Arial" w:hAnsi="Arial" w:cs="Arial"/>
          <w:sz w:val="20"/>
          <w:szCs w:val="20"/>
        </w:rPr>
        <w:t xml:space="preserve"> </w:t>
      </w:r>
      <w:r w:rsidRPr="009067E3">
        <w:rPr>
          <w:rFonts w:ascii="Arial" w:hAnsi="Arial" w:cs="Arial"/>
          <w:sz w:val="20"/>
          <w:szCs w:val="20"/>
        </w:rPr>
        <w:t>the reason for SARIMA does not consider it in the model. For the seasonal data, after decomposition is done, the estimation of seasonal data can be known, and the values are fixed for the same t period</w:t>
      </w:r>
      <w:r>
        <w:rPr>
          <w:rFonts w:ascii="Arial" w:hAnsi="Arial" w:cs="Arial"/>
          <w:sz w:val="20"/>
          <w:szCs w:val="20"/>
        </w:rPr>
        <w:t xml:space="preserve"> in different seasonal time</w:t>
      </w:r>
      <w:r w:rsidR="00652DBE">
        <w:rPr>
          <w:rFonts w:ascii="Arial" w:hAnsi="Arial" w:cs="Arial"/>
          <w:sz w:val="20"/>
          <w:szCs w:val="20"/>
        </w:rPr>
        <w:t>s</w:t>
      </w:r>
      <w:r>
        <w:rPr>
          <w:rFonts w:ascii="Arial" w:hAnsi="Arial" w:cs="Arial"/>
          <w:sz w:val="20"/>
          <w:szCs w:val="20"/>
        </w:rPr>
        <w:t>.</w:t>
      </w:r>
    </w:p>
    <w:p w:rsidR="002076FA" w:rsidRDefault="002076FA" w:rsidP="002076FA">
      <w:pPr>
        <w:spacing w:after="0" w:line="240" w:lineRule="auto"/>
        <w:ind w:left="0" w:hanging="2"/>
        <w:jc w:val="both"/>
        <w:rPr>
          <w:rFonts w:ascii="Arial" w:hAnsi="Arial" w:cs="Arial"/>
          <w:sz w:val="20"/>
          <w:szCs w:val="20"/>
        </w:rPr>
      </w:pPr>
      <w:r>
        <w:rPr>
          <w:rFonts w:ascii="Arial" w:hAnsi="Arial" w:cs="Arial"/>
          <w:sz w:val="20"/>
          <w:szCs w:val="20"/>
        </w:rPr>
        <w:t>This research</w:t>
      </w:r>
      <w:r w:rsidRPr="00F1271B">
        <w:rPr>
          <w:rFonts w:ascii="Arial" w:hAnsi="Arial" w:cs="Arial"/>
          <w:sz w:val="20"/>
          <w:szCs w:val="20"/>
        </w:rPr>
        <w:t xml:space="preserve"> estimate</w:t>
      </w:r>
      <w:r>
        <w:rPr>
          <w:rFonts w:ascii="Arial" w:hAnsi="Arial" w:cs="Arial"/>
          <w:sz w:val="20"/>
          <w:szCs w:val="20"/>
        </w:rPr>
        <w:t>s</w:t>
      </w:r>
      <w:r w:rsidRPr="00F1271B">
        <w:rPr>
          <w:rFonts w:ascii="Arial" w:hAnsi="Arial" w:cs="Arial"/>
          <w:sz w:val="20"/>
          <w:szCs w:val="20"/>
        </w:rPr>
        <w:t xml:space="preserve"> the trend data by using a double moving average. </w:t>
      </w:r>
      <w:r w:rsidRPr="00F1271B">
        <w:rPr>
          <w:rFonts w:ascii="Arial" w:hAnsi="Arial" w:cs="Arial"/>
          <w:color w:val="E36C0A" w:themeColor="accent6" w:themeShade="BF"/>
          <w:sz w:val="20"/>
          <w:szCs w:val="20"/>
        </w:rPr>
        <w:t xml:space="preserve"> </w:t>
      </w:r>
      <w:r w:rsidRPr="00F1271B">
        <w:rPr>
          <w:rFonts w:ascii="Arial" w:hAnsi="Arial" w:cs="Arial"/>
          <w:sz w:val="20"/>
          <w:szCs w:val="20"/>
        </w:rPr>
        <w:t xml:space="preserve">After running several periods in a double moving average, </w:t>
      </w:r>
      <w:r w:rsidR="00652DBE">
        <w:rPr>
          <w:rFonts w:ascii="Arial" w:hAnsi="Arial" w:cs="Arial"/>
          <w:sz w:val="20"/>
          <w:szCs w:val="20"/>
        </w:rPr>
        <w:t xml:space="preserve">the </w:t>
      </w:r>
      <w:r w:rsidR="00052807">
        <w:rPr>
          <w:rFonts w:ascii="Arial" w:hAnsi="Arial" w:cs="Arial"/>
          <w:sz w:val="20"/>
          <w:szCs w:val="20"/>
        </w:rPr>
        <w:t>result shows</w:t>
      </w:r>
      <w:r w:rsidRPr="00F1271B">
        <w:rPr>
          <w:rFonts w:ascii="Arial" w:hAnsi="Arial" w:cs="Arial"/>
          <w:sz w:val="20"/>
          <w:szCs w:val="20"/>
        </w:rPr>
        <w:t xml:space="preserve"> that the optimal period for a double moving average is 3 periods. </w:t>
      </w:r>
      <w:r>
        <w:rPr>
          <w:rFonts w:ascii="Arial" w:hAnsi="Arial" w:cs="Arial"/>
          <w:sz w:val="20"/>
          <w:szCs w:val="20"/>
        </w:rPr>
        <w:t>Figure</w:t>
      </w:r>
      <w:r w:rsidR="001427A4">
        <w:rPr>
          <w:rFonts w:ascii="Arial" w:hAnsi="Arial" w:cs="Arial"/>
          <w:sz w:val="20"/>
          <w:szCs w:val="20"/>
        </w:rPr>
        <w:t xml:space="preserve"> 8</w:t>
      </w:r>
      <w:r w:rsidR="00052807">
        <w:rPr>
          <w:rFonts w:ascii="Arial" w:hAnsi="Arial" w:cs="Arial"/>
          <w:sz w:val="20"/>
          <w:szCs w:val="20"/>
        </w:rPr>
        <w:t xml:space="preserve"> informs</w:t>
      </w:r>
      <w:r w:rsidRPr="00F1271B">
        <w:rPr>
          <w:rFonts w:ascii="Arial" w:hAnsi="Arial" w:cs="Arial"/>
          <w:sz w:val="20"/>
          <w:szCs w:val="20"/>
        </w:rPr>
        <w:t xml:space="preserve"> the MAPE comparison of several possible n-</w:t>
      </w:r>
      <w:r>
        <w:rPr>
          <w:rFonts w:ascii="Arial" w:hAnsi="Arial" w:cs="Arial"/>
          <w:sz w:val="20"/>
          <w:szCs w:val="20"/>
        </w:rPr>
        <w:t>period</w:t>
      </w:r>
      <w:r w:rsidRPr="00F1271B">
        <w:rPr>
          <w:rFonts w:ascii="Arial" w:hAnsi="Arial" w:cs="Arial"/>
          <w:sz w:val="20"/>
          <w:szCs w:val="20"/>
        </w:rPr>
        <w:t xml:space="preserve"> for double moving averages in the decomposition forecast model. MAPE forecast goes down from </w:t>
      </w:r>
      <w:r>
        <w:rPr>
          <w:rFonts w:ascii="Arial" w:hAnsi="Arial" w:cs="Arial"/>
          <w:sz w:val="20"/>
          <w:szCs w:val="20"/>
        </w:rPr>
        <w:t>period two to period three and later it keeps increasing</w:t>
      </w:r>
      <w:r w:rsidRPr="00F1271B">
        <w:rPr>
          <w:rFonts w:ascii="Arial" w:hAnsi="Arial" w:cs="Arial"/>
          <w:sz w:val="20"/>
          <w:szCs w:val="20"/>
        </w:rPr>
        <w:t xml:space="preserve">. </w:t>
      </w:r>
      <w:r>
        <w:rPr>
          <w:rFonts w:ascii="Arial" w:hAnsi="Arial" w:cs="Arial"/>
          <w:sz w:val="20"/>
          <w:szCs w:val="20"/>
        </w:rPr>
        <w:t>T</w:t>
      </w:r>
      <w:r w:rsidRPr="00F1271B">
        <w:rPr>
          <w:rFonts w:ascii="Arial" w:hAnsi="Arial" w:cs="Arial"/>
          <w:sz w:val="20"/>
          <w:szCs w:val="20"/>
        </w:rPr>
        <w:t>he minimum MAPE for this model is around 13.64%.</w:t>
      </w:r>
      <w:r w:rsidRPr="009A7690">
        <w:rPr>
          <w:rFonts w:ascii="Arial" w:hAnsi="Arial" w:cs="Arial"/>
          <w:sz w:val="20"/>
          <w:szCs w:val="20"/>
        </w:rPr>
        <w:t xml:space="preserve"> </w:t>
      </w:r>
      <w:r w:rsidR="00052807">
        <w:rPr>
          <w:rFonts w:ascii="Arial" w:hAnsi="Arial" w:cs="Arial"/>
          <w:sz w:val="20"/>
          <w:szCs w:val="20"/>
        </w:rPr>
        <w:t>Thus</w:t>
      </w:r>
      <w:r w:rsidRPr="009A7690">
        <w:rPr>
          <w:rFonts w:ascii="Arial" w:hAnsi="Arial" w:cs="Arial"/>
          <w:sz w:val="20"/>
          <w:szCs w:val="20"/>
        </w:rPr>
        <w:t>, we use multiplicative decomposition with 3 period</w:t>
      </w:r>
      <w:r w:rsidR="00652DBE">
        <w:rPr>
          <w:rFonts w:ascii="Arial" w:hAnsi="Arial" w:cs="Arial"/>
          <w:sz w:val="20"/>
          <w:szCs w:val="20"/>
        </w:rPr>
        <w:t>s</w:t>
      </w:r>
      <w:r w:rsidRPr="009A7690">
        <w:rPr>
          <w:rFonts w:ascii="Arial" w:hAnsi="Arial" w:cs="Arial"/>
          <w:sz w:val="20"/>
          <w:szCs w:val="20"/>
        </w:rPr>
        <w:t xml:space="preserve"> of double moving average forecast model.</w:t>
      </w:r>
    </w:p>
    <w:p w:rsidR="002076FA" w:rsidRPr="009A7690" w:rsidRDefault="002076FA" w:rsidP="002076FA">
      <w:pPr>
        <w:spacing w:after="0" w:line="240" w:lineRule="auto"/>
        <w:ind w:left="0" w:hanging="2"/>
        <w:jc w:val="both"/>
        <w:rPr>
          <w:color w:val="FF0000"/>
        </w:rPr>
      </w:pPr>
    </w:p>
    <w:p w:rsidR="002076FA" w:rsidRPr="009A7690" w:rsidRDefault="002076FA" w:rsidP="002076FA">
      <w:pPr>
        <w:spacing w:after="0" w:line="240" w:lineRule="auto"/>
        <w:ind w:left="0" w:hanging="2"/>
        <w:jc w:val="both"/>
        <w:rPr>
          <w:rFonts w:ascii="Arial" w:eastAsia="Arial" w:hAnsi="Arial" w:cs="Arial"/>
          <w:sz w:val="20"/>
          <w:szCs w:val="20"/>
        </w:rPr>
      </w:pPr>
      <w:r>
        <w:rPr>
          <w:rFonts w:ascii="Arial" w:eastAsia="Arial" w:hAnsi="Arial" w:cs="Arial"/>
          <w:noProof/>
          <w:sz w:val="20"/>
          <w:szCs w:val="20"/>
          <w:lang w:val="en-ID" w:eastAsia="en-ID"/>
        </w:rPr>
        <w:drawing>
          <wp:inline distT="0" distB="0" distL="0" distR="0" wp14:anchorId="779FEDFD" wp14:editId="4D79F6E6">
            <wp:extent cx="2770895" cy="1654489"/>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97519" cy="1670386"/>
                    </a:xfrm>
                    <a:prstGeom prst="rect">
                      <a:avLst/>
                    </a:prstGeom>
                    <a:noFill/>
                  </pic:spPr>
                </pic:pic>
              </a:graphicData>
            </a:graphic>
          </wp:inline>
        </w:drawing>
      </w:r>
    </w:p>
    <w:p w:rsidR="002076FA" w:rsidRDefault="002076FA" w:rsidP="002076FA">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p>
    <w:p w:rsidR="005F4F79" w:rsidRPr="000B7C45" w:rsidRDefault="001427A4" w:rsidP="00211955">
      <w:pPr>
        <w:keepNext/>
        <w:pBdr>
          <w:top w:val="nil"/>
          <w:left w:val="nil"/>
          <w:bottom w:val="nil"/>
          <w:right w:val="nil"/>
          <w:between w:val="nil"/>
        </w:pBdr>
        <w:spacing w:after="0" w:line="240" w:lineRule="auto"/>
        <w:ind w:leftChars="0" w:left="0" w:firstLineChars="0" w:firstLine="0"/>
        <w:jc w:val="center"/>
        <w:rPr>
          <w:rFonts w:ascii="Arial" w:hAnsi="Arial" w:cs="Arial"/>
          <w:sz w:val="20"/>
          <w:szCs w:val="20"/>
        </w:rPr>
      </w:pPr>
      <w:r>
        <w:rPr>
          <w:rFonts w:ascii="Arial" w:eastAsia="Arial" w:hAnsi="Arial" w:cs="Arial"/>
          <w:color w:val="000000"/>
          <w:sz w:val="20"/>
          <w:szCs w:val="20"/>
        </w:rPr>
        <w:t>Figure 8</w:t>
      </w:r>
      <w:r w:rsidR="002076FA" w:rsidRPr="000B7C45">
        <w:rPr>
          <w:rFonts w:ascii="Arial" w:eastAsia="Arial" w:hAnsi="Arial" w:cs="Arial"/>
          <w:color w:val="000000"/>
          <w:sz w:val="20"/>
          <w:szCs w:val="20"/>
        </w:rPr>
        <w:t xml:space="preserve">. </w:t>
      </w:r>
      <w:r w:rsidR="002076FA" w:rsidRPr="000B7C45">
        <w:rPr>
          <w:rFonts w:ascii="Arial" w:hAnsi="Arial" w:cs="Arial"/>
          <w:sz w:val="20"/>
          <w:szCs w:val="20"/>
        </w:rPr>
        <w:t xml:space="preserve">MAPE Comparison of </w:t>
      </w:r>
      <w:r w:rsidR="00052807">
        <w:rPr>
          <w:rFonts w:ascii="Arial" w:hAnsi="Arial" w:cs="Arial"/>
          <w:sz w:val="20"/>
          <w:szCs w:val="20"/>
        </w:rPr>
        <w:t xml:space="preserve">n Period from </w:t>
      </w:r>
      <w:r w:rsidR="002076FA" w:rsidRPr="000B7C45">
        <w:rPr>
          <w:rFonts w:ascii="Arial" w:hAnsi="Arial" w:cs="Arial"/>
          <w:sz w:val="20"/>
          <w:szCs w:val="20"/>
        </w:rPr>
        <w:t>Double Moving Average for Multiplicative Decomposition</w:t>
      </w:r>
      <w:r w:rsidR="002076FA">
        <w:rPr>
          <w:rFonts w:ascii="Arial" w:hAnsi="Arial" w:cs="Arial"/>
          <w:sz w:val="20"/>
          <w:szCs w:val="20"/>
        </w:rPr>
        <w:t xml:space="preserve"> Forecast Model</w:t>
      </w:r>
    </w:p>
    <w:p w:rsidR="009A7690" w:rsidRPr="00F1271B" w:rsidRDefault="009A7690" w:rsidP="009A7690">
      <w:pPr>
        <w:keepNext/>
        <w:pBdr>
          <w:top w:val="nil"/>
          <w:left w:val="nil"/>
          <w:bottom w:val="nil"/>
          <w:right w:val="nil"/>
          <w:between w:val="nil"/>
        </w:pBdr>
        <w:spacing w:after="0" w:line="240" w:lineRule="auto"/>
        <w:ind w:left="0" w:hanging="2"/>
        <w:jc w:val="center"/>
        <w:rPr>
          <w:rFonts w:ascii="Arial" w:hAnsi="Arial" w:cs="Arial"/>
          <w:color w:val="FF0000"/>
          <w:sz w:val="20"/>
          <w:szCs w:val="20"/>
        </w:rPr>
      </w:pPr>
    </w:p>
    <w:p w:rsidR="00F16A03" w:rsidRDefault="00F16A03" w:rsidP="00F16A03">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r>
        <w:rPr>
          <w:rFonts w:ascii="Arial" w:eastAsia="Arial" w:hAnsi="Arial" w:cs="Arial"/>
          <w:b/>
          <w:color w:val="1F4E79"/>
          <w:sz w:val="20"/>
          <w:szCs w:val="20"/>
        </w:rPr>
        <w:t>D</w:t>
      </w:r>
      <w:r w:rsidR="00FC3113">
        <w:rPr>
          <w:rFonts w:ascii="Arial" w:eastAsia="Arial" w:hAnsi="Arial" w:cs="Arial"/>
          <w:b/>
          <w:color w:val="1F4E79"/>
          <w:sz w:val="20"/>
          <w:szCs w:val="20"/>
        </w:rPr>
        <w:t>iscussion</w:t>
      </w:r>
      <w:r>
        <w:rPr>
          <w:rFonts w:ascii="Arial" w:eastAsia="Arial" w:hAnsi="Arial" w:cs="Arial"/>
          <w:color w:val="000000"/>
          <w:sz w:val="20"/>
          <w:szCs w:val="20"/>
        </w:rPr>
        <w:t xml:space="preserve"> </w:t>
      </w:r>
    </w:p>
    <w:p w:rsidR="00BA68F1" w:rsidRPr="00BA68F1" w:rsidRDefault="00BA68F1" w:rsidP="00BA68F1">
      <w:pPr>
        <w:spacing w:after="0" w:line="240" w:lineRule="auto"/>
        <w:ind w:left="0" w:hanging="2"/>
        <w:jc w:val="both"/>
        <w:rPr>
          <w:rFonts w:ascii="Arial" w:hAnsi="Arial" w:cs="Arial"/>
          <w:sz w:val="20"/>
          <w:szCs w:val="20"/>
        </w:rPr>
      </w:pPr>
      <w:r w:rsidRPr="00BA68F1">
        <w:rPr>
          <w:rFonts w:ascii="Arial" w:hAnsi="Arial" w:cs="Arial"/>
          <w:sz w:val="20"/>
          <w:szCs w:val="20"/>
        </w:rPr>
        <w:t>SARI</w:t>
      </w:r>
      <w:r w:rsidR="00DF15C1">
        <w:rPr>
          <w:rFonts w:ascii="Arial" w:hAnsi="Arial" w:cs="Arial"/>
          <w:sz w:val="20"/>
          <w:szCs w:val="20"/>
        </w:rPr>
        <w:t>MA(0,0,0)(0,1,1)8 and multiplicative decomposition</w:t>
      </w:r>
      <w:r w:rsidRPr="00BA68F1">
        <w:rPr>
          <w:rFonts w:ascii="Arial" w:hAnsi="Arial" w:cs="Arial"/>
          <w:sz w:val="20"/>
          <w:szCs w:val="20"/>
        </w:rPr>
        <w:t xml:space="preserve"> using double moving average forecast models have good prediction abilities since both have MAPEs under 20% </w:t>
      </w:r>
      <w:r w:rsidRPr="00BA68F1">
        <w:rPr>
          <w:rFonts w:ascii="Arial" w:hAnsi="Arial" w:cs="Arial"/>
          <w:sz w:val="20"/>
          <w:szCs w:val="20"/>
        </w:rPr>
        <w:fldChar w:fldCharType="begin" w:fldLock="1"/>
      </w:r>
      <w:r w:rsidR="00EE0732">
        <w:rPr>
          <w:rFonts w:ascii="Arial" w:hAnsi="Arial" w:cs="Arial"/>
          <w:sz w:val="20"/>
          <w:szCs w:val="20"/>
        </w:rPr>
        <w:instrText>ADDIN CSL_CITATION {"citationItems":[{"id":"ITEM-1","itemData":{"DOI":"10.25236/icbdem.2020.021","author":[{"dropping-particle":"","family":"Xu","given":"Pengyue","non-dropping-particle":"","parse-names":false,"suffix":""}],"container-title":"2020 International Conference on Big Data Application &amp; Economic Management","id":"ITEM-1","issue":"Icbdem","issued":{"date-parts":[["2020"]]},"page":"136-149","title":"Analysis and Prediction of Total Retail Sales of Consumer Goods Based on Multiple Regression and SARIMA Model","type":"article-journal"},"uris":["http://www.mendeley.com/documents/?uuid=3d45c91c-3172-4c94-9c4c-f60256a17912"]},{"id":"ITEM-2","itemData":{"DOI":"10.1016/j.procs.2022.01.298","ISSN":"18770509","abstract":"The application of predictive analytics (PA) in Supply Chain Management (SCM) has received growing attention over the last years, especially in demand forecasting. The purpose of this paper is to provide an overview of approaches in retail SCM and compare the quality of two selected methods. The data used comprises more than 37 months of actual retail sales data from an Austrian retailer. Based on this data, SARIMA and LSTM models were trained and evaluated. Both models produced reasonable to good results. In general, LSTM performed better for products with stable demand, while SARIMA showed better results for products with seasonal behavior. In addition, we compared results with SARIMAX by adding the external factor of promotions and found that SARIMAX performed significantly better for products with promotions. To further improve forecasting quality on the store level, we suggest hybrid approaches by training SARIMA(X) and LSTM on similar, pre-clustered store groups.","author":[{"dropping-particle":"","family":"Falatouri","given":"Taha","non-dropping-particle":"","parse-names":false,"suffix":""},{"dropping-particle":"","family":"Darbanian","given":"Farzaneh","non-dropping-particle":"","parse-names":false,"suffix":""},{"dropping-particle":"","family":"Brandtner","given":"Patrick","non-dropping-particle":"","parse-names":false,"suffix":""},{"dropping-particle":"","family":"Udokwu","given":"Chibuzor","non-dropping-particle":"","parse-names":false,"suffix":""}],"container-title":"Procedia Computer Science","id":"ITEM-2","issue":"2019","issued":{"date-parts":[["2022"]]},"page":"993-1003","publisher":"Elsevier B.V.","title":"Predictive Analytics for Demand Forecasting - A Comparison of SARIMA and LSTM in Retail SCM","type":"article-journal","volume":"200"},"uris":["http://www.mendeley.com/documents/?uuid=0821d2ac-214c-4f25-be71-c7d5b53533f3"]}],"mendeley":{"formattedCitation":"[32], [33]","plainTextFormattedCitation":"[32], [33]","previouslyFormattedCitation":"[32], [33]"},"properties":{"noteIndex":0},"schema":"https://github.com/citation-style-language/schema/raw/master/csl-citation.json"}</w:instrText>
      </w:r>
      <w:r w:rsidRPr="00BA68F1">
        <w:rPr>
          <w:rFonts w:ascii="Arial" w:hAnsi="Arial" w:cs="Arial"/>
          <w:sz w:val="20"/>
          <w:szCs w:val="20"/>
        </w:rPr>
        <w:fldChar w:fldCharType="separate"/>
      </w:r>
      <w:r w:rsidR="00703960" w:rsidRPr="00703960">
        <w:rPr>
          <w:rFonts w:ascii="Arial" w:hAnsi="Arial" w:cs="Arial"/>
          <w:noProof/>
          <w:sz w:val="20"/>
          <w:szCs w:val="20"/>
        </w:rPr>
        <w:t>[32], [33]</w:t>
      </w:r>
      <w:r w:rsidRPr="00BA68F1">
        <w:rPr>
          <w:rFonts w:ascii="Arial" w:hAnsi="Arial" w:cs="Arial"/>
          <w:sz w:val="20"/>
          <w:szCs w:val="20"/>
        </w:rPr>
        <w:fldChar w:fldCharType="end"/>
      </w:r>
      <w:r w:rsidR="00DF15C1">
        <w:rPr>
          <w:rFonts w:ascii="Arial" w:hAnsi="Arial" w:cs="Arial"/>
          <w:sz w:val="20"/>
          <w:szCs w:val="20"/>
        </w:rPr>
        <w:t>. Ta</w:t>
      </w:r>
      <w:r w:rsidRPr="00BA68F1">
        <w:rPr>
          <w:rFonts w:ascii="Arial" w:hAnsi="Arial" w:cs="Arial"/>
          <w:sz w:val="20"/>
          <w:szCs w:val="20"/>
        </w:rPr>
        <w:t>ble 2 shows the MAPE comparison of both models. However, the later forecasting model performs better by 1.58%. Alth</w:t>
      </w:r>
      <w:r w:rsidR="00DF15C1">
        <w:rPr>
          <w:rFonts w:ascii="Arial" w:hAnsi="Arial" w:cs="Arial"/>
          <w:sz w:val="20"/>
          <w:szCs w:val="20"/>
        </w:rPr>
        <w:t>ough both forecast model</w:t>
      </w:r>
      <w:r w:rsidR="00652DBE">
        <w:rPr>
          <w:rFonts w:ascii="Arial" w:hAnsi="Arial" w:cs="Arial"/>
          <w:sz w:val="20"/>
          <w:szCs w:val="20"/>
        </w:rPr>
        <w:t>s</w:t>
      </w:r>
      <w:r w:rsidR="00DF15C1">
        <w:rPr>
          <w:rFonts w:ascii="Arial" w:hAnsi="Arial" w:cs="Arial"/>
          <w:sz w:val="20"/>
          <w:szCs w:val="20"/>
        </w:rPr>
        <w:t xml:space="preserve"> do not have MAPE under 10% to get</w:t>
      </w:r>
      <w:r w:rsidRPr="00BA68F1">
        <w:rPr>
          <w:rFonts w:ascii="Arial" w:hAnsi="Arial" w:cs="Arial"/>
          <w:sz w:val="20"/>
          <w:szCs w:val="20"/>
        </w:rPr>
        <w:t xml:space="preserve"> an excellent prediction ability standard </w:t>
      </w:r>
      <w:r w:rsidRPr="00BA68F1">
        <w:rPr>
          <w:rFonts w:ascii="Arial" w:hAnsi="Arial" w:cs="Arial"/>
          <w:sz w:val="20"/>
          <w:szCs w:val="20"/>
        </w:rPr>
        <w:fldChar w:fldCharType="begin" w:fldLock="1"/>
      </w:r>
      <w:r w:rsidR="00EE0732">
        <w:rPr>
          <w:rFonts w:ascii="Arial" w:hAnsi="Arial" w:cs="Arial"/>
          <w:sz w:val="20"/>
          <w:szCs w:val="20"/>
        </w:rPr>
        <w:instrText>ADDIN CSL_CITATION {"citationItems":[{"id":"ITEM-1","itemData":{"DOI":"10.25236/icbdem.2020.021","author":[{"dropping-particle":"","family":"Xu","given":"Pengyue","non-dropping-particle":"","parse-names":false,"suffix":""}],"container-title":"2020 International Conference on Big Data Application &amp; Economic Management","id":"ITEM-1","issue":"Icbdem","issued":{"date-parts":[["2020"]]},"page":"136-149","title":"Analysis and Prediction of Total Retail Sales of Consumer Goods Based on Multiple Regression and SARIMA Model","type":"article-journal"},"uris":["http://www.mendeley.com/documents/?uuid=3d45c91c-3172-4c94-9c4c-f60256a17912"]},{"id":"ITEM-2","itemData":{"DOI":"10.1016/j.procs.2022.01.298","ISSN":"18770509","abstract":"The application of predictive analytics (PA) in Supply Chain Management (SCM) has received growing attention over the last years, especially in demand forecasting. The purpose of this paper is to provide an overview of approaches in retail SCM and compare the quality of two selected methods. The data used comprises more than 37 months of actual retail sales data from an Austrian retailer. Based on this data, SARIMA and LSTM models were trained and evaluated. Both models produced reasonable to good results. In general, LSTM performed better for products with stable demand, while SARIMA showed better results for products with seasonal behavior. In addition, we compared results with SARIMAX by adding the external factor of promotions and found that SARIMAX performed significantly better for products with promotions. To further improve forecasting quality on the store level, we suggest hybrid approaches by training SARIMA(X) and LSTM on similar, pre-clustered store groups.","author":[{"dropping-particle":"","family":"Falatouri","given":"Taha","non-dropping-particle":"","parse-names":false,"suffix":""},{"dropping-particle":"","family":"Darbanian","given":"Farzaneh","non-dropping-particle":"","parse-names":false,"suffix":""},{"dropping-particle":"","family":"Brandtner","given":"Patrick","non-dropping-particle":"","parse-names":false,"suffix":""},{"dropping-particle":"","family":"Udokwu","given":"Chibuzor","non-dropping-particle":"","parse-names":false,"suffix":""}],"container-title":"Procedia Computer Science","id":"ITEM-2","issue":"2019","issued":{"date-parts":[["2022"]]},"page":"993-1003","publisher":"Elsevier B.V.","title":"Predictive Analytics for Demand Forecasting - A Comparison of SARIMA and LSTM in Retail SCM","type":"article-journal","volume":"200"},"uris":["http://www.mendeley.com/documents/?uuid=0821d2ac-214c-4f25-be71-c7d5b53533f3"]}],"mendeley":{"formattedCitation":"[32], [33]","plainTextFormattedCitation":"[32], [33]","previouslyFormattedCitation":"[32], [33]"},"properties":{"noteIndex":0},"schema":"https://github.com/citation-style-language/schema/raw/master/csl-citation.json"}</w:instrText>
      </w:r>
      <w:r w:rsidRPr="00BA68F1">
        <w:rPr>
          <w:rFonts w:ascii="Arial" w:hAnsi="Arial" w:cs="Arial"/>
          <w:sz w:val="20"/>
          <w:szCs w:val="20"/>
        </w:rPr>
        <w:fldChar w:fldCharType="separate"/>
      </w:r>
      <w:r w:rsidR="00703960" w:rsidRPr="00703960">
        <w:rPr>
          <w:rFonts w:ascii="Arial" w:hAnsi="Arial" w:cs="Arial"/>
          <w:noProof/>
          <w:sz w:val="20"/>
          <w:szCs w:val="20"/>
        </w:rPr>
        <w:t>[32], [33]</w:t>
      </w:r>
      <w:r w:rsidRPr="00BA68F1">
        <w:rPr>
          <w:rFonts w:ascii="Arial" w:hAnsi="Arial" w:cs="Arial"/>
          <w:sz w:val="20"/>
          <w:szCs w:val="20"/>
        </w:rPr>
        <w:fldChar w:fldCharType="end"/>
      </w:r>
      <w:r w:rsidR="00DF15C1">
        <w:rPr>
          <w:rFonts w:ascii="Arial" w:hAnsi="Arial" w:cs="Arial"/>
          <w:sz w:val="20"/>
          <w:szCs w:val="20"/>
        </w:rPr>
        <w:t xml:space="preserve">, </w:t>
      </w:r>
      <w:r w:rsidRPr="00BA68F1">
        <w:rPr>
          <w:rFonts w:ascii="Arial" w:hAnsi="Arial" w:cs="Arial"/>
          <w:sz w:val="20"/>
          <w:szCs w:val="20"/>
        </w:rPr>
        <w:t>this result can be considered good enough since the sales of sugar have high variability based on the coefficient of variation that is above 15%.</w:t>
      </w:r>
    </w:p>
    <w:p w:rsidR="00F16A03" w:rsidRDefault="00BA68F1" w:rsidP="00A52C04">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T</w:t>
      </w:r>
      <w:r w:rsidRPr="00A52C04">
        <w:rPr>
          <w:rFonts w:ascii="Arial" w:eastAsia="Arial" w:hAnsi="Arial" w:cs="Arial"/>
          <w:color w:val="000000"/>
          <w:sz w:val="20"/>
          <w:szCs w:val="20"/>
        </w:rPr>
        <w:t>able 2.</w:t>
      </w:r>
      <w:r w:rsidR="00F16A03" w:rsidRPr="00A52C04">
        <w:rPr>
          <w:rFonts w:ascii="Arial" w:eastAsia="Arial" w:hAnsi="Arial" w:cs="Arial"/>
          <w:color w:val="000000"/>
          <w:sz w:val="20"/>
          <w:szCs w:val="20"/>
        </w:rPr>
        <w:t xml:space="preserve"> </w:t>
      </w:r>
      <w:r w:rsidR="00A52C04" w:rsidRPr="00A52C04">
        <w:rPr>
          <w:rFonts w:ascii="Arial" w:hAnsi="Arial" w:cs="Arial"/>
          <w:sz w:val="20"/>
          <w:szCs w:val="20"/>
        </w:rPr>
        <w:t>MAPE Comparison of Forecast Models</w:t>
      </w:r>
    </w:p>
    <w:tbl>
      <w:tblPr>
        <w:tblStyle w:val="a2"/>
        <w:tblW w:w="4395"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3402"/>
        <w:gridCol w:w="993"/>
      </w:tblGrid>
      <w:tr w:rsidR="005D7DFF" w:rsidRPr="003E7689" w:rsidTr="005D7DFF">
        <w:trPr>
          <w:trHeight w:val="20"/>
          <w:jc w:val="center"/>
        </w:trPr>
        <w:tc>
          <w:tcPr>
            <w:tcW w:w="3402" w:type="dxa"/>
            <w:tcBorders>
              <w:top w:val="single" w:sz="4" w:space="0" w:color="000000"/>
              <w:bottom w:val="single" w:sz="4" w:space="0" w:color="000000"/>
            </w:tcBorders>
            <w:vAlign w:val="bottom"/>
          </w:tcPr>
          <w:p w:rsidR="005D7DFF" w:rsidRPr="005D7DFF" w:rsidRDefault="005D7DFF" w:rsidP="005D7DFF">
            <w:pPr>
              <w:spacing w:after="0" w:line="240" w:lineRule="auto"/>
              <w:ind w:left="0" w:hanging="2"/>
              <w:jc w:val="center"/>
              <w:rPr>
                <w:rFonts w:ascii="Arial" w:eastAsia="Times New Roman" w:hAnsi="Arial" w:cs="Arial"/>
                <w:b/>
                <w:bCs/>
                <w:color w:val="000000"/>
                <w:sz w:val="16"/>
                <w:szCs w:val="16"/>
                <w:lang w:eastAsia="en-ID"/>
              </w:rPr>
            </w:pPr>
            <w:r w:rsidRPr="005D7DFF">
              <w:rPr>
                <w:rFonts w:ascii="Arial" w:eastAsia="Times New Roman" w:hAnsi="Arial" w:cs="Arial"/>
                <w:b/>
                <w:bCs/>
                <w:color w:val="000000"/>
                <w:sz w:val="16"/>
                <w:szCs w:val="16"/>
                <w:lang w:eastAsia="en-ID"/>
              </w:rPr>
              <w:t>Possible Forecast Model</w:t>
            </w:r>
            <w:r w:rsidR="001253FD">
              <w:rPr>
                <w:rFonts w:ascii="Arial" w:eastAsia="Times New Roman" w:hAnsi="Arial" w:cs="Arial"/>
                <w:b/>
                <w:bCs/>
                <w:color w:val="000000"/>
                <w:sz w:val="16"/>
                <w:szCs w:val="16"/>
                <w:lang w:eastAsia="en-ID"/>
              </w:rPr>
              <w:t>s</w:t>
            </w:r>
          </w:p>
        </w:tc>
        <w:tc>
          <w:tcPr>
            <w:tcW w:w="993" w:type="dxa"/>
            <w:tcBorders>
              <w:top w:val="single" w:sz="4" w:space="0" w:color="000000"/>
              <w:bottom w:val="single" w:sz="4" w:space="0" w:color="000000"/>
            </w:tcBorders>
            <w:vAlign w:val="bottom"/>
          </w:tcPr>
          <w:p w:rsidR="005D7DFF" w:rsidRPr="005D7DFF" w:rsidRDefault="005D7DFF" w:rsidP="005D7DFF">
            <w:pPr>
              <w:spacing w:after="0" w:line="240" w:lineRule="auto"/>
              <w:ind w:left="0" w:hanging="2"/>
              <w:jc w:val="center"/>
              <w:rPr>
                <w:rFonts w:ascii="Arial" w:eastAsia="Times New Roman" w:hAnsi="Arial" w:cs="Arial"/>
                <w:b/>
                <w:bCs/>
                <w:color w:val="000000"/>
                <w:sz w:val="16"/>
                <w:szCs w:val="16"/>
                <w:lang w:eastAsia="en-ID"/>
              </w:rPr>
            </w:pPr>
            <w:r w:rsidRPr="005D7DFF">
              <w:rPr>
                <w:rFonts w:ascii="Arial" w:eastAsia="Times New Roman" w:hAnsi="Arial" w:cs="Arial"/>
                <w:b/>
                <w:bCs/>
                <w:color w:val="000000"/>
                <w:sz w:val="16"/>
                <w:szCs w:val="16"/>
                <w:lang w:eastAsia="en-ID"/>
              </w:rPr>
              <w:t>MAPE</w:t>
            </w:r>
          </w:p>
        </w:tc>
      </w:tr>
      <w:tr w:rsidR="005D7DFF" w:rsidRPr="003E7689" w:rsidTr="005D7DFF">
        <w:trPr>
          <w:trHeight w:val="20"/>
          <w:jc w:val="center"/>
        </w:trPr>
        <w:tc>
          <w:tcPr>
            <w:tcW w:w="3402" w:type="dxa"/>
            <w:tcBorders>
              <w:top w:val="single" w:sz="4" w:space="0" w:color="000000"/>
            </w:tcBorders>
            <w:vAlign w:val="bottom"/>
          </w:tcPr>
          <w:p w:rsidR="005D7DFF" w:rsidRPr="005D7DFF" w:rsidRDefault="005D7DFF" w:rsidP="005D7DFF">
            <w:pPr>
              <w:spacing w:after="0" w:line="240" w:lineRule="auto"/>
              <w:ind w:left="0" w:hanging="2"/>
              <w:rPr>
                <w:rFonts w:ascii="Arial" w:eastAsia="Times New Roman" w:hAnsi="Arial" w:cs="Arial"/>
                <w:color w:val="000000"/>
                <w:sz w:val="16"/>
                <w:szCs w:val="16"/>
                <w:lang w:eastAsia="en-ID"/>
              </w:rPr>
            </w:pPr>
            <w:r w:rsidRPr="005D7DFF">
              <w:rPr>
                <w:rFonts w:ascii="Arial" w:eastAsia="Times New Roman" w:hAnsi="Arial" w:cs="Arial"/>
                <w:color w:val="000000"/>
                <w:sz w:val="16"/>
                <w:szCs w:val="16"/>
                <w:lang w:eastAsia="en-ID"/>
              </w:rPr>
              <w:t>SARIMA (0,0,0)(0,1,1)8</w:t>
            </w:r>
          </w:p>
        </w:tc>
        <w:tc>
          <w:tcPr>
            <w:tcW w:w="993" w:type="dxa"/>
            <w:tcBorders>
              <w:top w:val="single" w:sz="4" w:space="0" w:color="000000"/>
            </w:tcBorders>
            <w:vAlign w:val="bottom"/>
          </w:tcPr>
          <w:p w:rsidR="005D7DFF" w:rsidRPr="005D7DFF" w:rsidRDefault="005D7DFF" w:rsidP="005D7DFF">
            <w:pPr>
              <w:tabs>
                <w:tab w:val="left" w:pos="1430"/>
              </w:tabs>
              <w:spacing w:after="0" w:line="240" w:lineRule="auto"/>
              <w:ind w:left="0" w:hanging="2"/>
              <w:jc w:val="right"/>
              <w:rPr>
                <w:rFonts w:ascii="Arial" w:eastAsia="Times New Roman" w:hAnsi="Arial" w:cs="Arial"/>
                <w:color w:val="000000"/>
                <w:sz w:val="16"/>
                <w:szCs w:val="16"/>
                <w:lang w:eastAsia="en-ID"/>
              </w:rPr>
            </w:pPr>
            <w:r w:rsidRPr="005D7DFF">
              <w:rPr>
                <w:rFonts w:ascii="Arial" w:eastAsia="Times New Roman" w:hAnsi="Arial" w:cs="Arial"/>
                <w:color w:val="000000"/>
                <w:sz w:val="16"/>
                <w:szCs w:val="16"/>
                <w:lang w:eastAsia="en-ID"/>
              </w:rPr>
              <w:t>15.22%</w:t>
            </w:r>
          </w:p>
        </w:tc>
      </w:tr>
      <w:tr w:rsidR="005D7DFF" w:rsidRPr="003E7689" w:rsidTr="005D7DFF">
        <w:trPr>
          <w:trHeight w:val="20"/>
          <w:jc w:val="center"/>
        </w:trPr>
        <w:tc>
          <w:tcPr>
            <w:tcW w:w="3402" w:type="dxa"/>
            <w:tcBorders>
              <w:bottom w:val="single" w:sz="4" w:space="0" w:color="000000"/>
            </w:tcBorders>
            <w:vAlign w:val="bottom"/>
          </w:tcPr>
          <w:p w:rsidR="005D7DFF" w:rsidRPr="005D7DFF" w:rsidRDefault="005D7DFF" w:rsidP="005D7DFF">
            <w:pPr>
              <w:spacing w:after="0" w:line="240" w:lineRule="auto"/>
              <w:ind w:left="0" w:hanging="2"/>
              <w:rPr>
                <w:rFonts w:ascii="Arial" w:eastAsia="Times New Roman" w:hAnsi="Arial" w:cs="Arial"/>
                <w:color w:val="000000"/>
                <w:sz w:val="16"/>
                <w:szCs w:val="16"/>
                <w:lang w:eastAsia="en-ID"/>
              </w:rPr>
            </w:pPr>
            <w:r>
              <w:rPr>
                <w:rFonts w:ascii="Arial" w:hAnsi="Arial" w:cs="Arial"/>
                <w:sz w:val="16"/>
                <w:szCs w:val="16"/>
              </w:rPr>
              <w:t xml:space="preserve">Multiplicative </w:t>
            </w:r>
            <w:r w:rsidRPr="005D7DFF">
              <w:rPr>
                <w:rFonts w:ascii="Arial" w:hAnsi="Arial" w:cs="Arial"/>
                <w:sz w:val="16"/>
                <w:szCs w:val="16"/>
              </w:rPr>
              <w:t xml:space="preserve">Decomposition Using Double Moving Average </w:t>
            </w:r>
          </w:p>
        </w:tc>
        <w:tc>
          <w:tcPr>
            <w:tcW w:w="993" w:type="dxa"/>
            <w:tcBorders>
              <w:bottom w:val="single" w:sz="4" w:space="0" w:color="000000"/>
            </w:tcBorders>
            <w:vAlign w:val="bottom"/>
          </w:tcPr>
          <w:p w:rsidR="005D7DFF" w:rsidRPr="005D7DFF" w:rsidRDefault="005D7DFF" w:rsidP="005D7DFF">
            <w:pPr>
              <w:pStyle w:val="ListParagraph"/>
              <w:tabs>
                <w:tab w:val="left" w:pos="1430"/>
              </w:tabs>
              <w:spacing w:after="0" w:line="240" w:lineRule="auto"/>
              <w:ind w:left="0" w:hanging="2"/>
              <w:jc w:val="right"/>
              <w:rPr>
                <w:rFonts w:ascii="Arial" w:eastAsia="Times New Roman" w:hAnsi="Arial" w:cs="Arial"/>
                <w:color w:val="000000"/>
                <w:sz w:val="16"/>
                <w:szCs w:val="16"/>
                <w:lang w:eastAsia="en-ID"/>
              </w:rPr>
            </w:pPr>
            <w:r w:rsidRPr="005D7DFF">
              <w:rPr>
                <w:rFonts w:ascii="Arial" w:eastAsia="Times New Roman" w:hAnsi="Arial" w:cs="Arial"/>
                <w:color w:val="000000"/>
                <w:sz w:val="16"/>
                <w:szCs w:val="16"/>
                <w:lang w:eastAsia="en-ID"/>
              </w:rPr>
              <w:t>13.64 %</w:t>
            </w:r>
          </w:p>
        </w:tc>
      </w:tr>
    </w:tbl>
    <w:p w:rsidR="00EE0732" w:rsidRDefault="00EE0732" w:rsidP="00A52C04">
      <w:pPr>
        <w:spacing w:after="0" w:line="240" w:lineRule="auto"/>
        <w:ind w:left="0" w:hanging="2"/>
        <w:jc w:val="both"/>
        <w:rPr>
          <w:rFonts w:ascii="Arial" w:hAnsi="Arial" w:cs="Arial"/>
          <w:sz w:val="20"/>
          <w:szCs w:val="20"/>
        </w:rPr>
      </w:pPr>
    </w:p>
    <w:p w:rsidR="00EE0732" w:rsidRDefault="00EE0732" w:rsidP="00A52C04">
      <w:pPr>
        <w:spacing w:after="0" w:line="240" w:lineRule="auto"/>
        <w:ind w:left="0" w:hanging="2"/>
        <w:jc w:val="both"/>
        <w:rPr>
          <w:rFonts w:ascii="Arial" w:hAnsi="Arial" w:cs="Arial"/>
          <w:sz w:val="20"/>
          <w:szCs w:val="20"/>
        </w:rPr>
      </w:pPr>
      <w:r>
        <w:rPr>
          <w:rFonts w:ascii="Arial" w:hAnsi="Arial" w:cs="Arial"/>
          <w:sz w:val="20"/>
          <w:szCs w:val="20"/>
        </w:rPr>
        <w:t xml:space="preserve">This result is in line with </w:t>
      </w:r>
      <w:proofErr w:type="spellStart"/>
      <w:r>
        <w:rPr>
          <w:rFonts w:ascii="Arial" w:hAnsi="Arial" w:cs="Arial"/>
          <w:sz w:val="20"/>
          <w:szCs w:val="20"/>
        </w:rPr>
        <w:t>Guarnaccia</w:t>
      </w:r>
      <w:proofErr w:type="spellEnd"/>
      <w:r>
        <w:rPr>
          <w:rFonts w:ascii="Arial" w:hAnsi="Arial" w:cs="Arial"/>
          <w:sz w:val="20"/>
          <w:szCs w:val="20"/>
        </w:rPr>
        <w:t xml:space="preserve"> et al. </w:t>
      </w:r>
      <w:r>
        <w:rPr>
          <w:rFonts w:ascii="Arial" w:hAnsi="Arial" w:cs="Arial"/>
          <w:sz w:val="20"/>
          <w:szCs w:val="20"/>
        </w:rPr>
        <w:fldChar w:fldCharType="begin" w:fldLock="1"/>
      </w:r>
      <w:r>
        <w:rPr>
          <w:rFonts w:ascii="Arial" w:hAnsi="Arial" w:cs="Arial"/>
          <w:sz w:val="20"/>
          <w:szCs w:val="20"/>
        </w:rPr>
        <w:instrText>ADDIN CSL_CITATION {"citationItems":[{"id":"ITEM-1","itemData":{"DOI":"10.1063/1.4982019","ISBN":"9780735415065","ISSN":"15517616","abstract":"One of the most hazardous physical polluting agents, considering their effects on human health, is acoustical noise. Airports are a strong source of acoustical noise, due to the airplanes turbines, to the aero-dynamical noise of transits, to the acceleration or the breaking during the take-off and landing phases of aircrafts, to the road traffic around the airport, etc.. The monitoring and the prediction of the acoustical level emitted by airports can be very useful to assess the impact on human health and activities. In the airports noise scenario, thanks to flights scheduling, the predominant sources may have a periodic behaviour. Thus, a Time Series Analysis approach can be adopted, considering that a general trend and a seasonal behaviour can be highlighted and used to build a predictive model. In this paper, two different approaches are adopted, thus two predictive models are constructed and tested. The first model is based on deterministic decomposition and is built composing the trend, that is the long term behaviour, the seasonality, that is the periodic component, and the random variations. The second model is based on seasonal autoregressive moving average, and it belongs to the stochastic class of models. The two different models are fitted on an acoustical level dataset collected close to the Nice (France) international airport. Results will be encouraging and will show good prediction performances of both the adopted strategies. A residual analysis is performed, in order to quantify the forecasting error features.","author":[{"dropping-particle":"","family":"Guarnaccia","given":"Claudio","non-dropping-particle":"","parse-names":false,"suffix":""},{"dropping-particle":"","family":"Quartieri","given":"Joseph","non-dropping-particle":"","parse-names":false,"suffix":""},{"dropping-particle":"","family":"Tepedino","given":"Carmine","non-dropping-particle":"","parse-names":false,"suffix":""}],"container-title":"AIP Conference Proceedings","id":"ITEM-1","issued":{"date-parts":[["2017"]]},"title":"Deterministic decomposition and seasonal ARIMA time series models applied to airport noise forecasting","type":"article-journal","volume":"1836"},"uris":["http://www.mendeley.com/documents/?uuid=4fcbb52c-4128-484b-bfb0-a88762e0a176"]}],"mendeley":{"formattedCitation":"[20]","plainTextFormattedCitation":"[20]"},"properties":{"noteIndex":0},"schema":"https://github.com/citation-style-language/schema/raw/master/csl-citation.json"}</w:instrText>
      </w:r>
      <w:r>
        <w:rPr>
          <w:rFonts w:ascii="Arial" w:hAnsi="Arial" w:cs="Arial"/>
          <w:sz w:val="20"/>
          <w:szCs w:val="20"/>
        </w:rPr>
        <w:fldChar w:fldCharType="separate"/>
      </w:r>
      <w:r w:rsidRPr="00EE0732">
        <w:rPr>
          <w:rFonts w:ascii="Arial" w:hAnsi="Arial" w:cs="Arial"/>
          <w:noProof/>
          <w:sz w:val="20"/>
          <w:szCs w:val="20"/>
        </w:rPr>
        <w:t>[20]</w:t>
      </w:r>
      <w:r>
        <w:rPr>
          <w:rFonts w:ascii="Arial" w:hAnsi="Arial" w:cs="Arial"/>
          <w:sz w:val="20"/>
          <w:szCs w:val="20"/>
        </w:rPr>
        <w:fldChar w:fldCharType="end"/>
      </w:r>
      <w:r w:rsidR="00FA5ECD">
        <w:rPr>
          <w:rFonts w:ascii="Arial" w:hAnsi="Arial" w:cs="Arial"/>
          <w:sz w:val="20"/>
          <w:szCs w:val="20"/>
        </w:rPr>
        <w:t xml:space="preserve"> research</w:t>
      </w:r>
      <w:r>
        <w:rPr>
          <w:rFonts w:ascii="Arial" w:hAnsi="Arial" w:cs="Arial"/>
          <w:sz w:val="20"/>
          <w:szCs w:val="20"/>
        </w:rPr>
        <w:t xml:space="preserve">. However, in this study, it is clear that we use </w:t>
      </w:r>
      <w:r w:rsidR="00652DBE">
        <w:rPr>
          <w:rFonts w:ascii="Arial" w:hAnsi="Arial" w:cs="Arial"/>
          <w:sz w:val="20"/>
          <w:szCs w:val="20"/>
        </w:rPr>
        <w:t xml:space="preserve">the </w:t>
      </w:r>
      <w:r>
        <w:rPr>
          <w:rFonts w:ascii="Arial" w:hAnsi="Arial" w:cs="Arial"/>
          <w:sz w:val="20"/>
          <w:szCs w:val="20"/>
        </w:rPr>
        <w:t xml:space="preserve">multiplicative decomposition model based on the data analysis. While in </w:t>
      </w:r>
      <w:r w:rsidR="00652DBE">
        <w:rPr>
          <w:rFonts w:ascii="Arial" w:hAnsi="Arial" w:cs="Arial"/>
          <w:sz w:val="20"/>
          <w:szCs w:val="20"/>
        </w:rPr>
        <w:t xml:space="preserve">the </w:t>
      </w:r>
      <w:r>
        <w:rPr>
          <w:rFonts w:ascii="Arial" w:hAnsi="Arial" w:cs="Arial"/>
          <w:sz w:val="20"/>
          <w:szCs w:val="20"/>
        </w:rPr>
        <w:t>previous study, there is no clear statement regarding the decomposition model chosen.</w:t>
      </w:r>
    </w:p>
    <w:p w:rsidR="00A52C04" w:rsidRPr="00A52C04" w:rsidRDefault="00A52C04" w:rsidP="00A52C04">
      <w:pPr>
        <w:spacing w:after="0" w:line="240" w:lineRule="auto"/>
        <w:ind w:left="0" w:hanging="2"/>
        <w:jc w:val="both"/>
        <w:rPr>
          <w:rFonts w:ascii="Arial" w:hAnsi="Arial" w:cs="Arial"/>
          <w:sz w:val="20"/>
          <w:szCs w:val="20"/>
        </w:rPr>
      </w:pPr>
      <w:r w:rsidRPr="00A52C04">
        <w:rPr>
          <w:rFonts w:ascii="Arial" w:hAnsi="Arial" w:cs="Arial"/>
          <w:sz w:val="20"/>
          <w:szCs w:val="20"/>
        </w:rPr>
        <w:t xml:space="preserve">There is a significant difference for both models. For SARIMA, since the stationary data has been obtained by seasonal differencing, the slight trend from observed sales is not considered since the </w:t>
      </w:r>
      <w:proofErr w:type="spellStart"/>
      <w:r w:rsidRPr="00A52C04">
        <w:rPr>
          <w:rFonts w:ascii="Arial" w:hAnsi="Arial" w:cs="Arial"/>
          <w:sz w:val="20"/>
          <w:szCs w:val="20"/>
        </w:rPr>
        <w:t>deseasonal</w:t>
      </w:r>
      <w:proofErr w:type="spellEnd"/>
      <w:r w:rsidRPr="00A52C04">
        <w:rPr>
          <w:rFonts w:ascii="Arial" w:hAnsi="Arial" w:cs="Arial"/>
          <w:sz w:val="20"/>
          <w:szCs w:val="20"/>
        </w:rPr>
        <w:t xml:space="preserve"> data has been proven to be stationary. However, for decomposition forecasting, the trend pattern is considered no matter how small the trend shows. </w:t>
      </w:r>
    </w:p>
    <w:p w:rsidR="00A52C04" w:rsidRPr="00D029C8" w:rsidRDefault="00A52C04" w:rsidP="00D029C8">
      <w:pPr>
        <w:spacing w:after="0" w:line="240" w:lineRule="auto"/>
        <w:ind w:left="0" w:hanging="2"/>
        <w:jc w:val="both"/>
        <w:rPr>
          <w:rFonts w:ascii="Arial" w:hAnsi="Arial" w:cs="Arial"/>
          <w:sz w:val="20"/>
          <w:szCs w:val="20"/>
        </w:rPr>
      </w:pPr>
      <w:r w:rsidRPr="00D029C8">
        <w:rPr>
          <w:rFonts w:ascii="Arial" w:hAnsi="Arial" w:cs="Arial"/>
          <w:sz w:val="20"/>
          <w:szCs w:val="20"/>
        </w:rPr>
        <w:t xml:space="preserve">Figure </w:t>
      </w:r>
      <w:r w:rsidR="00310638">
        <w:rPr>
          <w:rFonts w:ascii="Arial" w:hAnsi="Arial" w:cs="Arial"/>
          <w:sz w:val="20"/>
          <w:szCs w:val="20"/>
        </w:rPr>
        <w:t>9</w:t>
      </w:r>
      <w:r w:rsidRPr="00D029C8">
        <w:rPr>
          <w:rFonts w:ascii="Arial" w:hAnsi="Arial" w:cs="Arial"/>
          <w:sz w:val="20"/>
          <w:szCs w:val="20"/>
        </w:rPr>
        <w:t xml:space="preserve"> shows the forecast result of SARIMA and decomposition models for </w:t>
      </w:r>
      <w:r w:rsidR="00511D4F">
        <w:rPr>
          <w:rFonts w:ascii="Arial" w:hAnsi="Arial" w:cs="Arial"/>
          <w:sz w:val="20"/>
          <w:szCs w:val="20"/>
        </w:rPr>
        <w:t xml:space="preserve">the testing and </w:t>
      </w:r>
      <w:r w:rsidRPr="00D029C8">
        <w:rPr>
          <w:rFonts w:ascii="Arial" w:hAnsi="Arial" w:cs="Arial"/>
          <w:sz w:val="20"/>
          <w:szCs w:val="20"/>
        </w:rPr>
        <w:t>the</w:t>
      </w:r>
      <w:r w:rsidR="00511D4F">
        <w:rPr>
          <w:rFonts w:ascii="Arial" w:hAnsi="Arial" w:cs="Arial"/>
          <w:sz w:val="20"/>
          <w:szCs w:val="20"/>
        </w:rPr>
        <w:t xml:space="preserve"> next</w:t>
      </w:r>
      <w:r w:rsidRPr="00D029C8">
        <w:rPr>
          <w:rFonts w:ascii="Arial" w:hAnsi="Arial" w:cs="Arial"/>
          <w:sz w:val="20"/>
          <w:szCs w:val="20"/>
        </w:rPr>
        <w:t xml:space="preserve"> 10 period</w:t>
      </w:r>
      <w:r w:rsidR="00652DBE">
        <w:rPr>
          <w:rFonts w:ascii="Arial" w:hAnsi="Arial" w:cs="Arial"/>
          <w:sz w:val="20"/>
          <w:szCs w:val="20"/>
        </w:rPr>
        <w:t>s</w:t>
      </w:r>
      <w:r w:rsidRPr="00D029C8">
        <w:rPr>
          <w:rFonts w:ascii="Arial" w:hAnsi="Arial" w:cs="Arial"/>
          <w:sz w:val="20"/>
          <w:szCs w:val="20"/>
        </w:rPr>
        <w:t xml:space="preserve"> in the future </w:t>
      </w:r>
      <w:r w:rsidR="00511D4F">
        <w:rPr>
          <w:rFonts w:ascii="Arial" w:hAnsi="Arial" w:cs="Arial"/>
          <w:sz w:val="20"/>
          <w:szCs w:val="20"/>
        </w:rPr>
        <w:t>to see the forecast and the comparison between real data and both forecast</w:t>
      </w:r>
      <w:r w:rsidR="00310638">
        <w:rPr>
          <w:rFonts w:ascii="Arial" w:hAnsi="Arial" w:cs="Arial"/>
          <w:sz w:val="20"/>
          <w:szCs w:val="20"/>
        </w:rPr>
        <w:t>s</w:t>
      </w:r>
      <w:r w:rsidR="00511D4F">
        <w:rPr>
          <w:rFonts w:ascii="Arial" w:hAnsi="Arial" w:cs="Arial"/>
          <w:sz w:val="20"/>
          <w:szCs w:val="20"/>
        </w:rPr>
        <w:t xml:space="preserve">. </w:t>
      </w:r>
      <w:r w:rsidRPr="00D029C8">
        <w:rPr>
          <w:rFonts w:ascii="Arial" w:hAnsi="Arial" w:cs="Arial"/>
          <w:sz w:val="20"/>
          <w:szCs w:val="20"/>
        </w:rPr>
        <w:t xml:space="preserve">We know that the pattern of the forecast is quite similar, but there is a difference in the level or number of sales forecasted. This similarity is because those forecast methods use the same approach to predict, which considers splitting the pattern such as trend and seasonal patterns from observed data. If we only considered MAPE for the forecasting performance, we tend to choose inclined the smaller MAPE, which is multiplicative decomposition using the double moving average forecast model. However, we need to understand that the longer the forecast is used, the lower the forecast result because of the slightly inclined trend from observed sales, which is not considered in SARIMA. Thus, it is better to not forecast for a long period and try to observe new data to adjust the forecast model. Moreover, since the double moving average period is only three, the forecast result is </w:t>
      </w:r>
      <w:r w:rsidR="00D029C8">
        <w:rPr>
          <w:rFonts w:ascii="Arial" w:hAnsi="Arial" w:cs="Arial"/>
          <w:sz w:val="20"/>
          <w:szCs w:val="20"/>
        </w:rPr>
        <w:t xml:space="preserve">highly </w:t>
      </w:r>
      <w:r w:rsidRPr="00D029C8">
        <w:rPr>
          <w:rFonts w:ascii="Arial" w:hAnsi="Arial" w:cs="Arial"/>
          <w:sz w:val="20"/>
          <w:szCs w:val="20"/>
        </w:rPr>
        <w:t>affected by the recent sales; thus making the long period forecast is not preferable.</w:t>
      </w:r>
    </w:p>
    <w:p w:rsidR="00A52C04" w:rsidRDefault="00A52C04" w:rsidP="00D029C8">
      <w:pPr>
        <w:spacing w:after="0" w:line="240" w:lineRule="auto"/>
        <w:ind w:left="0" w:hanging="2"/>
        <w:jc w:val="both"/>
        <w:rPr>
          <w:rFonts w:ascii="Arial" w:hAnsi="Arial" w:cs="Arial"/>
          <w:sz w:val="20"/>
          <w:szCs w:val="20"/>
        </w:rPr>
      </w:pPr>
      <w:r w:rsidRPr="00D029C8">
        <w:rPr>
          <w:rFonts w:ascii="Arial" w:hAnsi="Arial" w:cs="Arial"/>
          <w:sz w:val="20"/>
          <w:szCs w:val="20"/>
        </w:rPr>
        <w:t xml:space="preserve">It is also worth noting that </w:t>
      </w:r>
      <w:r w:rsidR="00511D4F">
        <w:rPr>
          <w:rFonts w:ascii="Arial" w:hAnsi="Arial" w:cs="Arial"/>
          <w:sz w:val="20"/>
          <w:szCs w:val="20"/>
        </w:rPr>
        <w:t xml:space="preserve">it is impossible to use both forecast models </w:t>
      </w:r>
      <w:r w:rsidRPr="00D029C8">
        <w:rPr>
          <w:rFonts w:ascii="Arial" w:hAnsi="Arial" w:cs="Arial"/>
          <w:sz w:val="20"/>
          <w:szCs w:val="20"/>
        </w:rPr>
        <w:t>in Software R with the available package</w:t>
      </w:r>
      <w:r w:rsidR="00211955">
        <w:rPr>
          <w:rFonts w:ascii="Arial" w:hAnsi="Arial" w:cs="Arial"/>
          <w:sz w:val="20"/>
          <w:szCs w:val="20"/>
        </w:rPr>
        <w:t xml:space="preserve"> </w:t>
      </w:r>
      <w:r w:rsidRPr="00D029C8">
        <w:rPr>
          <w:rFonts w:ascii="Arial" w:hAnsi="Arial" w:cs="Arial"/>
          <w:sz w:val="20"/>
          <w:szCs w:val="20"/>
        </w:rPr>
        <w:t>because R needs more input data since the seasonal period is quite long. Therefore, the calculation forecast in this study is majorly used Minitab</w:t>
      </w:r>
      <w:r w:rsidR="00211955">
        <w:rPr>
          <w:rFonts w:ascii="Arial" w:hAnsi="Arial" w:cs="Arial"/>
          <w:sz w:val="20"/>
          <w:szCs w:val="20"/>
        </w:rPr>
        <w:t xml:space="preserve"> M.S. Excel.</w:t>
      </w:r>
      <w:r w:rsidRPr="00D029C8">
        <w:rPr>
          <w:rFonts w:ascii="Arial" w:hAnsi="Arial" w:cs="Arial"/>
          <w:sz w:val="20"/>
          <w:szCs w:val="20"/>
        </w:rPr>
        <w:t xml:space="preserve"> This also indicates the necessity to have more input data.</w:t>
      </w:r>
    </w:p>
    <w:p w:rsidR="00E64A47" w:rsidRDefault="00E64A47" w:rsidP="00D029C8">
      <w:pPr>
        <w:spacing w:after="0" w:line="240" w:lineRule="auto"/>
        <w:ind w:left="0" w:hanging="2"/>
        <w:jc w:val="both"/>
        <w:rPr>
          <w:rFonts w:ascii="Arial" w:hAnsi="Arial" w:cs="Arial"/>
          <w:sz w:val="20"/>
          <w:szCs w:val="20"/>
        </w:rPr>
        <w:sectPr w:rsidR="00E64A47" w:rsidSect="00ED34D8">
          <w:pgSz w:w="11907" w:h="16840"/>
          <w:pgMar w:top="1701" w:right="1134" w:bottom="1701" w:left="1701" w:header="680" w:footer="680" w:gutter="0"/>
          <w:cols w:num="2" w:space="284"/>
          <w:titlePg/>
        </w:sectPr>
      </w:pPr>
    </w:p>
    <w:p w:rsidR="00511D4F" w:rsidRDefault="00310638" w:rsidP="00D029C8">
      <w:pPr>
        <w:spacing w:after="0" w:line="240" w:lineRule="auto"/>
        <w:ind w:left="0" w:hanging="2"/>
        <w:jc w:val="both"/>
        <w:rPr>
          <w:rFonts w:ascii="Arial" w:hAnsi="Arial" w:cs="Arial"/>
          <w:sz w:val="20"/>
          <w:szCs w:val="20"/>
        </w:rPr>
      </w:pPr>
      <w:r>
        <w:rPr>
          <w:rFonts w:ascii="Arial" w:hAnsi="Arial" w:cs="Arial"/>
          <w:noProof/>
          <w:sz w:val="20"/>
          <w:szCs w:val="20"/>
          <w:lang w:val="en-ID" w:eastAsia="en-ID"/>
        </w:rPr>
        <w:lastRenderedPageBreak/>
        <w:drawing>
          <wp:inline distT="0" distB="0" distL="0" distR="0" wp14:anchorId="47F19BFD">
            <wp:extent cx="5734050" cy="207818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5658" cy="2089642"/>
                    </a:xfrm>
                    <a:prstGeom prst="rect">
                      <a:avLst/>
                    </a:prstGeom>
                    <a:noFill/>
                  </pic:spPr>
                </pic:pic>
              </a:graphicData>
            </a:graphic>
          </wp:inline>
        </w:drawing>
      </w:r>
    </w:p>
    <w:p w:rsidR="00D029C8" w:rsidRDefault="00D029C8" w:rsidP="00D029C8">
      <w:pPr>
        <w:spacing w:after="0" w:line="240" w:lineRule="auto"/>
        <w:ind w:left="0" w:hanging="2"/>
        <w:jc w:val="both"/>
        <w:rPr>
          <w:rFonts w:ascii="Arial" w:hAnsi="Arial" w:cs="Arial"/>
          <w:sz w:val="20"/>
          <w:szCs w:val="20"/>
        </w:rPr>
      </w:pPr>
    </w:p>
    <w:p w:rsidR="00A52C04" w:rsidRPr="00310638" w:rsidRDefault="00D029C8" w:rsidP="00E64A47">
      <w:pPr>
        <w:spacing w:after="0" w:line="240" w:lineRule="auto"/>
        <w:ind w:left="0" w:hanging="2"/>
        <w:jc w:val="center"/>
        <w:rPr>
          <w:rFonts w:ascii="Arial" w:hAnsi="Arial" w:cs="Arial"/>
          <w:sz w:val="20"/>
          <w:szCs w:val="20"/>
        </w:rPr>
      </w:pPr>
      <w:r w:rsidRPr="00310638">
        <w:rPr>
          <w:rFonts w:ascii="Arial" w:hAnsi="Arial" w:cs="Arial"/>
          <w:sz w:val="20"/>
          <w:szCs w:val="20"/>
        </w:rPr>
        <w:t>F</w:t>
      </w:r>
      <w:r w:rsidR="00310638" w:rsidRPr="00310638">
        <w:rPr>
          <w:rFonts w:ascii="Arial" w:hAnsi="Arial" w:cs="Arial"/>
          <w:sz w:val="20"/>
          <w:szCs w:val="20"/>
        </w:rPr>
        <w:t>igure 9</w:t>
      </w:r>
      <w:r w:rsidRPr="00310638">
        <w:rPr>
          <w:rFonts w:ascii="Arial" w:hAnsi="Arial" w:cs="Arial"/>
          <w:sz w:val="20"/>
          <w:szCs w:val="20"/>
        </w:rPr>
        <w:t>. Comparison of Forecast Result</w:t>
      </w:r>
    </w:p>
    <w:p w:rsidR="00D029C8" w:rsidRPr="00D029C8" w:rsidRDefault="00D029C8" w:rsidP="00D029C8">
      <w:pPr>
        <w:spacing w:after="0" w:line="240" w:lineRule="auto"/>
        <w:ind w:left="0" w:hanging="2"/>
        <w:jc w:val="both"/>
        <w:rPr>
          <w:rFonts w:ascii="Arial" w:hAnsi="Arial" w:cs="Arial"/>
          <w:color w:val="00B050"/>
          <w:sz w:val="20"/>
          <w:szCs w:val="20"/>
        </w:rPr>
      </w:pPr>
    </w:p>
    <w:p w:rsidR="00E64A47" w:rsidRDefault="00E64A47">
      <w:pPr>
        <w:spacing w:after="0" w:line="240" w:lineRule="auto"/>
        <w:ind w:left="0" w:hanging="2"/>
        <w:rPr>
          <w:rFonts w:ascii="Arial" w:eastAsia="Arial" w:hAnsi="Arial" w:cs="Arial"/>
          <w:b/>
          <w:color w:val="1F4E79"/>
          <w:sz w:val="20"/>
          <w:szCs w:val="20"/>
        </w:rPr>
        <w:sectPr w:rsidR="00E64A47" w:rsidSect="00E64A47">
          <w:type w:val="continuous"/>
          <w:pgSz w:w="11907" w:h="16840"/>
          <w:pgMar w:top="1701" w:right="1134" w:bottom="1701" w:left="1701" w:header="680" w:footer="680" w:gutter="0"/>
          <w:cols w:space="284"/>
          <w:titlePg/>
        </w:sectPr>
      </w:pPr>
    </w:p>
    <w:p w:rsidR="00BC7E6E" w:rsidRDefault="007266B7">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CONCLUSION</w:t>
      </w:r>
    </w:p>
    <w:p w:rsidR="00171B08" w:rsidRPr="00171B08" w:rsidRDefault="00171B08" w:rsidP="00171B08">
      <w:pPr>
        <w:spacing w:after="0" w:line="240" w:lineRule="auto"/>
        <w:ind w:left="0" w:hanging="2"/>
        <w:jc w:val="both"/>
        <w:rPr>
          <w:rFonts w:ascii="Arial" w:hAnsi="Arial" w:cs="Arial"/>
          <w:sz w:val="20"/>
          <w:szCs w:val="20"/>
        </w:rPr>
      </w:pPr>
      <w:r w:rsidRPr="00171B08">
        <w:rPr>
          <w:rFonts w:ascii="Arial" w:hAnsi="Arial" w:cs="Arial"/>
          <w:sz w:val="20"/>
          <w:szCs w:val="20"/>
        </w:rPr>
        <w:t>Despite the importance of sugar for household consumption, there is no study has been done at the retail level, where the households usually get their sugar. Furthermore, not much research conducted about sugar in Indonesia. This study tries to fill this research gap by analyzing the sugar demand prediction at the retail level in a retail store located in Indonesia.</w:t>
      </w:r>
      <w:r w:rsidR="00821BC8">
        <w:rPr>
          <w:rFonts w:ascii="Arial" w:hAnsi="Arial" w:cs="Arial"/>
          <w:sz w:val="20"/>
          <w:szCs w:val="20"/>
        </w:rPr>
        <w:t xml:space="preserve"> In addition</w:t>
      </w:r>
      <w:r w:rsidR="00652DBE">
        <w:rPr>
          <w:rFonts w:ascii="Arial" w:hAnsi="Arial" w:cs="Arial"/>
          <w:sz w:val="20"/>
          <w:szCs w:val="20"/>
        </w:rPr>
        <w:t>,</w:t>
      </w:r>
      <w:r w:rsidR="00821BC8">
        <w:rPr>
          <w:rFonts w:ascii="Arial" w:hAnsi="Arial" w:cs="Arial"/>
          <w:sz w:val="20"/>
          <w:szCs w:val="20"/>
        </w:rPr>
        <w:t xml:space="preserve"> we also improve the research discussion comparing SARIMA with </w:t>
      </w:r>
      <w:r w:rsidR="00652DBE">
        <w:rPr>
          <w:rFonts w:ascii="Arial" w:hAnsi="Arial" w:cs="Arial"/>
          <w:sz w:val="20"/>
          <w:szCs w:val="20"/>
        </w:rPr>
        <w:t xml:space="preserve">the </w:t>
      </w:r>
      <w:r w:rsidR="00821BC8">
        <w:rPr>
          <w:rFonts w:ascii="Arial" w:hAnsi="Arial" w:cs="Arial"/>
          <w:sz w:val="20"/>
          <w:szCs w:val="20"/>
        </w:rPr>
        <w:t>decomposition forecast model.</w:t>
      </w:r>
    </w:p>
    <w:p w:rsidR="00171B08" w:rsidRPr="00171B08" w:rsidRDefault="00E36E96" w:rsidP="00171B08">
      <w:pPr>
        <w:spacing w:after="0" w:line="240" w:lineRule="auto"/>
        <w:ind w:left="0" w:hanging="2"/>
        <w:jc w:val="both"/>
        <w:rPr>
          <w:rFonts w:ascii="Arial" w:hAnsi="Arial" w:cs="Arial"/>
          <w:sz w:val="20"/>
          <w:szCs w:val="20"/>
        </w:rPr>
      </w:pPr>
      <w:r>
        <w:rPr>
          <w:rFonts w:ascii="Arial" w:hAnsi="Arial" w:cs="Arial"/>
          <w:sz w:val="20"/>
          <w:szCs w:val="20"/>
        </w:rPr>
        <w:t>Sugar sales in retail ha</w:t>
      </w:r>
      <w:r w:rsidR="00D41BEC">
        <w:rPr>
          <w:rFonts w:ascii="Arial" w:hAnsi="Arial" w:cs="Arial"/>
          <w:sz w:val="20"/>
          <w:szCs w:val="20"/>
        </w:rPr>
        <w:t>ve</w:t>
      </w:r>
      <w:r>
        <w:rPr>
          <w:rFonts w:ascii="Arial" w:hAnsi="Arial" w:cs="Arial"/>
          <w:sz w:val="20"/>
          <w:szCs w:val="20"/>
        </w:rPr>
        <w:t xml:space="preserve"> only a slight downside trend with high volatility</w:t>
      </w:r>
      <w:r w:rsidR="00171B08" w:rsidRPr="00171B08">
        <w:rPr>
          <w:rFonts w:ascii="Arial" w:hAnsi="Arial" w:cs="Arial"/>
          <w:sz w:val="20"/>
          <w:szCs w:val="20"/>
        </w:rPr>
        <w:t xml:space="preserve">, which is shown by the coefficient of variability (CV) of the sales is almost twice as high as the maximum standard of accepted CV. Therefore, it is quite challenging to get good forecast results. It is also known that the sugar sales in retail have a seasonal pattern with a high seasonal length, which is 8 months. This condition leads to the need for big numbers of input data needed. </w:t>
      </w:r>
    </w:p>
    <w:p w:rsidR="00171B08" w:rsidRDefault="00171B08" w:rsidP="00171B08">
      <w:pPr>
        <w:spacing w:after="0" w:line="240" w:lineRule="auto"/>
        <w:ind w:left="0" w:hanging="2"/>
        <w:jc w:val="both"/>
        <w:rPr>
          <w:rFonts w:ascii="Arial" w:hAnsi="Arial" w:cs="Arial"/>
          <w:sz w:val="20"/>
          <w:szCs w:val="20"/>
        </w:rPr>
      </w:pPr>
      <w:r w:rsidRPr="00171B08">
        <w:rPr>
          <w:rFonts w:ascii="Arial" w:hAnsi="Arial" w:cs="Arial"/>
          <w:sz w:val="20"/>
          <w:szCs w:val="20"/>
        </w:rPr>
        <w:t xml:space="preserve">Despite these conditions, both SARIMA and multiplicative decomposition with double moving average </w:t>
      </w:r>
      <w:r w:rsidR="00D822A9">
        <w:rPr>
          <w:rFonts w:ascii="Arial" w:hAnsi="Arial" w:cs="Arial"/>
          <w:sz w:val="20"/>
          <w:szCs w:val="20"/>
        </w:rPr>
        <w:t xml:space="preserve">forecast models </w:t>
      </w:r>
      <w:r w:rsidRPr="00171B08">
        <w:rPr>
          <w:rFonts w:ascii="Arial" w:hAnsi="Arial" w:cs="Arial"/>
          <w:sz w:val="20"/>
          <w:szCs w:val="20"/>
        </w:rPr>
        <w:t>achieve good forecast results. Both models have similar forecast patterns but with different slopes. This is because both models consider the seasonal pattern in the data but only the decomposition mo</w:t>
      </w:r>
      <w:bookmarkStart w:id="1" w:name="_GoBack"/>
      <w:bookmarkEnd w:id="1"/>
      <w:r w:rsidRPr="00171B08">
        <w:rPr>
          <w:rFonts w:ascii="Arial" w:hAnsi="Arial" w:cs="Arial"/>
          <w:sz w:val="20"/>
          <w:szCs w:val="20"/>
        </w:rPr>
        <w:t xml:space="preserve">del considers the trend pattern. </w:t>
      </w:r>
      <w:r w:rsidR="00805C2C">
        <w:rPr>
          <w:rFonts w:ascii="Arial" w:hAnsi="Arial" w:cs="Arial"/>
          <w:sz w:val="20"/>
          <w:szCs w:val="20"/>
        </w:rPr>
        <w:t>The decomposition model is forced to consider the trend pattern no matter how small the trend patter</w:t>
      </w:r>
      <w:r w:rsidR="004437D9">
        <w:rPr>
          <w:rFonts w:ascii="Arial" w:hAnsi="Arial" w:cs="Arial"/>
          <w:sz w:val="20"/>
          <w:szCs w:val="20"/>
        </w:rPr>
        <w:t xml:space="preserve">n is, but </w:t>
      </w:r>
      <w:r w:rsidR="00640501">
        <w:rPr>
          <w:rFonts w:ascii="Arial" w:hAnsi="Arial" w:cs="Arial"/>
          <w:sz w:val="20"/>
          <w:szCs w:val="20"/>
        </w:rPr>
        <w:t>this</w:t>
      </w:r>
      <w:r w:rsidR="004437D9">
        <w:rPr>
          <w:rFonts w:ascii="Arial" w:hAnsi="Arial" w:cs="Arial"/>
          <w:sz w:val="20"/>
          <w:szCs w:val="20"/>
        </w:rPr>
        <w:t xml:space="preserve"> is not the case for</w:t>
      </w:r>
      <w:r w:rsidR="00805C2C">
        <w:rPr>
          <w:rFonts w:ascii="Arial" w:hAnsi="Arial" w:cs="Arial"/>
          <w:sz w:val="20"/>
          <w:szCs w:val="20"/>
        </w:rPr>
        <w:t xml:space="preserve"> </w:t>
      </w:r>
      <w:r w:rsidR="004437D9">
        <w:rPr>
          <w:rFonts w:ascii="Arial" w:hAnsi="Arial" w:cs="Arial"/>
          <w:sz w:val="20"/>
          <w:szCs w:val="20"/>
        </w:rPr>
        <w:t xml:space="preserve">the </w:t>
      </w:r>
      <w:r w:rsidR="00805C2C">
        <w:rPr>
          <w:rFonts w:ascii="Arial" w:hAnsi="Arial" w:cs="Arial"/>
          <w:sz w:val="20"/>
          <w:szCs w:val="20"/>
        </w:rPr>
        <w:t>SARIMA model.</w:t>
      </w:r>
    </w:p>
    <w:p w:rsidR="000F2B04" w:rsidRPr="00171B08" w:rsidRDefault="000F2B04" w:rsidP="00171B08">
      <w:pPr>
        <w:spacing w:after="0" w:line="240" w:lineRule="auto"/>
        <w:ind w:left="0" w:hanging="2"/>
        <w:jc w:val="both"/>
        <w:rPr>
          <w:rFonts w:ascii="Arial" w:hAnsi="Arial" w:cs="Arial"/>
          <w:sz w:val="20"/>
          <w:szCs w:val="20"/>
        </w:rPr>
      </w:pPr>
      <w:r>
        <w:rPr>
          <w:rFonts w:ascii="Arial" w:hAnsi="Arial" w:cs="Arial"/>
          <w:sz w:val="20"/>
          <w:szCs w:val="20"/>
        </w:rPr>
        <w:t xml:space="preserve">The duration of </w:t>
      </w:r>
      <w:r w:rsidR="00FB247F">
        <w:rPr>
          <w:rFonts w:ascii="Arial" w:hAnsi="Arial" w:cs="Arial"/>
          <w:sz w:val="20"/>
          <w:szCs w:val="20"/>
        </w:rPr>
        <w:t xml:space="preserve">the </w:t>
      </w:r>
      <w:r>
        <w:rPr>
          <w:rFonts w:ascii="Arial" w:hAnsi="Arial" w:cs="Arial"/>
          <w:sz w:val="20"/>
          <w:szCs w:val="20"/>
        </w:rPr>
        <w:t>forecast also become</w:t>
      </w:r>
      <w:r w:rsidR="00FB247F">
        <w:rPr>
          <w:rFonts w:ascii="Arial" w:hAnsi="Arial" w:cs="Arial"/>
          <w:sz w:val="20"/>
          <w:szCs w:val="20"/>
        </w:rPr>
        <w:t>s</w:t>
      </w:r>
      <w:r>
        <w:rPr>
          <w:rFonts w:ascii="Arial" w:hAnsi="Arial" w:cs="Arial"/>
          <w:sz w:val="20"/>
          <w:szCs w:val="20"/>
        </w:rPr>
        <w:t xml:space="preserve"> another concern, since multiplicative decomposition with </w:t>
      </w:r>
      <w:r w:rsidR="00FB247F">
        <w:rPr>
          <w:rFonts w:ascii="Arial" w:hAnsi="Arial" w:cs="Arial"/>
          <w:sz w:val="20"/>
          <w:szCs w:val="20"/>
        </w:rPr>
        <w:t xml:space="preserve">a </w:t>
      </w:r>
      <w:r>
        <w:rPr>
          <w:rFonts w:ascii="Arial" w:hAnsi="Arial" w:cs="Arial"/>
          <w:sz w:val="20"/>
          <w:szCs w:val="20"/>
        </w:rPr>
        <w:t>double moving average use</w:t>
      </w:r>
      <w:r w:rsidR="00FB247F">
        <w:rPr>
          <w:rFonts w:ascii="Arial" w:hAnsi="Arial" w:cs="Arial"/>
          <w:sz w:val="20"/>
          <w:szCs w:val="20"/>
        </w:rPr>
        <w:t>s</w:t>
      </w:r>
      <w:r>
        <w:rPr>
          <w:rFonts w:ascii="Arial" w:hAnsi="Arial" w:cs="Arial"/>
          <w:sz w:val="20"/>
          <w:szCs w:val="20"/>
        </w:rPr>
        <w:t xml:space="preserve"> 3 period</w:t>
      </w:r>
      <w:r w:rsidR="00FB247F">
        <w:rPr>
          <w:rFonts w:ascii="Arial" w:hAnsi="Arial" w:cs="Arial"/>
          <w:sz w:val="20"/>
          <w:szCs w:val="20"/>
        </w:rPr>
        <w:t>s</w:t>
      </w:r>
      <w:r>
        <w:rPr>
          <w:rFonts w:ascii="Arial" w:hAnsi="Arial" w:cs="Arial"/>
          <w:sz w:val="20"/>
          <w:szCs w:val="20"/>
        </w:rPr>
        <w:t xml:space="preserve"> of moving </w:t>
      </w:r>
      <w:r>
        <w:rPr>
          <w:rFonts w:ascii="Arial" w:hAnsi="Arial" w:cs="Arial"/>
          <w:sz w:val="20"/>
          <w:szCs w:val="20"/>
        </w:rPr>
        <w:t xml:space="preserve">average. This short period </w:t>
      </w:r>
      <w:r w:rsidR="00517AA4">
        <w:rPr>
          <w:rFonts w:ascii="Arial" w:hAnsi="Arial" w:cs="Arial"/>
          <w:sz w:val="20"/>
          <w:szCs w:val="20"/>
        </w:rPr>
        <w:t xml:space="preserve">of moving average </w:t>
      </w:r>
      <w:r>
        <w:rPr>
          <w:rFonts w:ascii="Arial" w:hAnsi="Arial" w:cs="Arial"/>
          <w:sz w:val="20"/>
          <w:szCs w:val="20"/>
        </w:rPr>
        <w:t xml:space="preserve">makes the forecast </w:t>
      </w:r>
      <w:proofErr w:type="spellStart"/>
      <w:r>
        <w:rPr>
          <w:rFonts w:ascii="Arial" w:hAnsi="Arial" w:cs="Arial"/>
          <w:sz w:val="20"/>
          <w:szCs w:val="20"/>
        </w:rPr>
        <w:t>can not</w:t>
      </w:r>
      <w:proofErr w:type="spellEnd"/>
      <w:r>
        <w:rPr>
          <w:rFonts w:ascii="Arial" w:hAnsi="Arial" w:cs="Arial"/>
          <w:sz w:val="20"/>
          <w:szCs w:val="20"/>
        </w:rPr>
        <w:t xml:space="preserve"> be do</w:t>
      </w:r>
      <w:r w:rsidR="002115EE">
        <w:rPr>
          <w:rFonts w:ascii="Arial" w:hAnsi="Arial" w:cs="Arial"/>
          <w:sz w:val="20"/>
          <w:szCs w:val="20"/>
        </w:rPr>
        <w:t xml:space="preserve">ne for </w:t>
      </w:r>
      <w:r w:rsidR="00FB247F">
        <w:rPr>
          <w:rFonts w:ascii="Arial" w:hAnsi="Arial" w:cs="Arial"/>
          <w:sz w:val="20"/>
          <w:szCs w:val="20"/>
        </w:rPr>
        <w:t xml:space="preserve">a </w:t>
      </w:r>
      <w:r w:rsidR="002115EE">
        <w:rPr>
          <w:rFonts w:ascii="Arial" w:hAnsi="Arial" w:cs="Arial"/>
          <w:sz w:val="20"/>
          <w:szCs w:val="20"/>
        </w:rPr>
        <w:t xml:space="preserve">long duration because the forecast </w:t>
      </w:r>
      <w:r w:rsidR="00FB247F">
        <w:rPr>
          <w:rFonts w:ascii="Arial" w:hAnsi="Arial" w:cs="Arial"/>
          <w:sz w:val="20"/>
          <w:szCs w:val="20"/>
        </w:rPr>
        <w:t xml:space="preserve">is </w:t>
      </w:r>
      <w:r w:rsidR="002115EE">
        <w:rPr>
          <w:rFonts w:ascii="Arial" w:hAnsi="Arial" w:cs="Arial"/>
          <w:sz w:val="20"/>
          <w:szCs w:val="20"/>
        </w:rPr>
        <w:t>heavily affected by recent sales.</w:t>
      </w:r>
    </w:p>
    <w:p w:rsidR="00171B08" w:rsidRDefault="00171B08" w:rsidP="00171B08">
      <w:pPr>
        <w:spacing w:after="0" w:line="240" w:lineRule="auto"/>
        <w:ind w:left="0" w:hanging="2"/>
        <w:jc w:val="both"/>
        <w:rPr>
          <w:rFonts w:ascii="Arial" w:hAnsi="Arial" w:cs="Arial"/>
          <w:sz w:val="20"/>
          <w:szCs w:val="20"/>
        </w:rPr>
      </w:pPr>
      <w:r w:rsidRPr="00171B08">
        <w:rPr>
          <w:rFonts w:ascii="Arial" w:hAnsi="Arial" w:cs="Arial"/>
          <w:sz w:val="20"/>
          <w:szCs w:val="20"/>
        </w:rPr>
        <w:t>It is worth noting that no forecasting model works well for all other cases, without exception.</w:t>
      </w:r>
      <w:r w:rsidR="00A92DC0">
        <w:rPr>
          <w:rFonts w:ascii="Arial" w:hAnsi="Arial" w:cs="Arial"/>
          <w:sz w:val="20"/>
          <w:szCs w:val="20"/>
        </w:rPr>
        <w:t xml:space="preserve"> </w:t>
      </w:r>
      <w:r w:rsidR="000F2B04">
        <w:rPr>
          <w:rFonts w:ascii="Arial" w:hAnsi="Arial" w:cs="Arial"/>
          <w:sz w:val="20"/>
          <w:szCs w:val="20"/>
        </w:rPr>
        <w:t>Hence</w:t>
      </w:r>
      <w:r w:rsidR="00A92DC0">
        <w:rPr>
          <w:rFonts w:ascii="Arial" w:hAnsi="Arial" w:cs="Arial"/>
          <w:sz w:val="20"/>
          <w:szCs w:val="20"/>
        </w:rPr>
        <w:t xml:space="preserve"> it might not always </w:t>
      </w:r>
      <w:r w:rsidR="00AF7D25">
        <w:rPr>
          <w:rFonts w:ascii="Arial" w:hAnsi="Arial" w:cs="Arial"/>
          <w:sz w:val="20"/>
          <w:szCs w:val="20"/>
        </w:rPr>
        <w:t xml:space="preserve">be </w:t>
      </w:r>
      <w:r w:rsidR="00A92DC0">
        <w:rPr>
          <w:rFonts w:ascii="Arial" w:hAnsi="Arial" w:cs="Arial"/>
          <w:sz w:val="20"/>
          <w:szCs w:val="20"/>
        </w:rPr>
        <w:t>the case that decomposition perform</w:t>
      </w:r>
      <w:r w:rsidR="00AF7D25">
        <w:rPr>
          <w:rFonts w:ascii="Arial" w:hAnsi="Arial" w:cs="Arial"/>
          <w:sz w:val="20"/>
          <w:szCs w:val="20"/>
        </w:rPr>
        <w:t>s</w:t>
      </w:r>
      <w:r w:rsidR="00A92DC0">
        <w:rPr>
          <w:rFonts w:ascii="Arial" w:hAnsi="Arial" w:cs="Arial"/>
          <w:sz w:val="20"/>
          <w:szCs w:val="20"/>
        </w:rPr>
        <w:t xml:space="preserve"> better than SARIMA.</w:t>
      </w:r>
      <w:r w:rsidR="00CC6E3A">
        <w:rPr>
          <w:rFonts w:ascii="Arial" w:hAnsi="Arial" w:cs="Arial"/>
          <w:sz w:val="20"/>
          <w:szCs w:val="20"/>
        </w:rPr>
        <w:t xml:space="preserve"> </w:t>
      </w:r>
      <w:r w:rsidRPr="00171B08">
        <w:rPr>
          <w:rFonts w:ascii="Arial" w:hAnsi="Arial" w:cs="Arial"/>
          <w:sz w:val="20"/>
          <w:szCs w:val="20"/>
        </w:rPr>
        <w:t>Because the suitable forecast model depends on the c</w:t>
      </w:r>
      <w:r w:rsidR="000F2B04">
        <w:rPr>
          <w:rFonts w:ascii="Arial" w:hAnsi="Arial" w:cs="Arial"/>
          <w:sz w:val="20"/>
          <w:szCs w:val="20"/>
        </w:rPr>
        <w:t>haracteristics of the data. Therefor</w:t>
      </w:r>
      <w:r w:rsidR="00FB247F">
        <w:rPr>
          <w:rFonts w:ascii="Arial" w:hAnsi="Arial" w:cs="Arial"/>
          <w:sz w:val="20"/>
          <w:szCs w:val="20"/>
        </w:rPr>
        <w:t>e</w:t>
      </w:r>
      <w:r w:rsidRPr="00171B08">
        <w:rPr>
          <w:rFonts w:ascii="Arial" w:hAnsi="Arial" w:cs="Arial"/>
          <w:sz w:val="20"/>
          <w:szCs w:val="20"/>
        </w:rPr>
        <w:t>, other retail stores might need a different approach to forecast their sugar demand.</w:t>
      </w:r>
    </w:p>
    <w:p w:rsidR="009A6400" w:rsidRPr="00171B08" w:rsidRDefault="009A6400" w:rsidP="00171B08">
      <w:pPr>
        <w:spacing w:after="0" w:line="240" w:lineRule="auto"/>
        <w:ind w:left="0" w:hanging="2"/>
        <w:jc w:val="both"/>
        <w:rPr>
          <w:rFonts w:ascii="Arial" w:hAnsi="Arial" w:cs="Arial"/>
          <w:sz w:val="20"/>
          <w:szCs w:val="20"/>
        </w:rPr>
      </w:pPr>
    </w:p>
    <w:p w:rsidR="00BC7E6E" w:rsidRDefault="007266B7">
      <w:pPr>
        <w:spacing w:after="0" w:line="240" w:lineRule="auto"/>
        <w:ind w:left="0" w:hanging="2"/>
        <w:rPr>
          <w:rFonts w:ascii="Arial" w:eastAsia="Arial" w:hAnsi="Arial" w:cs="Arial"/>
          <w:b/>
          <w:color w:val="1F4E79"/>
          <w:sz w:val="20"/>
          <w:szCs w:val="20"/>
        </w:rPr>
      </w:pPr>
      <w:r>
        <w:rPr>
          <w:rFonts w:ascii="Arial" w:eastAsia="Arial" w:hAnsi="Arial" w:cs="Arial"/>
          <w:b/>
          <w:color w:val="1F4E79"/>
          <w:sz w:val="20"/>
          <w:szCs w:val="20"/>
        </w:rPr>
        <w:t>REFERENCES</w:t>
      </w:r>
    </w:p>
    <w:p w:rsidR="00EE0732" w:rsidRPr="00EE0732" w:rsidRDefault="009A6400" w:rsidP="00A15DB9">
      <w:pPr>
        <w:widowControl w:val="0"/>
        <w:autoSpaceDE w:val="0"/>
        <w:autoSpaceDN w:val="0"/>
        <w:adjustRightInd w:val="0"/>
        <w:spacing w:after="0" w:line="240" w:lineRule="auto"/>
        <w:ind w:left="0" w:hanging="2"/>
        <w:jc w:val="both"/>
        <w:rPr>
          <w:rFonts w:ascii="Arial" w:hAnsi="Arial" w:cs="Arial"/>
          <w:noProof/>
          <w:sz w:val="20"/>
          <w:szCs w:val="24"/>
        </w:rPr>
      </w:pPr>
      <w:r>
        <w:rPr>
          <w:rFonts w:ascii="Arial" w:eastAsia="Arial" w:hAnsi="Arial" w:cs="Arial"/>
          <w:b/>
          <w:color w:val="1F4E79"/>
          <w:sz w:val="20"/>
          <w:szCs w:val="20"/>
        </w:rPr>
        <w:fldChar w:fldCharType="begin" w:fldLock="1"/>
      </w:r>
      <w:r>
        <w:rPr>
          <w:rFonts w:ascii="Arial" w:eastAsia="Arial" w:hAnsi="Arial" w:cs="Arial"/>
          <w:b/>
          <w:color w:val="1F4E79"/>
          <w:sz w:val="20"/>
          <w:szCs w:val="20"/>
        </w:rPr>
        <w:instrText xml:space="preserve">ADDIN Mendeley Bibliography CSL_BIBLIOGRAPHY </w:instrText>
      </w:r>
      <w:r>
        <w:rPr>
          <w:rFonts w:ascii="Arial" w:eastAsia="Arial" w:hAnsi="Arial" w:cs="Arial"/>
          <w:b/>
          <w:color w:val="1F4E79"/>
          <w:sz w:val="20"/>
          <w:szCs w:val="20"/>
        </w:rPr>
        <w:fldChar w:fldCharType="separate"/>
      </w:r>
      <w:r w:rsidR="00EE0732" w:rsidRPr="00EE0732">
        <w:rPr>
          <w:rFonts w:ascii="Arial" w:hAnsi="Arial" w:cs="Arial"/>
          <w:noProof/>
          <w:sz w:val="20"/>
          <w:szCs w:val="24"/>
        </w:rPr>
        <w:t>[1]</w:t>
      </w:r>
      <w:r w:rsidR="00EE0732" w:rsidRPr="00EE0732">
        <w:rPr>
          <w:rFonts w:ascii="Arial" w:hAnsi="Arial" w:cs="Arial"/>
          <w:noProof/>
          <w:sz w:val="20"/>
          <w:szCs w:val="24"/>
        </w:rPr>
        <w:tab/>
        <w:t xml:space="preserve">W. Muhaimin and D. Sari, “Factors Affecting the Demand and Import of Indonesian Sugar,” </w:t>
      </w:r>
      <w:r w:rsidR="00EE0732" w:rsidRPr="00EE0732">
        <w:rPr>
          <w:rFonts w:ascii="Arial" w:hAnsi="Arial" w:cs="Arial"/>
          <w:i/>
          <w:iCs/>
          <w:noProof/>
          <w:sz w:val="20"/>
          <w:szCs w:val="24"/>
        </w:rPr>
        <w:t>J. Glob. Econ.</w:t>
      </w:r>
      <w:r w:rsidR="00EE0732" w:rsidRPr="00EE0732">
        <w:rPr>
          <w:rFonts w:ascii="Arial" w:hAnsi="Arial" w:cs="Arial"/>
          <w:noProof/>
          <w:sz w:val="20"/>
          <w:szCs w:val="24"/>
        </w:rPr>
        <w:t>, vol. 7, no. 2, pp. 1–3, 2019, [Online]. Available: https://ssrn.com/abstract=3458678.</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[2]</w:t>
      </w:r>
      <w:r w:rsidRPr="00EE0732">
        <w:rPr>
          <w:rFonts w:ascii="Arial" w:hAnsi="Arial" w:cs="Arial"/>
          <w:noProof/>
          <w:sz w:val="20"/>
          <w:szCs w:val="24"/>
        </w:rPr>
        <w:tab/>
        <w:t xml:space="preserve">W. P. Inayaturrohmah, I. Istiqomah, and R. S. Gunawan, “Determinants of Indonesian Sugar Import,” </w:t>
      </w:r>
      <w:r w:rsidRPr="00EE0732">
        <w:rPr>
          <w:rFonts w:ascii="Arial" w:hAnsi="Arial" w:cs="Arial"/>
          <w:i/>
          <w:iCs/>
          <w:noProof/>
          <w:sz w:val="20"/>
          <w:szCs w:val="24"/>
        </w:rPr>
        <w:t>Signifikan J. Ilmu Ekon.</w:t>
      </w:r>
      <w:r w:rsidRPr="00EE0732">
        <w:rPr>
          <w:rFonts w:ascii="Arial" w:hAnsi="Arial" w:cs="Arial"/>
          <w:noProof/>
          <w:sz w:val="20"/>
          <w:szCs w:val="24"/>
        </w:rPr>
        <w:t>, vol. 12, no. 2, pp. 275–286, 2023, doi: 10.15408/sjie.v12i2.28044.</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[3]</w:t>
      </w:r>
      <w:r w:rsidRPr="00EE0732">
        <w:rPr>
          <w:rFonts w:ascii="Arial" w:hAnsi="Arial" w:cs="Arial"/>
          <w:noProof/>
          <w:sz w:val="20"/>
          <w:szCs w:val="24"/>
        </w:rPr>
        <w:tab/>
        <w:t>F. A. S. United States Department of Agriculture, “Sugar : World Markets and Trade Guatemala Sugar Exports are Down While Domestic Demand Continues to Grow Guatemala is a Top 5 Exporter,” 2024. [Online]. Available: https://apps.fas.usda.gov/psdonline/circulars/sugar.pdf.</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[4]</w:t>
      </w:r>
      <w:r w:rsidRPr="00EE0732">
        <w:rPr>
          <w:rFonts w:ascii="Arial" w:hAnsi="Arial" w:cs="Arial"/>
          <w:noProof/>
          <w:sz w:val="20"/>
          <w:szCs w:val="24"/>
        </w:rPr>
        <w:tab/>
        <w:t>J. Widodo, “(1) Undang-Undang,” Jakarta, Indonesia, 2020. [Online]. Available: https://peraturan.bpk.go.id/Details/136174/perpres-no-59-tahun-2020.</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lastRenderedPageBreak/>
        <w:t>[5]</w:t>
      </w:r>
      <w:r w:rsidRPr="00EE0732">
        <w:rPr>
          <w:rFonts w:ascii="Arial" w:hAnsi="Arial" w:cs="Arial"/>
          <w:noProof/>
          <w:sz w:val="20"/>
          <w:szCs w:val="24"/>
        </w:rPr>
        <w:tab/>
        <w:t>B. P. Statistik, “Subjek Tabel Terkait Rata - Rata Konsumsi Perkapita Seminggu Menurut Kelompok Bahan Makanan Lainnya Per Kabupaten / Kota Rata - Rata Konsumsi Perkapita Seminggu Di Daerah Pedesaan Menurut Komoditi Makanan Dan Golongan Pengeluaran Per Kapita Seminggu Rata,” 2023. [Online]. Available: https://www.bps.go.id/id/statistics-table/1/OTUwIzE=/rata-rata-konsumsi-per-kapita-seminggu-beberapa-macam-bahan-makanan-penting--2007-2023.html.</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[6]</w:t>
      </w:r>
      <w:r w:rsidRPr="00EE0732">
        <w:rPr>
          <w:rFonts w:ascii="Arial" w:hAnsi="Arial" w:cs="Arial"/>
          <w:noProof/>
          <w:sz w:val="20"/>
          <w:szCs w:val="24"/>
        </w:rPr>
        <w:tab/>
        <w:t xml:space="preserve">P. Mishra </w:t>
      </w:r>
      <w:r w:rsidRPr="00EE0732">
        <w:rPr>
          <w:rFonts w:ascii="Arial" w:hAnsi="Arial" w:cs="Arial"/>
          <w:i/>
          <w:iCs/>
          <w:noProof/>
          <w:sz w:val="20"/>
          <w:szCs w:val="24"/>
        </w:rPr>
        <w:t>et al.</w:t>
      </w:r>
      <w:r w:rsidRPr="00EE0732">
        <w:rPr>
          <w:rFonts w:ascii="Arial" w:hAnsi="Arial" w:cs="Arial"/>
          <w:noProof/>
          <w:sz w:val="20"/>
          <w:szCs w:val="24"/>
        </w:rPr>
        <w:t xml:space="preserve">, “Modeling and Forecasting of Sugarcane Production in India,” </w:t>
      </w:r>
      <w:r w:rsidRPr="00EE0732">
        <w:rPr>
          <w:rFonts w:ascii="Arial" w:hAnsi="Arial" w:cs="Arial"/>
          <w:i/>
          <w:iCs/>
          <w:noProof/>
          <w:sz w:val="20"/>
          <w:szCs w:val="24"/>
        </w:rPr>
        <w:t>Sugar Tech</w:t>
      </w:r>
      <w:r w:rsidRPr="00EE0732">
        <w:rPr>
          <w:rFonts w:ascii="Arial" w:hAnsi="Arial" w:cs="Arial"/>
          <w:noProof/>
          <w:sz w:val="20"/>
          <w:szCs w:val="24"/>
        </w:rPr>
        <w:t>, vol. 23, no. 6, pp. 1317–1324, 2021, doi: 10.1007/s12355-021-01004-3.</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[7]</w:t>
      </w:r>
      <w:r w:rsidRPr="00EE0732">
        <w:rPr>
          <w:rFonts w:ascii="Arial" w:hAnsi="Arial" w:cs="Arial"/>
          <w:noProof/>
          <w:sz w:val="20"/>
          <w:szCs w:val="24"/>
        </w:rPr>
        <w:tab/>
        <w:t xml:space="preserve">S. Tyagi, S. Chandra, and G. Tyagi, “Statistical modelling and forecasting annual sugarcane production in India: Using various time series models,” </w:t>
      </w:r>
      <w:r w:rsidRPr="00EE0732">
        <w:rPr>
          <w:rFonts w:ascii="Arial" w:hAnsi="Arial" w:cs="Arial"/>
          <w:i/>
          <w:iCs/>
          <w:noProof/>
          <w:sz w:val="20"/>
          <w:szCs w:val="24"/>
        </w:rPr>
        <w:t>Ann. Appl. Biol.</w:t>
      </w:r>
      <w:r w:rsidRPr="00EE0732">
        <w:rPr>
          <w:rFonts w:ascii="Arial" w:hAnsi="Arial" w:cs="Arial"/>
          <w:noProof/>
          <w:sz w:val="20"/>
          <w:szCs w:val="24"/>
        </w:rPr>
        <w:t>, vol. 182, no. 3, pp. 371–380, 2023, doi: 10.1111/aab.12825.</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[8]</w:t>
      </w:r>
      <w:r w:rsidRPr="00EE0732">
        <w:rPr>
          <w:rFonts w:ascii="Arial" w:hAnsi="Arial" w:cs="Arial"/>
          <w:noProof/>
          <w:sz w:val="20"/>
          <w:szCs w:val="24"/>
        </w:rPr>
        <w:tab/>
        <w:t xml:space="preserve">E. M. Amrouk and T. Heckelei, “Forecasting International Sugar Prices: A Bayesian Model Average Analysis,” </w:t>
      </w:r>
      <w:r w:rsidRPr="00EE0732">
        <w:rPr>
          <w:rFonts w:ascii="Arial" w:hAnsi="Arial" w:cs="Arial"/>
          <w:i/>
          <w:iCs/>
          <w:noProof/>
          <w:sz w:val="20"/>
          <w:szCs w:val="24"/>
        </w:rPr>
        <w:t>Sugar Tech</w:t>
      </w:r>
      <w:r w:rsidRPr="00EE0732">
        <w:rPr>
          <w:rFonts w:ascii="Arial" w:hAnsi="Arial" w:cs="Arial"/>
          <w:noProof/>
          <w:sz w:val="20"/>
          <w:szCs w:val="24"/>
        </w:rPr>
        <w:t>, vol. 22, no. 4, pp. 552–562, 2020, doi: 10.1007/s12355-020-00815-0.</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[9]</w:t>
      </w:r>
      <w:r w:rsidRPr="00EE0732">
        <w:rPr>
          <w:rFonts w:ascii="Arial" w:hAnsi="Arial" w:cs="Arial"/>
          <w:noProof/>
          <w:sz w:val="20"/>
          <w:szCs w:val="24"/>
        </w:rPr>
        <w:tab/>
        <w:t xml:space="preserve">J. Zhang, Y. Meng, J. Wei, J. Chen, and J. Qin, “A Novel Hybrid Deep Learning Model for Sugar Price Forecasting Based on Time Series Decomposition,” </w:t>
      </w:r>
      <w:r w:rsidRPr="00EE0732">
        <w:rPr>
          <w:rFonts w:ascii="Arial" w:hAnsi="Arial" w:cs="Arial"/>
          <w:i/>
          <w:iCs/>
          <w:noProof/>
          <w:sz w:val="20"/>
          <w:szCs w:val="24"/>
        </w:rPr>
        <w:t>Math. Probl. Eng.</w:t>
      </w:r>
      <w:r w:rsidRPr="00EE0732">
        <w:rPr>
          <w:rFonts w:ascii="Arial" w:hAnsi="Arial" w:cs="Arial"/>
          <w:noProof/>
          <w:sz w:val="20"/>
          <w:szCs w:val="24"/>
        </w:rPr>
        <w:t>, vol. 2021, 2021, doi: 10.1155/2021/6507688.</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[10]</w:t>
      </w:r>
      <w:r w:rsidRPr="00EE0732">
        <w:rPr>
          <w:rFonts w:ascii="Arial" w:hAnsi="Arial" w:cs="Arial"/>
          <w:noProof/>
          <w:sz w:val="20"/>
          <w:szCs w:val="24"/>
        </w:rPr>
        <w:tab/>
        <w:t xml:space="preserve">A. Kantasaard, A. Bekrar, A. Aitelcadi, and Y. Saliez, “Artificial intelligence for forecasting in supply chain management: A case study o White Sugar consumption rate in Thailand,” </w:t>
      </w:r>
      <w:r w:rsidRPr="00EE0732">
        <w:rPr>
          <w:rFonts w:ascii="Arial" w:hAnsi="Arial" w:cs="Arial"/>
          <w:i/>
          <w:iCs/>
          <w:noProof/>
          <w:sz w:val="20"/>
          <w:szCs w:val="24"/>
        </w:rPr>
        <w:t>IFAC-PapersOnLine</w:t>
      </w:r>
      <w:r w:rsidRPr="00EE0732">
        <w:rPr>
          <w:rFonts w:ascii="Arial" w:hAnsi="Arial" w:cs="Arial"/>
          <w:noProof/>
          <w:sz w:val="20"/>
          <w:szCs w:val="24"/>
        </w:rPr>
        <w:t>, vol. 52, no. 13, pp. 725–730, 2019, doi: 10.1016/j.ifacol.2019.11.201.</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[11]</w:t>
      </w:r>
      <w:r w:rsidRPr="00EE0732">
        <w:rPr>
          <w:rFonts w:ascii="Arial" w:hAnsi="Arial" w:cs="Arial"/>
          <w:noProof/>
          <w:sz w:val="20"/>
          <w:szCs w:val="24"/>
        </w:rPr>
        <w:tab/>
        <w:t xml:space="preserve">S. Wardah, N. Nurhasanah, and W. Sudarwati, “Integration models of demand forecasting and inventory control for coconut sugar using the ARIMA and EOQ modification methods,” </w:t>
      </w:r>
      <w:r w:rsidRPr="00EE0732">
        <w:rPr>
          <w:rFonts w:ascii="Arial" w:hAnsi="Arial" w:cs="Arial"/>
          <w:i/>
          <w:iCs/>
          <w:noProof/>
          <w:sz w:val="20"/>
          <w:szCs w:val="24"/>
        </w:rPr>
        <w:t>J. Sist. dan Manaj. Ind.</w:t>
      </w:r>
      <w:r w:rsidRPr="00EE0732">
        <w:rPr>
          <w:rFonts w:ascii="Arial" w:hAnsi="Arial" w:cs="Arial"/>
          <w:noProof/>
          <w:sz w:val="20"/>
          <w:szCs w:val="24"/>
        </w:rPr>
        <w:t>, vol. 7, no. 2, pp. 127–138, 2023, doi: 10.30656/jsmi.v7i2.6500.</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[12]</w:t>
      </w:r>
      <w:r w:rsidRPr="00EE0732">
        <w:rPr>
          <w:rFonts w:ascii="Arial" w:hAnsi="Arial" w:cs="Arial"/>
          <w:noProof/>
          <w:sz w:val="20"/>
          <w:szCs w:val="24"/>
        </w:rPr>
        <w:tab/>
        <w:t xml:space="preserve">A. W. A. Wibowo and F. Maimunah, “Sugar Demand Forecasting in Pt Xyz With Winqsb Software,” </w:t>
      </w:r>
      <w:r w:rsidRPr="00EE0732">
        <w:rPr>
          <w:rFonts w:ascii="Arial" w:hAnsi="Arial" w:cs="Arial"/>
          <w:i/>
          <w:iCs/>
          <w:noProof/>
          <w:sz w:val="20"/>
          <w:szCs w:val="24"/>
        </w:rPr>
        <w:t>BAREKENG J. Ilmu Mat. dan Terap.</w:t>
      </w:r>
      <w:r w:rsidRPr="00EE0732">
        <w:rPr>
          <w:rFonts w:ascii="Arial" w:hAnsi="Arial" w:cs="Arial"/>
          <w:noProof/>
          <w:sz w:val="20"/>
          <w:szCs w:val="24"/>
        </w:rPr>
        <w:t>, vol. 17, no. 3, pp. 1631–1640, 2023, doi: 10.30598/barekengvol17iss3pp1631-1640.</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[13]</w:t>
      </w:r>
      <w:r w:rsidRPr="00EE0732">
        <w:rPr>
          <w:rFonts w:ascii="Arial" w:hAnsi="Arial" w:cs="Arial"/>
          <w:noProof/>
          <w:sz w:val="20"/>
          <w:szCs w:val="24"/>
        </w:rPr>
        <w:tab/>
        <w:t xml:space="preserve">B. R. I. Rosari, R. Sarno, M. S. Filsafan, and A. T. Haryono, “Indonesia White Sugar Supply and Demand Forecast Using Machine Learning,” </w:t>
      </w:r>
      <w:r w:rsidRPr="00EE0732">
        <w:rPr>
          <w:rFonts w:ascii="Arial" w:hAnsi="Arial" w:cs="Arial"/>
          <w:i/>
          <w:iCs/>
          <w:noProof/>
          <w:sz w:val="20"/>
          <w:szCs w:val="24"/>
        </w:rPr>
        <w:t>2023 1st Int. Conf. Adv. Eng. Technol. ICONNIC 2023 - Proceeding</w:t>
      </w:r>
      <w:r w:rsidRPr="00EE0732">
        <w:rPr>
          <w:rFonts w:ascii="Arial" w:hAnsi="Arial" w:cs="Arial"/>
          <w:noProof/>
          <w:sz w:val="20"/>
          <w:szCs w:val="24"/>
        </w:rPr>
        <w:t>, pp. 18–23, 2023, doi: 10.1109/ICONNIC59854.2023.10467262.</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[14]</w:t>
      </w:r>
      <w:r w:rsidRPr="00EE0732">
        <w:rPr>
          <w:rFonts w:ascii="Arial" w:hAnsi="Arial" w:cs="Arial"/>
          <w:noProof/>
          <w:sz w:val="20"/>
          <w:szCs w:val="24"/>
        </w:rPr>
        <w:tab/>
        <w:t xml:space="preserve">M. R. Sanjaya and E. D. Sadono, “Consumption Patterns of Sugar-Sweetened Beverages in Indonesia,” </w:t>
      </w:r>
      <w:r w:rsidRPr="00EE0732">
        <w:rPr>
          <w:rFonts w:ascii="Arial" w:hAnsi="Arial" w:cs="Arial"/>
          <w:i/>
          <w:iCs/>
          <w:noProof/>
          <w:sz w:val="20"/>
          <w:szCs w:val="24"/>
        </w:rPr>
        <w:t>Southeast Asian J. Econ.</w:t>
      </w:r>
      <w:r w:rsidRPr="00EE0732">
        <w:rPr>
          <w:rFonts w:ascii="Arial" w:hAnsi="Arial" w:cs="Arial"/>
          <w:noProof/>
          <w:sz w:val="20"/>
          <w:szCs w:val="24"/>
        </w:rPr>
        <w:t>, vol. 10, no. 2, pp. 181–208, 2022.</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[15]</w:t>
      </w:r>
      <w:r w:rsidRPr="00EE0732">
        <w:rPr>
          <w:rFonts w:ascii="Arial" w:hAnsi="Arial" w:cs="Arial"/>
          <w:noProof/>
          <w:sz w:val="20"/>
          <w:szCs w:val="24"/>
        </w:rPr>
        <w:tab/>
        <w:t xml:space="preserve">A. Widarjono, R. Afin, G. Kusnadi, M. Zulfiqar Firdaus, and O. Herlinda, “Taxing sugar sweetened beverages in Indonesia: Projections of demand change and fiscal revenue,” </w:t>
      </w:r>
      <w:r w:rsidRPr="00EE0732">
        <w:rPr>
          <w:rFonts w:ascii="Arial" w:hAnsi="Arial" w:cs="Arial"/>
          <w:i/>
          <w:iCs/>
          <w:noProof/>
          <w:sz w:val="20"/>
          <w:szCs w:val="24"/>
        </w:rPr>
        <w:t>PLoS One</w:t>
      </w:r>
      <w:r w:rsidRPr="00EE0732">
        <w:rPr>
          <w:rFonts w:ascii="Arial" w:hAnsi="Arial" w:cs="Arial"/>
          <w:noProof/>
          <w:sz w:val="20"/>
          <w:szCs w:val="24"/>
        </w:rPr>
        <w:t>, vol. 18, no. 12 December, pp. 1–11, 2023, doi: 10.1371/journal.pone.0293913.</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[16]</w:t>
      </w:r>
      <w:r w:rsidRPr="00EE0732">
        <w:rPr>
          <w:rFonts w:ascii="Arial" w:hAnsi="Arial" w:cs="Arial"/>
          <w:noProof/>
          <w:sz w:val="20"/>
          <w:szCs w:val="24"/>
        </w:rPr>
        <w:tab/>
        <w:t xml:space="preserve">F. Badorf and K. Hoberg, “The impact of daily weather on retail sales: An empirical study in brick-and-mortar stores,” </w:t>
      </w:r>
      <w:r w:rsidRPr="00EE0732">
        <w:rPr>
          <w:rFonts w:ascii="Arial" w:hAnsi="Arial" w:cs="Arial"/>
          <w:i/>
          <w:iCs/>
          <w:noProof/>
          <w:sz w:val="20"/>
          <w:szCs w:val="24"/>
        </w:rPr>
        <w:t>J. Retail. Consum. Serv.</w:t>
      </w:r>
      <w:r w:rsidRPr="00EE0732">
        <w:rPr>
          <w:rFonts w:ascii="Arial" w:hAnsi="Arial" w:cs="Arial"/>
          <w:noProof/>
          <w:sz w:val="20"/>
          <w:szCs w:val="24"/>
        </w:rPr>
        <w:t>, vol. 52, no. March 2019, p. 101921, 2020, doi: 10.1016/j.jretconser.2019.101921.</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[17]</w:t>
      </w:r>
      <w:r w:rsidRPr="00EE0732">
        <w:rPr>
          <w:rFonts w:ascii="Arial" w:hAnsi="Arial" w:cs="Arial"/>
          <w:noProof/>
          <w:sz w:val="20"/>
          <w:szCs w:val="24"/>
        </w:rPr>
        <w:tab/>
        <w:t xml:space="preserve">W. M. de Almeida and C. P. da Veiga, “Does demand forecasting matter to retailing?,” </w:t>
      </w:r>
      <w:r w:rsidRPr="00EE0732">
        <w:rPr>
          <w:rFonts w:ascii="Arial" w:hAnsi="Arial" w:cs="Arial"/>
          <w:i/>
          <w:iCs/>
          <w:noProof/>
          <w:sz w:val="20"/>
          <w:szCs w:val="24"/>
        </w:rPr>
        <w:t>J. Mark. Anal.</w:t>
      </w:r>
      <w:r w:rsidRPr="00EE0732">
        <w:rPr>
          <w:rFonts w:ascii="Arial" w:hAnsi="Arial" w:cs="Arial"/>
          <w:noProof/>
          <w:sz w:val="20"/>
          <w:szCs w:val="24"/>
        </w:rPr>
        <w:t>, vol. 11, no. 2, pp. 219–232, 2023, doi: 10.1057/s41270-022-00162-x.</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[18]</w:t>
      </w:r>
      <w:r w:rsidRPr="00EE0732">
        <w:rPr>
          <w:rFonts w:ascii="Arial" w:hAnsi="Arial" w:cs="Arial"/>
          <w:noProof/>
          <w:sz w:val="20"/>
          <w:szCs w:val="24"/>
        </w:rPr>
        <w:tab/>
        <w:t xml:space="preserve">Q. Mehmood, M. H. Sial, S. Sharif, A. Hussain, M. Riaz, and N. Shaheen, “Forecasting the Fisheries Production in Pakistan for the Year 2017-2026, using Box-Jenkin’s Methodology,” </w:t>
      </w:r>
      <w:r w:rsidRPr="00EE0732">
        <w:rPr>
          <w:rFonts w:ascii="Arial" w:hAnsi="Arial" w:cs="Arial"/>
          <w:i/>
          <w:iCs/>
          <w:noProof/>
          <w:sz w:val="20"/>
          <w:szCs w:val="24"/>
        </w:rPr>
        <w:t>Pakistan J. Agric. Res.</w:t>
      </w:r>
      <w:r w:rsidRPr="00EE0732">
        <w:rPr>
          <w:rFonts w:ascii="Arial" w:hAnsi="Arial" w:cs="Arial"/>
          <w:noProof/>
          <w:sz w:val="20"/>
          <w:szCs w:val="24"/>
        </w:rPr>
        <w:t>, vol. 33, no. 1, pp. 140–145, 2020, doi: 10.17582/journal.pjar/2020/33.1.140.145.</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[19]</w:t>
      </w:r>
      <w:r w:rsidRPr="00EE0732">
        <w:rPr>
          <w:rFonts w:ascii="Arial" w:hAnsi="Arial" w:cs="Arial"/>
          <w:noProof/>
          <w:sz w:val="20"/>
          <w:szCs w:val="24"/>
        </w:rPr>
        <w:tab/>
        <w:t xml:space="preserve">M. R. Hasan, M. A. Kabir, R. A. Shuvro, and P. Das, “A Comparative Study on Forecasting of Retail Sales,” </w:t>
      </w:r>
      <w:r w:rsidRPr="00EE0732">
        <w:rPr>
          <w:rFonts w:ascii="Arial" w:hAnsi="Arial" w:cs="Arial"/>
          <w:i/>
          <w:iCs/>
          <w:noProof/>
          <w:sz w:val="20"/>
          <w:szCs w:val="24"/>
        </w:rPr>
        <w:t>arXiv</w:t>
      </w:r>
      <w:r w:rsidRPr="00EE0732">
        <w:rPr>
          <w:rFonts w:ascii="Arial" w:hAnsi="Arial" w:cs="Arial"/>
          <w:noProof/>
          <w:sz w:val="20"/>
          <w:szCs w:val="24"/>
        </w:rPr>
        <w:t>, pp. 1–14, 2022, [Online]. Available: http://arxiv.org/abs/2203.06848.</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[20]</w:t>
      </w:r>
      <w:r w:rsidRPr="00EE0732">
        <w:rPr>
          <w:rFonts w:ascii="Arial" w:hAnsi="Arial" w:cs="Arial"/>
          <w:noProof/>
          <w:sz w:val="20"/>
          <w:szCs w:val="24"/>
        </w:rPr>
        <w:tab/>
        <w:t xml:space="preserve">C. Guarnaccia, J. Quartieri, and C. Tepedino, “Deterministic decomposition and seasonal ARIMA time series models applied to airport noise forecasting,” </w:t>
      </w:r>
      <w:r w:rsidRPr="00EE0732">
        <w:rPr>
          <w:rFonts w:ascii="Arial" w:hAnsi="Arial" w:cs="Arial"/>
          <w:i/>
          <w:iCs/>
          <w:noProof/>
          <w:sz w:val="20"/>
          <w:szCs w:val="24"/>
        </w:rPr>
        <w:t>AIP Conf. Proc.</w:t>
      </w:r>
      <w:r w:rsidRPr="00EE0732">
        <w:rPr>
          <w:rFonts w:ascii="Arial" w:hAnsi="Arial" w:cs="Arial"/>
          <w:noProof/>
          <w:sz w:val="20"/>
          <w:szCs w:val="24"/>
        </w:rPr>
        <w:t>, vol. 1836, 2017, doi: 10.1063/1.4982019.</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[21]</w:t>
      </w:r>
      <w:r w:rsidRPr="00EE0732">
        <w:rPr>
          <w:rFonts w:ascii="Arial" w:hAnsi="Arial" w:cs="Arial"/>
          <w:noProof/>
          <w:sz w:val="20"/>
          <w:szCs w:val="24"/>
        </w:rPr>
        <w:tab/>
        <w:t xml:space="preserve">G. Perone, “Using the SARIMA Model to Forecast the Fourth Global Wave of Cumulative Deaths from COVID-19: Evidence from 12 Hard-Hit Big Countries,” </w:t>
      </w:r>
      <w:r w:rsidRPr="00EE0732">
        <w:rPr>
          <w:rFonts w:ascii="Arial" w:hAnsi="Arial" w:cs="Arial"/>
          <w:i/>
          <w:iCs/>
          <w:noProof/>
          <w:sz w:val="20"/>
          <w:szCs w:val="24"/>
        </w:rPr>
        <w:t>Econometrics</w:t>
      </w:r>
      <w:r w:rsidRPr="00EE0732">
        <w:rPr>
          <w:rFonts w:ascii="Arial" w:hAnsi="Arial" w:cs="Arial"/>
          <w:noProof/>
          <w:sz w:val="20"/>
          <w:szCs w:val="24"/>
        </w:rPr>
        <w:t>, vol. 10, no. 2, 2022, doi: 10.3390/econometrics10020018.</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[22]</w:t>
      </w:r>
      <w:r w:rsidRPr="00EE0732">
        <w:rPr>
          <w:rFonts w:ascii="Arial" w:hAnsi="Arial" w:cs="Arial"/>
          <w:noProof/>
          <w:sz w:val="20"/>
          <w:szCs w:val="24"/>
        </w:rPr>
        <w:tab/>
        <w:t xml:space="preserve">C. C. Nwokike and E. W. Okereke, “Comparison of the Performance of the SANN, SARIMA and ARIMA Models for Forecasting Quarterly GDP of Nigeria,” </w:t>
      </w:r>
      <w:r w:rsidRPr="00EE0732">
        <w:rPr>
          <w:rFonts w:ascii="Arial" w:hAnsi="Arial" w:cs="Arial"/>
          <w:i/>
          <w:iCs/>
          <w:noProof/>
          <w:sz w:val="20"/>
          <w:szCs w:val="24"/>
        </w:rPr>
        <w:t>Asian Res. J. Math.</w:t>
      </w:r>
      <w:r w:rsidRPr="00EE0732">
        <w:rPr>
          <w:rFonts w:ascii="Arial" w:hAnsi="Arial" w:cs="Arial"/>
          <w:noProof/>
          <w:sz w:val="20"/>
          <w:szCs w:val="24"/>
        </w:rPr>
        <w:t>, vol. 17, no. 3, pp. 1–20, 2021, doi: 10.9734/arjom/2021/v17i330280.</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[23]</w:t>
      </w:r>
      <w:r w:rsidRPr="00EE0732">
        <w:rPr>
          <w:rFonts w:ascii="Arial" w:hAnsi="Arial" w:cs="Arial"/>
          <w:noProof/>
          <w:sz w:val="20"/>
          <w:szCs w:val="24"/>
        </w:rPr>
        <w:tab/>
        <w:t xml:space="preserve">W. Hu, S. Tong, K. Mengersen, and D. Connell, “Weather Variability and the Incidence of Cryptosporidiosis: Comparison of Time Series Poisson Regression and SARIMA Models,” </w:t>
      </w:r>
      <w:r w:rsidRPr="00EE0732">
        <w:rPr>
          <w:rFonts w:ascii="Arial" w:hAnsi="Arial" w:cs="Arial"/>
          <w:i/>
          <w:iCs/>
          <w:noProof/>
          <w:sz w:val="20"/>
          <w:szCs w:val="24"/>
        </w:rPr>
        <w:t>Ann. Epidemiol.</w:t>
      </w:r>
      <w:r w:rsidRPr="00EE0732">
        <w:rPr>
          <w:rFonts w:ascii="Arial" w:hAnsi="Arial" w:cs="Arial"/>
          <w:noProof/>
          <w:sz w:val="20"/>
          <w:szCs w:val="24"/>
        </w:rPr>
        <w:t>, vol. 17, no. 9, pp. 679–688, 2007, doi: 10.1016/j.annepidem.2007.03.020.</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[24]</w:t>
      </w:r>
      <w:r w:rsidRPr="00EE0732">
        <w:rPr>
          <w:rFonts w:ascii="Arial" w:hAnsi="Arial" w:cs="Arial"/>
          <w:noProof/>
          <w:sz w:val="20"/>
          <w:szCs w:val="24"/>
        </w:rPr>
        <w:tab/>
        <w:t xml:space="preserve">B. O. Emmanuel, D. Enegesele, and C. O. Arimie, “Additive Decomposition with Arima Model Forecasts When the Trend Component Is Quadratic,” </w:t>
      </w:r>
      <w:r w:rsidRPr="00EE0732">
        <w:rPr>
          <w:rFonts w:ascii="Arial" w:hAnsi="Arial" w:cs="Arial"/>
          <w:i/>
          <w:iCs/>
          <w:noProof/>
          <w:sz w:val="20"/>
          <w:szCs w:val="24"/>
        </w:rPr>
        <w:t>OALib</w:t>
      </w:r>
      <w:r w:rsidRPr="00EE0732">
        <w:rPr>
          <w:rFonts w:ascii="Arial" w:hAnsi="Arial" w:cs="Arial"/>
          <w:noProof/>
          <w:sz w:val="20"/>
          <w:szCs w:val="24"/>
        </w:rPr>
        <w:t>, vol. 07, no. 07, pp. 1–20, 2020, doi: 10.4236/oalib.1106435.</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[25]</w:t>
      </w:r>
      <w:r w:rsidRPr="00EE0732">
        <w:rPr>
          <w:rFonts w:ascii="Arial" w:hAnsi="Arial" w:cs="Arial"/>
          <w:noProof/>
          <w:sz w:val="20"/>
          <w:szCs w:val="24"/>
        </w:rPr>
        <w:tab/>
        <w:t xml:space="preserve">D. Febrian, S. I. Al Idrus, and D. A. J. Nainggolan, “The Comparison of Double Moving Average and Double Exponential Smoothing Methods in Forecasting the Number of Foreign </w:t>
      </w:r>
      <w:r w:rsidRPr="00EE0732">
        <w:rPr>
          <w:rFonts w:ascii="Arial" w:hAnsi="Arial" w:cs="Arial"/>
          <w:noProof/>
          <w:sz w:val="20"/>
          <w:szCs w:val="24"/>
        </w:rPr>
        <w:lastRenderedPageBreak/>
        <w:t xml:space="preserve">Tourists Coming to North Sumatera,” </w:t>
      </w:r>
      <w:r w:rsidRPr="00EE0732">
        <w:rPr>
          <w:rFonts w:ascii="Arial" w:hAnsi="Arial" w:cs="Arial"/>
          <w:i/>
          <w:iCs/>
          <w:noProof/>
          <w:sz w:val="20"/>
          <w:szCs w:val="24"/>
        </w:rPr>
        <w:t>J. Phys. Conf. Ser.</w:t>
      </w:r>
      <w:r w:rsidRPr="00EE0732">
        <w:rPr>
          <w:rFonts w:ascii="Arial" w:hAnsi="Arial" w:cs="Arial"/>
          <w:noProof/>
          <w:sz w:val="20"/>
          <w:szCs w:val="24"/>
        </w:rPr>
        <w:t>, vol. 1462, no. 1, pp. 0–10, 2020, doi: 10.1088/1742-6596/1462/1/012046.</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[26]</w:t>
      </w:r>
      <w:r w:rsidRPr="00EE0732">
        <w:rPr>
          <w:rFonts w:ascii="Arial" w:hAnsi="Arial" w:cs="Arial"/>
          <w:noProof/>
          <w:sz w:val="20"/>
          <w:szCs w:val="24"/>
        </w:rPr>
        <w:tab/>
        <w:t xml:space="preserve">D. M. Khairina, R. Khairunnisa, H. R. Hatta, and S. Maharani, “Comparison of the trend moment and double moving average methods for forecasting the number of dengue hemorrhagic fever patients,” </w:t>
      </w:r>
      <w:r w:rsidRPr="00EE0732">
        <w:rPr>
          <w:rFonts w:ascii="Arial" w:hAnsi="Arial" w:cs="Arial"/>
          <w:i/>
          <w:iCs/>
          <w:noProof/>
          <w:sz w:val="20"/>
          <w:szCs w:val="24"/>
        </w:rPr>
        <w:t>Bull. Electr. Eng. Informatics</w:t>
      </w:r>
      <w:r w:rsidRPr="00EE0732">
        <w:rPr>
          <w:rFonts w:ascii="Arial" w:hAnsi="Arial" w:cs="Arial"/>
          <w:noProof/>
          <w:sz w:val="20"/>
          <w:szCs w:val="24"/>
        </w:rPr>
        <w:t>, vol. 10, no. 2, pp. 978–987, 2021, doi: 10.11591/eei.v10i2.2711.</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[27]</w:t>
      </w:r>
      <w:r w:rsidRPr="00EE0732">
        <w:rPr>
          <w:rFonts w:ascii="Arial" w:hAnsi="Arial" w:cs="Arial"/>
          <w:noProof/>
          <w:sz w:val="20"/>
          <w:szCs w:val="24"/>
        </w:rPr>
        <w:tab/>
        <w:t xml:space="preserve">O. Shechtman, “The Coefficient of Variation as an Index of Measurement Reliability,” in </w:t>
      </w:r>
      <w:r w:rsidRPr="00EE0732">
        <w:rPr>
          <w:rFonts w:ascii="Arial" w:hAnsi="Arial" w:cs="Arial"/>
          <w:i/>
          <w:iCs/>
          <w:noProof/>
          <w:sz w:val="20"/>
          <w:szCs w:val="24"/>
        </w:rPr>
        <w:t>Methods of Clinical Epidemiology</w:t>
      </w:r>
      <w:r w:rsidRPr="00EE0732">
        <w:rPr>
          <w:rFonts w:ascii="Arial" w:hAnsi="Arial" w:cs="Arial"/>
          <w:noProof/>
          <w:sz w:val="20"/>
          <w:szCs w:val="24"/>
        </w:rPr>
        <w:t>, no. Springer Series on Epidemiology and Public Health, S. A. R. Doi and G. M. Williams, Eds. Verlag Berlin Heidelberg: Springer, 2013, pp. 39–49.</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[28]</w:t>
      </w:r>
      <w:r w:rsidRPr="00EE0732">
        <w:rPr>
          <w:rFonts w:ascii="Arial" w:hAnsi="Arial" w:cs="Arial"/>
          <w:noProof/>
          <w:sz w:val="20"/>
          <w:szCs w:val="24"/>
        </w:rPr>
        <w:tab/>
        <w:t xml:space="preserve">G. E. P. Box, G. M. Jenkins, G. C. Reinsel, and G. M. Ljung, </w:t>
      </w:r>
      <w:r w:rsidRPr="00EE0732">
        <w:rPr>
          <w:rFonts w:ascii="Arial" w:hAnsi="Arial" w:cs="Arial"/>
          <w:i/>
          <w:iCs/>
          <w:noProof/>
          <w:sz w:val="20"/>
          <w:szCs w:val="24"/>
        </w:rPr>
        <w:t>Time Series Analysis: Forecasting and Control</w:t>
      </w:r>
      <w:r w:rsidRPr="00EE0732">
        <w:rPr>
          <w:rFonts w:ascii="Arial" w:hAnsi="Arial" w:cs="Arial"/>
          <w:noProof/>
          <w:sz w:val="20"/>
          <w:szCs w:val="24"/>
        </w:rPr>
        <w:t>, 5th ed., vol. 11. Hoboken, New Jersey: John Wiley &amp; Sons, Inc., 2016.</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[29]</w:t>
      </w:r>
      <w:r w:rsidRPr="00EE0732">
        <w:rPr>
          <w:rFonts w:ascii="Arial" w:hAnsi="Arial" w:cs="Arial"/>
          <w:noProof/>
          <w:sz w:val="20"/>
          <w:szCs w:val="24"/>
        </w:rPr>
        <w:tab/>
        <w:t xml:space="preserve">U. M. Sirisha, M. C. Belavagi, and G. Attigeri, “Profit Prediction Using ARIMA, SARIMA and LSTM Models in Time Series Forecasting: A Comparison,” </w:t>
      </w:r>
      <w:r w:rsidRPr="00EE0732">
        <w:rPr>
          <w:rFonts w:ascii="Arial" w:hAnsi="Arial" w:cs="Arial"/>
          <w:i/>
          <w:iCs/>
          <w:noProof/>
          <w:sz w:val="20"/>
          <w:szCs w:val="24"/>
        </w:rPr>
        <w:t>IEEE Access</w:t>
      </w:r>
      <w:r w:rsidRPr="00EE0732">
        <w:rPr>
          <w:rFonts w:ascii="Arial" w:hAnsi="Arial" w:cs="Arial"/>
          <w:noProof/>
          <w:sz w:val="20"/>
          <w:szCs w:val="24"/>
        </w:rPr>
        <w:t xml:space="preserve">, vol. 10, no. October, </w:t>
      </w:r>
      <w:r w:rsidRPr="00EE0732">
        <w:rPr>
          <w:rFonts w:ascii="Arial" w:hAnsi="Arial" w:cs="Arial"/>
          <w:noProof/>
          <w:sz w:val="20"/>
          <w:szCs w:val="24"/>
        </w:rPr>
        <w:t>pp. 124715–124727, 2022, doi: 10.1109/ACCESS.2022.3224938.</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[30]</w:t>
      </w:r>
      <w:r w:rsidRPr="00EE0732">
        <w:rPr>
          <w:rFonts w:ascii="Arial" w:hAnsi="Arial" w:cs="Arial"/>
          <w:noProof/>
          <w:sz w:val="20"/>
          <w:szCs w:val="24"/>
        </w:rPr>
        <w:tab/>
        <w:t xml:space="preserve">R. J. Hyndman and G. Athanasopoulos, </w:t>
      </w:r>
      <w:r w:rsidRPr="00EE0732">
        <w:rPr>
          <w:rFonts w:ascii="Arial" w:hAnsi="Arial" w:cs="Arial"/>
          <w:i/>
          <w:iCs/>
          <w:noProof/>
          <w:sz w:val="20"/>
          <w:szCs w:val="24"/>
        </w:rPr>
        <w:t>Forecasting : Principles and Practice</w:t>
      </w:r>
      <w:r w:rsidRPr="00EE0732">
        <w:rPr>
          <w:rFonts w:ascii="Arial" w:hAnsi="Arial" w:cs="Arial"/>
          <w:noProof/>
          <w:sz w:val="20"/>
          <w:szCs w:val="24"/>
        </w:rPr>
        <w:t>, 3th ed. Melbourne, Australia, 2021.</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[31]</w:t>
      </w:r>
      <w:r w:rsidRPr="00EE0732">
        <w:rPr>
          <w:rFonts w:ascii="Arial" w:hAnsi="Arial" w:cs="Arial"/>
          <w:noProof/>
          <w:sz w:val="20"/>
          <w:szCs w:val="24"/>
        </w:rPr>
        <w:tab/>
        <w:t xml:space="preserve">H. Musbah, M. El-Hawary, and H. Aly, “Identifying seasonality in time series by applying fast fourier transform,” </w:t>
      </w:r>
      <w:r w:rsidRPr="00EE0732">
        <w:rPr>
          <w:rFonts w:ascii="Arial" w:hAnsi="Arial" w:cs="Arial"/>
          <w:i/>
          <w:iCs/>
          <w:noProof/>
          <w:sz w:val="20"/>
          <w:szCs w:val="24"/>
        </w:rPr>
        <w:t>2019 IEEE Electr. Power Energy Conf. EPEC 2019</w:t>
      </w:r>
      <w:r w:rsidRPr="00EE0732">
        <w:rPr>
          <w:rFonts w:ascii="Arial" w:hAnsi="Arial" w:cs="Arial"/>
          <w:noProof/>
          <w:sz w:val="20"/>
          <w:szCs w:val="24"/>
        </w:rPr>
        <w:t>, vol. 3, pp. 3–6, 2019, doi: 10.1109/EPEC47565.2019.9074776.</w:t>
      </w:r>
    </w:p>
    <w:p w:rsidR="00EE0732" w:rsidRP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[32]</w:t>
      </w:r>
      <w:r w:rsidRPr="00EE0732">
        <w:rPr>
          <w:rFonts w:ascii="Arial" w:hAnsi="Arial" w:cs="Arial"/>
          <w:noProof/>
          <w:sz w:val="20"/>
          <w:szCs w:val="24"/>
        </w:rPr>
        <w:tab/>
        <w:t xml:space="preserve">P. Xu, “Analysis and Prediction of Total Retail Sales of Consumer Goods Based on Multiple Regression and SARIMA Model,” </w:t>
      </w:r>
      <w:r w:rsidRPr="00EE0732">
        <w:rPr>
          <w:rFonts w:ascii="Arial" w:hAnsi="Arial" w:cs="Arial"/>
          <w:i/>
          <w:iCs/>
          <w:noProof/>
          <w:sz w:val="20"/>
          <w:szCs w:val="24"/>
        </w:rPr>
        <w:t>2020 Int. Conf. Big Data Appl. Econ. Manag.</w:t>
      </w:r>
      <w:r w:rsidRPr="00EE0732">
        <w:rPr>
          <w:rFonts w:ascii="Arial" w:hAnsi="Arial" w:cs="Arial"/>
          <w:noProof/>
          <w:sz w:val="20"/>
          <w:szCs w:val="24"/>
        </w:rPr>
        <w:t>, no. Icbdem, pp. 136–149, 2020, doi: 10.25236/icbdem.2020.021.</w:t>
      </w:r>
    </w:p>
    <w:p w:rsidR="00EE0732" w:rsidRDefault="00EE0732" w:rsidP="00A15DB9">
      <w:pPr>
        <w:widowControl w:val="0"/>
        <w:autoSpaceDE w:val="0"/>
        <w:autoSpaceDN w:val="0"/>
        <w:adjustRightInd w:val="0"/>
        <w:spacing w:after="0" w:line="240" w:lineRule="auto"/>
        <w:ind w:left="0" w:hanging="2"/>
        <w:jc w:val="both"/>
        <w:rPr>
          <w:rFonts w:ascii="Arial" w:hAnsi="Arial" w:cs="Arial"/>
          <w:noProof/>
          <w:sz w:val="20"/>
          <w:szCs w:val="24"/>
        </w:rPr>
      </w:pPr>
      <w:r w:rsidRPr="00EE0732">
        <w:rPr>
          <w:rFonts w:ascii="Arial" w:hAnsi="Arial" w:cs="Arial"/>
          <w:noProof/>
          <w:sz w:val="20"/>
          <w:szCs w:val="24"/>
        </w:rPr>
        <w:t>[33]</w:t>
      </w:r>
      <w:r w:rsidRPr="00EE0732">
        <w:rPr>
          <w:rFonts w:ascii="Arial" w:hAnsi="Arial" w:cs="Arial"/>
          <w:noProof/>
          <w:sz w:val="20"/>
          <w:szCs w:val="24"/>
        </w:rPr>
        <w:tab/>
        <w:t xml:space="preserve">T. Falatouri, F. Darbanian, P. Brandtner, and C. Udokwu, “Predictive Analytics for Demand Forecasting - A Comparison of SARIMA and LSTM in Retail SCM,” </w:t>
      </w:r>
      <w:r w:rsidRPr="00EE0732">
        <w:rPr>
          <w:rFonts w:ascii="Arial" w:hAnsi="Arial" w:cs="Arial"/>
          <w:i/>
          <w:iCs/>
          <w:noProof/>
          <w:sz w:val="20"/>
          <w:szCs w:val="24"/>
        </w:rPr>
        <w:t>Procedia Comput. Sci.</w:t>
      </w:r>
      <w:r w:rsidRPr="00EE0732">
        <w:rPr>
          <w:rFonts w:ascii="Arial" w:hAnsi="Arial" w:cs="Arial"/>
          <w:noProof/>
          <w:sz w:val="20"/>
          <w:szCs w:val="24"/>
        </w:rPr>
        <w:t>, vol. 200, no. 2019, pp. 993–1003, 2022, doi: 10.1016/j.procs.2022.01.298.</w:t>
      </w:r>
    </w:p>
    <w:p w:rsidR="00BC7E6E" w:rsidRDefault="009A6400" w:rsidP="001D670F">
      <w:pPr>
        <w:spacing w:after="0" w:line="240" w:lineRule="auto"/>
        <w:ind w:leftChars="0" w:left="0" w:firstLineChars="0" w:firstLine="0"/>
        <w:jc w:val="both"/>
        <w:rPr>
          <w:rFonts w:ascii="Arial" w:eastAsia="Arial" w:hAnsi="Arial" w:cs="Arial"/>
          <w:sz w:val="20"/>
          <w:szCs w:val="20"/>
        </w:rPr>
      </w:pPr>
      <w:r>
        <w:rPr>
          <w:rFonts w:ascii="Arial" w:eastAsia="Arial" w:hAnsi="Arial" w:cs="Arial"/>
          <w:b/>
          <w:color w:val="1F4E79"/>
          <w:sz w:val="20"/>
          <w:szCs w:val="20"/>
        </w:rPr>
        <w:fldChar w:fldCharType="end"/>
      </w:r>
    </w:p>
    <w:p w:rsidR="00BC7E6E" w:rsidRDefault="00BC7E6E">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p w:rsidR="00BC7E6E" w:rsidRDefault="00BC7E6E">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sectPr w:rsidR="00BC7E6E" w:rsidSect="00E64A47">
          <w:type w:val="continuous"/>
          <w:pgSz w:w="11907" w:h="16840"/>
          <w:pgMar w:top="1701" w:right="1134" w:bottom="1701" w:left="1701" w:header="680" w:footer="680" w:gutter="0"/>
          <w:cols w:num="2" w:space="284"/>
          <w:titlePg/>
        </w:sectPr>
      </w:pPr>
    </w:p>
    <w:p w:rsidR="00BC7E6E" w:rsidRDefault="00BC7E6E" w:rsidP="001D670F">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sectPr w:rsidR="00BC7E6E">
      <w:type w:val="continuous"/>
      <w:pgSz w:w="11907" w:h="16840"/>
      <w:pgMar w:top="1701" w:right="1134" w:bottom="1701" w:left="1701" w:header="680" w:footer="680"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C75" w:rsidRDefault="00E36C75">
      <w:pPr>
        <w:spacing w:after="0" w:line="240" w:lineRule="auto"/>
        <w:ind w:left="0" w:hanging="2"/>
      </w:pPr>
      <w:r>
        <w:separator/>
      </w:r>
    </w:p>
  </w:endnote>
  <w:endnote w:type="continuationSeparator" w:id="0">
    <w:p w:rsidR="00E36C75" w:rsidRDefault="00E36C7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E6E" w:rsidRDefault="00BC7E6E">
    <w:pPr>
      <w:widowControl w:val="0"/>
      <w:pBdr>
        <w:top w:val="nil"/>
        <w:left w:val="nil"/>
        <w:bottom w:val="nil"/>
        <w:right w:val="nil"/>
        <w:between w:val="nil"/>
      </w:pBdr>
      <w:spacing w:after="0"/>
      <w:ind w:left="0" w:hanging="2"/>
      <w:rPr>
        <w:color w:val="000000"/>
      </w:rPr>
    </w:pPr>
  </w:p>
  <w:tbl>
    <w:tblPr>
      <w:tblStyle w:val="a8"/>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BC7E6E">
      <w:tc>
        <w:tcPr>
          <w:tcW w:w="1242" w:type="dxa"/>
        </w:tcPr>
        <w:p w:rsidR="00BC7E6E" w:rsidRDefault="007266B7">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40501">
            <w:rPr>
              <w:rFonts w:ascii="Arial" w:eastAsia="Arial" w:hAnsi="Arial" w:cs="Arial"/>
              <w:noProof/>
              <w:color w:val="000000"/>
              <w:sz w:val="20"/>
              <w:szCs w:val="20"/>
            </w:rPr>
            <w:t>10</w:t>
          </w:r>
          <w:r>
            <w:rPr>
              <w:rFonts w:ascii="Arial" w:eastAsia="Arial" w:hAnsi="Arial" w:cs="Arial"/>
              <w:color w:val="000000"/>
              <w:sz w:val="20"/>
              <w:szCs w:val="20"/>
            </w:rPr>
            <w:fldChar w:fldCharType="end"/>
          </w:r>
        </w:p>
      </w:tc>
      <w:tc>
        <w:tcPr>
          <w:tcW w:w="7938" w:type="dxa"/>
        </w:tcPr>
        <w:p w:rsidR="00BC7E6E" w:rsidRDefault="007266B7">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w:t>
          </w:r>
        </w:p>
      </w:tc>
    </w:tr>
  </w:tbl>
  <w:p w:rsidR="00BC7E6E" w:rsidRDefault="00BC7E6E">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E6E" w:rsidRDefault="00BC7E6E">
    <w:pPr>
      <w:widowControl w:val="0"/>
      <w:pBdr>
        <w:top w:val="nil"/>
        <w:left w:val="nil"/>
        <w:bottom w:val="nil"/>
        <w:right w:val="nil"/>
        <w:between w:val="nil"/>
      </w:pBdr>
      <w:spacing w:after="0"/>
      <w:ind w:left="0" w:hanging="2"/>
      <w:rPr>
        <w:color w:val="000000"/>
      </w:rPr>
    </w:pPr>
  </w:p>
  <w:tbl>
    <w:tblPr>
      <w:tblStyle w:val="a7"/>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BC7E6E">
      <w:tc>
        <w:tcPr>
          <w:tcW w:w="8453" w:type="dxa"/>
        </w:tcPr>
        <w:p w:rsidR="00BC7E6E" w:rsidRDefault="007266B7">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w:t>
          </w:r>
        </w:p>
      </w:tc>
      <w:tc>
        <w:tcPr>
          <w:tcW w:w="727" w:type="dxa"/>
        </w:tcPr>
        <w:p w:rsidR="00BC7E6E" w:rsidRDefault="007266B7">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437D9">
            <w:rPr>
              <w:rFonts w:ascii="Arial" w:eastAsia="Arial" w:hAnsi="Arial" w:cs="Arial"/>
              <w:noProof/>
              <w:color w:val="000000"/>
              <w:sz w:val="20"/>
              <w:szCs w:val="20"/>
            </w:rPr>
            <w:t>11</w:t>
          </w:r>
          <w:r>
            <w:rPr>
              <w:rFonts w:ascii="Arial" w:eastAsia="Arial" w:hAnsi="Arial" w:cs="Arial"/>
              <w:color w:val="000000"/>
              <w:sz w:val="20"/>
              <w:szCs w:val="20"/>
            </w:rPr>
            <w:fldChar w:fldCharType="end"/>
          </w:r>
        </w:p>
      </w:tc>
    </w:tr>
  </w:tbl>
  <w:p w:rsidR="00BC7E6E" w:rsidRDefault="00BC7E6E">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E6E" w:rsidRDefault="00BC7E6E">
    <w:pPr>
      <w:widowControl w:val="0"/>
      <w:pBdr>
        <w:top w:val="nil"/>
        <w:left w:val="nil"/>
        <w:bottom w:val="nil"/>
        <w:right w:val="nil"/>
        <w:between w:val="nil"/>
      </w:pBdr>
      <w:spacing w:after="0"/>
      <w:ind w:left="0" w:hanging="2"/>
    </w:pPr>
  </w:p>
  <w:tbl>
    <w:tblPr>
      <w:tblStyle w:val="a6"/>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BC7E6E">
      <w:tc>
        <w:tcPr>
          <w:tcW w:w="8453" w:type="dxa"/>
        </w:tcPr>
        <w:p w:rsidR="00BC7E6E" w:rsidRDefault="007266B7">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 </w:t>
          </w:r>
        </w:p>
      </w:tc>
      <w:tc>
        <w:tcPr>
          <w:tcW w:w="727" w:type="dxa"/>
        </w:tcPr>
        <w:p w:rsidR="00BC7E6E" w:rsidRDefault="007266B7">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40501">
            <w:rPr>
              <w:rFonts w:ascii="Arial" w:eastAsia="Arial" w:hAnsi="Arial" w:cs="Arial"/>
              <w:noProof/>
              <w:color w:val="000000"/>
              <w:sz w:val="20"/>
              <w:szCs w:val="20"/>
            </w:rPr>
            <w:t>9</w:t>
          </w:r>
          <w:r>
            <w:rPr>
              <w:rFonts w:ascii="Arial" w:eastAsia="Arial" w:hAnsi="Arial" w:cs="Arial"/>
              <w:color w:val="000000"/>
              <w:sz w:val="20"/>
              <w:szCs w:val="20"/>
            </w:rPr>
            <w:fldChar w:fldCharType="end"/>
          </w:r>
        </w:p>
      </w:tc>
    </w:tr>
  </w:tbl>
  <w:p w:rsidR="00BC7E6E" w:rsidRDefault="00BC7E6E">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C75" w:rsidRDefault="00E36C75">
      <w:pPr>
        <w:spacing w:after="0" w:line="240" w:lineRule="auto"/>
        <w:ind w:left="0" w:hanging="2"/>
      </w:pPr>
      <w:r>
        <w:separator/>
      </w:r>
    </w:p>
  </w:footnote>
  <w:footnote w:type="continuationSeparator" w:id="0">
    <w:p w:rsidR="00E36C75" w:rsidRDefault="00E36C7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E6E" w:rsidRDefault="00BC7E6E">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3"/>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BC7E6E">
      <w:tc>
        <w:tcPr>
          <w:tcW w:w="9288" w:type="dxa"/>
        </w:tcPr>
        <w:p w:rsidR="00BC7E6E" w:rsidRDefault="007266B7">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rsidR="00BC7E6E" w:rsidRDefault="00BC7E6E">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E6E" w:rsidRDefault="00BC7E6E">
    <w:pPr>
      <w:widowControl w:val="0"/>
      <w:pBdr>
        <w:top w:val="nil"/>
        <w:left w:val="nil"/>
        <w:bottom w:val="nil"/>
        <w:right w:val="nil"/>
        <w:between w:val="nil"/>
      </w:pBdr>
      <w:spacing w:after="0"/>
      <w:ind w:left="0" w:hanging="2"/>
      <w:rPr>
        <w:color w:val="000000"/>
      </w:rPr>
    </w:pPr>
  </w:p>
  <w:tbl>
    <w:tblPr>
      <w:tblStyle w:val="a5"/>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BC7E6E">
      <w:tc>
        <w:tcPr>
          <w:tcW w:w="9288" w:type="dxa"/>
        </w:tcPr>
        <w:p w:rsidR="00BC7E6E" w:rsidRDefault="007266B7">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1410-2331  e-ISSN: 2460-1217</w:t>
          </w:r>
        </w:p>
      </w:tc>
    </w:tr>
  </w:tbl>
  <w:p w:rsidR="00BC7E6E" w:rsidRDefault="00BC7E6E">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E6E" w:rsidRDefault="00BC7E6E">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4"/>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BC7E6E">
      <w:tc>
        <w:tcPr>
          <w:tcW w:w="1701" w:type="dxa"/>
        </w:tcPr>
        <w:p w:rsidR="00BC7E6E" w:rsidRDefault="007266B7">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lang w:val="en-ID" w:eastAsia="en-ID"/>
            </w:rPr>
            <w:drawing>
              <wp:inline distT="0" distB="0" distL="114300" distR="114300">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rsidR="00BC7E6E" w:rsidRDefault="007266B7">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rsidR="00BC7E6E" w:rsidRDefault="007266B7">
          <w:pPr>
            <w:pBdr>
              <w:top w:val="nil"/>
              <w:left w:val="nil"/>
              <w:bottom w:val="nil"/>
              <w:right w:val="nil"/>
              <w:between w:val="nil"/>
            </w:pBdr>
            <w:tabs>
              <w:tab w:val="left" w:pos="4680"/>
            </w:tabs>
            <w:spacing w:after="0" w:line="240" w:lineRule="auto"/>
            <w:ind w:left="0" w:hanging="2"/>
            <w:jc w:val="center"/>
            <w:rPr>
              <w:color w:val="000000"/>
            </w:rPr>
          </w:pPr>
          <w:r>
            <w:rPr>
              <w:noProof/>
              <w:color w:val="000000"/>
              <w:lang w:val="en-ID" w:eastAsia="en-ID"/>
            </w:rPr>
            <w:drawing>
              <wp:inline distT="0" distB="0" distL="114300" distR="114300">
                <wp:extent cx="627380" cy="784225"/>
                <wp:effectExtent l="0" t="0" r="0" b="0"/>
                <wp:docPr id="10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rsidR="00BC7E6E" w:rsidRDefault="00BC7E6E">
    <w:pPr>
      <w:pBdr>
        <w:top w:val="nil"/>
        <w:left w:val="nil"/>
        <w:bottom w:val="nil"/>
        <w:right w:val="nil"/>
        <w:between w:val="nil"/>
      </w:pBdr>
      <w:spacing w:after="0" w:line="240" w:lineRule="auto"/>
      <w:ind w:left="0" w:hanging="2"/>
      <w:rPr>
        <w:color w:val="000000"/>
      </w:rPr>
    </w:pPr>
  </w:p>
  <w:p w:rsidR="00BC7E6E" w:rsidRDefault="00BC7E6E">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D51BC"/>
    <w:multiLevelType w:val="multilevel"/>
    <w:tmpl w:val="DA1AD4AE"/>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5F76128"/>
    <w:multiLevelType w:val="hybridMultilevel"/>
    <w:tmpl w:val="CF929D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9E650BC"/>
    <w:multiLevelType w:val="multilevel"/>
    <w:tmpl w:val="28161F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7I0sDA0N7C0MDCwMDBX0lEKTi0uzszPAykwrQUAKTPKLSwAAAA="/>
  </w:docVars>
  <w:rsids>
    <w:rsidRoot w:val="00BC7E6E"/>
    <w:rsid w:val="000069E5"/>
    <w:rsid w:val="00016D66"/>
    <w:rsid w:val="0002410C"/>
    <w:rsid w:val="00035F42"/>
    <w:rsid w:val="00052807"/>
    <w:rsid w:val="000710CE"/>
    <w:rsid w:val="000722D2"/>
    <w:rsid w:val="00084789"/>
    <w:rsid w:val="00090430"/>
    <w:rsid w:val="00090FA7"/>
    <w:rsid w:val="000B7C45"/>
    <w:rsid w:val="000D229E"/>
    <w:rsid w:val="000E3486"/>
    <w:rsid w:val="000F2B04"/>
    <w:rsid w:val="0011228D"/>
    <w:rsid w:val="001253FD"/>
    <w:rsid w:val="001310C6"/>
    <w:rsid w:val="00140803"/>
    <w:rsid w:val="001427A4"/>
    <w:rsid w:val="00147EBB"/>
    <w:rsid w:val="00150D1E"/>
    <w:rsid w:val="001655D2"/>
    <w:rsid w:val="00170F49"/>
    <w:rsid w:val="00171B08"/>
    <w:rsid w:val="001A3CF6"/>
    <w:rsid w:val="001A4DDA"/>
    <w:rsid w:val="001A510B"/>
    <w:rsid w:val="001A6388"/>
    <w:rsid w:val="001B76EB"/>
    <w:rsid w:val="001C02A3"/>
    <w:rsid w:val="001C29FB"/>
    <w:rsid w:val="001D34F0"/>
    <w:rsid w:val="001D5530"/>
    <w:rsid w:val="001D670F"/>
    <w:rsid w:val="002000CA"/>
    <w:rsid w:val="00205175"/>
    <w:rsid w:val="002076FA"/>
    <w:rsid w:val="002115EE"/>
    <w:rsid w:val="00211955"/>
    <w:rsid w:val="0024410E"/>
    <w:rsid w:val="00245E70"/>
    <w:rsid w:val="00255666"/>
    <w:rsid w:val="0027516B"/>
    <w:rsid w:val="002754D8"/>
    <w:rsid w:val="002818DA"/>
    <w:rsid w:val="00291B9F"/>
    <w:rsid w:val="002935CE"/>
    <w:rsid w:val="00296E95"/>
    <w:rsid w:val="002A38BC"/>
    <w:rsid w:val="002B78B2"/>
    <w:rsid w:val="002F3F43"/>
    <w:rsid w:val="00306FF3"/>
    <w:rsid w:val="00310638"/>
    <w:rsid w:val="00316DFE"/>
    <w:rsid w:val="00325B98"/>
    <w:rsid w:val="00333B58"/>
    <w:rsid w:val="00337017"/>
    <w:rsid w:val="00346C55"/>
    <w:rsid w:val="003814AB"/>
    <w:rsid w:val="0038150E"/>
    <w:rsid w:val="003858FA"/>
    <w:rsid w:val="003B1E80"/>
    <w:rsid w:val="003E1DE5"/>
    <w:rsid w:val="003E7689"/>
    <w:rsid w:val="003E78E0"/>
    <w:rsid w:val="003F171F"/>
    <w:rsid w:val="003F2655"/>
    <w:rsid w:val="00401E2D"/>
    <w:rsid w:val="00404A3D"/>
    <w:rsid w:val="0041400C"/>
    <w:rsid w:val="004177C8"/>
    <w:rsid w:val="00417CB1"/>
    <w:rsid w:val="00420CAE"/>
    <w:rsid w:val="004437D9"/>
    <w:rsid w:val="00446235"/>
    <w:rsid w:val="00463ED6"/>
    <w:rsid w:val="0047657E"/>
    <w:rsid w:val="00486ECE"/>
    <w:rsid w:val="004912A6"/>
    <w:rsid w:val="004917BB"/>
    <w:rsid w:val="004A4647"/>
    <w:rsid w:val="004A568D"/>
    <w:rsid w:val="004D171A"/>
    <w:rsid w:val="004D426F"/>
    <w:rsid w:val="004F29EB"/>
    <w:rsid w:val="004F79A3"/>
    <w:rsid w:val="00504B7B"/>
    <w:rsid w:val="00511D4F"/>
    <w:rsid w:val="00517AA4"/>
    <w:rsid w:val="00536648"/>
    <w:rsid w:val="005414FD"/>
    <w:rsid w:val="00542C02"/>
    <w:rsid w:val="00560E44"/>
    <w:rsid w:val="00562984"/>
    <w:rsid w:val="00572332"/>
    <w:rsid w:val="00586ADB"/>
    <w:rsid w:val="00595B7C"/>
    <w:rsid w:val="005966E9"/>
    <w:rsid w:val="005B1B73"/>
    <w:rsid w:val="005D7DFF"/>
    <w:rsid w:val="005E12C2"/>
    <w:rsid w:val="005F2818"/>
    <w:rsid w:val="005F4F79"/>
    <w:rsid w:val="00605B0A"/>
    <w:rsid w:val="0062148F"/>
    <w:rsid w:val="0063171B"/>
    <w:rsid w:val="00634580"/>
    <w:rsid w:val="00640501"/>
    <w:rsid w:val="00652DBE"/>
    <w:rsid w:val="006637D3"/>
    <w:rsid w:val="00664B9D"/>
    <w:rsid w:val="00665F58"/>
    <w:rsid w:val="006663CE"/>
    <w:rsid w:val="006814A4"/>
    <w:rsid w:val="00685861"/>
    <w:rsid w:val="006A12E0"/>
    <w:rsid w:val="006F38F1"/>
    <w:rsid w:val="00703960"/>
    <w:rsid w:val="00706998"/>
    <w:rsid w:val="00722FB9"/>
    <w:rsid w:val="007266B7"/>
    <w:rsid w:val="0076491B"/>
    <w:rsid w:val="00775DAB"/>
    <w:rsid w:val="0078233C"/>
    <w:rsid w:val="007833CF"/>
    <w:rsid w:val="007867EB"/>
    <w:rsid w:val="00787FE1"/>
    <w:rsid w:val="007A1B45"/>
    <w:rsid w:val="007B546C"/>
    <w:rsid w:val="007D3337"/>
    <w:rsid w:val="007D5769"/>
    <w:rsid w:val="007E567C"/>
    <w:rsid w:val="007F6347"/>
    <w:rsid w:val="00800D55"/>
    <w:rsid w:val="00803A99"/>
    <w:rsid w:val="008052A9"/>
    <w:rsid w:val="00805C2C"/>
    <w:rsid w:val="00812B27"/>
    <w:rsid w:val="00815C5D"/>
    <w:rsid w:val="00821BC8"/>
    <w:rsid w:val="008410E4"/>
    <w:rsid w:val="0084211C"/>
    <w:rsid w:val="00844CDE"/>
    <w:rsid w:val="00863D87"/>
    <w:rsid w:val="00871D77"/>
    <w:rsid w:val="00874E66"/>
    <w:rsid w:val="0088468B"/>
    <w:rsid w:val="008B4F9B"/>
    <w:rsid w:val="008B7EE4"/>
    <w:rsid w:val="008E48D9"/>
    <w:rsid w:val="008F495C"/>
    <w:rsid w:val="008F4B07"/>
    <w:rsid w:val="008F5BF8"/>
    <w:rsid w:val="009067E3"/>
    <w:rsid w:val="00907688"/>
    <w:rsid w:val="00916410"/>
    <w:rsid w:val="00935C62"/>
    <w:rsid w:val="009532CF"/>
    <w:rsid w:val="0096479D"/>
    <w:rsid w:val="0096624B"/>
    <w:rsid w:val="00983644"/>
    <w:rsid w:val="00992945"/>
    <w:rsid w:val="009932D7"/>
    <w:rsid w:val="009A0485"/>
    <w:rsid w:val="009A34F9"/>
    <w:rsid w:val="009A39C7"/>
    <w:rsid w:val="009A6400"/>
    <w:rsid w:val="009A7690"/>
    <w:rsid w:val="009B5AAF"/>
    <w:rsid w:val="009C7E97"/>
    <w:rsid w:val="009D2B92"/>
    <w:rsid w:val="009E5645"/>
    <w:rsid w:val="009F5F59"/>
    <w:rsid w:val="00A0656B"/>
    <w:rsid w:val="00A15DB9"/>
    <w:rsid w:val="00A52526"/>
    <w:rsid w:val="00A52C04"/>
    <w:rsid w:val="00A546CA"/>
    <w:rsid w:val="00A57179"/>
    <w:rsid w:val="00A601E9"/>
    <w:rsid w:val="00A62A3C"/>
    <w:rsid w:val="00A659B0"/>
    <w:rsid w:val="00A72C77"/>
    <w:rsid w:val="00A82227"/>
    <w:rsid w:val="00A8441B"/>
    <w:rsid w:val="00A85AAE"/>
    <w:rsid w:val="00A92DC0"/>
    <w:rsid w:val="00AB1866"/>
    <w:rsid w:val="00AB6837"/>
    <w:rsid w:val="00AC002F"/>
    <w:rsid w:val="00AC391B"/>
    <w:rsid w:val="00AD7F7C"/>
    <w:rsid w:val="00AE0ABE"/>
    <w:rsid w:val="00AE4F29"/>
    <w:rsid w:val="00AF7D25"/>
    <w:rsid w:val="00B11309"/>
    <w:rsid w:val="00B20E79"/>
    <w:rsid w:val="00B21573"/>
    <w:rsid w:val="00B7701E"/>
    <w:rsid w:val="00B90195"/>
    <w:rsid w:val="00BA0F23"/>
    <w:rsid w:val="00BA68F1"/>
    <w:rsid w:val="00BB369C"/>
    <w:rsid w:val="00BC25B8"/>
    <w:rsid w:val="00BC48EA"/>
    <w:rsid w:val="00BC7E6E"/>
    <w:rsid w:val="00BD038C"/>
    <w:rsid w:val="00BD45C7"/>
    <w:rsid w:val="00C10CFD"/>
    <w:rsid w:val="00C46019"/>
    <w:rsid w:val="00C64A49"/>
    <w:rsid w:val="00C76E22"/>
    <w:rsid w:val="00C87B4A"/>
    <w:rsid w:val="00CA7EF1"/>
    <w:rsid w:val="00CC07CE"/>
    <w:rsid w:val="00CC6E3A"/>
    <w:rsid w:val="00CC7B8E"/>
    <w:rsid w:val="00CD0FD0"/>
    <w:rsid w:val="00CF54AC"/>
    <w:rsid w:val="00D029C8"/>
    <w:rsid w:val="00D15141"/>
    <w:rsid w:val="00D32CC1"/>
    <w:rsid w:val="00D37447"/>
    <w:rsid w:val="00D41BEC"/>
    <w:rsid w:val="00D41F86"/>
    <w:rsid w:val="00D42462"/>
    <w:rsid w:val="00D61242"/>
    <w:rsid w:val="00D73609"/>
    <w:rsid w:val="00D77A27"/>
    <w:rsid w:val="00D822A9"/>
    <w:rsid w:val="00D92D14"/>
    <w:rsid w:val="00D96894"/>
    <w:rsid w:val="00DA5430"/>
    <w:rsid w:val="00DB1E46"/>
    <w:rsid w:val="00DD6F83"/>
    <w:rsid w:val="00DD7B7A"/>
    <w:rsid w:val="00DF15C1"/>
    <w:rsid w:val="00DF5D0E"/>
    <w:rsid w:val="00E3428E"/>
    <w:rsid w:val="00E36C75"/>
    <w:rsid w:val="00E36E96"/>
    <w:rsid w:val="00E55F14"/>
    <w:rsid w:val="00E60F27"/>
    <w:rsid w:val="00E64A47"/>
    <w:rsid w:val="00E74366"/>
    <w:rsid w:val="00E80378"/>
    <w:rsid w:val="00E857E9"/>
    <w:rsid w:val="00EA3C65"/>
    <w:rsid w:val="00EA7383"/>
    <w:rsid w:val="00EB1329"/>
    <w:rsid w:val="00ED34D8"/>
    <w:rsid w:val="00EE0732"/>
    <w:rsid w:val="00EE4BC5"/>
    <w:rsid w:val="00EF2E53"/>
    <w:rsid w:val="00F1271B"/>
    <w:rsid w:val="00F16A03"/>
    <w:rsid w:val="00F2513D"/>
    <w:rsid w:val="00F407F0"/>
    <w:rsid w:val="00F41779"/>
    <w:rsid w:val="00F5663B"/>
    <w:rsid w:val="00F63435"/>
    <w:rsid w:val="00F82AA0"/>
    <w:rsid w:val="00FA5ECD"/>
    <w:rsid w:val="00FB247F"/>
    <w:rsid w:val="00FC3113"/>
    <w:rsid w:val="00FC6E56"/>
    <w:rsid w:val="00FD55D5"/>
    <w:rsid w:val="00FF1BAE"/>
    <w:rsid w:val="00FF1C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A37A"/>
  <w15:docId w15:val="{6B803CD1-53D0-45D5-AAE9-C8CDE5BE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uiPriority w:val="34"/>
    <w:qFormat/>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PlaceholderText">
    <w:name w:val="Placeholder Text"/>
    <w:basedOn w:val="DefaultParagraphFont"/>
    <w:uiPriority w:val="99"/>
    <w:semiHidden/>
    <w:rsid w:val="007867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mailto:titi.sari@uin-suka.ac.id" TargetMode="External"/><Relationship Id="rId17" Type="http://schemas.openxmlformats.org/officeDocument/2006/relationships/header" Target="header3.xm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creativecommons.org/licenses/by-sa/4.0/"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125125-E9B6-4A10-868F-929901C4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21323</Words>
  <Characters>121546</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kelas</dc:creator>
  <cp:lastModifiedBy>Reviewer</cp:lastModifiedBy>
  <cp:revision>59</cp:revision>
  <cp:lastPrinted>2024-06-18T04:44:00Z</cp:lastPrinted>
  <dcterms:created xsi:type="dcterms:W3CDTF">2024-06-18T03:48:00Z</dcterms:created>
  <dcterms:modified xsi:type="dcterms:W3CDTF">2024-06-18T08:35:00Z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6bbf0d93-c446-3305-ab34-e130e3018166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